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陕西省西咸新区党政办公室关于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印发《西咸新区社区工作者管理办法（</w:t>
      </w:r>
      <w:r>
        <w:rPr>
          <w:rFonts w:hint="eastAsia" w:ascii="方正小标宋简体" w:hAnsi="方正小标宋简体" w:eastAsia="方正小标宋简体" w:cs="方正小标宋简体"/>
          <w:sz w:val="44"/>
          <w:szCs w:val="44"/>
          <w:lang w:val="en-US" w:eastAsia="zh-CN"/>
        </w:rPr>
        <w:t>2022年修订</w:t>
      </w:r>
      <w:r>
        <w:rPr>
          <w:rFonts w:hint="eastAsia" w:ascii="方正小标宋简体" w:hAnsi="方正小标宋简体" w:eastAsia="方正小标宋简体" w:cs="方正小标宋简体"/>
          <w:sz w:val="44"/>
          <w:szCs w:val="44"/>
          <w:lang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lang w:eastAsia="zh-CN"/>
        </w:rPr>
        <w:t>新区各有关部门，各镇街：</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《西咸新区社区工作者管理办法（2022年修订）》已经新区管委会同意，现印发你们，请认真遵照执行。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6" w:firstLineChars="1202"/>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陕西省西咸新区</w:t>
      </w:r>
      <w:r>
        <w:rPr>
          <w:rFonts w:hint="eastAsia" w:ascii="仿宋_GB2312" w:hAnsi="仿宋_GB2312" w:eastAsia="仿宋_GB2312" w:cs="仿宋_GB2312"/>
          <w:sz w:val="32"/>
          <w:szCs w:val="32"/>
          <w:lang w:val="en-US" w:eastAsia="zh-CN"/>
        </w:rPr>
        <w:t>党政</w:t>
      </w:r>
      <w:r>
        <w:rPr>
          <w:rFonts w:hint="default" w:ascii="仿宋_GB2312" w:hAnsi="仿宋_GB2312" w:eastAsia="仿宋_GB2312" w:cs="仿宋_GB2312"/>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2022年12月5日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bookmarkEnd w:id="0"/>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olor w:val="000000" w:themeColor="text1"/>
          <w:spacing w:val="-20"/>
          <w:sz w:val="44"/>
          <w:szCs w:val="44"/>
          <w:highlight w:val="none"/>
          <w:shd w:val="clear" w:color="auto" w:fill="auto"/>
          <w:lang w:val="en-US" w:eastAsia="zh-CN"/>
          <w14:textFill>
            <w14:solidFill>
              <w14:schemeClr w14:val="tx1"/>
            </w14:solidFill>
          </w14:textFill>
        </w:rPr>
      </w:pPr>
      <w:r>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t>西咸新区</w:t>
      </w:r>
      <w:r>
        <w:rPr>
          <w:rFonts w:hint="eastAsia" w:ascii="方正小标宋简体" w:hAnsi="华文中宋" w:eastAsia="方正小标宋简体"/>
          <w:color w:val="000000" w:themeColor="text1"/>
          <w:spacing w:val="-20"/>
          <w:sz w:val="44"/>
          <w:szCs w:val="44"/>
          <w:highlight w:val="none"/>
          <w:shd w:val="clear" w:color="auto" w:fill="auto"/>
          <w:lang w:eastAsia="zh-CN"/>
          <w14:textFill>
            <w14:solidFill>
              <w14:schemeClr w14:val="tx1"/>
            </w14:solidFill>
          </w14:textFill>
        </w:rPr>
        <w:t>社区工作者</w:t>
      </w:r>
      <w:r>
        <w:rPr>
          <w:rFonts w:hint="eastAsia" w:ascii="方正小标宋简体" w:hAnsi="华文中宋" w:eastAsia="方正小标宋简体"/>
          <w:color w:val="000000" w:themeColor="text1"/>
          <w:spacing w:val="-20"/>
          <w:sz w:val="44"/>
          <w:szCs w:val="44"/>
          <w:highlight w:val="none"/>
          <w:shd w:val="clear" w:color="auto" w:fill="auto"/>
          <w14:textFill>
            <w14:solidFill>
              <w14:schemeClr w14:val="tx1"/>
            </w14:solidFill>
          </w14:textFill>
        </w:rPr>
        <w:t>管理办法</w:t>
      </w:r>
      <w:r>
        <w:rPr>
          <w:rFonts w:hint="eastAsia" w:ascii="方正小标宋简体" w:hAnsi="华文中宋" w:eastAsia="方正小标宋简体"/>
          <w:color w:val="000000" w:themeColor="text1"/>
          <w:spacing w:val="-20"/>
          <w:sz w:val="44"/>
          <w:szCs w:val="44"/>
          <w:highlight w:val="none"/>
          <w:shd w:val="clear" w:color="auto" w:fill="auto"/>
          <w:lang w:eastAsia="zh-CN"/>
          <w14:textFill>
            <w14:solidFill>
              <w14:schemeClr w14:val="tx1"/>
            </w14:solidFill>
          </w14:textFill>
        </w:rPr>
        <w:t>（</w:t>
      </w:r>
      <w:r>
        <w:rPr>
          <w:rFonts w:hint="eastAsia" w:ascii="方正小标宋简体" w:hAnsi="华文中宋" w:eastAsia="方正小标宋简体"/>
          <w:color w:val="000000" w:themeColor="text1"/>
          <w:spacing w:val="-20"/>
          <w:sz w:val="44"/>
          <w:szCs w:val="44"/>
          <w:highlight w:val="none"/>
          <w:shd w:val="clear" w:color="auto" w:fill="auto"/>
          <w:lang w:val="en-US" w:eastAsia="zh-CN"/>
          <w14:textFill>
            <w14:solidFill>
              <w14:schemeClr w14:val="tx1"/>
            </w14:solidFill>
          </w14:textFill>
        </w:rPr>
        <w:t>2022年修订）</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720" w:firstLineChars="200"/>
        <w:textAlignment w:val="auto"/>
        <w:rPr>
          <w:rFonts w:hint="eastAsia" w:ascii="楷体_GB2312" w:hAnsi="华文中宋" w:eastAsia="楷体_GB2312"/>
          <w:color w:val="000000" w:themeColor="text1"/>
          <w:sz w:val="36"/>
          <w:szCs w:val="36"/>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第一章</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黑体" w:hAnsi="华文中宋" w:eastAsia="黑体"/>
          <w:color w:val="000000" w:themeColor="text1"/>
          <w:sz w:val="32"/>
          <w:szCs w:val="32"/>
          <w:highlight w:val="none"/>
          <w:shd w:val="clear" w:color="auto" w:fill="auto"/>
          <w14:textFill>
            <w14:solidFill>
              <w14:schemeClr w14:val="tx1"/>
            </w14:solidFill>
          </w14:textFill>
        </w:rPr>
        <w:t>总  则</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第一条</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目的意义。</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为</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进一步加强城市社区治理，建立一支高素质专业化社区工作者队伍，</w:t>
      </w:r>
      <w:r>
        <w:rPr>
          <w:rFonts w:hint="eastAsia" w:ascii="仿宋_GB2312" w:hAnsi="华文中宋" w:eastAsia="仿宋_GB2312"/>
          <w:color w:val="000000" w:themeColor="text1"/>
          <w:spacing w:val="4"/>
          <w:sz w:val="32"/>
          <w:szCs w:val="32"/>
          <w:highlight w:val="none"/>
          <w:shd w:val="clear" w:color="auto" w:fill="auto"/>
          <w14:textFill>
            <w14:solidFill>
              <w14:schemeClr w14:val="tx1"/>
            </w14:solidFill>
          </w14:textFill>
        </w:rPr>
        <w:t>根据国家有关法律法规</w:t>
      </w:r>
      <w:r>
        <w:rPr>
          <w:rFonts w:hint="eastAsia" w:ascii="仿宋_GB2312" w:hAnsi="华文中宋" w:eastAsia="仿宋_GB2312"/>
          <w:color w:val="000000" w:themeColor="text1"/>
          <w:spacing w:val="4"/>
          <w:sz w:val="32"/>
          <w:szCs w:val="32"/>
          <w:highlight w:val="none"/>
          <w:shd w:val="clear" w:color="auto" w:fill="auto"/>
          <w:lang w:eastAsia="zh-CN"/>
          <w14:textFill>
            <w14:solidFill>
              <w14:schemeClr w14:val="tx1"/>
            </w14:solidFill>
          </w14:textFill>
        </w:rPr>
        <w:t>和省、市关于社区工作者职业体系建设相关精神</w:t>
      </w:r>
      <w:r>
        <w:rPr>
          <w:rFonts w:hint="eastAsia" w:ascii="仿宋_GB2312" w:hAnsi="华文中宋" w:eastAsia="仿宋_GB2312"/>
          <w:color w:val="000000" w:themeColor="text1"/>
          <w:spacing w:val="4"/>
          <w:sz w:val="32"/>
          <w:szCs w:val="32"/>
          <w:highlight w:val="none"/>
          <w:shd w:val="clear" w:color="auto" w:fill="auto"/>
          <w14:textFill>
            <w14:solidFill>
              <w14:schemeClr w14:val="tx1"/>
            </w14:solidFill>
          </w14:textFill>
        </w:rPr>
        <w:t>，</w:t>
      </w:r>
      <w:r>
        <w:rPr>
          <w:rFonts w:hint="eastAsia" w:ascii="仿宋_GB2312" w:hAnsi="华文中宋" w:eastAsia="仿宋_GB2312"/>
          <w:color w:val="000000" w:themeColor="text1"/>
          <w:spacing w:val="4"/>
          <w:sz w:val="32"/>
          <w:szCs w:val="32"/>
          <w:highlight w:val="none"/>
          <w:shd w:val="clear" w:color="auto" w:fill="auto"/>
          <w:lang w:eastAsia="zh-CN"/>
          <w14:textFill>
            <w14:solidFill>
              <w14:schemeClr w14:val="tx1"/>
            </w14:solidFill>
          </w14:textFill>
        </w:rPr>
        <w:t>结合新区实际，</w:t>
      </w:r>
      <w:r>
        <w:rPr>
          <w:rFonts w:hint="eastAsia" w:ascii="仿宋_GB2312" w:hAnsi="华文中宋" w:eastAsia="仿宋_GB2312"/>
          <w:color w:val="000000" w:themeColor="text1"/>
          <w:spacing w:val="4"/>
          <w:sz w:val="32"/>
          <w:szCs w:val="32"/>
          <w:highlight w:val="none"/>
          <w:shd w:val="clear" w:color="auto" w:fill="auto"/>
          <w14:textFill>
            <w14:solidFill>
              <w14:schemeClr w14:val="tx1"/>
            </w14:solidFill>
          </w14:textFill>
        </w:rPr>
        <w:t>制定本</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办法。</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pacing w:val="4"/>
          <w:sz w:val="32"/>
          <w:szCs w:val="32"/>
          <w:highlight w:val="none"/>
          <w:shd w:val="clear" w:color="auto" w:fill="auto"/>
          <w:lang w:val="en-US"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第二条</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适用范围。</w:t>
      </w:r>
      <w:r>
        <w:rPr>
          <w:rFonts w:hint="eastAsia" w:ascii="仿宋_GB2312" w:hAnsi="华文中宋" w:eastAsia="仿宋_GB2312"/>
          <w:color w:val="000000" w:themeColor="text1"/>
          <w:spacing w:val="4"/>
          <w:sz w:val="32"/>
          <w:szCs w:val="32"/>
          <w:highlight w:val="none"/>
          <w:shd w:val="clear" w:color="auto" w:fill="auto"/>
          <w:lang w:val="en-US" w:eastAsia="zh-CN"/>
          <w14:textFill>
            <w14:solidFill>
              <w14:schemeClr w14:val="tx1"/>
            </w14:solidFill>
          </w14:textFill>
        </w:rPr>
        <w:t>本办法所称社区工作者是指经依法选举产生的社区党组织、社区居委会（以下简称社区“两委”）成员，以及全省、全市、新区统一组织面向社会公开招聘的社区工作者。</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highlight w:val="none"/>
          <w:shd w:val="clear" w:color="auto" w:fill="auto"/>
          <w:lang w:val="en-US" w:eastAsia="zh-CN"/>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第三条</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auto"/>
          <w:sz w:val="32"/>
          <w:szCs w:val="32"/>
          <w:highlight w:val="none"/>
          <w:shd w:val="clear" w:color="auto" w:fill="auto"/>
          <w:lang w:val="en-US" w:eastAsia="zh-CN"/>
        </w:rPr>
        <w:t>社区工作者的基本职责。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贯彻执行党的路线方针政策和国家法律法规，教育和引导居民遵纪守法,自觉履行依法应尽的义务。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（二）</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执行党组织的决定、决议，推动区域化党建工作，整合区域党群资源和组织力量，推动驻社区单位或组织开展区域性党建共建活动，落实党建工作重点项目。</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（三）</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执行社区居民会议的决定、意见，引导社区居民参与社区治理，依法开展居民自治，维护居民的合法权益。</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（四）</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按照社区职责清单或服务事项清单，协助镇街做好社区公共服务、公共管理、公共安全事务，建设高品质和谐宜居社区。</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（五）</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主动走访社区居民，认真听取并积极反映社区居民的意见、建议，做好社区居民的思想疏导工作。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（六）</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组织协调驻社区单位开展区域性共建共治活动，培育社区社会组织，动员社会力量开展便民利民的社区服务活动。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（七）</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团结带领社区居民培育和践行社会主义核心价值观、开展精神文明创建活动,提高居民对社区的认同感、归属感和责任感，把社区建设成为和谐有序、绿色文明、创新包容、共建共享的幸福家园。</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各镇街可根据社区实际，按照权利与义务相统一原则，制定社区工作者岗位职责的详细规定。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color w:val="000000" w:themeColor="text1"/>
          <w:highlight w:val="none"/>
          <w:shd w:val="clear" w:color="auto" w:fill="auto"/>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第二章</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黑体" w:hAnsi="华文中宋" w:eastAsia="黑体"/>
          <w:color w:val="000000" w:themeColor="text1"/>
          <w:sz w:val="32"/>
          <w:szCs w:val="32"/>
          <w:highlight w:val="none"/>
          <w:shd w:val="clear" w:color="auto" w:fill="auto"/>
          <w14:textFill>
            <w14:solidFill>
              <w14:schemeClr w14:val="tx1"/>
            </w14:solidFill>
          </w14:textFill>
        </w:rPr>
        <w:t>招聘</w:t>
      </w: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选任</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w:t>
      </w: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四</w:t>
      </w:r>
      <w:r>
        <w:rPr>
          <w:rFonts w:hint="eastAsia" w:ascii="黑体" w:hAnsi="华文中宋" w:eastAsia="黑体"/>
          <w:color w:val="000000" w:themeColor="text1"/>
          <w:sz w:val="32"/>
          <w:szCs w:val="32"/>
          <w:highlight w:val="none"/>
          <w:shd w:val="clear" w:color="auto" w:fill="auto"/>
          <w14:textFill>
            <w14:solidFill>
              <w14:schemeClr w14:val="tx1"/>
            </w14:solidFill>
          </w14:textFill>
        </w:rPr>
        <w:t>条</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员额管理。</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按照总量监管、控超补缺、动态调整的原则，综合考虑社区规模、人口数量、工作任务等因素，在社区工作者总体规模保持稳定的前提下，实行员额管理。</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3000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户以下的社区核定</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名社区工作者，</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3000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户以上的社区每增加</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300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户，增加</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名社区工作者，最多不超过</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名。社区党组织班子一般由</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人组成，最多不超过</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人；居委会一般设置</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人。社区工作者员额编制由各镇街核定管控，同时报新区组织人事部、基层工作部备案，禁止超编进人。</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w:t>
      </w: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五</w:t>
      </w:r>
      <w:r>
        <w:rPr>
          <w:rFonts w:hint="eastAsia" w:ascii="黑体" w:hAnsi="华文中宋" w:eastAsia="黑体"/>
          <w:color w:val="000000" w:themeColor="text1"/>
          <w:sz w:val="32"/>
          <w:szCs w:val="32"/>
          <w:highlight w:val="none"/>
          <w:shd w:val="clear" w:color="auto" w:fill="auto"/>
          <w14:textFill>
            <w14:solidFill>
              <w14:schemeClr w14:val="tx1"/>
            </w14:solidFill>
          </w14:textFill>
        </w:rPr>
        <w:t>条</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选任招聘。</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社区工作者采取公开招聘或依法选举社区“两委”成员等方式配备。</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（一）关于选任的社区工作者。</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依法选举的社区“两委”成员，镇街党（工）委、镇政府（街道办事处）要严把人选标准和资格条件，报经新区组织人事部、基层工作部等相关部门联审通过后组织选举。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（二）关于招聘补选的社区工作者。</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.招录。</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社区工作者招录由镇街根据员额空缺提出需求，新区基层工作部核定后按照全市要求统一组织。公开招聘社区工作者合同由镇街签订，并进行日常管理。社区工作者转正定级、工资变动、人事关系变动由镇街审核后报新区基层工作部核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.补选。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社区“两委”成员届中出现空缺时，按社区党组织和居委会届中调整有关规定实施，原则上候选人从公开招聘社区工作者中产生，补选结果报告单报新区基层工作部备案，管理和待遇按照本办法执行。</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64" w:firstLineChars="200"/>
        <w:textAlignment w:val="auto"/>
        <w:rPr>
          <w:rFonts w:hint="eastAsia" w:ascii="仿宋_GB2312" w:hAnsi="华文中宋" w:eastAsia="仿宋_GB2312"/>
          <w:color w:val="000000" w:themeColor="text1"/>
          <w:spacing w:val="6"/>
          <w:sz w:val="32"/>
          <w:szCs w:val="32"/>
          <w:highlight w:val="none"/>
          <w:shd w:val="clear" w:color="auto" w:fill="auto"/>
          <w:lang w:val="en-US" w:eastAsia="zh-CN"/>
          <w14:textFill>
            <w14:solidFill>
              <w14:schemeClr w14:val="tx1"/>
            </w14:solidFill>
          </w14:textFill>
        </w:rPr>
      </w:pPr>
      <w:r>
        <w:rPr>
          <w:rFonts w:hint="eastAsia" w:ascii="仿宋_GB2312" w:hAnsi="华文中宋" w:eastAsia="仿宋_GB2312"/>
          <w:color w:val="000000" w:themeColor="text1"/>
          <w:spacing w:val="6"/>
          <w:sz w:val="32"/>
          <w:szCs w:val="32"/>
          <w:highlight w:val="none"/>
          <w:shd w:val="clear" w:color="auto" w:fill="auto"/>
          <w:lang w:val="en-US" w:eastAsia="zh-CN"/>
          <w14:textFill>
            <w14:solidFill>
              <w14:schemeClr w14:val="tx1"/>
            </w14:solidFill>
          </w14:textFill>
        </w:rPr>
        <w:t>招聘对象应符合：</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56"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eastAsia="仿宋_GB2312" w:cs="Times New Roman"/>
          <w:color w:val="000000" w:themeColor="text1"/>
          <w:spacing w:val="4"/>
          <w:sz w:val="32"/>
          <w:szCs w:val="32"/>
          <w:highlight w:val="none"/>
          <w:shd w:val="clear" w:color="auto" w:fill="auto"/>
          <w:lang w:val="en-US" w:eastAsia="zh-CN"/>
          <w14:textFill>
            <w14:solidFill>
              <w14:schemeClr w14:val="tx1"/>
            </w14:solidFill>
          </w14:textFill>
        </w:rPr>
        <w:t>（1）</w:t>
      </w:r>
      <w:r>
        <w:rPr>
          <w:rFonts w:hint="eastAsia" w:ascii="仿宋_GB2312" w:hAnsi="华文中宋" w:eastAsia="仿宋_GB2312"/>
          <w:color w:val="000000" w:themeColor="text1"/>
          <w:spacing w:val="4"/>
          <w:sz w:val="32"/>
          <w:szCs w:val="32"/>
          <w:highlight w:val="none"/>
          <w:shd w:val="clear" w:color="auto" w:fill="auto"/>
          <w14:textFill>
            <w14:solidFill>
              <w14:schemeClr w14:val="tx1"/>
            </w14:solidFill>
          </w14:textFill>
        </w:rPr>
        <w:t>遵守国家法律法规，政治意识、大局意</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识、核心意识、看齐意识强；</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（2）</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热爱社区工作，具有一定的组织协调能力和相关业务知识；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（3）</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品行端正，身体健康，年龄在</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18</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周岁以上、</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35</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周岁以下；</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具有国民教育序列大学本科及以上学历；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复转军人及具有</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年以上社区“两委”工作经历者年龄原则上不得超过</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42</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岁，学历原则上为国民教育序列大学专科及以上学历。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黑体" w:hAnsi="华文中宋" w:eastAsia="黑体"/>
          <w:color w:val="000000" w:themeColor="text1"/>
          <w:sz w:val="32"/>
          <w:szCs w:val="32"/>
          <w:highlight w:val="none"/>
          <w:shd w:val="clear" w:color="auto" w:fill="auto"/>
          <w:lang w:val="en-US"/>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社区“两委”成员可依法依规实施交叉任职，社区党组织书记和社区居委会主任实行“一肩挑”。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w:t>
      </w: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三</w:t>
      </w:r>
      <w:r>
        <w:rPr>
          <w:rFonts w:hint="eastAsia" w:ascii="黑体" w:hAnsi="华文中宋" w:eastAsia="黑体"/>
          <w:color w:val="000000" w:themeColor="text1"/>
          <w:sz w:val="32"/>
          <w:szCs w:val="32"/>
          <w:highlight w:val="none"/>
          <w:shd w:val="clear" w:color="auto" w:fill="auto"/>
          <w14:textFill>
            <w14:solidFill>
              <w14:schemeClr w14:val="tx1"/>
            </w14:solidFill>
          </w14:textFill>
        </w:rPr>
        <w:t>章</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黑体" w:hAnsi="华文中宋" w:eastAsia="黑体"/>
          <w:color w:val="000000" w:themeColor="text1"/>
          <w:sz w:val="32"/>
          <w:szCs w:val="32"/>
          <w:highlight w:val="none"/>
          <w:shd w:val="clear" w:color="auto" w:fill="auto"/>
          <w14:textFill>
            <w14:solidFill>
              <w14:schemeClr w14:val="tx1"/>
            </w14:solidFill>
          </w14:textFill>
        </w:rPr>
        <w:t>工作管理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第六条</w:t>
      </w:r>
      <w:r>
        <w:rPr>
          <w:rFonts w:hint="eastAsia" w:ascii="仿宋_GB2312" w:hAnsi="仿宋_GB2312" w:eastAsia="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t xml:space="preserve"> </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服务协议。</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公开招聘的社区工作者与所在镇街签订书面服务协议，实行合同管理，每次签订时间为</w:t>
      </w:r>
      <w:r>
        <w:rPr>
          <w:rFonts w:hint="default" w:ascii="Times New Roman" w:hAnsi="Times New Roman" w:eastAsia="仿宋_GB2312" w:cs="Times New Roman"/>
          <w:color w:val="000000" w:themeColor="text1"/>
          <w:sz w:val="32"/>
          <w:szCs w:val="32"/>
          <w:highlight w:val="none"/>
          <w:shd w:val="clear" w:color="auto" w:fill="auto"/>
          <w:lang w:eastAsia="zh-CN"/>
          <w14:textFill>
            <w14:solidFill>
              <w14:schemeClr w14:val="tx1"/>
            </w14:solidFill>
          </w14:textFill>
        </w:rPr>
        <w:t>5</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年。社区工作者服务协议的订立、履行、变更、解除或终止按照《劳动合同法》《劳动合同法实施条例》等法律法规执行。当选的“两委”成员与镇街签订专职从事社区工作承诺书，任期内享受社区工作者待遇。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第七条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 xml:space="preserve"> 工作机制。</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所有</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社区工作者应做到</w:t>
      </w:r>
      <w:r>
        <w:rPr>
          <w:rFonts w:hint="eastAsia" w:ascii="仿宋_GB2312" w:hAnsi="华文中宋" w:eastAsia="仿宋_GB2312"/>
          <w:color w:val="auto"/>
          <w:sz w:val="32"/>
          <w:szCs w:val="32"/>
          <w:highlight w:val="none"/>
          <w:shd w:val="clear" w:color="auto" w:fill="auto"/>
          <w:lang w:val="en-US" w:eastAsia="zh-CN"/>
        </w:rPr>
        <w:t>每周</w:t>
      </w:r>
      <w:r>
        <w:rPr>
          <w:rFonts w:hint="default" w:ascii="Times New Roman" w:hAnsi="Times New Roman" w:eastAsia="仿宋_GB2312" w:cs="Times New Roman"/>
          <w:color w:val="auto"/>
          <w:sz w:val="32"/>
          <w:szCs w:val="32"/>
          <w:highlight w:val="none"/>
          <w:shd w:val="clear" w:color="auto" w:fill="auto"/>
          <w:lang w:val="en-US" w:eastAsia="zh-CN"/>
        </w:rPr>
        <w:t>5</w:t>
      </w:r>
      <w:r>
        <w:rPr>
          <w:rFonts w:hint="eastAsia" w:ascii="仿宋_GB2312" w:hAnsi="华文中宋" w:eastAsia="仿宋_GB2312"/>
          <w:color w:val="auto"/>
          <w:sz w:val="32"/>
          <w:szCs w:val="32"/>
          <w:highlight w:val="none"/>
          <w:shd w:val="clear" w:color="auto" w:fill="auto"/>
          <w:lang w:val="en-US" w:eastAsia="zh-CN"/>
        </w:rPr>
        <w:t>个工作日、每个工作日</w:t>
      </w:r>
      <w:r>
        <w:rPr>
          <w:rFonts w:hint="default" w:ascii="Times New Roman" w:hAnsi="Times New Roman" w:eastAsia="仿宋_GB2312" w:cs="Times New Roman"/>
          <w:color w:val="auto"/>
          <w:sz w:val="32"/>
          <w:szCs w:val="32"/>
          <w:highlight w:val="none"/>
          <w:shd w:val="clear" w:color="auto" w:fill="auto"/>
          <w:lang w:val="en-US" w:eastAsia="zh-CN"/>
        </w:rPr>
        <w:t>8</w:t>
      </w:r>
      <w:r>
        <w:rPr>
          <w:rFonts w:hint="eastAsia" w:ascii="仿宋_GB2312" w:hAnsi="华文中宋" w:eastAsia="仿宋_GB2312"/>
          <w:color w:val="auto"/>
          <w:sz w:val="32"/>
          <w:szCs w:val="32"/>
          <w:highlight w:val="none"/>
          <w:shd w:val="clear" w:color="auto" w:fill="auto"/>
          <w:lang w:val="en-US" w:eastAsia="zh-CN"/>
        </w:rPr>
        <w:t>小时在岗，不得迟到、早退、无故缺</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勤。</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为进一步服务居民群众，方便居民群众利用公休时间在社区办理相关事务，</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社区应</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安排好公休时间和节假日值班，</w:t>
      </w:r>
      <w:r>
        <w:rPr>
          <w:rFonts w:hint="eastAsia" w:ascii="仿宋_GB2312" w:hAnsi="华文中宋" w:eastAsia="仿宋_GB2312"/>
          <w:color w:val="000000" w:themeColor="text1"/>
          <w:spacing w:val="4"/>
          <w:sz w:val="32"/>
          <w:szCs w:val="32"/>
          <w:highlight w:val="none"/>
          <w:shd w:val="clear" w:color="auto" w:fill="auto"/>
          <w:lang w:eastAsia="zh-CN"/>
          <w14:textFill>
            <w14:solidFill>
              <w14:schemeClr w14:val="tx1"/>
            </w14:solidFill>
          </w14:textFill>
        </w:rPr>
        <w:t>实行错时上下班、节假日轮休等工作制度，</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并通过预约等形式不间断、全响应服务社区居民。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第八条</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退出机制。</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有下列情形之一的，应退出</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队伍，并依法依规按程序解除</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劳动合同</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（一）连续两年年度考核不</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称职</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（二）</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在试用期被证明不符合录用条件的；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（三）</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与其他用人单位建立劳动关系，对完成社区工作任务造成严重影响的；</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不履行</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劳动合同</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约定义务，经教育仍不改正的；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（四）工作严重失职，给镇街、社区和社区居民利益造成重大损害的；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（五）不能胜任工作，经过培训或者调整工作岗位后，仍不能胜任的；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（六）受到开除党籍处分，不适宜继续从事社区工作的；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（七）被追究刑事责任的；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（八）严重违反社区管理相关规章制度的。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第九条</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人员流动。</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按照便于服务和管理的原则，兼顾居住地变化等实际情况，各镇街可以根据工作需要和本人意愿在本镇街范围内办理社区工作者流动事宜。针对公开招聘的社区工作者，结合工作实际，可按照《公开招聘社区工作者职业资格备案管理办法（试行）》（市组通字〔2020〕36号）有关规定办理跨镇街流动，其社区工作年限予以累计计算。新区各部门和镇街严禁随意借用社区工作者。</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第十条</w:t>
      </w:r>
      <w:r>
        <w:rPr>
          <w:rFonts w:hint="eastAsia" w:ascii="仿宋_GB2312" w:hAnsi="华文中宋" w:eastAsia="仿宋_GB2312"/>
          <w:color w:val="000000" w:themeColor="text1"/>
          <w:spacing w:val="4"/>
          <w:sz w:val="32"/>
          <w:szCs w:val="32"/>
          <w:highlight w:val="none"/>
          <w:shd w:val="clear" w:color="auto" w:fill="auto"/>
          <w14:textFill>
            <w14:solidFill>
              <w14:schemeClr w14:val="tx1"/>
            </w14:solidFill>
          </w14:textFill>
        </w:rPr>
        <w:t xml:space="preserve"> </w:t>
      </w:r>
      <w:r>
        <w:rPr>
          <w:rFonts w:hint="eastAsia" w:ascii="仿宋_GB2312" w:hAnsi="华文中宋" w:eastAsia="仿宋_GB2312"/>
          <w:color w:val="000000" w:themeColor="text1"/>
          <w:spacing w:val="4"/>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档案管理。</w:t>
      </w:r>
      <w:r>
        <w:rPr>
          <w:rFonts w:hint="eastAsia" w:ascii="仿宋_GB2312" w:hAnsi="华文中宋" w:eastAsia="仿宋_GB2312"/>
          <w:color w:val="000000" w:themeColor="text1"/>
          <w:spacing w:val="4"/>
          <w:sz w:val="32"/>
          <w:szCs w:val="32"/>
          <w:highlight w:val="none"/>
          <w:shd w:val="clear" w:color="auto" w:fill="auto"/>
          <w14:textFill>
            <w14:solidFill>
              <w14:schemeClr w14:val="tx1"/>
            </w14:solidFill>
          </w14:textFill>
        </w:rPr>
        <w:t>按照档案管理有关法</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规，</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镇街</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应健全</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的工作档案</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管理制度，完善社区工作者人事档案，记载社区工作者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基本情况、</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工作经历、岗位变化、考核评议、教育培训、奖励惩戒</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等情况。</w:t>
      </w:r>
    </w:p>
    <w:p>
      <w:pPr>
        <w:pStyle w:val="2"/>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第十一条</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退休管理。</w:t>
      </w:r>
      <w:r>
        <w:rPr>
          <w:rFonts w:hint="eastAsia"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公开招聘的社区工作者达到法定退休年龄的，应办理退休手续，并终止服务协议。</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jc w:val="center"/>
        <w:textAlignment w:val="auto"/>
        <w:rPr>
          <w:rFonts w:hint="eastAsia"/>
          <w:color w:val="000000" w:themeColor="text1"/>
          <w:highlight w:val="none"/>
          <w:shd w:val="clear" w:color="auto" w:fill="auto"/>
          <w:lang w:eastAsia="zh-CN"/>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第</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四</w:t>
      </w: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章</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福利待遇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 xml:space="preserve">第十二条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岗位设置。</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社区工作者按照工作岗位、社区工作年限、受教育程度、专业水平等分为三岗十八级，具体按照《西咸新区社区工作者薪酬体系实施方案（试行）》执行。</w:t>
      </w:r>
    </w:p>
    <w:p>
      <w:pPr>
        <w:pStyle w:val="2"/>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textAlignment w:val="auto"/>
        <w:rPr>
          <w:rFonts w:hint="default"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第十三条</w:t>
      </w:r>
      <w:r>
        <w:rPr>
          <w:rFonts w:hint="eastAsia" w:hAnsi="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福利制度。</w:t>
      </w:r>
      <w:r>
        <w:rPr>
          <w:rFonts w:hint="eastAsia"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社区工作者参照事业单位</w:t>
      </w:r>
      <w:r>
        <w:rPr>
          <w:rFonts w:hint="default"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享有</w:t>
      </w:r>
      <w:r>
        <w:rPr>
          <w:rFonts w:hint="eastAsia"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免费</w:t>
      </w:r>
      <w:r>
        <w:rPr>
          <w:rFonts w:hint="default"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体检、带薪年休假</w:t>
      </w:r>
      <w:r>
        <w:rPr>
          <w:rFonts w:hint="eastAsia"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、继续教育</w:t>
      </w:r>
      <w:r>
        <w:rPr>
          <w:rFonts w:hint="default"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等福利待遇，可依法申请加入</w:t>
      </w:r>
      <w:r>
        <w:rPr>
          <w:rFonts w:hint="eastAsia"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所在镇街</w:t>
      </w:r>
      <w:r>
        <w:rPr>
          <w:rFonts w:hint="default"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t>工会组织。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 xml:space="preserve">第十四条 </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薪酬核定。</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社区工作者岗位等级确定、薪酬待遇 核定，由各镇街初核，并送新区社区服务中心审批。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sz w:val="32"/>
          <w:szCs w:val="32"/>
          <w:highlight w:val="none"/>
          <w:shd w:val="clear" w:color="auto" w:fill="auto"/>
          <w:lang w:eastAsia="zh-CN"/>
          <w14:textFill>
            <w14:solidFill>
              <w14:schemeClr w14:val="tx1"/>
            </w14:solidFill>
          </w14:textFill>
        </w:rPr>
        <w:t xml:space="preserve">第十五条 </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工资发放。</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社区工作者薪酬以镇街为单位核拨发放，薪酬发放明细表由镇街按季度报新区社区服务中心备案。</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黑体" w:cs="仿宋_GB2312"/>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第五章  考核</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评价</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第十六条</w:t>
      </w:r>
      <w:r>
        <w:rPr>
          <w:rFonts w:hint="eastAsia" w:ascii="仿宋_GB2312" w:hAnsi="仿宋_GB2312" w:eastAsia="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t xml:space="preserve"> </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考核评价。</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考核结果分为优秀、一般、较差三个等次，全区优秀社区比例控制在</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%以内，较差比例原则上不得少于</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%。社区服务中心每年根据各镇街社区治理工作开展情况确定分配镇街的优秀社区和较差社区名额。对社区考核由各镇街具体组织实施，参照西咸新区社区治理评价指标体系（附</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2</w:t>
      </w:r>
      <w:r>
        <w:rPr>
          <w:rFonts w:hint="eastAsia" w:eastAsia="仿宋_GB2312" w:cs="Times New Roman"/>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）对社区进行打分，考核结果报新区社区服务中心备案，并兑现相关待遇。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第六章</w:t>
      </w:r>
      <w:r>
        <w:rPr>
          <w:rFonts w:hint="eastAsia" w:ascii="黑体" w:hAnsi="华文中宋" w:eastAsia="黑体"/>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黑体" w:hAnsi="华文中宋" w:eastAsia="黑体"/>
          <w:color w:val="000000" w:themeColor="text1"/>
          <w:sz w:val="32"/>
          <w:szCs w:val="32"/>
          <w:highlight w:val="none"/>
          <w:shd w:val="clear" w:color="auto" w:fill="auto"/>
          <w14:textFill>
            <w14:solidFill>
              <w14:schemeClr w14:val="tx1"/>
            </w14:solidFill>
          </w14:textFill>
        </w:rPr>
        <w:t>选拔培养和工作激励</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 xml:space="preserve">第十七条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职业培训。</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按照分级负责原则,完善</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培训体系</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不断强化</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政治素养和职业素质。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（一）初任培训。</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对新入职的</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，由</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新区</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组织人事部、基层工作部组织实施</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，围绕党的政治理论、城市基层党建、社区治理、</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网格化服务管理、</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社会工作实务等内容开展初任培训。</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（二）在岗培训。各</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镇街</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负责</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强化在岗培训，每年分层分类</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对社区工作者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开展政治理论、政策法规、业务知识和专业技能培训</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（三）进修培训。</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新区</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基层工作部</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负责</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每</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2</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年</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对全区</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社区工作者进行社会工作政策理论和实务轮训</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次</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鼓励在职</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通过学习培训考取社会工作者职业水平证书，</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并探索建立持证社区工作者执行服务项目奖励政策，</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提高</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其</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职业</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实践的积极性</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（四）交流</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培训。新区</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基层工作部</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建立社区工作者定期交流培训制度</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通过一对一传帮带，提高社区工作者对政策的全面理解，加强对政策理论落地的执行力</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交流时间最长不得超过</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3</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个月。</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培训结果记入</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个人</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档案。</w:t>
      </w:r>
    </w:p>
    <w:p>
      <w:pPr>
        <w:pStyle w:val="2"/>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 xml:space="preserve">第十八条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发展空间。</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坚持梯队培养、递进使用的原则，从</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优秀社区工作者中推荐社区党组织书记人员，并通过法定程序担任社区居委会主任。</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注重优先从公开招聘的社区工作者中依法选任社区“两委”</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成</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员，</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届中补选原则上应从全省、全市、新区公开招聘的社区工作者中产生</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加大从优秀社区工作者中选拔镇街干部力度</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第十九条</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工作激励。</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大力宣传优秀</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典型，展示</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的职业风采和良好形象，营造全社会重视、关心</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的良好氛围，不断提高</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的社会认同度和职业荣誉感。</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新区</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基层工作部</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按照规定设立社区工作者表彰机制，会同组织、</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宣传</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等部门开展优秀社区工作者评选表彰，调动社区工作者干事创业、改革创新热情。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各</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镇街</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应</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积极推荐符合条件的优秀</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担任各级党代表、人大代表、政协委员。开展重大节日走访慰问和关心关爱</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活动，对在</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治理中做出显著成绩的优秀</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社区工作者</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给予</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奖励</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第二十条</w:t>
      </w:r>
      <w:r>
        <w:rPr>
          <w:rFonts w:hint="eastAsia" w:ascii="仿宋_GB2312" w:hAnsi="仿宋_GB2312" w:eastAsia="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t xml:space="preserve"> </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楷体_GB2312" w:hAnsi="楷体_GB2312" w:eastAsia="楷体_GB2312" w:cs="楷体_GB2312"/>
          <w:color w:val="000000" w:themeColor="text1"/>
          <w:kern w:val="2"/>
          <w:sz w:val="32"/>
          <w:szCs w:val="32"/>
          <w:highlight w:val="none"/>
          <w:shd w:val="clear" w:color="auto" w:fill="auto"/>
          <w:lang w:val="en-US" w:eastAsia="zh-CN" w:bidi="ar-SA"/>
          <w14:textFill>
            <w14:solidFill>
              <w14:schemeClr w14:val="tx1"/>
            </w14:solidFill>
          </w14:textFill>
        </w:rPr>
        <w:t>分类统筹。</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妥善解决在社区工作</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的公益性岗位、协理员、协管员、临聘人员等</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其他人员进退留转问题。对在社区工作表现积极、热心基层工作，群众比较认可的其他工作人员，</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可</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在社区“两委”换届环节、社区工作者招聘中，给予适当政策倾斜，</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鼓励其通过选举、考试等途径进入社区工作者队伍</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。新区</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各</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部门</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和</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各</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镇街</w:t>
      </w:r>
      <w:r>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t>不得随意在社区安排工作人员或工作岗位，对未进入社区工作者队伍的现有其他工作人员，全部交由镇街统一使用、管理、考核，不得在社区工作。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华文中宋" w:eastAsia="黑体"/>
          <w:color w:val="000000" w:themeColor="text1"/>
          <w:sz w:val="32"/>
          <w:szCs w:val="32"/>
          <w:highlight w:val="none"/>
          <w:shd w:val="clear" w:color="auto" w:fill="auto"/>
          <w14:textFill>
            <w14:solidFill>
              <w14:schemeClr w14:val="tx1"/>
            </w14:solidFill>
          </w14:textFill>
        </w:rPr>
      </w:pPr>
      <w:r>
        <w:rPr>
          <w:rFonts w:hint="eastAsia" w:ascii="黑体" w:hAnsi="华文中宋" w:eastAsia="黑体"/>
          <w:color w:val="000000" w:themeColor="text1"/>
          <w:sz w:val="32"/>
          <w:szCs w:val="32"/>
          <w:highlight w:val="none"/>
          <w:shd w:val="clear" w:color="auto" w:fill="auto"/>
          <w14:textFill>
            <w14:solidFill>
              <w14:schemeClr w14:val="tx1"/>
            </w14:solidFill>
          </w14:textFill>
        </w:rPr>
        <w:t>第七章  附  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第二十一条</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社区工作者各项待遇列入镇街年度预算、由各镇街管理支出。</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themeColor="text1"/>
          <w:sz w:val="32"/>
          <w:szCs w:val="32"/>
          <w:highlight w:val="none"/>
          <w:shd w:val="clear" w:color="auto" w:fill="auto"/>
          <w:lang w:eastAsia="zh-CN"/>
          <w14:textFill>
            <w14:solidFill>
              <w14:schemeClr w14:val="tx1"/>
            </w14:solidFill>
          </w14:textFill>
        </w:rPr>
      </w:pP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第二十二条</w:t>
      </w:r>
      <w:r>
        <w:rPr>
          <w:rFonts w:hint="eastAsia" w:ascii="仿宋_GB2312" w:hAnsi="仿宋_GB2312" w:eastAsia="仿宋_GB2312" w:cs="仿宋_GB2312"/>
          <w:b/>
          <w:bCs/>
          <w:color w:val="000000" w:themeColor="text1"/>
          <w:kern w:val="2"/>
          <w:sz w:val="32"/>
          <w:szCs w:val="32"/>
          <w:highlight w:val="none"/>
          <w:shd w:val="clear" w:color="auto" w:fill="auto"/>
          <w:lang w:val="en-US" w:eastAsia="zh-CN" w:bidi="ar-SA"/>
          <w14:textFill>
            <w14:solidFill>
              <w14:schemeClr w14:val="tx1"/>
            </w14:solidFill>
          </w14:textFill>
        </w:rPr>
        <w:t xml:space="preserve"> </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 xml:space="preserve"> 本办法由</w:t>
      </w:r>
      <w:r>
        <w:rPr>
          <w:rFonts w:hint="eastAsia" w:ascii="仿宋_GB2312" w:hAnsi="华文中宋" w:eastAsia="仿宋_GB2312"/>
          <w:color w:val="000000" w:themeColor="text1"/>
          <w:sz w:val="32"/>
          <w:szCs w:val="32"/>
          <w:highlight w:val="none"/>
          <w:shd w:val="clear" w:color="auto" w:fill="auto"/>
          <w:lang w:val="en-US" w:eastAsia="zh-CN"/>
          <w14:textFill>
            <w14:solidFill>
              <w14:schemeClr w14:val="tx1"/>
            </w14:solidFill>
          </w14:textFill>
        </w:rPr>
        <w:t>新区基层工作部负责解释</w:t>
      </w:r>
      <w:r>
        <w:rPr>
          <w:rFonts w:hint="eastAsia" w:ascii="仿宋_GB2312" w:hAnsi="华文中宋" w:eastAsia="仿宋_GB2312"/>
          <w:color w:val="000000" w:themeColor="text1"/>
          <w:sz w:val="32"/>
          <w:szCs w:val="32"/>
          <w:highlight w:val="none"/>
          <w:shd w:val="clear" w:color="auto" w:fill="auto"/>
          <w14:textFill>
            <w14:solidFill>
              <w14:schemeClr w14:val="tx1"/>
            </w14:solidFill>
          </w14:textFill>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仿宋_GB2312" w:hAnsi="华文中宋" w:eastAsia="仿宋_GB2312"/>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hAnsi="华文中宋"/>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黑体" w:hAnsi="华文中宋" w:eastAsia="黑体"/>
          <w:color w:val="000000" w:themeColor="text1"/>
          <w:kern w:val="2"/>
          <w:sz w:val="32"/>
          <w:szCs w:val="32"/>
          <w:highlight w:val="none"/>
          <w:shd w:val="clear" w:color="auto" w:fill="auto"/>
          <w:lang w:val="en-US" w:eastAsia="zh-CN" w:bidi="ar-SA"/>
          <w14:textFill>
            <w14:solidFill>
              <w14:schemeClr w14:val="tx1"/>
            </w14:solidFill>
          </w14:textFill>
        </w:rPr>
        <w:t xml:space="preserve">第二十三条  </w:t>
      </w:r>
      <w:r>
        <w:rPr>
          <w:rFonts w:hint="eastAsia" w:ascii="仿宋_GB2312" w:hAnsi="华文中宋" w:eastAsia="仿宋_GB2312" w:cs="宋体"/>
          <w:color w:val="auto"/>
          <w:kern w:val="2"/>
          <w:sz w:val="32"/>
          <w:szCs w:val="32"/>
          <w:highlight w:val="none"/>
          <w:shd w:val="clear" w:color="auto" w:fill="auto"/>
          <w:lang w:val="en-US" w:eastAsia="zh-CN" w:bidi="ar-SA"/>
        </w:rPr>
        <w:t>本办法自发布之日起实施。</w:t>
      </w:r>
      <w:r>
        <w:rPr>
          <w:rFonts w:hint="default" w:ascii="Times New Roman" w:hAnsi="Times New Roman" w:eastAsia="仿宋_GB2312" w:cs="Times New Roman"/>
          <w:color w:val="auto"/>
          <w:kern w:val="2"/>
          <w:sz w:val="32"/>
          <w:szCs w:val="32"/>
          <w:highlight w:val="none"/>
          <w:shd w:val="clear" w:color="auto" w:fill="auto"/>
          <w:lang w:val="en-US" w:eastAsia="zh-CN" w:bidi="ar-SA"/>
        </w:rPr>
        <w:t>202</w:t>
      </w:r>
      <w:r>
        <w:rPr>
          <w:rFonts w:hint="default" w:ascii="Times New Roman" w:hAnsi="Times New Roman" w:eastAsia="仿宋_GB2312" w:cs="Times New Roman"/>
          <w:color w:val="000000" w:themeColor="text1"/>
          <w:kern w:val="2"/>
          <w:sz w:val="32"/>
          <w:szCs w:val="32"/>
          <w:highlight w:val="none"/>
          <w:shd w:val="clear" w:color="auto" w:fill="auto"/>
          <w:lang w:val="en-US" w:eastAsia="zh-CN" w:bidi="ar-SA"/>
          <w14:textFill>
            <w14:solidFill>
              <w14:schemeClr w14:val="tx1"/>
            </w14:solidFill>
          </w14:textFill>
        </w:rPr>
        <w:t>0</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年</w:t>
      </w:r>
      <w:r>
        <w:rPr>
          <w:rFonts w:hint="default" w:ascii="Times New Roman" w:hAnsi="Times New Roman" w:eastAsia="仿宋_GB2312" w:cs="Times New Roman"/>
          <w:color w:val="000000" w:themeColor="text1"/>
          <w:kern w:val="2"/>
          <w:sz w:val="32"/>
          <w:szCs w:val="32"/>
          <w:highlight w:val="none"/>
          <w:shd w:val="clear" w:color="auto" w:fill="auto"/>
          <w:lang w:val="en-US" w:eastAsia="zh-CN" w:bidi="ar-SA"/>
          <w14:textFill>
            <w14:solidFill>
              <w14:schemeClr w14:val="tx1"/>
            </w14:solidFill>
          </w14:textFill>
        </w:rPr>
        <w:t>9</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月</w:t>
      </w:r>
      <w:r>
        <w:rPr>
          <w:rFonts w:hint="default" w:ascii="Times New Roman" w:hAnsi="Times New Roman" w:eastAsia="仿宋_GB2312" w:cs="Times New Roman"/>
          <w:color w:val="000000" w:themeColor="text1"/>
          <w:kern w:val="2"/>
          <w:sz w:val="32"/>
          <w:szCs w:val="32"/>
          <w:highlight w:val="none"/>
          <w:shd w:val="clear" w:color="auto" w:fill="auto"/>
          <w:lang w:val="en-US" w:eastAsia="zh-CN" w:bidi="ar-SA"/>
          <w14:textFill>
            <w14:solidFill>
              <w14:schemeClr w14:val="tx1"/>
            </w14:solidFill>
          </w14:textFill>
        </w:rPr>
        <w:t>30</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日印发的《西咸新区社区工作者管理办法（暂行）》（陕西咸办发〔</w:t>
      </w:r>
      <w:r>
        <w:rPr>
          <w:rFonts w:hint="default" w:ascii="Times New Roman" w:hAnsi="Times New Roman" w:eastAsia="仿宋_GB2312" w:cs="Times New Roman"/>
          <w:color w:val="000000" w:themeColor="text1"/>
          <w:kern w:val="2"/>
          <w:sz w:val="32"/>
          <w:szCs w:val="32"/>
          <w:highlight w:val="none"/>
          <w:shd w:val="clear" w:color="auto" w:fill="auto"/>
          <w:lang w:val="en-US" w:eastAsia="zh-CN" w:bidi="ar-SA"/>
          <w14:textFill>
            <w14:solidFill>
              <w14:schemeClr w14:val="tx1"/>
            </w14:solidFill>
          </w14:textFill>
        </w:rPr>
        <w:t>2020</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shd w:val="clear" w:color="auto" w:fill="auto"/>
          <w:lang w:val="en-US" w:eastAsia="zh-CN" w:bidi="ar-SA"/>
          <w14:textFill>
            <w14:solidFill>
              <w14:schemeClr w14:val="tx1"/>
            </w14:solidFill>
          </w14:textFill>
        </w:rPr>
        <w:t>12</w:t>
      </w:r>
      <w:r>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t>号）同时废止。</w:t>
      </w:r>
    </w:p>
    <w:p>
      <w:pPr>
        <w:pStyle w:val="2"/>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shd w:val="clear" w:color="auto" w:fill="auto"/>
          <w:lang w:val="en-US" w:eastAsia="zh-CN"/>
          <w14:textFill>
            <w14:solidFill>
              <w14:schemeClr w14:val="tx1"/>
            </w14:solidFill>
          </w14:textFill>
        </w:rPr>
        <w:t xml:space="preserve">   </w:t>
      </w:r>
    </w:p>
    <w:p>
      <w:pPr>
        <w:pStyle w:val="2"/>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pPr>
    </w:p>
    <w:p>
      <w:pPr>
        <w:keepNext w:val="0"/>
        <w:keepLines w:val="0"/>
        <w:pageBreakBefore w:val="0"/>
        <w:shd w:val="clear" w:color="auto" w:fill="auto"/>
        <w:kinsoku/>
        <w:overflowPunct/>
        <w:topLinePunct w:val="0"/>
        <w:bidi w:val="0"/>
        <w:adjustRightInd/>
        <w:rPr>
          <w:rFonts w:hint="eastAsia" w:ascii="仿宋_GB2312" w:hAnsi="华文中宋" w:eastAsia="仿宋_GB2312" w:cs="宋体"/>
          <w:color w:val="000000" w:themeColor="text1"/>
          <w:kern w:val="2"/>
          <w:sz w:val="32"/>
          <w:szCs w:val="32"/>
          <w:highlight w:val="none"/>
          <w:shd w:val="clear" w:color="auto" w:fill="auto"/>
          <w:lang w:val="en-US" w:eastAsia="zh-CN" w:bidi="ar-SA"/>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MTgwOTIwNzk0NGJjMGJjMTk0ZWQxMGM1OTQzMDgifQ=="/>
  </w:docVars>
  <w:rsids>
    <w:rsidRoot w:val="731C3607"/>
    <w:rsid w:val="00757840"/>
    <w:rsid w:val="011D2EAF"/>
    <w:rsid w:val="02AF7B2D"/>
    <w:rsid w:val="04BA79B2"/>
    <w:rsid w:val="05B178CA"/>
    <w:rsid w:val="079C3C62"/>
    <w:rsid w:val="080A20F3"/>
    <w:rsid w:val="08CF1E16"/>
    <w:rsid w:val="0AC8476C"/>
    <w:rsid w:val="0F0740B7"/>
    <w:rsid w:val="0F393A4D"/>
    <w:rsid w:val="0F9C6EF5"/>
    <w:rsid w:val="0FFF7484"/>
    <w:rsid w:val="117B2C1B"/>
    <w:rsid w:val="12137217"/>
    <w:rsid w:val="12971BF6"/>
    <w:rsid w:val="15D633D5"/>
    <w:rsid w:val="16302145"/>
    <w:rsid w:val="173C2D6C"/>
    <w:rsid w:val="17BF5D4B"/>
    <w:rsid w:val="19677875"/>
    <w:rsid w:val="1AC60382"/>
    <w:rsid w:val="1B577516"/>
    <w:rsid w:val="1B70361A"/>
    <w:rsid w:val="1BCA6B98"/>
    <w:rsid w:val="1CFE5E7F"/>
    <w:rsid w:val="1DC75A85"/>
    <w:rsid w:val="1E0D5462"/>
    <w:rsid w:val="1E686C72"/>
    <w:rsid w:val="21F04E7F"/>
    <w:rsid w:val="220E5AF2"/>
    <w:rsid w:val="22CA3922"/>
    <w:rsid w:val="247C0C4C"/>
    <w:rsid w:val="25865B5B"/>
    <w:rsid w:val="266100F9"/>
    <w:rsid w:val="2689060F"/>
    <w:rsid w:val="2734580E"/>
    <w:rsid w:val="278357FA"/>
    <w:rsid w:val="281759BF"/>
    <w:rsid w:val="28DD6A39"/>
    <w:rsid w:val="29231FDE"/>
    <w:rsid w:val="29A808AE"/>
    <w:rsid w:val="29B357D3"/>
    <w:rsid w:val="2AAA6513"/>
    <w:rsid w:val="2C1C51EE"/>
    <w:rsid w:val="2C6E531E"/>
    <w:rsid w:val="2C9D5C03"/>
    <w:rsid w:val="2EFC1307"/>
    <w:rsid w:val="2F230642"/>
    <w:rsid w:val="2F4C23F2"/>
    <w:rsid w:val="2F8A315A"/>
    <w:rsid w:val="2F9241E2"/>
    <w:rsid w:val="2FB63F8A"/>
    <w:rsid w:val="301844E8"/>
    <w:rsid w:val="32786EF6"/>
    <w:rsid w:val="339907C6"/>
    <w:rsid w:val="34BB5924"/>
    <w:rsid w:val="35175E94"/>
    <w:rsid w:val="35702107"/>
    <w:rsid w:val="379F6CD3"/>
    <w:rsid w:val="38434688"/>
    <w:rsid w:val="39D50B3A"/>
    <w:rsid w:val="3AD46C94"/>
    <w:rsid w:val="3B732951"/>
    <w:rsid w:val="3E6A24AA"/>
    <w:rsid w:val="3F950583"/>
    <w:rsid w:val="421502BE"/>
    <w:rsid w:val="434E43D9"/>
    <w:rsid w:val="444412C1"/>
    <w:rsid w:val="44C304A5"/>
    <w:rsid w:val="44EB17AA"/>
    <w:rsid w:val="4764752F"/>
    <w:rsid w:val="47F44E19"/>
    <w:rsid w:val="48B06F92"/>
    <w:rsid w:val="495A6EFE"/>
    <w:rsid w:val="4A4200BE"/>
    <w:rsid w:val="4B756271"/>
    <w:rsid w:val="4BEE75D6"/>
    <w:rsid w:val="4C1E2465"/>
    <w:rsid w:val="5048235A"/>
    <w:rsid w:val="5119769F"/>
    <w:rsid w:val="51BA2C30"/>
    <w:rsid w:val="52691F60"/>
    <w:rsid w:val="532C190B"/>
    <w:rsid w:val="54D538DD"/>
    <w:rsid w:val="565C2507"/>
    <w:rsid w:val="56DC1930"/>
    <w:rsid w:val="58B448BD"/>
    <w:rsid w:val="590F6273"/>
    <w:rsid w:val="5B8F2A37"/>
    <w:rsid w:val="5C9B365E"/>
    <w:rsid w:val="5D3C6D5A"/>
    <w:rsid w:val="635D166D"/>
    <w:rsid w:val="6707201B"/>
    <w:rsid w:val="67405C29"/>
    <w:rsid w:val="67FE62B6"/>
    <w:rsid w:val="68E5074E"/>
    <w:rsid w:val="693115D2"/>
    <w:rsid w:val="69DF2DDC"/>
    <w:rsid w:val="6A132A85"/>
    <w:rsid w:val="6CAB3449"/>
    <w:rsid w:val="6CAD71C1"/>
    <w:rsid w:val="6E250FD9"/>
    <w:rsid w:val="707029DF"/>
    <w:rsid w:val="70DE203F"/>
    <w:rsid w:val="71025602"/>
    <w:rsid w:val="731C3607"/>
    <w:rsid w:val="75E15FAD"/>
    <w:rsid w:val="75EB48B6"/>
    <w:rsid w:val="762D2B71"/>
    <w:rsid w:val="77514CCD"/>
    <w:rsid w:val="77BF5FFA"/>
    <w:rsid w:val="7879400A"/>
    <w:rsid w:val="7BD72023"/>
    <w:rsid w:val="7C7C6D14"/>
    <w:rsid w:val="7FE5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toc 7"/>
    <w:next w:val="1"/>
    <w:qFormat/>
    <w:uiPriority w:val="39"/>
    <w:pPr>
      <w:widowControl w:val="0"/>
      <w:ind w:firstLine="643" w:firstLineChars="200"/>
      <w:jc w:val="left"/>
    </w:pPr>
    <w:rPr>
      <w:rFonts w:ascii="黑体" w:hAnsi="黑体" w:eastAsia="黑体" w:cs="仿宋_GB2312"/>
      <w:b/>
      <w:kern w:val="2"/>
      <w:sz w:val="32"/>
      <w:szCs w:val="32"/>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5">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eastAsia="宋体" w:cs="Times New Roman"/>
      <w:kern w:val="2"/>
      <w:sz w:val="18"/>
      <w:szCs w:val="24"/>
      <w:lang w:val="en-US" w:eastAsia="zh-CN" w:bidi="ar-SA"/>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000000"/>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 w:type="character" w:customStyle="1" w:styleId="15">
    <w:name w:val="hover16"/>
    <w:basedOn w:val="7"/>
    <w:qFormat/>
    <w:uiPriority w:val="0"/>
    <w:rPr>
      <w:color w:val="025291"/>
    </w:rPr>
  </w:style>
  <w:style w:type="character" w:customStyle="1" w:styleId="16">
    <w:name w:val="place"/>
    <w:basedOn w:val="7"/>
    <w:qFormat/>
    <w:uiPriority w:val="0"/>
  </w:style>
  <w:style w:type="character" w:customStyle="1" w:styleId="17">
    <w:name w:val="place1"/>
    <w:basedOn w:val="7"/>
    <w:qFormat/>
    <w:uiPriority w:val="0"/>
  </w:style>
  <w:style w:type="character" w:customStyle="1" w:styleId="18">
    <w:name w:val="place2"/>
    <w:basedOn w:val="7"/>
    <w:qFormat/>
    <w:uiPriority w:val="0"/>
    <w:rPr>
      <w:rFonts w:ascii="微软雅黑" w:hAnsi="微软雅黑" w:eastAsia="微软雅黑" w:cs="微软雅黑"/>
      <w:color w:val="888888"/>
      <w:sz w:val="25"/>
      <w:szCs w:val="25"/>
    </w:rPr>
  </w:style>
  <w:style w:type="character" w:customStyle="1" w:styleId="19">
    <w:name w:val="place3"/>
    <w:basedOn w:val="7"/>
    <w:qFormat/>
    <w:uiPriority w:val="0"/>
  </w:style>
  <w:style w:type="character" w:customStyle="1" w:styleId="20">
    <w:name w:val="laypage_curr"/>
    <w:basedOn w:val="7"/>
    <w:qFormat/>
    <w:uiPriority w:val="0"/>
    <w:rPr>
      <w:color w:val="FFFDF4"/>
      <w:shd w:val="clear" w:fill="0B67A6"/>
    </w:rPr>
  </w:style>
  <w:style w:type="character" w:customStyle="1" w:styleId="21">
    <w:name w:val="font"/>
    <w:basedOn w:val="7"/>
    <w:qFormat/>
    <w:uiPriority w:val="0"/>
  </w:style>
  <w:style w:type="character" w:customStyle="1" w:styleId="22">
    <w:name w:val="font1"/>
    <w:basedOn w:val="7"/>
    <w:qFormat/>
    <w:uiPriority w:val="0"/>
  </w:style>
  <w:style w:type="character" w:customStyle="1" w:styleId="23">
    <w:name w:val="nolin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勤而好学教育</Company>
  <Pages>38</Pages>
  <Words>12371</Words>
  <Characters>12933</Characters>
  <Lines>0</Lines>
  <Paragraphs>0</Paragraphs>
  <TotalTime>10</TotalTime>
  <ScaleCrop>false</ScaleCrop>
  <LinksUpToDate>false</LinksUpToDate>
  <CharactersWithSpaces>13839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2022-09-26T03:02:00Z</dcterms:created>
  <dc:creator>～枫子♥</dc:creator>
  <cp:lastModifiedBy>Administrator</cp:lastModifiedBy>
  <cp:lastPrinted>2022-11-30T02:54:00Z</cp:lastPrinted>
  <dcterms:modified xsi:type="dcterms:W3CDTF">2023-05-24T09:46:40Z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3DA63B3A3065448B9B4521F56FF5E735</vt:lpwstr>
  </property>
</Properties>
</file>