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宋体" w:hAnsi="宋体"/>
          <w:b/>
          <w:sz w:val="28"/>
          <w:szCs w:val="28"/>
        </w:rPr>
      </w:pPr>
    </w:p>
    <w:p>
      <w:pPr>
        <w:spacing w:line="360" w:lineRule="auto"/>
        <w:jc w:val="center"/>
        <w:rPr>
          <w:rFonts w:hint="eastAsia" w:ascii="宋体" w:hAnsi="宋体" w:eastAsia="宋体"/>
          <w:b/>
          <w:sz w:val="28"/>
          <w:szCs w:val="28"/>
          <w:lang w:eastAsia="zh-CN"/>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outlineLvl w:val="0"/>
        <w:rPr>
          <w:rFonts w:hint="eastAsia" w:ascii="仿宋" w:hAnsi="仿宋" w:eastAsia="仿宋" w:cs="仿宋"/>
          <w:b/>
          <w:w w:val="80"/>
          <w:sz w:val="48"/>
          <w:szCs w:val="48"/>
          <w:lang w:eastAsia="zh-CN"/>
        </w:rPr>
      </w:pPr>
      <w:bookmarkStart w:id="0" w:name="_Toc10626"/>
      <w:bookmarkStart w:id="1" w:name="_Toc15361"/>
      <w:bookmarkStart w:id="2" w:name="_Toc18376"/>
      <w:bookmarkStart w:id="3" w:name="_Toc5619"/>
      <w:bookmarkStart w:id="4" w:name="_Toc7675"/>
      <w:r>
        <w:rPr>
          <w:rFonts w:hint="eastAsia" w:ascii="仿宋" w:hAnsi="仿宋" w:eastAsia="仿宋" w:cs="仿宋"/>
          <w:b/>
          <w:w w:val="80"/>
          <w:sz w:val="48"/>
          <w:szCs w:val="48"/>
          <w:lang w:eastAsia="zh-CN"/>
        </w:rPr>
        <w:t>中石化绿源地热能（陕西）开发有限公司</w:t>
      </w:r>
      <w:bookmarkEnd w:id="0"/>
      <w:bookmarkEnd w:id="1"/>
      <w:bookmarkEnd w:id="2"/>
      <w:bookmarkEnd w:id="3"/>
      <w:bookmarkEnd w:id="4"/>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cs="宋体"/>
          <w:b/>
          <w:w w:val="80"/>
          <w:sz w:val="36"/>
          <w:szCs w:val="36"/>
        </w:rPr>
      </w:pPr>
      <w:r>
        <w:rPr>
          <w:rFonts w:hint="eastAsia" w:ascii="仿宋" w:hAnsi="仿宋" w:eastAsia="仿宋" w:cs="仿宋"/>
          <w:b/>
          <w:w w:val="80"/>
          <w:sz w:val="48"/>
          <w:szCs w:val="48"/>
          <w:lang w:eastAsia="zh-CN"/>
        </w:rPr>
        <w:t>文热</w:t>
      </w:r>
      <w:r>
        <w:rPr>
          <w:rFonts w:hint="eastAsia" w:ascii="仿宋" w:hAnsi="仿宋" w:eastAsia="仿宋" w:cs="仿宋"/>
          <w:b/>
          <w:w w:val="80"/>
          <w:sz w:val="48"/>
          <w:szCs w:val="48"/>
          <w:lang w:val="en-US" w:eastAsia="zh-CN"/>
        </w:rPr>
        <w:t>4</w:t>
      </w:r>
      <w:r>
        <w:rPr>
          <w:rFonts w:hint="eastAsia" w:ascii="仿宋" w:hAnsi="仿宋" w:eastAsia="仿宋" w:cs="仿宋"/>
          <w:b/>
          <w:w w:val="80"/>
          <w:sz w:val="48"/>
          <w:szCs w:val="48"/>
        </w:rPr>
        <w:t>地热区块</w:t>
      </w: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outlineLvl w:val="0"/>
        <w:rPr>
          <w:rFonts w:hint="eastAsia" w:ascii="楷体" w:hAnsi="楷体" w:eastAsia="楷体" w:cs="楷体"/>
          <w:b/>
          <w:sz w:val="44"/>
          <w:szCs w:val="44"/>
          <w:lang w:eastAsia="zh-CN"/>
        </w:rPr>
      </w:pPr>
      <w:bookmarkStart w:id="5" w:name="_Toc8814"/>
      <w:bookmarkStart w:id="6" w:name="_Toc9628"/>
      <w:r>
        <w:rPr>
          <w:rFonts w:hint="eastAsia" w:ascii="黑体" w:hAnsi="黑体" w:eastAsia="黑体" w:cs="黑体"/>
          <w:b/>
          <w:spacing w:val="0"/>
          <w:w w:val="83"/>
          <w:kern w:val="0"/>
          <w:sz w:val="52"/>
          <w:szCs w:val="52"/>
          <w:fitText w:val="7779" w:id="1372090308"/>
        </w:rPr>
        <w:t>矿山地质环境保护与恢复治理方案报告</w:t>
      </w:r>
      <w:r>
        <w:rPr>
          <w:rFonts w:hint="eastAsia" w:ascii="黑体" w:hAnsi="黑体" w:eastAsia="黑体" w:cs="黑体"/>
          <w:b/>
          <w:spacing w:val="-12"/>
          <w:w w:val="83"/>
          <w:kern w:val="0"/>
          <w:sz w:val="52"/>
          <w:szCs w:val="52"/>
          <w:fitText w:val="7779" w:id="1372090308"/>
        </w:rPr>
        <w:t>表</w:t>
      </w:r>
      <w:r>
        <w:rPr>
          <w:rFonts w:hint="eastAsia" w:ascii="楷体" w:hAnsi="楷体" w:eastAsia="楷体" w:cs="楷体"/>
          <w:b/>
          <w:sz w:val="44"/>
          <w:szCs w:val="44"/>
          <w:lang w:eastAsia="zh-CN"/>
        </w:rPr>
        <w:t>（续</w:t>
      </w:r>
      <w:r>
        <w:rPr>
          <w:rFonts w:hint="eastAsia" w:ascii="楷体" w:hAnsi="楷体" w:eastAsia="楷体" w:cs="楷体"/>
          <w:b/>
          <w:sz w:val="44"/>
          <w:szCs w:val="44"/>
          <w:lang w:val="en-US" w:eastAsia="zh-CN"/>
        </w:rPr>
        <w:t xml:space="preserve"> </w:t>
      </w:r>
      <w:r>
        <w:rPr>
          <w:rFonts w:hint="eastAsia" w:ascii="楷体" w:hAnsi="楷体" w:eastAsia="楷体" w:cs="楷体"/>
          <w:b/>
          <w:sz w:val="44"/>
          <w:szCs w:val="44"/>
          <w:lang w:eastAsia="zh-CN"/>
        </w:rPr>
        <w:t>编）</w:t>
      </w:r>
      <w:bookmarkEnd w:id="5"/>
      <w:bookmarkEnd w:id="6"/>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32"/>
          <w:szCs w:val="32"/>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pStyle w:val="2"/>
        <w:rPr>
          <w:rFonts w:hint="eastAsia"/>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13"/>
        <w:keepNext w:val="0"/>
        <w:keepLines w:val="0"/>
        <w:pageBreakBefore w:val="0"/>
        <w:widowControl w:val="0"/>
        <w:kinsoku/>
        <w:wordWrap/>
        <w:overflowPunct/>
        <w:topLinePunct w:val="0"/>
        <w:autoSpaceDE/>
        <w:autoSpaceDN/>
        <w:bidi w:val="0"/>
        <w:adjustRightInd/>
        <w:snapToGrid/>
        <w:spacing w:after="0" w:afterLines="0" w:line="480" w:lineRule="auto"/>
        <w:ind w:left="0" w:leftChars="0" w:firstLine="0" w:firstLineChars="0"/>
        <w:textAlignment w:val="auto"/>
        <w:rPr>
          <w:rFonts w:hint="eastAsia" w:ascii="宋体" w:hAnsi="宋体" w:cs="宋体"/>
          <w:b/>
          <w:sz w:val="44"/>
          <w:szCs w:val="44"/>
        </w:rPr>
      </w:pPr>
    </w:p>
    <w:p>
      <w:pPr>
        <w:pStyle w:val="13"/>
        <w:keepNext w:val="0"/>
        <w:keepLines w:val="0"/>
        <w:pageBreakBefore w:val="0"/>
        <w:widowControl w:val="0"/>
        <w:kinsoku/>
        <w:wordWrap/>
        <w:overflowPunct/>
        <w:topLinePunct w:val="0"/>
        <w:autoSpaceDE/>
        <w:autoSpaceDN/>
        <w:bidi w:val="0"/>
        <w:adjustRightInd/>
        <w:snapToGrid/>
        <w:spacing w:after="0" w:afterLines="0" w:line="480" w:lineRule="auto"/>
        <w:ind w:left="0" w:leftChars="0" w:firstLine="0" w:firstLineChars="0"/>
        <w:textAlignment w:val="auto"/>
        <w:rPr>
          <w:rFonts w:hint="eastAsia" w:ascii="宋体" w:hAnsi="宋体" w:cs="宋体"/>
          <w:b/>
          <w:sz w:val="44"/>
          <w:szCs w:val="44"/>
        </w:rPr>
      </w:pPr>
    </w:p>
    <w:p>
      <w:pPr>
        <w:pStyle w:val="12"/>
        <w:rPr>
          <w:rFonts w:hint="eastAsia"/>
        </w:rPr>
      </w:pPr>
    </w:p>
    <w:p>
      <w:pPr>
        <w:pStyle w:val="12"/>
        <w:jc w:val="center"/>
        <w:outlineLvl w:val="0"/>
        <w:rPr>
          <w:rFonts w:hint="eastAsia"/>
          <w:b/>
          <w:bCs/>
          <w:sz w:val="32"/>
          <w:szCs w:val="32"/>
          <w:lang w:eastAsia="zh-CN"/>
        </w:rPr>
      </w:pPr>
      <w:bookmarkStart w:id="7" w:name="_Toc26931"/>
      <w:bookmarkStart w:id="8" w:name="_Toc8408"/>
      <w:r>
        <w:rPr>
          <w:rFonts w:hint="eastAsia"/>
          <w:b/>
          <w:bCs/>
          <w:sz w:val="32"/>
          <w:szCs w:val="32"/>
          <w:lang w:eastAsia="zh-CN"/>
        </w:rPr>
        <w:t>中石化绿源地热能（陕西）开发有限公司</w:t>
      </w:r>
      <w:bookmarkEnd w:id="7"/>
      <w:bookmarkEnd w:id="8"/>
    </w:p>
    <w:p>
      <w:pPr>
        <w:pStyle w:val="12"/>
        <w:jc w:val="center"/>
        <w:rPr>
          <w:rFonts w:hint="eastAsia"/>
          <w:b/>
          <w:bCs/>
          <w:sz w:val="32"/>
          <w:szCs w:val="32"/>
          <w:lang w:eastAsia="zh-CN"/>
        </w:rPr>
      </w:pPr>
      <w:r>
        <w:rPr>
          <w:rFonts w:hint="eastAsia"/>
          <w:b/>
          <w:bCs/>
          <w:sz w:val="32"/>
          <w:szCs w:val="32"/>
          <w:lang w:eastAsia="zh-CN"/>
        </w:rPr>
        <w:t>二〇二二年九月</w:t>
      </w:r>
    </w:p>
    <w:p>
      <w:pPr>
        <w:pStyle w:val="12"/>
        <w:ind w:left="0" w:leftChars="0" w:firstLine="0" w:firstLineChars="0"/>
        <w:rPr>
          <w:rFonts w:hint="eastAsia"/>
          <w:lang w:eastAsia="zh-CN"/>
        </w:rPr>
      </w:pPr>
    </w:p>
    <w:p>
      <w:pPr>
        <w:keepNext w:val="0"/>
        <w:keepLines w:val="0"/>
        <w:pageBreakBefore w:val="0"/>
        <w:widowControl w:val="0"/>
        <w:kinsoku/>
        <w:wordWrap/>
        <w:overflowPunct/>
        <w:topLinePunct w:val="0"/>
        <w:autoSpaceDE/>
        <w:autoSpaceDN/>
        <w:bidi w:val="0"/>
        <w:adjustRightInd/>
        <w:snapToGrid/>
        <w:spacing w:line="720" w:lineRule="auto"/>
        <w:ind w:firstLine="0" w:firstLineChars="0"/>
        <w:jc w:val="center"/>
        <w:textAlignment w:val="auto"/>
        <w:rPr>
          <w:rFonts w:hint="eastAsia" w:ascii="仿宋" w:hAnsi="仿宋" w:eastAsia="仿宋" w:cs="仿宋"/>
          <w:b/>
          <w:w w:val="80"/>
          <w:sz w:val="48"/>
          <w:szCs w:val="48"/>
          <w:lang w:eastAsia="zh-CN"/>
        </w:rPr>
      </w:pPr>
    </w:p>
    <w:p>
      <w:pPr>
        <w:pStyle w:val="2"/>
        <w:rPr>
          <w:rFonts w:hint="eastAsia"/>
          <w:lang w:eastAsia="zh-CN"/>
        </w:rPr>
      </w:pPr>
    </w:p>
    <w:p>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outlineLvl w:val="0"/>
        <w:rPr>
          <w:rFonts w:hint="eastAsia" w:ascii="仿宋" w:hAnsi="仿宋" w:eastAsia="仿宋" w:cs="仿宋"/>
          <w:b/>
          <w:w w:val="80"/>
          <w:sz w:val="48"/>
          <w:szCs w:val="48"/>
          <w:lang w:eastAsia="zh-CN"/>
        </w:rPr>
      </w:pPr>
      <w:bookmarkStart w:id="9" w:name="_Toc14996"/>
      <w:bookmarkStart w:id="10" w:name="_Toc28988"/>
      <w:bookmarkStart w:id="11" w:name="_Toc28523"/>
      <w:bookmarkStart w:id="12" w:name="_Toc6967"/>
      <w:bookmarkStart w:id="13" w:name="_Toc29485"/>
      <w:r>
        <w:rPr>
          <w:rFonts w:hint="eastAsia" w:ascii="仿宋" w:hAnsi="仿宋" w:eastAsia="仿宋" w:cs="仿宋"/>
          <w:b/>
          <w:w w:val="80"/>
          <w:sz w:val="48"/>
          <w:szCs w:val="48"/>
          <w:lang w:eastAsia="zh-CN"/>
        </w:rPr>
        <w:t>中石化绿源地热能（陕西）开发有限公司</w:t>
      </w:r>
      <w:bookmarkEnd w:id="9"/>
      <w:bookmarkEnd w:id="10"/>
      <w:bookmarkEnd w:id="11"/>
      <w:bookmarkEnd w:id="12"/>
      <w:bookmarkEnd w:id="13"/>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cs="宋体"/>
          <w:b/>
          <w:w w:val="80"/>
          <w:sz w:val="36"/>
          <w:szCs w:val="36"/>
        </w:rPr>
      </w:pPr>
      <w:r>
        <w:rPr>
          <w:rFonts w:hint="eastAsia" w:ascii="仿宋" w:hAnsi="仿宋" w:eastAsia="仿宋" w:cs="仿宋"/>
          <w:b/>
          <w:w w:val="80"/>
          <w:sz w:val="48"/>
          <w:szCs w:val="48"/>
          <w:lang w:eastAsia="zh-CN"/>
        </w:rPr>
        <w:t>文热</w:t>
      </w:r>
      <w:r>
        <w:rPr>
          <w:rFonts w:hint="eastAsia" w:ascii="仿宋" w:hAnsi="仿宋" w:eastAsia="仿宋" w:cs="仿宋"/>
          <w:b/>
          <w:w w:val="80"/>
          <w:sz w:val="48"/>
          <w:szCs w:val="48"/>
          <w:lang w:val="en-US" w:eastAsia="zh-CN"/>
        </w:rPr>
        <w:t>4</w:t>
      </w:r>
      <w:r>
        <w:rPr>
          <w:rFonts w:hint="eastAsia" w:ascii="仿宋" w:hAnsi="仿宋" w:eastAsia="仿宋" w:cs="仿宋"/>
          <w:b/>
          <w:w w:val="80"/>
          <w:sz w:val="48"/>
          <w:szCs w:val="48"/>
        </w:rPr>
        <w:t>地热区块</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0"/>
        <w:rPr>
          <w:rFonts w:hint="eastAsia"/>
          <w:b/>
          <w:sz w:val="28"/>
          <w:szCs w:val="28"/>
        </w:rPr>
      </w:pPr>
      <w:bookmarkStart w:id="14" w:name="_Toc12611"/>
      <w:bookmarkStart w:id="15" w:name="_Toc11142"/>
      <w:r>
        <w:rPr>
          <w:rFonts w:hint="eastAsia" w:ascii="黑体" w:hAnsi="黑体" w:eastAsia="黑体" w:cs="黑体"/>
          <w:b/>
          <w:spacing w:val="0"/>
          <w:w w:val="83"/>
          <w:kern w:val="0"/>
          <w:sz w:val="52"/>
          <w:szCs w:val="52"/>
          <w:fitText w:val="7779" w:id="933183436"/>
        </w:rPr>
        <w:t>矿山地质环境保护与恢复治理方案报告</w:t>
      </w:r>
      <w:r>
        <w:rPr>
          <w:rFonts w:hint="eastAsia" w:ascii="黑体" w:hAnsi="黑体" w:eastAsia="黑体" w:cs="黑体"/>
          <w:b/>
          <w:spacing w:val="-12"/>
          <w:w w:val="83"/>
          <w:kern w:val="0"/>
          <w:sz w:val="52"/>
          <w:szCs w:val="52"/>
          <w:fitText w:val="7779" w:id="933183436"/>
        </w:rPr>
        <w:t>表</w:t>
      </w:r>
      <w:bookmarkEnd w:id="14"/>
      <w:bookmarkEnd w:id="15"/>
    </w:p>
    <w:p>
      <w:pPr>
        <w:pStyle w:val="13"/>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rPr>
      </w:pPr>
    </w:p>
    <w:p>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p>
    <w:p>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730" w:leftChars="304" w:firstLine="0" w:firstLineChars="0"/>
        <w:textAlignment w:val="auto"/>
        <w:rPr>
          <w:rFonts w:hint="eastAsia" w:ascii="宋体" w:hAnsi="宋体" w:eastAsia="宋体"/>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2" w:firstLineChars="300"/>
        <w:textAlignment w:val="auto"/>
        <w:rPr>
          <w:rFonts w:hint="eastAsia"/>
          <w:b/>
          <w:bCs w:val="0"/>
          <w:sz w:val="32"/>
          <w:szCs w:val="32"/>
          <w:lang w:eastAsia="zh-CN"/>
        </w:rPr>
      </w:pPr>
      <w:r>
        <w:rPr>
          <w:rFonts w:hint="eastAsia" w:ascii="宋体" w:hAnsi="宋体"/>
          <w:b/>
          <w:bCs/>
          <w:color w:val="auto"/>
          <w:spacing w:val="53"/>
          <w:kern w:val="0"/>
          <w:sz w:val="32"/>
          <w:szCs w:val="32"/>
          <w:fitText w:val="1600" w:id="1221356595"/>
          <w:lang w:val="en-US" w:eastAsia="zh-CN"/>
        </w:rPr>
        <w:t>编制单</w:t>
      </w:r>
      <w:r>
        <w:rPr>
          <w:rFonts w:hint="eastAsia" w:ascii="宋体" w:hAnsi="宋体"/>
          <w:b/>
          <w:bCs/>
          <w:color w:val="auto"/>
          <w:spacing w:val="1"/>
          <w:kern w:val="0"/>
          <w:sz w:val="32"/>
          <w:szCs w:val="32"/>
          <w:fitText w:val="1600" w:id="1221356595"/>
          <w:lang w:val="en-US" w:eastAsia="zh-CN"/>
        </w:rPr>
        <w:t>位</w:t>
      </w:r>
      <w:r>
        <w:rPr>
          <w:rFonts w:hint="eastAsia" w:ascii="宋体" w:hAnsi="宋体"/>
          <w:b/>
          <w:bCs/>
          <w:color w:val="auto"/>
          <w:kern w:val="0"/>
          <w:sz w:val="32"/>
          <w:szCs w:val="32"/>
          <w:lang w:val="en-US" w:eastAsia="zh-CN"/>
        </w:rPr>
        <w:t>：</w:t>
      </w:r>
      <w:r>
        <w:rPr>
          <w:rFonts w:hint="eastAsia"/>
          <w:b/>
          <w:bCs w:val="0"/>
          <w:sz w:val="32"/>
          <w:szCs w:val="32"/>
          <w:lang w:eastAsia="zh-CN"/>
        </w:rPr>
        <w:t>陕西工程勘察研究院有限公司</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b/>
          <w:bCs/>
          <w:color w:val="auto"/>
          <w:sz w:val="32"/>
          <w:szCs w:val="32"/>
          <w:lang w:eastAsia="zh-CN"/>
        </w:rPr>
      </w:pPr>
      <w:r>
        <w:rPr>
          <w:rFonts w:hint="eastAsia" w:ascii="宋体" w:hAnsi="宋体"/>
          <w:b/>
          <w:bCs/>
          <w:color w:val="auto"/>
          <w:sz w:val="32"/>
          <w:szCs w:val="32"/>
        </w:rPr>
        <w:t>项目负责人：</w:t>
      </w:r>
      <w:r>
        <w:rPr>
          <w:rFonts w:hint="eastAsia" w:ascii="宋体" w:hAnsi="宋体"/>
          <w:b/>
          <w:bCs/>
          <w:color w:val="auto"/>
          <w:sz w:val="32"/>
          <w:szCs w:val="32"/>
          <w:lang w:val="en-US" w:eastAsia="zh-CN"/>
        </w:rPr>
        <w:t>李哲辉</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2" w:firstLineChars="300"/>
        <w:textAlignment w:val="auto"/>
        <w:rPr>
          <w:rFonts w:hint="eastAsia" w:ascii="宋体" w:hAnsi="宋体"/>
          <w:b/>
          <w:bCs/>
          <w:color w:val="auto"/>
          <w:sz w:val="32"/>
          <w:szCs w:val="32"/>
          <w:lang w:val="en-US" w:eastAsia="zh-CN"/>
        </w:rPr>
      </w:pPr>
      <w:r>
        <w:rPr>
          <w:rFonts w:hint="eastAsia" w:ascii="宋体" w:hAnsi="宋体"/>
          <w:b/>
          <w:bCs/>
          <w:color w:val="auto"/>
          <w:spacing w:val="53"/>
          <w:kern w:val="0"/>
          <w:sz w:val="32"/>
          <w:szCs w:val="32"/>
          <w:fitText w:val="1600" w:id="689995045"/>
        </w:rPr>
        <w:t>编写人</w:t>
      </w:r>
      <w:r>
        <w:rPr>
          <w:rFonts w:hint="eastAsia" w:ascii="宋体" w:hAnsi="宋体"/>
          <w:b/>
          <w:bCs/>
          <w:color w:val="auto"/>
          <w:spacing w:val="1"/>
          <w:kern w:val="0"/>
          <w:sz w:val="32"/>
          <w:szCs w:val="32"/>
          <w:fitText w:val="1600" w:id="689995045"/>
        </w:rPr>
        <w:t>员</w:t>
      </w:r>
      <w:r>
        <w:rPr>
          <w:rFonts w:hint="eastAsia" w:ascii="宋体" w:hAnsi="宋体"/>
          <w:b/>
          <w:bCs/>
          <w:color w:val="auto"/>
          <w:sz w:val="32"/>
          <w:szCs w:val="32"/>
        </w:rPr>
        <w:t>：</w:t>
      </w:r>
      <w:r>
        <w:rPr>
          <w:rFonts w:hint="eastAsia" w:ascii="宋体" w:hAnsi="宋体"/>
          <w:b/>
          <w:bCs/>
          <w:color w:val="auto"/>
          <w:sz w:val="32"/>
          <w:szCs w:val="32"/>
          <w:lang w:eastAsia="zh-CN"/>
        </w:rPr>
        <w:t>刘</w:t>
      </w:r>
      <w:r>
        <w:rPr>
          <w:rFonts w:hint="eastAsia" w:ascii="宋体" w:hAnsi="宋体"/>
          <w:b/>
          <w:bCs/>
          <w:color w:val="auto"/>
          <w:sz w:val="32"/>
          <w:szCs w:val="32"/>
          <w:lang w:val="en-US" w:eastAsia="zh-CN"/>
        </w:rPr>
        <w:t xml:space="preserve">  </w:t>
      </w:r>
      <w:r>
        <w:rPr>
          <w:rFonts w:hint="eastAsia" w:ascii="宋体" w:hAnsi="宋体"/>
          <w:b/>
          <w:bCs/>
          <w:color w:val="auto"/>
          <w:sz w:val="32"/>
          <w:szCs w:val="32"/>
          <w:lang w:eastAsia="zh-CN"/>
        </w:rPr>
        <w:t>星</w:t>
      </w:r>
      <w:r>
        <w:rPr>
          <w:rFonts w:hint="eastAsia" w:ascii="宋体" w:hAnsi="宋体"/>
          <w:b/>
          <w:bCs/>
          <w:color w:val="auto"/>
          <w:sz w:val="32"/>
          <w:szCs w:val="32"/>
          <w:lang w:val="en-US" w:eastAsia="zh-CN"/>
        </w:rPr>
        <w:t xml:space="preserve">   高  超   李哲辉</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b/>
          <w:bCs/>
          <w:color w:val="auto"/>
          <w:sz w:val="32"/>
          <w:szCs w:val="32"/>
          <w:lang w:eastAsia="zh-CN"/>
        </w:rPr>
      </w:pPr>
      <w:r>
        <w:rPr>
          <w:rFonts w:hint="eastAsia" w:ascii="宋体" w:hAnsi="宋体"/>
          <w:b/>
          <w:bCs/>
          <w:color w:val="auto"/>
          <w:sz w:val="32"/>
          <w:szCs w:val="32"/>
        </w:rPr>
        <w:t>副总工程师：</w:t>
      </w:r>
      <w:r>
        <w:rPr>
          <w:rFonts w:hint="eastAsia" w:ascii="宋体" w:hAnsi="宋体"/>
          <w:b/>
          <w:bCs/>
          <w:color w:val="auto"/>
          <w:sz w:val="32"/>
          <w:szCs w:val="32"/>
          <w:lang w:eastAsia="zh-CN"/>
        </w:rPr>
        <w:t>刘卫岗</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eastAsia="宋体"/>
          <w:b/>
          <w:bCs/>
          <w:color w:val="auto"/>
          <w:sz w:val="32"/>
          <w:szCs w:val="32"/>
          <w:lang w:eastAsia="zh-CN"/>
        </w:rPr>
      </w:pPr>
      <w:r>
        <w:rPr>
          <w:rFonts w:hint="eastAsia" w:ascii="宋体" w:hAnsi="宋体"/>
          <w:b/>
          <w:bCs/>
          <w:color w:val="auto"/>
          <w:sz w:val="32"/>
          <w:szCs w:val="32"/>
          <w:lang w:eastAsia="zh-CN"/>
        </w:rPr>
        <w:t>法定代表人</w:t>
      </w:r>
      <w:r>
        <w:rPr>
          <w:rFonts w:hint="eastAsia" w:ascii="宋体" w:hAnsi="宋体"/>
          <w:b/>
          <w:bCs/>
          <w:color w:val="auto"/>
          <w:sz w:val="32"/>
          <w:szCs w:val="32"/>
        </w:rPr>
        <w:t>：</w:t>
      </w:r>
      <w:r>
        <w:rPr>
          <w:rFonts w:hint="eastAsia" w:ascii="宋体" w:hAnsi="宋体"/>
          <w:b/>
          <w:bCs/>
          <w:color w:val="auto"/>
          <w:sz w:val="32"/>
          <w:szCs w:val="32"/>
          <w:lang w:eastAsia="zh-CN"/>
        </w:rPr>
        <w:t>黄立新</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730" w:leftChars="304" w:firstLine="0" w:firstLineChars="0"/>
        <w:textAlignment w:val="auto"/>
        <w:rPr>
          <w:rFonts w:hint="eastAsia" w:ascii="宋体" w:hAnsi="宋体"/>
          <w:b/>
          <w:bCs/>
          <w:color w:val="auto"/>
          <w:spacing w:val="480"/>
          <w:kern w:val="0"/>
          <w:sz w:val="32"/>
          <w:szCs w:val="32"/>
          <w:fitText w:val="800" w:id="948967905"/>
          <w:lang w:eastAsia="zh-CN"/>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0" w:firstLineChars="0"/>
        <w:textAlignment w:val="auto"/>
        <w:rPr>
          <w:rFonts w:hint="eastAsia" w:ascii="宋体" w:hAnsi="宋体"/>
          <w:b/>
          <w:bCs/>
          <w:color w:val="auto"/>
          <w:kern w:val="0"/>
          <w:sz w:val="32"/>
          <w:szCs w:val="32"/>
          <w:lang w:eastAsia="zh-CN"/>
        </w:rPr>
      </w:pPr>
    </w:p>
    <w:p>
      <w:pPr>
        <w:pStyle w:val="12"/>
        <w:jc w:val="center"/>
        <w:rPr>
          <w:rFonts w:hint="default" w:ascii="宋体" w:hAnsi="宋体"/>
          <w:b/>
          <w:bCs/>
          <w:color w:val="auto"/>
          <w:kern w:val="0"/>
          <w:sz w:val="32"/>
          <w:szCs w:val="32"/>
          <w:lang w:val="en-US" w:eastAsia="zh-CN"/>
        </w:rPr>
      </w:pPr>
      <w:bookmarkStart w:id="16" w:name="_Toc24885"/>
      <w:bookmarkStart w:id="17" w:name="_Toc16931"/>
      <w:r>
        <w:rPr>
          <w:rFonts w:hint="eastAsia" w:ascii="宋体" w:hAnsi="宋体"/>
          <w:b/>
          <w:bCs/>
          <w:color w:val="auto"/>
          <w:kern w:val="0"/>
          <w:sz w:val="32"/>
          <w:szCs w:val="32"/>
          <w:lang w:val="en-US" w:eastAsia="zh-CN"/>
        </w:rPr>
        <w:t>提交单位：</w:t>
      </w:r>
      <w:bookmarkEnd w:id="16"/>
      <w:bookmarkEnd w:id="17"/>
      <w:r>
        <w:rPr>
          <w:rFonts w:hint="eastAsia"/>
          <w:b/>
          <w:bCs/>
          <w:sz w:val="32"/>
          <w:szCs w:val="32"/>
          <w:lang w:eastAsia="zh-CN"/>
        </w:rPr>
        <w:t>中石化绿源地热能（陕西）开发有限公司</w:t>
      </w:r>
    </w:p>
    <w:p>
      <w:pPr>
        <w:rPr>
          <w:rFonts w:hint="eastAsia" w:ascii="宋体" w:hAnsi="宋体"/>
          <w:b/>
          <w:bCs/>
          <w:color w:val="auto"/>
          <w:sz w:val="32"/>
          <w:szCs w:val="32"/>
          <w:lang w:val="en-US" w:eastAsia="zh-CN"/>
        </w:rPr>
      </w:pPr>
      <w:r>
        <w:rPr>
          <w:rFonts w:hint="eastAsia" w:ascii="宋体" w:hAnsi="宋体" w:eastAsia="宋体"/>
          <w:b/>
          <w:bCs/>
          <w:color w:val="auto"/>
          <w:kern w:val="0"/>
          <w:sz w:val="32"/>
          <w:szCs w:val="32"/>
          <w:lang w:val="en-US" w:eastAsia="zh-CN"/>
        </w:rPr>
        <w:t>编制时间</w:t>
      </w:r>
      <w:r>
        <w:rPr>
          <w:rFonts w:hint="eastAsia" w:ascii="宋体" w:hAnsi="宋体"/>
          <w:b/>
          <w:bCs/>
          <w:color w:val="auto"/>
          <w:sz w:val="32"/>
          <w:szCs w:val="32"/>
          <w:lang w:val="en-US" w:eastAsia="zh-CN"/>
        </w:rPr>
        <w:t>：二〇二二年九月</w:t>
      </w:r>
    </w:p>
    <w:p>
      <w:pPr>
        <w:rPr>
          <w:rFonts w:hint="eastAsia" w:ascii="宋体" w:hAnsi="宋体"/>
          <w:b/>
          <w:bCs/>
          <w:color w:val="auto"/>
          <w:sz w:val="32"/>
          <w:szCs w:val="32"/>
          <w:lang w:val="en-US" w:eastAsia="zh-CN"/>
        </w:rPr>
      </w:pPr>
      <w:r>
        <w:rPr>
          <w:rFonts w:hint="eastAsia" w:ascii="宋体" w:hAnsi="宋体"/>
          <w:b/>
          <w:bCs/>
          <w:color w:val="auto"/>
          <w:sz w:val="32"/>
          <w:szCs w:val="32"/>
          <w:lang w:val="en-US" w:eastAsia="zh-CN"/>
        </w:rPr>
        <w:br w:type="page"/>
      </w:r>
    </w:p>
    <w:p>
      <w:pPr>
        <w:bidi w:val="0"/>
        <w:ind w:left="0" w:leftChars="0" w:firstLine="0" w:firstLineChars="0"/>
        <w:jc w:val="center"/>
        <w:outlineLvl w:val="0"/>
        <w:rPr>
          <w:rFonts w:hint="eastAsia"/>
          <w:b/>
          <w:bCs/>
          <w:sz w:val="28"/>
          <w:szCs w:val="28"/>
          <w:lang w:val="en-US" w:eastAsia="zh-CN"/>
        </w:rPr>
      </w:pPr>
      <w:bookmarkStart w:id="18" w:name="_Toc22525"/>
      <w:bookmarkStart w:id="19" w:name="_Toc12460"/>
      <w:bookmarkStart w:id="20" w:name="_Toc5698"/>
      <w:bookmarkStart w:id="21" w:name="_Toc6276"/>
      <w:r>
        <w:rPr>
          <w:rFonts w:hint="eastAsia"/>
          <w:b/>
          <w:bCs/>
          <w:sz w:val="28"/>
          <w:szCs w:val="28"/>
          <w:lang w:val="en-US" w:eastAsia="zh-CN"/>
        </w:rPr>
        <w:t>矿山地质环境保护与恢复治理方案审查申请登记表</w:t>
      </w:r>
      <w:bookmarkEnd w:id="18"/>
      <w:bookmarkEnd w:id="19"/>
      <w:bookmarkEnd w:id="20"/>
      <w:bookmarkEnd w:id="21"/>
    </w:p>
    <w:tbl>
      <w:tblPr>
        <w:tblStyle w:val="17"/>
        <w:tblW w:w="863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8"/>
        <w:gridCol w:w="1970"/>
        <w:gridCol w:w="1973"/>
        <w:gridCol w:w="30"/>
        <w:gridCol w:w="990"/>
        <w:gridCol w:w="1013"/>
        <w:gridCol w:w="174"/>
        <w:gridCol w:w="183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restart"/>
            <w:tcBorders>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矿</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山</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企</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业</w:t>
            </w: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矿山企业名称</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中石化绿源地热能（陕西）开发有限公司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65"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法定代表人</w:t>
            </w:r>
          </w:p>
        </w:tc>
        <w:tc>
          <w:tcPr>
            <w:tcW w:w="1973"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刘斌</w:t>
            </w:r>
          </w:p>
        </w:tc>
        <w:tc>
          <w:tcPr>
            <w:tcW w:w="2207" w:type="dxa"/>
            <w:gridSpan w:val="4"/>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联系电话</w:t>
            </w:r>
          </w:p>
        </w:tc>
        <w:tc>
          <w:tcPr>
            <w:tcW w:w="1831"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default" w:ascii="Times New Roman" w:hAnsi="Times New Roman" w:cs="Times New Roman"/>
                <w:lang w:val="en-US" w:eastAsia="zh-CN"/>
              </w:rPr>
              <w:t>029-33258003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6"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单位地址</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default" w:ascii="Times New Roman" w:hAnsi="Times New Roman" w:cs="Times New Roman"/>
                <w:lang w:val="en-US" w:eastAsia="zh-CN"/>
              </w:rPr>
              <w:t>陕西省咸阳市秦都区中华西路4号建设大厦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17"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矿山名称</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中石化绿源地热能（陕西）开发有限公司文热4地热区块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91"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联系人</w:t>
            </w:r>
          </w:p>
        </w:tc>
        <w:tc>
          <w:tcPr>
            <w:tcW w:w="2003"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王仁梅</w:t>
            </w:r>
          </w:p>
        </w:tc>
        <w:tc>
          <w:tcPr>
            <w:tcW w:w="2003"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联系电话</w:t>
            </w:r>
          </w:p>
        </w:tc>
        <w:tc>
          <w:tcPr>
            <w:tcW w:w="2005"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default" w:ascii="Times New Roman" w:hAnsi="Times New Roman" w:cs="Times New Roman"/>
                <w:lang w:val="en-US" w:eastAsia="zh-CN"/>
              </w:rPr>
              <w:t>15592127148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99"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Merge w:val="restart"/>
            <w:tcBorders>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采矿许可证</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eastAsia="宋体" w:cs="Times New Roman"/>
                <w:lang w:val="en-US" w:eastAsia="zh-CN"/>
              </w:rPr>
            </w:pPr>
            <w:r>
              <w:rPr>
                <w:sz w:val="24"/>
              </w:rPr>
              <w:fldChar w:fldCharType="begin"/>
            </w:r>
            <w:r>
              <w:rPr>
                <w:sz w:val="24"/>
              </w:rPr>
              <w:instrText xml:space="preserve"> eq \o\ac(</w:instrText>
            </w:r>
            <w:r>
              <w:rPr>
                <w:rFonts w:hint="eastAsia"/>
                <w:position w:val="-5"/>
                <w:sz w:val="24"/>
              </w:rPr>
              <w:instrText xml:space="preserve">□</w:instrText>
            </w:r>
            <w:r>
              <w:rPr>
                <w:sz w:val="24"/>
              </w:rPr>
              <w:instrText xml:space="preserve">)</w:instrText>
            </w:r>
            <w:r>
              <w:rPr>
                <w:sz w:val="24"/>
              </w:rPr>
              <w:fldChar w:fldCharType="end"/>
            </w:r>
            <w:r>
              <w:rPr>
                <w:rFonts w:hint="eastAsia"/>
                <w:sz w:val="24"/>
              </w:rPr>
              <w:t xml:space="preserve">新申请  </w:t>
            </w:r>
            <w:r>
              <w:rPr>
                <w:sz w:val="24"/>
              </w:rPr>
              <w:fldChar w:fldCharType="begin"/>
            </w:r>
            <w:r>
              <w:rPr>
                <w:sz w:val="24"/>
              </w:rPr>
              <w:instrText xml:space="preserve"> eq \o\ac(</w:instrText>
            </w:r>
            <w:r>
              <w:rPr>
                <w:rFonts w:hint="eastAsia"/>
                <w:position w:val="-5"/>
                <w:sz w:val="24"/>
              </w:rPr>
              <w:instrText xml:space="preserve">□</w:instrText>
            </w:r>
            <w:r>
              <w:rPr>
                <w:rFonts w:hint="eastAsia"/>
                <w:position w:val="-5"/>
                <w:sz w:val="24"/>
                <w:lang w:eastAsia="zh-CN"/>
              </w:rPr>
              <w:instrText xml:space="preserve">,</w:instrText>
            </w:r>
            <w:r>
              <w:rPr>
                <w:rFonts w:hint="eastAsia"/>
                <w:position w:val="-2"/>
                <w:sz w:val="16"/>
                <w:lang w:eastAsia="zh-CN"/>
              </w:rPr>
              <w:instrText xml:space="preserve">√</w:instrText>
            </w:r>
            <w:r>
              <w:rPr>
                <w:sz w:val="24"/>
              </w:rPr>
              <w:instrText xml:space="preserve">)</w:instrText>
            </w:r>
            <w:r>
              <w:rPr>
                <w:sz w:val="24"/>
              </w:rPr>
              <w:fldChar w:fldCharType="end"/>
            </w:r>
            <w:r>
              <w:rPr>
                <w:rFonts w:hint="eastAsia"/>
                <w:sz w:val="24"/>
                <w:lang w:eastAsia="zh-CN"/>
              </w:rPr>
              <w:t>持有</w:t>
            </w:r>
            <w:r>
              <w:rPr>
                <w:rFonts w:hint="eastAsia"/>
                <w:sz w:val="24"/>
                <w:lang w:val="en-US" w:eastAsia="zh-CN"/>
              </w:rPr>
              <w:t xml:space="preserve">  </w:t>
            </w:r>
            <w:r>
              <w:rPr>
                <w:sz w:val="24"/>
              </w:rPr>
              <w:fldChar w:fldCharType="begin"/>
            </w:r>
            <w:r>
              <w:rPr>
                <w:sz w:val="24"/>
              </w:rPr>
              <w:instrText xml:space="preserve"> eq \o\ac(</w:instrText>
            </w:r>
            <w:r>
              <w:rPr>
                <w:rFonts w:hint="eastAsia"/>
                <w:position w:val="-5"/>
                <w:sz w:val="24"/>
              </w:rPr>
              <w:instrText xml:space="preserve">□</w:instrText>
            </w:r>
            <w:r>
              <w:rPr>
                <w:sz w:val="24"/>
              </w:rPr>
              <w:instrText xml:space="preserve">)</w:instrText>
            </w:r>
            <w:r>
              <w:rPr>
                <w:sz w:val="24"/>
              </w:rPr>
              <w:fldChar w:fldCharType="end"/>
            </w:r>
            <w:r>
              <w:rPr>
                <w:rFonts w:hint="eastAsia"/>
                <w:sz w:val="24"/>
                <w:lang w:eastAsia="zh-CN"/>
              </w:rPr>
              <w:t>变更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39" w:hRule="atLeast"/>
        </w:trPr>
        <w:tc>
          <w:tcPr>
            <w:tcW w:w="658" w:type="dxa"/>
            <w:vMerge w:val="continue"/>
            <w:tcBorders>
              <w:top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Merge w:val="continue"/>
            <w:tcBorders>
              <w:top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以上情况请选择一种并打√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7" w:hRule="atLeast"/>
        </w:trPr>
        <w:tc>
          <w:tcPr>
            <w:tcW w:w="658" w:type="dxa"/>
            <w:vMerge w:val="restart"/>
            <w:tcBorders>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编</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制</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单</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位</w:t>
            </w: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单位名称</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陕西工程勘察研究院有限公司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28"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法定代表人</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黄立新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65"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资质证书名称</w:t>
            </w:r>
          </w:p>
        </w:tc>
        <w:tc>
          <w:tcPr>
            <w:tcW w:w="2993" w:type="dxa"/>
            <w:gridSpan w:val="3"/>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地质灾害评估资质</w:t>
            </w:r>
          </w:p>
        </w:tc>
        <w:tc>
          <w:tcPr>
            <w:tcW w:w="1187"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资质等级</w:t>
            </w:r>
          </w:p>
        </w:tc>
        <w:tc>
          <w:tcPr>
            <w:tcW w:w="1831"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甲级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9"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发证机关</w:t>
            </w:r>
          </w:p>
        </w:tc>
        <w:tc>
          <w:tcPr>
            <w:tcW w:w="2993" w:type="dxa"/>
            <w:gridSpan w:val="3"/>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中华人民共和国自然资源部</w:t>
            </w:r>
          </w:p>
        </w:tc>
        <w:tc>
          <w:tcPr>
            <w:tcW w:w="1187"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资质编号</w:t>
            </w:r>
          </w:p>
        </w:tc>
        <w:tc>
          <w:tcPr>
            <w:tcW w:w="1831" w:type="dxa"/>
            <w:vAlign w:val="center"/>
          </w:tcPr>
          <w:p>
            <w:pPr>
              <w:spacing w:before="14" w:line="307" w:lineRule="exact"/>
              <w:ind w:left="0" w:leftChars="0" w:firstLine="0" w:firstLineChars="0"/>
              <w:jc w:val="center"/>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612017110207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28" w:hRule="atLeast"/>
        </w:trPr>
        <w:tc>
          <w:tcPr>
            <w:tcW w:w="658" w:type="dxa"/>
            <w:vMerge w:val="continue"/>
            <w:tcBorders>
              <w:top w:val="nil"/>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tcBorders>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联系人</w:t>
            </w:r>
          </w:p>
        </w:tc>
        <w:tc>
          <w:tcPr>
            <w:tcW w:w="2993" w:type="dxa"/>
            <w:gridSpan w:val="3"/>
            <w:tcBorders>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白玉娟</w:t>
            </w:r>
          </w:p>
        </w:tc>
        <w:tc>
          <w:tcPr>
            <w:tcW w:w="1187" w:type="dxa"/>
            <w:gridSpan w:val="2"/>
            <w:tcBorders>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联系电话</w:t>
            </w:r>
          </w:p>
        </w:tc>
        <w:tc>
          <w:tcPr>
            <w:tcW w:w="1831" w:type="dxa"/>
            <w:tcBorders>
              <w:bottom w:val="single" w:color="auto" w:sz="4" w:space="0"/>
            </w:tcBorders>
            <w:vAlign w:val="center"/>
          </w:tcPr>
          <w:p>
            <w:pPr>
              <w:spacing w:before="14" w:line="307" w:lineRule="exact"/>
              <w:ind w:left="0" w:leftChars="0" w:firstLine="0" w:firstLineChars="0"/>
              <w:jc w:val="center"/>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13772034752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370" w:hRule="atLeast"/>
        </w:trPr>
        <w:tc>
          <w:tcPr>
            <w:tcW w:w="658" w:type="dxa"/>
            <w:tcBorders>
              <w:top w:val="single" w:color="auto" w:sz="4" w:space="0"/>
              <w:left w:val="single" w:color="auto" w:sz="4" w:space="0"/>
              <w:bottom w:val="single" w:color="auto" w:sz="4" w:space="0"/>
              <w:right w:val="single" w:color="auto" w:sz="4" w:space="0"/>
            </w:tcBorders>
            <w:vAlign w:val="center"/>
          </w:tcPr>
          <w:p>
            <w:pPr>
              <w:spacing w:before="14" w:line="360" w:lineRule="auto"/>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审</w:t>
            </w:r>
          </w:p>
          <w:p>
            <w:pPr>
              <w:spacing w:before="14" w:line="360" w:lineRule="auto"/>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查</w:t>
            </w:r>
          </w:p>
          <w:p>
            <w:pPr>
              <w:spacing w:before="14" w:line="360" w:lineRule="auto"/>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申</w:t>
            </w:r>
          </w:p>
          <w:p>
            <w:pPr>
              <w:spacing w:before="14" w:line="360" w:lineRule="auto"/>
              <w:ind w:left="0" w:leftChars="0" w:firstLine="0" w:firstLineChars="0"/>
              <w:jc w:val="center"/>
              <w:textAlignment w:val="center"/>
            </w:pPr>
            <w:r>
              <w:rPr>
                <w:rFonts w:hint="eastAsia" w:ascii="Times New Roman" w:hAnsi="Times New Roman" w:cs="Times New Roman"/>
                <w:lang w:val="en-US" w:eastAsia="zh-CN"/>
              </w:rPr>
              <w:t>请</w:t>
            </w:r>
          </w:p>
        </w:tc>
        <w:tc>
          <w:tcPr>
            <w:tcW w:w="7981" w:type="dxa"/>
            <w:gridSpan w:val="7"/>
            <w:tcBorders>
              <w:top w:val="single" w:color="auto" w:sz="4" w:space="0"/>
              <w:left w:val="single" w:color="auto" w:sz="4" w:space="0"/>
              <w:bottom w:val="single" w:color="auto" w:sz="4" w:space="0"/>
              <w:right w:val="single" w:color="auto" w:sz="4" w:space="0"/>
            </w:tcBorders>
            <w:vAlign w:val="center"/>
          </w:tcPr>
          <w:p>
            <w:pPr>
              <w:spacing w:before="14" w:line="360" w:lineRule="auto"/>
              <w:jc w:val="both"/>
              <w:textAlignment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我单位已按照要求编制矿山地质环境保护与恢复治理方案报告表，并承诺按照批准后的矿山地质环境保护与恢复治理方案做好矿山地质环境保护与恢复治理工作，请予以审查。</w:t>
            </w:r>
          </w:p>
          <w:p>
            <w:pPr>
              <w:spacing w:line="260" w:lineRule="auto"/>
              <w:jc w:val="both"/>
              <w:rPr>
                <w:rFonts w:ascii="Arial"/>
                <w:sz w:val="24"/>
                <w:szCs w:val="24"/>
              </w:rPr>
            </w:pPr>
          </w:p>
          <w:p>
            <w:pPr>
              <w:pStyle w:val="2"/>
              <w:rPr>
                <w:rFonts w:ascii="Arial"/>
                <w:sz w:val="24"/>
                <w:szCs w:val="24"/>
              </w:rPr>
            </w:pPr>
          </w:p>
          <w:p>
            <w:pPr>
              <w:pStyle w:val="2"/>
              <w:ind w:firstLine="3360" w:firstLineChars="14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申请单位（矿山企业）盖章</w:t>
            </w:r>
          </w:p>
          <w:p>
            <w:pPr>
              <w:pStyle w:val="2"/>
              <w:ind w:firstLine="3360" w:firstLineChars="1400"/>
              <w:rPr>
                <w:rFonts w:hint="eastAsia" w:ascii="Times New Roman" w:hAnsi="Times New Roman" w:eastAsia="宋体" w:cs="Times New Roman"/>
                <w:color w:val="auto"/>
                <w:kern w:val="2"/>
                <w:sz w:val="24"/>
                <w:szCs w:val="24"/>
                <w:lang w:val="en-US" w:eastAsia="zh-CN" w:bidi="ar-SA"/>
              </w:rPr>
            </w:pPr>
          </w:p>
          <w:p>
            <w:pPr>
              <w:pStyle w:val="2"/>
              <w:rPr>
                <w:rFonts w:ascii="楷体" w:hAnsi="楷体" w:eastAsia="楷体" w:cs="楷体"/>
                <w:sz w:val="28"/>
                <w:szCs w:val="28"/>
              </w:rPr>
            </w:pPr>
            <w:r>
              <w:rPr>
                <w:rFonts w:hint="eastAsia" w:ascii="Times New Roman" w:hAnsi="Times New Roman" w:eastAsia="宋体" w:cs="Times New Roman"/>
                <w:color w:val="auto"/>
                <w:kern w:val="2"/>
                <w:sz w:val="24"/>
                <w:szCs w:val="24"/>
                <w:lang w:val="en-US" w:eastAsia="zh-CN" w:bidi="ar-SA"/>
              </w:rPr>
              <w:t xml:space="preserve">联系人：王仁梅 </w:t>
            </w:r>
            <w:r>
              <w:rPr>
                <w:rFonts w:hint="eastAsia" w:ascii="Times New Roman" w:hAnsi="Times New Roman" w:cs="Times New Roman"/>
                <w:color w:val="auto"/>
                <w:kern w:val="2"/>
                <w:sz w:val="24"/>
                <w:szCs w:val="24"/>
                <w:lang w:val="en-US" w:eastAsia="zh-CN" w:bidi="ar-SA"/>
              </w:rPr>
              <w:t xml:space="preserve">           </w:t>
            </w:r>
            <w:r>
              <w:rPr>
                <w:rFonts w:hint="eastAsia" w:ascii="Times New Roman" w:hAnsi="Times New Roman" w:eastAsia="宋体" w:cs="Times New Roman"/>
                <w:color w:val="auto"/>
                <w:kern w:val="2"/>
                <w:sz w:val="24"/>
                <w:szCs w:val="24"/>
                <w:lang w:val="en-US" w:eastAsia="zh-CN" w:bidi="ar-SA"/>
              </w:rPr>
              <w:t xml:space="preserve"> </w:t>
            </w:r>
            <w:r>
              <w:rPr>
                <w:rFonts w:hint="eastAsia" w:ascii="Times New Roman" w:hAnsi="Times New Roman" w:cs="Times New Roman"/>
                <w:color w:val="auto"/>
                <w:kern w:val="2"/>
                <w:sz w:val="24"/>
                <w:szCs w:val="24"/>
                <w:lang w:val="en-US" w:eastAsia="zh-CN" w:bidi="ar-SA"/>
              </w:rPr>
              <w:t xml:space="preserve">  </w:t>
            </w:r>
            <w:r>
              <w:rPr>
                <w:rFonts w:hint="eastAsia" w:ascii="Times New Roman" w:hAnsi="Times New Roman" w:eastAsia="宋体" w:cs="Times New Roman"/>
                <w:color w:val="auto"/>
                <w:kern w:val="2"/>
                <w:sz w:val="24"/>
                <w:szCs w:val="24"/>
                <w:lang w:val="en-US" w:eastAsia="zh-CN" w:bidi="ar-SA"/>
              </w:rPr>
              <w:t>联系电话：15592127148</w:t>
            </w:r>
          </w:p>
        </w:tc>
      </w:tr>
    </w:tbl>
    <w:p>
      <w:pPr>
        <w:pStyle w:val="2"/>
        <w:ind w:left="0" w:leftChars="0" w:firstLine="0" w:firstLineChars="0"/>
        <w:rPr>
          <w:rFonts w:hint="eastAsia" w:eastAsia="宋体"/>
          <w:lang w:eastAsia="zh-CN"/>
        </w:rPr>
      </w:pPr>
      <w:r>
        <w:rPr>
          <w:rFonts w:hint="eastAsia" w:eastAsia="宋体"/>
          <w:lang w:eastAsia="zh-CN"/>
        </w:rPr>
        <w:drawing>
          <wp:inline distT="0" distB="0" distL="114300" distR="114300">
            <wp:extent cx="8185150" cy="5777865"/>
            <wp:effectExtent l="0" t="0" r="13335" b="6350"/>
            <wp:docPr id="43" name="图片 43" descr="评估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评估副本"/>
                    <pic:cNvPicPr>
                      <a:picLocks noChangeAspect="1"/>
                    </pic:cNvPicPr>
                  </pic:nvPicPr>
                  <pic:blipFill>
                    <a:blip r:embed="rId8"/>
                    <a:stretch>
                      <a:fillRect/>
                    </a:stretch>
                  </pic:blipFill>
                  <pic:spPr>
                    <a:xfrm rot="16200000">
                      <a:off x="0" y="0"/>
                      <a:ext cx="8185150" cy="5777865"/>
                    </a:xfrm>
                    <a:prstGeom prst="rect">
                      <a:avLst/>
                    </a:prstGeom>
                  </pic:spPr>
                </pic:pic>
              </a:graphicData>
            </a:graphic>
          </wp:inline>
        </w:drawing>
      </w:r>
    </w:p>
    <w:p>
      <w:pPr>
        <w:pStyle w:val="2"/>
        <w:ind w:left="0" w:leftChars="0" w:firstLine="0" w:firstLineChars="0"/>
        <w:rPr>
          <w:rFonts w:hint="eastAsia" w:eastAsia="宋体"/>
          <w:lang w:eastAsia="zh-CN"/>
        </w:rPr>
      </w:pPr>
    </w:p>
    <w:p>
      <w:pPr>
        <w:bidi w:val="0"/>
        <w:ind w:left="0" w:leftChars="0" w:firstLine="0" w:firstLineChars="0"/>
        <w:jc w:val="center"/>
        <w:outlineLvl w:val="0"/>
        <w:rPr>
          <w:rFonts w:hint="eastAsia"/>
          <w:b/>
          <w:bCs/>
          <w:color w:val="auto"/>
          <w:sz w:val="28"/>
          <w:szCs w:val="28"/>
          <w:lang w:val="en-US" w:eastAsia="zh-CN"/>
        </w:rPr>
      </w:pPr>
      <w:bookmarkStart w:id="22" w:name="_Toc7099"/>
      <w:bookmarkStart w:id="23" w:name="_Toc3380"/>
      <w:r>
        <w:rPr>
          <w:rFonts w:hint="eastAsia"/>
          <w:b/>
          <w:bCs/>
          <w:color w:val="auto"/>
          <w:sz w:val="28"/>
          <w:szCs w:val="28"/>
          <w:lang w:val="en-US" w:eastAsia="zh-CN"/>
        </w:rPr>
        <w:t>矿山地质环境保护与恢复治理方案报告表</w:t>
      </w:r>
    </w:p>
    <w:bookmarkEnd w:id="22"/>
    <w:bookmarkEnd w:id="23"/>
    <w:tbl>
      <w:tblPr>
        <w:tblStyle w:val="15"/>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1744"/>
        <w:gridCol w:w="1398"/>
        <w:gridCol w:w="1398"/>
        <w:gridCol w:w="1500"/>
        <w:gridCol w:w="2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restar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矿山企业概况</w:t>
            </w: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矿山名称</w:t>
            </w:r>
          </w:p>
        </w:tc>
        <w:tc>
          <w:tcPr>
            <w:tcW w:w="6321" w:type="dxa"/>
            <w:gridSpan w:val="4"/>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中石化绿源地热能（陕西）开发有限公司文热4地热区块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通讯地址</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t>陕西省咸阳市秦都区中华西路4号建设大厦</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邮  编</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712000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法人代表</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刘  斌</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联系人</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王仁梅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联系电话</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t>15592127148</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传  真</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t>029-33258003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经济类型</w:t>
            </w:r>
          </w:p>
        </w:tc>
        <w:tc>
          <w:tcPr>
            <w:tcW w:w="2796" w:type="dxa"/>
            <w:gridSpan w:val="2"/>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国有</w:t>
            </w:r>
          </w:p>
        </w:tc>
        <w:tc>
          <w:tcPr>
            <w:tcW w:w="1500"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开采矿种</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地热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Merge w:val="restar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矿区范围</w:t>
            </w:r>
          </w:p>
        </w:tc>
        <w:tc>
          <w:tcPr>
            <w:tcW w:w="2796" w:type="dxa"/>
            <w:gridSpan w:val="2"/>
            <w:tcBorders>
              <w:top w:val="single" w:color="auto" w:sz="4" w:space="0"/>
              <w:left w:val="single" w:color="auto" w:sz="4" w:space="0"/>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sz w:val="21"/>
                <w:szCs w:val="21"/>
                <w:vertAlign w:val="baseline"/>
                <w:lang w:val="en-US" w:eastAsia="zh-CN"/>
              </w:rPr>
            </w:pPr>
            <w:r>
              <w:rPr>
                <w:rFonts w:hint="eastAsia"/>
                <w:color w:val="000000" w:themeColor="text1"/>
                <w:sz w:val="18"/>
                <w:szCs w:val="18"/>
                <w:vertAlign w:val="baseline"/>
                <w:lang w:val="en-US" w:eastAsia="zh-CN"/>
                <w14:textFill>
                  <w14:solidFill>
                    <w14:schemeClr w14:val="tx1"/>
                  </w14:solidFill>
                </w14:textFill>
              </w:rPr>
              <w:t>拐点坐标（2000国家大地坐标）：</w:t>
            </w:r>
          </w:p>
        </w:tc>
        <w:tc>
          <w:tcPr>
            <w:tcW w:w="1500" w:type="dxa"/>
            <w:vMerge w:val="restart"/>
            <w:tcBorders>
              <w:top w:val="single" w:color="auto" w:sz="4" w:space="0"/>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矿山面积</w:t>
            </w:r>
          </w:p>
        </w:tc>
        <w:tc>
          <w:tcPr>
            <w:tcW w:w="2025" w:type="dxa"/>
            <w:vMerge w:val="restar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0.16</w:t>
            </w:r>
            <w:r>
              <w:rPr>
                <w:rFonts w:hint="eastAsia" w:ascii="仿宋" w:hAnsi="仿宋" w:eastAsia="仿宋" w:cs="仿宋"/>
                <w:color w:val="auto"/>
                <w:kern w:val="0"/>
                <w:sz w:val="24"/>
                <w:szCs w:val="24"/>
                <w:lang w:bidi="ar"/>
              </w:rPr>
              <w:t>km</w:t>
            </w:r>
            <w:r>
              <w:rPr>
                <w:rFonts w:hint="eastAsia" w:ascii="仿宋" w:hAnsi="仿宋" w:eastAsia="仿宋" w:cs="仿宋"/>
                <w:color w:val="auto"/>
                <w:kern w:val="0"/>
                <w:sz w:val="24"/>
                <w:szCs w:val="24"/>
                <w:vertAlign w:val="superscript"/>
                <w:lang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744"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398" w:type="dxa"/>
            <w:tcBorders>
              <w:top w:val="nil"/>
              <w:left w:val="single" w:color="auto" w:sz="4"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themeColor="text1"/>
                <w:sz w:val="21"/>
                <w:szCs w:val="21"/>
                <w:vertAlign w:val="baseline"/>
                <w:lang w:val="en-US" w:eastAsia="zh-CN"/>
                <w14:textFill>
                  <w14:solidFill>
                    <w14:schemeClr w14:val="tx1"/>
                  </w14:solidFill>
                </w14:textFill>
              </w:rPr>
              <w:t>3806701.24</w:t>
            </w:r>
          </w:p>
        </w:tc>
        <w:tc>
          <w:tcPr>
            <w:tcW w:w="1398" w:type="dxa"/>
            <w:tcBorders>
              <w:top w:val="nil"/>
              <w:left w:val="nil"/>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themeColor="text1"/>
                <w:sz w:val="21"/>
                <w:szCs w:val="21"/>
                <w:vertAlign w:val="baseline"/>
                <w:lang w:val="en-US" w:eastAsia="zh-CN"/>
                <w14:textFill>
                  <w14:solidFill>
                    <w14:schemeClr w14:val="tx1"/>
                  </w14:solidFill>
                </w14:textFill>
              </w:rPr>
              <w:t>36566354.91</w:t>
            </w:r>
          </w:p>
        </w:tc>
        <w:tc>
          <w:tcPr>
            <w:tcW w:w="1500"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202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744"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398" w:type="dxa"/>
            <w:tcBorders>
              <w:top w:val="nil"/>
              <w:left w:val="single" w:color="auto" w:sz="4"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themeColor="text1"/>
                <w:sz w:val="21"/>
                <w:szCs w:val="21"/>
                <w:vertAlign w:val="baseline"/>
                <w:lang w:val="zh-CN" w:eastAsia="zh-CN"/>
                <w14:textFill>
                  <w14:solidFill>
                    <w14:schemeClr w14:val="tx1"/>
                  </w14:solidFill>
                </w14:textFill>
              </w:rPr>
              <w:t>3806701.24</w:t>
            </w:r>
          </w:p>
        </w:tc>
        <w:tc>
          <w:tcPr>
            <w:tcW w:w="1398" w:type="dxa"/>
            <w:tcBorders>
              <w:top w:val="nil"/>
              <w:left w:val="nil"/>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themeColor="text1"/>
                <w:sz w:val="21"/>
                <w:szCs w:val="21"/>
                <w:vertAlign w:val="baseline"/>
                <w:lang w:val="zh-CN" w:eastAsia="zh-CN"/>
                <w14:textFill>
                  <w14:solidFill>
                    <w14:schemeClr w14:val="tx1"/>
                  </w14:solidFill>
                </w14:textFill>
              </w:rPr>
              <w:t>36566754.91</w:t>
            </w:r>
          </w:p>
        </w:tc>
        <w:tc>
          <w:tcPr>
            <w:tcW w:w="1500"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202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744"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398" w:type="dxa"/>
            <w:tcBorders>
              <w:top w:val="nil"/>
              <w:left w:val="single" w:color="auto" w:sz="4"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themeColor="text1"/>
                <w:sz w:val="21"/>
                <w:szCs w:val="21"/>
                <w:vertAlign w:val="baseline"/>
                <w:lang w:val="zh-CN" w:eastAsia="zh-CN"/>
                <w14:textFill>
                  <w14:solidFill>
                    <w14:schemeClr w14:val="tx1"/>
                  </w14:solidFill>
                </w14:textFill>
              </w:rPr>
              <w:t>3806301.24</w:t>
            </w:r>
          </w:p>
        </w:tc>
        <w:tc>
          <w:tcPr>
            <w:tcW w:w="1398" w:type="dxa"/>
            <w:tcBorders>
              <w:top w:val="nil"/>
              <w:left w:val="nil"/>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themeColor="text1"/>
                <w:sz w:val="21"/>
                <w:szCs w:val="21"/>
                <w:vertAlign w:val="baseline"/>
                <w:lang w:val="zh-CN" w:eastAsia="zh-CN"/>
                <w14:textFill>
                  <w14:solidFill>
                    <w14:schemeClr w14:val="tx1"/>
                  </w14:solidFill>
                </w14:textFill>
              </w:rPr>
              <w:t>36566754.91</w:t>
            </w:r>
          </w:p>
        </w:tc>
        <w:tc>
          <w:tcPr>
            <w:tcW w:w="1500"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202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744" w:type="dxa"/>
            <w:vMerge w:val="continue"/>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398" w:type="dxa"/>
            <w:tcBorders>
              <w:top w:val="nil"/>
              <w:left w:val="single" w:color="auto" w:sz="4" w:space="0"/>
              <w:bottom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themeColor="text1"/>
                <w:sz w:val="21"/>
                <w:szCs w:val="21"/>
                <w:vertAlign w:val="baseline"/>
                <w:lang w:val="zh-CN" w:eastAsia="zh-CN"/>
                <w14:textFill>
                  <w14:solidFill>
                    <w14:schemeClr w14:val="tx1"/>
                  </w14:solidFill>
                </w14:textFill>
              </w:rPr>
              <w:t>3806301.24</w:t>
            </w:r>
          </w:p>
        </w:tc>
        <w:tc>
          <w:tcPr>
            <w:tcW w:w="1398" w:type="dxa"/>
            <w:tcBorders>
              <w:top w:val="nil"/>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themeColor="text1"/>
                <w:sz w:val="21"/>
                <w:szCs w:val="21"/>
                <w:vertAlign w:val="baseline"/>
                <w:lang w:val="zh-CN" w:eastAsia="zh-CN"/>
                <w14:textFill>
                  <w14:solidFill>
                    <w14:schemeClr w14:val="tx1"/>
                  </w14:solidFill>
                </w14:textFill>
              </w:rPr>
              <w:t>36566354.91</w:t>
            </w:r>
          </w:p>
        </w:tc>
        <w:tc>
          <w:tcPr>
            <w:tcW w:w="1500" w:type="dxa"/>
            <w:vMerge w:val="continue"/>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202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建矿时间</w:t>
            </w:r>
          </w:p>
        </w:tc>
        <w:tc>
          <w:tcPr>
            <w:tcW w:w="2796" w:type="dxa"/>
            <w:gridSpan w:val="2"/>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2009年11月</w:t>
            </w:r>
          </w:p>
        </w:tc>
        <w:tc>
          <w:tcPr>
            <w:tcW w:w="1500"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生产现状</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可采资源储量</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企业规模</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中型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服务年限</w:t>
            </w:r>
          </w:p>
        </w:tc>
        <w:tc>
          <w:tcPr>
            <w:tcW w:w="6321"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2009年11月至2039年11月</w:t>
            </w:r>
          </w:p>
          <w:p>
            <w:pPr>
              <w:pStyle w:val="2"/>
              <w:spacing w:line="240" w:lineRule="auto"/>
              <w:ind w:left="0" w:leftChars="0" w:firstLine="0" w:firstLineChars="0"/>
              <w:jc w:val="center"/>
              <w:rPr>
                <w:rFonts w:hint="default"/>
                <w:lang w:val="en-US" w:eastAsia="zh-CN"/>
              </w:rPr>
            </w:pPr>
            <w:r>
              <w:rPr>
                <w:rFonts w:hint="eastAsia" w:ascii="Times New Roman" w:hAnsi="Times New Roman" w:eastAsia="宋体" w:cs="Times New Roman"/>
                <w:color w:val="auto"/>
                <w:kern w:val="2"/>
                <w:sz w:val="24"/>
                <w:szCs w:val="24"/>
                <w:lang w:val="en-US" w:eastAsia="zh-CN" w:bidi="ar-SA"/>
              </w:rPr>
              <w:t>（以首次取得采矿区可证时间2009年11月为起始）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设计生产能力</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bCs/>
                <w:color w:val="auto"/>
                <w:sz w:val="24"/>
              </w:rPr>
              <w:t>20</w:t>
            </w:r>
            <w:r>
              <w:rPr>
                <w:rFonts w:hAnsi="宋体"/>
                <w:bCs/>
                <w:color w:val="auto"/>
                <w:sz w:val="24"/>
              </w:rPr>
              <w:t>万</w:t>
            </w:r>
            <w:r>
              <w:rPr>
                <w:bCs/>
                <w:color w:val="auto"/>
                <w:sz w:val="24"/>
              </w:rPr>
              <w:t>m</w:t>
            </w:r>
            <w:r>
              <w:rPr>
                <w:bCs/>
                <w:color w:val="auto"/>
                <w:sz w:val="24"/>
                <w:vertAlign w:val="superscript"/>
              </w:rPr>
              <w:t>3</w:t>
            </w:r>
            <w:r>
              <w:rPr>
                <w:bCs/>
                <w:color w:val="auto"/>
                <w:sz w:val="24"/>
              </w:rPr>
              <w:t>/a</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实际生产能力</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14.5</w:t>
            </w:r>
            <w:r>
              <w:rPr>
                <w:rFonts w:hAnsi="宋体"/>
                <w:bCs/>
                <w:color w:val="auto"/>
                <w:sz w:val="24"/>
              </w:rPr>
              <w:t>万</w:t>
            </w:r>
            <w:r>
              <w:rPr>
                <w:bCs/>
                <w:color w:val="auto"/>
                <w:sz w:val="24"/>
              </w:rPr>
              <w:t>m</w:t>
            </w:r>
            <w:r>
              <w:rPr>
                <w:bCs/>
                <w:color w:val="auto"/>
                <w:sz w:val="24"/>
                <w:vertAlign w:val="superscript"/>
              </w:rPr>
              <w:t>3</w:t>
            </w:r>
            <w:r>
              <w:rPr>
                <w:bCs/>
                <w:color w:val="auto"/>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restar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方案编制单位</w:t>
            </w: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单位名称</w:t>
            </w:r>
          </w:p>
        </w:tc>
        <w:tc>
          <w:tcPr>
            <w:tcW w:w="6321" w:type="dxa"/>
            <w:gridSpan w:val="4"/>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陕西工程勘察研究院有限公司（签章）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5"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通讯地址</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陕西省西安市碑林区含光路中段19号</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邮编</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710068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法人代表</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黄立新</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联系人</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白玉娟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联系电话</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cs="Times New Roman"/>
                <w:kern w:val="2"/>
                <w:sz w:val="21"/>
                <w:szCs w:val="21"/>
                <w:vertAlign w:val="baseline"/>
                <w:lang w:val="en-US" w:eastAsia="zh-CN" w:bidi="ar-SA"/>
              </w:rPr>
              <w:t>13772034752</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传真</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029-85221131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资质证书名称</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地质灾害危险性评估</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资质等级</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发证机关</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中华人民共和国自然资源部</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编号</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612017110207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8065" w:type="dxa"/>
            <w:gridSpan w:val="5"/>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主要编制人员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姓名</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职务</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职称</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李哲辉</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项目负责</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工程师</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高  超</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编制人员</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工程师</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554"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刘  星</w:t>
            </w:r>
          </w:p>
        </w:tc>
        <w:tc>
          <w:tcPr>
            <w:tcW w:w="2796"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编制人员</w:t>
            </w:r>
          </w:p>
        </w:tc>
        <w:tc>
          <w:tcPr>
            <w:tcW w:w="15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工程师</w:t>
            </w:r>
          </w:p>
        </w:tc>
        <w:tc>
          <w:tcPr>
            <w:tcW w:w="202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r>
    </w:tbl>
    <w:sdt>
      <w:sdtPr>
        <w:rPr>
          <w:rFonts w:ascii="宋体" w:hAnsi="宋体" w:eastAsia="宋体" w:cs="Times New Roman"/>
          <w:b/>
          <w:bCs/>
          <w:kern w:val="2"/>
          <w:sz w:val="30"/>
          <w:szCs w:val="30"/>
          <w:lang w:val="en-US" w:eastAsia="zh-CN" w:bidi="ar-SA"/>
        </w:rPr>
        <w:id w:val="147462298"/>
        <w15:color w:val="DBDBDB"/>
        <w:docPartObj>
          <w:docPartGallery w:val="Table of Contents"/>
          <w:docPartUnique/>
        </w:docPartObj>
      </w:sdtPr>
      <w:sdtEndPr>
        <w:rPr>
          <w:rFonts w:hint="eastAsia" w:ascii="宋体" w:hAnsi="Courier New" w:eastAsia="宋体" w:cs="Courier New"/>
          <w:b/>
          <w:bCs/>
          <w:color w:val="auto"/>
          <w:kern w:val="2"/>
          <w:sz w:val="24"/>
          <w:szCs w:val="21"/>
          <w:lang w:val="en-US" w:eastAsia="zh-CN" w:bidi="ar-SA"/>
        </w:rPr>
      </w:sdtEndPr>
      <w:sdtContent>
        <w:p>
          <w:pPr>
            <w:spacing w:before="0" w:beforeLines="0" w:after="0" w:afterLines="0" w:line="240" w:lineRule="auto"/>
            <w:ind w:left="0" w:leftChars="0" w:right="0" w:rightChars="0" w:firstLine="0" w:firstLineChars="0"/>
            <w:jc w:val="center"/>
            <w:rPr>
              <w:b/>
              <w:bCs/>
              <w:sz w:val="30"/>
              <w:szCs w:val="30"/>
            </w:rPr>
          </w:pPr>
          <w:r>
            <w:rPr>
              <w:rFonts w:ascii="宋体" w:hAnsi="宋体" w:eastAsia="宋体"/>
              <w:b/>
              <w:bCs/>
              <w:sz w:val="30"/>
              <w:szCs w:val="30"/>
            </w:rPr>
            <w:t>目</w:t>
          </w:r>
          <w:r>
            <w:rPr>
              <w:rFonts w:hint="eastAsia" w:ascii="宋体" w:hAnsi="宋体" w:eastAsia="宋体"/>
              <w:b/>
              <w:bCs/>
              <w:sz w:val="30"/>
              <w:szCs w:val="30"/>
              <w:lang w:val="en-US" w:eastAsia="zh-CN"/>
            </w:rPr>
            <w:t xml:space="preserve">  </w:t>
          </w:r>
          <w:r>
            <w:rPr>
              <w:rFonts w:ascii="宋体" w:hAnsi="宋体" w:eastAsia="宋体"/>
              <w:b/>
              <w:bCs/>
              <w:sz w:val="30"/>
              <w:szCs w:val="30"/>
            </w:rPr>
            <w:t>录</w:t>
          </w:r>
        </w:p>
        <w:p>
          <w:pPr>
            <w:pStyle w:val="10"/>
            <w:tabs>
              <w:tab w:val="right" w:leader="dot" w:pos="8306"/>
            </w:tabs>
            <w:rPr>
              <w:b/>
              <w:bCs/>
              <w:sz w:val="24"/>
              <w:szCs w:val="24"/>
              <w:highlight w:val="none"/>
            </w:rPr>
          </w:pPr>
          <w:r>
            <w:rPr>
              <w:rFonts w:hint="eastAsia" w:eastAsia="宋体"/>
              <w:lang w:eastAsia="zh-CN"/>
            </w:rPr>
            <w:fldChar w:fldCharType="begin"/>
          </w:r>
          <w:r>
            <w:rPr>
              <w:rFonts w:hint="eastAsia" w:eastAsia="宋体"/>
              <w:lang w:eastAsia="zh-CN"/>
            </w:rPr>
            <w:instrText xml:space="preserve">TOC \o "1-1" \h \u </w:instrText>
          </w:r>
          <w:r>
            <w:rPr>
              <w:rFonts w:hint="eastAsia" w:eastAsia="宋体"/>
              <w:lang w:eastAsia="zh-CN"/>
            </w:rPr>
            <w:fldChar w:fldCharType="separate"/>
          </w: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_Toc23771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前言</w:t>
          </w:r>
          <w:r>
            <w:rPr>
              <w:b/>
              <w:bCs/>
              <w:sz w:val="24"/>
              <w:szCs w:val="24"/>
              <w:highlight w:val="none"/>
            </w:rPr>
            <w:tab/>
          </w:r>
          <w:r>
            <w:rPr>
              <w:b/>
              <w:bCs/>
              <w:sz w:val="24"/>
              <w:szCs w:val="24"/>
              <w:highlight w:val="none"/>
            </w:rPr>
            <w:fldChar w:fldCharType="begin"/>
          </w:r>
          <w:r>
            <w:rPr>
              <w:b/>
              <w:bCs/>
              <w:sz w:val="24"/>
              <w:szCs w:val="24"/>
              <w:highlight w:val="none"/>
            </w:rPr>
            <w:instrText xml:space="preserve"> PAGEREF _Toc23771 \h </w:instrText>
          </w:r>
          <w:r>
            <w:rPr>
              <w:b/>
              <w:bCs/>
              <w:sz w:val="24"/>
              <w:szCs w:val="24"/>
              <w:highlight w:val="none"/>
            </w:rPr>
            <w:fldChar w:fldCharType="separate"/>
          </w:r>
          <w:r>
            <w:rPr>
              <w:b/>
              <w:bCs/>
              <w:sz w:val="24"/>
              <w:szCs w:val="24"/>
              <w:highlight w:val="none"/>
            </w:rPr>
            <w:t>1</w:t>
          </w:r>
          <w:r>
            <w:rPr>
              <w:b/>
              <w:bCs/>
              <w:sz w:val="24"/>
              <w:szCs w:val="24"/>
              <w:highlight w:val="none"/>
            </w:rPr>
            <w:fldChar w:fldCharType="end"/>
          </w:r>
          <w:r>
            <w:rPr>
              <w:rFonts w:hint="eastAsia" w:eastAsia="宋体"/>
              <w:b/>
              <w:bCs/>
              <w:sz w:val="24"/>
              <w:szCs w:val="24"/>
              <w:highlight w:val="none"/>
              <w:lang w:eastAsia="zh-CN"/>
            </w:rPr>
            <w:fldChar w:fldCharType="end"/>
          </w:r>
        </w:p>
        <w:p>
          <w:pPr>
            <w:pStyle w:val="10"/>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_Toc25887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一、概况</w:t>
          </w:r>
          <w:r>
            <w:rPr>
              <w:b/>
              <w:bCs/>
              <w:sz w:val="24"/>
              <w:szCs w:val="24"/>
              <w:highlight w:val="none"/>
            </w:rPr>
            <w:tab/>
          </w:r>
          <w:r>
            <w:rPr>
              <w:b/>
              <w:bCs/>
              <w:sz w:val="24"/>
              <w:szCs w:val="24"/>
              <w:highlight w:val="none"/>
            </w:rPr>
            <w:fldChar w:fldCharType="begin"/>
          </w:r>
          <w:r>
            <w:rPr>
              <w:b/>
              <w:bCs/>
              <w:sz w:val="24"/>
              <w:szCs w:val="24"/>
              <w:highlight w:val="none"/>
            </w:rPr>
            <w:instrText xml:space="preserve"> PAGEREF _Toc25887 \h </w:instrText>
          </w:r>
          <w:r>
            <w:rPr>
              <w:b/>
              <w:bCs/>
              <w:sz w:val="24"/>
              <w:szCs w:val="24"/>
              <w:highlight w:val="none"/>
            </w:rPr>
            <w:fldChar w:fldCharType="separate"/>
          </w:r>
          <w:r>
            <w:rPr>
              <w:b/>
              <w:bCs/>
              <w:sz w:val="24"/>
              <w:szCs w:val="24"/>
              <w:highlight w:val="none"/>
            </w:rPr>
            <w:t>3</w:t>
          </w:r>
          <w:r>
            <w:rPr>
              <w:b/>
              <w:bCs/>
              <w:sz w:val="24"/>
              <w:szCs w:val="24"/>
              <w:highlight w:val="none"/>
            </w:rPr>
            <w:fldChar w:fldCharType="end"/>
          </w:r>
          <w:r>
            <w:rPr>
              <w:rFonts w:hint="eastAsia" w:eastAsia="宋体"/>
              <w:b/>
              <w:bCs/>
              <w:sz w:val="24"/>
              <w:szCs w:val="24"/>
              <w:highlight w:val="none"/>
              <w:lang w:eastAsia="zh-CN"/>
            </w:rPr>
            <w:fldChar w:fldCharType="end"/>
          </w:r>
        </w:p>
        <w:p>
          <w:pPr>
            <w:pStyle w:val="10"/>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_Toc26780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二、矿区地质环境条件</w:t>
          </w:r>
          <w:r>
            <w:rPr>
              <w:b/>
              <w:bCs/>
              <w:sz w:val="24"/>
              <w:szCs w:val="24"/>
              <w:highlight w:val="none"/>
            </w:rPr>
            <w:tab/>
          </w:r>
          <w:r>
            <w:rPr>
              <w:b/>
              <w:bCs/>
              <w:sz w:val="24"/>
              <w:szCs w:val="24"/>
              <w:highlight w:val="none"/>
            </w:rPr>
            <w:fldChar w:fldCharType="begin"/>
          </w:r>
          <w:r>
            <w:rPr>
              <w:b/>
              <w:bCs/>
              <w:sz w:val="24"/>
              <w:szCs w:val="24"/>
              <w:highlight w:val="none"/>
            </w:rPr>
            <w:instrText xml:space="preserve"> PAGEREF _Toc26780 \h </w:instrText>
          </w:r>
          <w:r>
            <w:rPr>
              <w:b/>
              <w:bCs/>
              <w:sz w:val="24"/>
              <w:szCs w:val="24"/>
              <w:highlight w:val="none"/>
            </w:rPr>
            <w:fldChar w:fldCharType="separate"/>
          </w:r>
          <w:r>
            <w:rPr>
              <w:b/>
              <w:bCs/>
              <w:sz w:val="24"/>
              <w:szCs w:val="24"/>
              <w:highlight w:val="none"/>
            </w:rPr>
            <w:t>12</w:t>
          </w:r>
          <w:r>
            <w:rPr>
              <w:b/>
              <w:bCs/>
              <w:sz w:val="24"/>
              <w:szCs w:val="24"/>
              <w:highlight w:val="none"/>
            </w:rPr>
            <w:fldChar w:fldCharType="end"/>
          </w:r>
          <w:r>
            <w:rPr>
              <w:rFonts w:hint="eastAsia" w:eastAsia="宋体"/>
              <w:b/>
              <w:bCs/>
              <w:sz w:val="24"/>
              <w:szCs w:val="24"/>
              <w:highlight w:val="none"/>
              <w:lang w:eastAsia="zh-CN"/>
            </w:rPr>
            <w:fldChar w:fldCharType="end"/>
          </w:r>
        </w:p>
        <w:p>
          <w:pPr>
            <w:pStyle w:val="10"/>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_Toc17275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三、矿山地质环境问题</w:t>
          </w:r>
          <w:r>
            <w:rPr>
              <w:b/>
              <w:bCs/>
              <w:sz w:val="24"/>
              <w:szCs w:val="24"/>
              <w:highlight w:val="none"/>
            </w:rPr>
            <w:tab/>
          </w:r>
          <w:r>
            <w:rPr>
              <w:b/>
              <w:bCs/>
              <w:sz w:val="24"/>
              <w:szCs w:val="24"/>
              <w:highlight w:val="none"/>
            </w:rPr>
            <w:fldChar w:fldCharType="begin"/>
          </w:r>
          <w:r>
            <w:rPr>
              <w:b/>
              <w:bCs/>
              <w:sz w:val="24"/>
              <w:szCs w:val="24"/>
              <w:highlight w:val="none"/>
            </w:rPr>
            <w:instrText xml:space="preserve"> PAGEREF _Toc17275 \h </w:instrText>
          </w:r>
          <w:r>
            <w:rPr>
              <w:b/>
              <w:bCs/>
              <w:sz w:val="24"/>
              <w:szCs w:val="24"/>
              <w:highlight w:val="none"/>
            </w:rPr>
            <w:fldChar w:fldCharType="separate"/>
          </w:r>
          <w:r>
            <w:rPr>
              <w:b/>
              <w:bCs/>
              <w:sz w:val="24"/>
              <w:szCs w:val="24"/>
              <w:highlight w:val="none"/>
            </w:rPr>
            <w:t>16</w:t>
          </w:r>
          <w:r>
            <w:rPr>
              <w:b/>
              <w:bCs/>
              <w:sz w:val="24"/>
              <w:szCs w:val="24"/>
              <w:highlight w:val="none"/>
            </w:rPr>
            <w:fldChar w:fldCharType="end"/>
          </w:r>
          <w:r>
            <w:rPr>
              <w:rFonts w:hint="eastAsia" w:eastAsia="宋体"/>
              <w:b/>
              <w:bCs/>
              <w:sz w:val="24"/>
              <w:szCs w:val="24"/>
              <w:highlight w:val="none"/>
              <w:lang w:eastAsia="zh-CN"/>
            </w:rPr>
            <w:fldChar w:fldCharType="end"/>
          </w:r>
        </w:p>
        <w:p>
          <w:pPr>
            <w:pStyle w:val="10"/>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_Toc5196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四、拟采取的保护与治理措施</w:t>
          </w:r>
          <w:r>
            <w:rPr>
              <w:b/>
              <w:bCs/>
              <w:sz w:val="24"/>
              <w:szCs w:val="24"/>
              <w:highlight w:val="none"/>
            </w:rPr>
            <w:tab/>
          </w:r>
          <w:r>
            <w:rPr>
              <w:b/>
              <w:bCs/>
              <w:sz w:val="24"/>
              <w:szCs w:val="24"/>
              <w:highlight w:val="none"/>
            </w:rPr>
            <w:fldChar w:fldCharType="begin"/>
          </w:r>
          <w:r>
            <w:rPr>
              <w:b/>
              <w:bCs/>
              <w:sz w:val="24"/>
              <w:szCs w:val="24"/>
              <w:highlight w:val="none"/>
            </w:rPr>
            <w:instrText xml:space="preserve"> PAGEREF _Toc5196 \h </w:instrText>
          </w:r>
          <w:r>
            <w:rPr>
              <w:b/>
              <w:bCs/>
              <w:sz w:val="24"/>
              <w:szCs w:val="24"/>
              <w:highlight w:val="none"/>
            </w:rPr>
            <w:fldChar w:fldCharType="separate"/>
          </w:r>
          <w:r>
            <w:rPr>
              <w:b/>
              <w:bCs/>
              <w:sz w:val="24"/>
              <w:szCs w:val="24"/>
              <w:highlight w:val="none"/>
            </w:rPr>
            <w:t>18</w:t>
          </w:r>
          <w:r>
            <w:rPr>
              <w:b/>
              <w:bCs/>
              <w:sz w:val="24"/>
              <w:szCs w:val="24"/>
              <w:highlight w:val="none"/>
            </w:rPr>
            <w:fldChar w:fldCharType="end"/>
          </w:r>
          <w:r>
            <w:rPr>
              <w:rFonts w:hint="eastAsia" w:eastAsia="宋体"/>
              <w:b/>
              <w:bCs/>
              <w:sz w:val="24"/>
              <w:szCs w:val="24"/>
              <w:highlight w:val="none"/>
              <w:lang w:eastAsia="zh-CN"/>
            </w:rPr>
            <w:fldChar w:fldCharType="end"/>
          </w:r>
        </w:p>
        <w:p>
          <w:pPr>
            <w:pStyle w:val="10"/>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_Toc2363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五、工作部署</w:t>
          </w:r>
          <w:r>
            <w:rPr>
              <w:b/>
              <w:bCs/>
              <w:sz w:val="24"/>
              <w:szCs w:val="24"/>
              <w:highlight w:val="none"/>
            </w:rPr>
            <w:tab/>
          </w:r>
          <w:r>
            <w:rPr>
              <w:b/>
              <w:bCs/>
              <w:sz w:val="24"/>
              <w:szCs w:val="24"/>
              <w:highlight w:val="none"/>
            </w:rPr>
            <w:fldChar w:fldCharType="begin"/>
          </w:r>
          <w:r>
            <w:rPr>
              <w:b/>
              <w:bCs/>
              <w:sz w:val="24"/>
              <w:szCs w:val="24"/>
              <w:highlight w:val="none"/>
            </w:rPr>
            <w:instrText xml:space="preserve"> PAGEREF _Toc2363 \h </w:instrText>
          </w:r>
          <w:r>
            <w:rPr>
              <w:b/>
              <w:bCs/>
              <w:sz w:val="24"/>
              <w:szCs w:val="24"/>
              <w:highlight w:val="none"/>
            </w:rPr>
            <w:fldChar w:fldCharType="separate"/>
          </w:r>
          <w:r>
            <w:rPr>
              <w:b/>
              <w:bCs/>
              <w:sz w:val="24"/>
              <w:szCs w:val="24"/>
              <w:highlight w:val="none"/>
            </w:rPr>
            <w:t>19</w:t>
          </w:r>
          <w:r>
            <w:rPr>
              <w:b/>
              <w:bCs/>
              <w:sz w:val="24"/>
              <w:szCs w:val="24"/>
              <w:highlight w:val="none"/>
            </w:rPr>
            <w:fldChar w:fldCharType="end"/>
          </w:r>
          <w:r>
            <w:rPr>
              <w:rFonts w:hint="eastAsia" w:eastAsia="宋体"/>
              <w:b/>
              <w:bCs/>
              <w:sz w:val="24"/>
              <w:szCs w:val="24"/>
              <w:highlight w:val="none"/>
              <w:lang w:eastAsia="zh-CN"/>
            </w:rPr>
            <w:fldChar w:fldCharType="end"/>
          </w:r>
        </w:p>
        <w:p>
          <w:pPr>
            <w:pStyle w:val="10"/>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_Toc4406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六、经费估算及资金来源</w:t>
          </w:r>
          <w:r>
            <w:rPr>
              <w:b/>
              <w:bCs/>
              <w:sz w:val="24"/>
              <w:szCs w:val="24"/>
              <w:highlight w:val="none"/>
            </w:rPr>
            <w:tab/>
          </w:r>
          <w:r>
            <w:rPr>
              <w:b/>
              <w:bCs/>
              <w:sz w:val="24"/>
              <w:szCs w:val="24"/>
              <w:highlight w:val="none"/>
            </w:rPr>
            <w:fldChar w:fldCharType="begin"/>
          </w:r>
          <w:r>
            <w:rPr>
              <w:b/>
              <w:bCs/>
              <w:sz w:val="24"/>
              <w:szCs w:val="24"/>
              <w:highlight w:val="none"/>
            </w:rPr>
            <w:instrText xml:space="preserve"> PAGEREF _Toc4406 \h </w:instrText>
          </w:r>
          <w:r>
            <w:rPr>
              <w:b/>
              <w:bCs/>
              <w:sz w:val="24"/>
              <w:szCs w:val="24"/>
              <w:highlight w:val="none"/>
            </w:rPr>
            <w:fldChar w:fldCharType="separate"/>
          </w:r>
          <w:r>
            <w:rPr>
              <w:b/>
              <w:bCs/>
              <w:sz w:val="24"/>
              <w:szCs w:val="24"/>
              <w:highlight w:val="none"/>
            </w:rPr>
            <w:t>22</w:t>
          </w:r>
          <w:r>
            <w:rPr>
              <w:b/>
              <w:bCs/>
              <w:sz w:val="24"/>
              <w:szCs w:val="24"/>
              <w:highlight w:val="none"/>
            </w:rPr>
            <w:fldChar w:fldCharType="end"/>
          </w:r>
          <w:r>
            <w:rPr>
              <w:rFonts w:hint="eastAsia" w:eastAsia="宋体"/>
              <w:b/>
              <w:bCs/>
              <w:sz w:val="24"/>
              <w:szCs w:val="24"/>
              <w:highlight w:val="none"/>
              <w:lang w:eastAsia="zh-CN"/>
            </w:rPr>
            <w:fldChar w:fldCharType="end"/>
          </w:r>
        </w:p>
        <w:p>
          <w:pPr>
            <w:pStyle w:val="10"/>
            <w:tabs>
              <w:tab w:val="right" w:leader="dot" w:pos="8306"/>
            </w:tabs>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_Toc11803 </w:instrText>
          </w:r>
          <w:r>
            <w:rPr>
              <w:rFonts w:hint="eastAsia" w:eastAsia="宋体"/>
              <w:b/>
              <w:bCs/>
              <w:sz w:val="24"/>
              <w:szCs w:val="24"/>
              <w:highlight w:val="none"/>
              <w:lang w:eastAsia="zh-CN"/>
            </w:rPr>
            <w:fldChar w:fldCharType="separate"/>
          </w:r>
          <w:r>
            <w:rPr>
              <w:rFonts w:hint="eastAsia"/>
              <w:b/>
              <w:bCs/>
              <w:sz w:val="24"/>
              <w:szCs w:val="24"/>
              <w:highlight w:val="none"/>
              <w:lang w:eastAsia="zh-CN"/>
            </w:rPr>
            <w:t>七、保证措施及</w:t>
          </w:r>
          <w:r>
            <w:rPr>
              <w:rFonts w:hint="eastAsia"/>
              <w:b/>
              <w:bCs/>
              <w:sz w:val="24"/>
              <w:szCs w:val="24"/>
              <w:highlight w:val="none"/>
            </w:rPr>
            <w:t>效益分析</w:t>
          </w:r>
          <w:r>
            <w:rPr>
              <w:b/>
              <w:bCs/>
              <w:sz w:val="24"/>
              <w:szCs w:val="24"/>
              <w:highlight w:val="none"/>
            </w:rPr>
            <w:tab/>
          </w:r>
          <w:r>
            <w:rPr>
              <w:b/>
              <w:bCs/>
              <w:sz w:val="24"/>
              <w:szCs w:val="24"/>
              <w:highlight w:val="none"/>
            </w:rPr>
            <w:fldChar w:fldCharType="begin"/>
          </w:r>
          <w:r>
            <w:rPr>
              <w:b/>
              <w:bCs/>
              <w:sz w:val="24"/>
              <w:szCs w:val="24"/>
              <w:highlight w:val="none"/>
            </w:rPr>
            <w:instrText xml:space="preserve"> PAGEREF _Toc11803 \h </w:instrText>
          </w:r>
          <w:r>
            <w:rPr>
              <w:b/>
              <w:bCs/>
              <w:sz w:val="24"/>
              <w:szCs w:val="24"/>
              <w:highlight w:val="none"/>
            </w:rPr>
            <w:fldChar w:fldCharType="separate"/>
          </w:r>
          <w:r>
            <w:rPr>
              <w:b/>
              <w:bCs/>
              <w:sz w:val="24"/>
              <w:szCs w:val="24"/>
              <w:highlight w:val="none"/>
            </w:rPr>
            <w:t>23</w:t>
          </w:r>
          <w:r>
            <w:rPr>
              <w:b/>
              <w:bCs/>
              <w:sz w:val="24"/>
              <w:szCs w:val="24"/>
              <w:highlight w:val="none"/>
            </w:rPr>
            <w:fldChar w:fldCharType="end"/>
          </w:r>
          <w:r>
            <w:rPr>
              <w:rFonts w:hint="eastAsia" w:eastAsia="宋体"/>
              <w:b/>
              <w:bCs/>
              <w:sz w:val="24"/>
              <w:szCs w:val="24"/>
              <w:highlight w:val="none"/>
              <w:lang w:eastAsia="zh-CN"/>
            </w:rPr>
            <w:fldChar w:fldCharType="end"/>
          </w:r>
        </w:p>
        <w:p>
          <w:pPr>
            <w:pStyle w:val="2"/>
            <w:ind w:left="0" w:leftChars="0" w:firstLine="0" w:firstLineChars="0"/>
            <w:rPr>
              <w:rFonts w:hint="eastAsia" w:eastAsia="宋体"/>
              <w:lang w:eastAsia="zh-CN"/>
            </w:rPr>
          </w:pPr>
          <w:r>
            <w:rPr>
              <w:rFonts w:hint="eastAsia" w:eastAsia="宋体"/>
              <w:lang w:eastAsia="zh-CN"/>
            </w:rPr>
            <w:fldChar w:fldCharType="end"/>
          </w:r>
        </w:p>
      </w:sdtContent>
    </w:sdt>
    <w:p>
      <w:pPr>
        <w:pStyle w:val="10"/>
        <w:tabs>
          <w:tab w:val="right" w:leader="dot" w:pos="9298"/>
        </w:tabs>
        <w:spacing w:line="336" w:lineRule="auto"/>
        <w:ind w:firstLine="482"/>
        <w:rPr>
          <w:rFonts w:hint="eastAsia" w:ascii="宋体" w:hAnsi="宋体" w:cs="仿宋_GB2312"/>
          <w:b/>
          <w:bCs/>
          <w:color w:val="auto"/>
          <w:sz w:val="24"/>
          <w:szCs w:val="24"/>
          <w:lang w:val="zh-CN"/>
        </w:rPr>
      </w:pPr>
      <w:r>
        <w:rPr>
          <w:rFonts w:hint="eastAsia" w:ascii="宋体" w:hAnsi="宋体" w:cs="仿宋_GB2312"/>
          <w:b/>
          <w:bCs/>
          <w:color w:val="auto"/>
          <w:sz w:val="24"/>
          <w:szCs w:val="24"/>
          <w:lang w:val="zh-CN"/>
        </w:rPr>
        <w:t>附 图：</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auto"/>
          <w:sz w:val="24"/>
          <w:szCs w:val="24"/>
          <w:lang w:val="en-US" w:eastAsia="zh-CN"/>
        </w:rPr>
      </w:pPr>
      <w:r>
        <w:rPr>
          <w:rFonts w:hint="default"/>
          <w:color w:val="auto"/>
          <w:sz w:val="24"/>
          <w:szCs w:val="24"/>
        </w:rPr>
        <w:t>1、</w:t>
      </w:r>
      <w:r>
        <w:rPr>
          <w:rFonts w:hint="default"/>
          <w:color w:val="auto"/>
          <w:sz w:val="24"/>
          <w:szCs w:val="24"/>
          <w:lang w:val="en-US" w:eastAsia="zh-CN"/>
        </w:rPr>
        <w:t>中石化绿源地热能（陕西）开发有限公司文热4地热区块</w:t>
      </w:r>
      <w:r>
        <w:rPr>
          <w:rFonts w:hint="default"/>
          <w:color w:val="auto"/>
          <w:sz w:val="24"/>
          <w:szCs w:val="24"/>
        </w:rPr>
        <w:t>矿山地质环境保护与恢复治理部署图</w:t>
      </w:r>
      <w:r>
        <w:rPr>
          <w:rFonts w:hint="default"/>
          <w:color w:val="auto"/>
          <w:sz w:val="24"/>
          <w:szCs w:val="24"/>
          <w:lang w:val="en-US" w:eastAsia="zh-CN"/>
        </w:rPr>
        <w:t xml:space="preserve">  1:10000</w:t>
      </w:r>
    </w:p>
    <w:p>
      <w:pPr>
        <w:pStyle w:val="10"/>
        <w:tabs>
          <w:tab w:val="right" w:leader="dot" w:pos="9298"/>
        </w:tabs>
        <w:spacing w:line="336" w:lineRule="auto"/>
        <w:ind w:firstLine="482"/>
        <w:rPr>
          <w:color w:val="auto"/>
          <w:sz w:val="24"/>
          <w:szCs w:val="24"/>
        </w:rPr>
      </w:pPr>
      <w:r>
        <w:rPr>
          <w:b/>
          <w:bCs/>
          <w:color w:val="auto"/>
          <w:sz w:val="24"/>
          <w:szCs w:val="24"/>
        </w:rPr>
        <w:t>附</w:t>
      </w:r>
      <w:r>
        <w:rPr>
          <w:rFonts w:hint="eastAsia"/>
          <w:b/>
          <w:bCs/>
          <w:color w:val="auto"/>
          <w:sz w:val="24"/>
          <w:szCs w:val="24"/>
          <w:lang w:val="en-US" w:eastAsia="zh-CN"/>
        </w:rPr>
        <w:t xml:space="preserve"> </w:t>
      </w:r>
      <w:r>
        <w:rPr>
          <w:b/>
          <w:bCs/>
          <w:color w:val="auto"/>
          <w:sz w:val="24"/>
          <w:szCs w:val="24"/>
        </w:rPr>
        <w:t>表</w:t>
      </w:r>
      <w:r>
        <w:rPr>
          <w:color w:val="auto"/>
          <w:sz w:val="24"/>
          <w:szCs w:val="24"/>
        </w:rPr>
        <w:t>：</w:t>
      </w:r>
    </w:p>
    <w:p>
      <w:pPr>
        <w:pStyle w:val="10"/>
        <w:tabs>
          <w:tab w:val="right" w:leader="dot" w:pos="9298"/>
        </w:tabs>
        <w:spacing w:line="336" w:lineRule="auto"/>
        <w:ind w:firstLine="482"/>
      </w:pPr>
      <w:r>
        <w:rPr>
          <w:rFonts w:hint="eastAsia"/>
          <w:color w:val="auto"/>
          <w:sz w:val="24"/>
          <w:szCs w:val="24"/>
          <w:lang w:val="en-US" w:eastAsia="zh-CN"/>
        </w:rPr>
        <w:t>1、</w:t>
      </w:r>
      <w:r>
        <w:rPr>
          <w:b w:val="0"/>
          <w:bCs w:val="0"/>
          <w:color w:val="auto"/>
          <w:sz w:val="24"/>
          <w:szCs w:val="24"/>
        </w:rPr>
        <w:t>矿山地质环境现状调查表</w:t>
      </w:r>
    </w:p>
    <w:p>
      <w:pPr>
        <w:pStyle w:val="10"/>
        <w:tabs>
          <w:tab w:val="right" w:leader="dot" w:pos="9298"/>
        </w:tabs>
        <w:spacing w:line="336" w:lineRule="auto"/>
        <w:ind w:firstLine="482"/>
        <w:rPr>
          <w:rFonts w:hint="eastAsia"/>
          <w:color w:val="auto"/>
          <w:sz w:val="24"/>
          <w:szCs w:val="24"/>
        </w:rPr>
      </w:pPr>
      <w:r>
        <w:rPr>
          <w:rFonts w:hint="eastAsia"/>
          <w:b/>
          <w:bCs/>
          <w:color w:val="auto"/>
          <w:sz w:val="24"/>
          <w:szCs w:val="24"/>
        </w:rPr>
        <w:t>附</w:t>
      </w:r>
      <w:r>
        <w:rPr>
          <w:rFonts w:hint="eastAsia"/>
          <w:b/>
          <w:bCs/>
          <w:color w:val="auto"/>
          <w:sz w:val="24"/>
          <w:szCs w:val="24"/>
          <w:lang w:val="en-US" w:eastAsia="zh-CN"/>
        </w:rPr>
        <w:t xml:space="preserve"> </w:t>
      </w:r>
      <w:r>
        <w:rPr>
          <w:rFonts w:hint="eastAsia"/>
          <w:b/>
          <w:bCs/>
          <w:color w:val="auto"/>
          <w:sz w:val="24"/>
          <w:szCs w:val="24"/>
          <w:lang w:eastAsia="zh-CN"/>
        </w:rPr>
        <w:t>件</w:t>
      </w:r>
      <w:r>
        <w:rPr>
          <w:rFonts w:hint="eastAsia"/>
          <w:color w:val="auto"/>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color w:val="auto"/>
          <w:sz w:val="24"/>
          <w:szCs w:val="24"/>
        </w:rPr>
        <w:t>1、委托书</w:t>
      </w:r>
      <w:r>
        <w:rPr>
          <w:rFonts w:hint="eastAsia"/>
          <w:color w:val="auto"/>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lang w:eastAsia="zh-CN"/>
        </w:rPr>
      </w:pPr>
      <w:r>
        <w:rPr>
          <w:rFonts w:hint="eastAsia"/>
          <w:color w:val="auto"/>
          <w:sz w:val="24"/>
          <w:szCs w:val="24"/>
        </w:rPr>
        <w:t>2、</w:t>
      </w:r>
      <w:r>
        <w:rPr>
          <w:rFonts w:hint="eastAsia"/>
          <w:color w:val="auto"/>
          <w:sz w:val="24"/>
          <w:szCs w:val="24"/>
          <w:lang w:eastAsia="zh-CN"/>
        </w:rPr>
        <w:t>矿权人营业执照；</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rFonts w:hint="eastAsia"/>
          <w:color w:val="auto"/>
          <w:sz w:val="24"/>
          <w:szCs w:val="24"/>
          <w:lang w:val="en-US" w:eastAsia="zh-CN"/>
        </w:rPr>
        <w:t>3、</w:t>
      </w:r>
      <w:r>
        <w:rPr>
          <w:rFonts w:hint="eastAsia"/>
          <w:color w:val="auto"/>
          <w:sz w:val="24"/>
          <w:szCs w:val="24"/>
        </w:rPr>
        <w:t>采矿许可证；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rFonts w:hint="eastAsia"/>
          <w:color w:val="auto"/>
          <w:sz w:val="24"/>
          <w:szCs w:val="24"/>
          <w:lang w:val="en-US" w:eastAsia="zh-CN"/>
        </w:rPr>
        <w:t>4</w:t>
      </w:r>
      <w:r>
        <w:rPr>
          <w:color w:val="auto"/>
          <w:sz w:val="24"/>
          <w:szCs w:val="24"/>
        </w:rPr>
        <w:t>、《关于&lt;</w:t>
      </w:r>
      <w:r>
        <w:rPr>
          <w:rFonts w:hint="eastAsia"/>
          <w:color w:val="auto"/>
          <w:sz w:val="24"/>
          <w:szCs w:val="24"/>
          <w:lang w:eastAsia="zh-CN"/>
        </w:rPr>
        <w:t>开发利用方案</w:t>
      </w:r>
      <w:r>
        <w:rPr>
          <w:color w:val="auto"/>
          <w:sz w:val="24"/>
          <w:szCs w:val="24"/>
        </w:rPr>
        <w:t>&gt;</w:t>
      </w:r>
      <w:r>
        <w:rPr>
          <w:rFonts w:hint="eastAsia"/>
          <w:color w:val="auto"/>
          <w:sz w:val="24"/>
          <w:szCs w:val="24"/>
          <w:lang w:val="en-US" w:eastAsia="zh-CN"/>
        </w:rPr>
        <w:t>的</w:t>
      </w:r>
      <w:r>
        <w:rPr>
          <w:color w:val="auto"/>
          <w:sz w:val="24"/>
          <w:szCs w:val="24"/>
        </w:rPr>
        <w:t>审查意见》</w:t>
      </w:r>
      <w:r>
        <w:rPr>
          <w:rFonts w:hint="eastAsia"/>
          <w:color w:val="auto"/>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auto"/>
          <w:sz w:val="24"/>
          <w:szCs w:val="24"/>
          <w:lang w:val="en-US" w:eastAsia="zh-CN"/>
        </w:rPr>
      </w:pPr>
      <w:r>
        <w:rPr>
          <w:rFonts w:hint="eastAsia"/>
          <w:color w:val="auto"/>
          <w:sz w:val="24"/>
          <w:szCs w:val="24"/>
          <w:lang w:val="en-US" w:eastAsia="zh-CN"/>
        </w:rPr>
        <w:t>5、《关于</w:t>
      </w:r>
      <w:r>
        <w:rPr>
          <w:color w:val="auto"/>
          <w:sz w:val="24"/>
          <w:szCs w:val="24"/>
        </w:rPr>
        <w:t>&lt;</w:t>
      </w:r>
      <w:r>
        <w:rPr>
          <w:rFonts w:hint="eastAsia"/>
          <w:color w:val="auto"/>
          <w:sz w:val="24"/>
          <w:szCs w:val="24"/>
          <w:lang w:val="en-US" w:eastAsia="zh-CN"/>
        </w:rPr>
        <w:t>矿山地质环境保护与恢复治理方案</w:t>
      </w:r>
      <w:r>
        <w:rPr>
          <w:color w:val="auto"/>
          <w:sz w:val="24"/>
          <w:szCs w:val="24"/>
        </w:rPr>
        <w:t>&gt;</w:t>
      </w:r>
      <w:r>
        <w:rPr>
          <w:rFonts w:hint="eastAsia"/>
          <w:color w:val="auto"/>
          <w:sz w:val="24"/>
          <w:szCs w:val="24"/>
          <w:lang w:val="en-US" w:eastAsia="zh-CN"/>
        </w:rPr>
        <w:t>的审查意见》；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auto"/>
          <w:sz w:val="24"/>
          <w:szCs w:val="24"/>
          <w:lang w:val="en-US" w:eastAsia="zh-CN"/>
        </w:rPr>
      </w:pPr>
      <w:r>
        <w:rPr>
          <w:rFonts w:hint="eastAsia"/>
          <w:color w:val="auto"/>
          <w:sz w:val="24"/>
          <w:szCs w:val="24"/>
          <w:lang w:val="en-US" w:eastAsia="zh-CN"/>
        </w:rPr>
        <w:t>6、《关于</w:t>
      </w:r>
      <w:r>
        <w:rPr>
          <w:color w:val="auto"/>
          <w:sz w:val="24"/>
          <w:szCs w:val="24"/>
        </w:rPr>
        <w:t>&lt;</w:t>
      </w:r>
      <w:r>
        <w:rPr>
          <w:rFonts w:hint="eastAsia"/>
          <w:color w:val="auto"/>
          <w:sz w:val="24"/>
          <w:szCs w:val="24"/>
          <w:lang w:val="en-US" w:eastAsia="zh-CN"/>
        </w:rPr>
        <w:t>储量核实报告</w:t>
      </w:r>
      <w:r>
        <w:rPr>
          <w:color w:val="auto"/>
          <w:sz w:val="24"/>
          <w:szCs w:val="24"/>
        </w:rPr>
        <w:t>&gt;</w:t>
      </w:r>
      <w:r>
        <w:rPr>
          <w:rFonts w:hint="eastAsia"/>
          <w:color w:val="auto"/>
          <w:sz w:val="24"/>
          <w:szCs w:val="24"/>
          <w:lang w:val="en-US" w:eastAsia="zh-CN"/>
        </w:rPr>
        <w:t>的审查意见》；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rFonts w:hint="eastAsia"/>
          <w:color w:val="auto"/>
          <w:sz w:val="24"/>
          <w:szCs w:val="24"/>
          <w:lang w:val="en-US" w:eastAsia="zh-CN"/>
        </w:rPr>
        <w:t>7</w:t>
      </w:r>
      <w:r>
        <w:rPr>
          <w:rFonts w:hint="eastAsia"/>
          <w:color w:val="auto"/>
          <w:sz w:val="24"/>
          <w:szCs w:val="24"/>
        </w:rPr>
        <w:t>、地热</w:t>
      </w:r>
      <w:r>
        <w:rPr>
          <w:rFonts w:hint="eastAsia"/>
          <w:color w:val="auto"/>
          <w:sz w:val="24"/>
          <w:szCs w:val="24"/>
          <w:lang w:eastAsia="zh-CN"/>
        </w:rPr>
        <w:t>井</w:t>
      </w:r>
      <w:r>
        <w:rPr>
          <w:rFonts w:hint="eastAsia"/>
          <w:color w:val="auto"/>
          <w:sz w:val="24"/>
          <w:szCs w:val="24"/>
        </w:rPr>
        <w:t>水质检验报告；</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lang w:val="en-US" w:eastAsia="zh-CN"/>
        </w:rPr>
      </w:pPr>
      <w:r>
        <w:rPr>
          <w:rFonts w:hint="eastAsia"/>
          <w:color w:val="auto"/>
          <w:sz w:val="24"/>
          <w:szCs w:val="24"/>
          <w:lang w:val="en-US" w:eastAsia="zh-CN"/>
        </w:rPr>
        <w:t>8</w:t>
      </w:r>
      <w:r>
        <w:rPr>
          <w:rFonts w:hint="eastAsia"/>
          <w:color w:val="auto"/>
          <w:sz w:val="24"/>
          <w:szCs w:val="24"/>
        </w:rPr>
        <w:t>、</w:t>
      </w:r>
      <w:r>
        <w:rPr>
          <w:rFonts w:hint="eastAsia"/>
          <w:color w:val="auto"/>
          <w:sz w:val="24"/>
          <w:szCs w:val="24"/>
          <w:lang w:val="en-US" w:eastAsia="zh-CN"/>
        </w:rPr>
        <w:t>公众参与调查表；</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lang w:val="en-US" w:eastAsia="zh-CN"/>
        </w:rPr>
      </w:pPr>
      <w:r>
        <w:rPr>
          <w:rFonts w:hint="eastAsia"/>
          <w:color w:val="auto"/>
          <w:sz w:val="24"/>
          <w:szCs w:val="24"/>
          <w:lang w:val="en-US" w:eastAsia="zh-CN"/>
        </w:rPr>
        <w:t>9、编制单位内审意见；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auto"/>
          <w:sz w:val="24"/>
          <w:szCs w:val="24"/>
          <w:lang w:val="en-US" w:eastAsia="zh-CN"/>
        </w:rPr>
      </w:pPr>
      <w:r>
        <w:rPr>
          <w:rFonts w:hint="eastAsia"/>
          <w:color w:val="auto"/>
          <w:sz w:val="24"/>
          <w:szCs w:val="24"/>
          <w:lang w:val="en-US" w:eastAsia="zh-CN"/>
        </w:rPr>
        <w:t>10、基金监管协议。</w:t>
      </w:r>
    </w:p>
    <w:p>
      <w:pPr>
        <w:pStyle w:val="2"/>
        <w:ind w:left="0" w:leftChars="0" w:firstLine="0" w:firstLineChars="0"/>
        <w:rPr>
          <w:rFonts w:hint="eastAsia" w:eastAsia="宋体"/>
          <w:lang w:eastAsia="zh-CN"/>
        </w:rPr>
      </w:pPr>
    </w:p>
    <w:p>
      <w:pPr>
        <w:pStyle w:val="3"/>
        <w:bidi w:val="0"/>
        <w:outlineLvl w:val="9"/>
        <w:rPr>
          <w:rFonts w:hint="eastAsia"/>
          <w:color w:val="0D0D0D" w:themeColor="text1" w:themeTint="F2"/>
          <w:lang w:val="en-US" w:eastAsia="zh-CN"/>
          <w14:textFill>
            <w14:solidFill>
              <w14:schemeClr w14:val="tx1">
                <w14:lumMod w14:val="95000"/>
                <w14:lumOff w14:val="5000"/>
              </w14:schemeClr>
            </w14:solidFill>
          </w14:textFill>
        </w:rPr>
        <w:sectPr>
          <w:footerReference r:id="rId5" w:type="default"/>
          <w:pgSz w:w="11906" w:h="16838"/>
          <w:pgMar w:top="1440" w:right="1800" w:bottom="1440" w:left="1800" w:header="851" w:footer="992" w:gutter="0"/>
          <w:cols w:space="425" w:num="1"/>
          <w:docGrid w:type="lines" w:linePitch="312"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4" w:hRule="atLeast"/>
        </w:trPr>
        <w:tc>
          <w:tcPr>
            <w:tcW w:w="8522" w:type="dxa"/>
          </w:tcPr>
          <w:p>
            <w:pPr>
              <w:pStyle w:val="3"/>
              <w:numPr>
                <w:ilvl w:val="0"/>
                <w:numId w:val="0"/>
              </w:numPr>
              <w:bidi w:val="0"/>
              <w:rPr>
                <w:rFonts w:hint="eastAsia"/>
                <w:lang w:val="en-US" w:eastAsia="zh-CN"/>
              </w:rPr>
            </w:pPr>
            <w:bookmarkStart w:id="24" w:name="_Toc23771"/>
            <w:r>
              <w:rPr>
                <w:rFonts w:hint="eastAsia"/>
                <w:lang w:val="en-US" w:eastAsia="zh-CN"/>
              </w:rPr>
              <w:t>前言</w:t>
            </w:r>
            <w:bookmarkEnd w:id="24"/>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lang w:val="en-US" w:eastAsia="zh-CN"/>
              </w:rPr>
            </w:pPr>
            <w:r>
              <w:rPr>
                <w:rFonts w:hint="eastAsia"/>
                <w:lang w:val="en-US" w:eastAsia="zh-CN"/>
              </w:rPr>
              <w:t>（一）任务由来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中石化绿源地热能（陕西）开发有限公司是中国石化集团新星石油公司与极地绿色能源集团共同投资组建的中外合资企业，是中石化绿源地热能开发有限公司在陕全资子公司，主要经营地热资源的开发利用。文热4地热区块采矿权人为中石化绿源地热能（陕西）开发有限公司，为生产矿山，采矿许可证有效期为2021年10月27日至2022年10月27日。开采矿种为地热，采矿许可证批准的生产规模16.00万m</w:t>
            </w:r>
            <w:r>
              <w:rPr>
                <w:rFonts w:hint="eastAsia"/>
                <w:vertAlign w:val="superscript"/>
                <w:lang w:val="en-US" w:eastAsia="zh-CN"/>
              </w:rPr>
              <w:t>3</w:t>
            </w:r>
            <w:r>
              <w:rPr>
                <w:rFonts w:hint="eastAsia"/>
                <w:lang w:val="en-US" w:eastAsia="zh-CN"/>
              </w:rPr>
              <w:t>/a，矿区面积0.16km</w:t>
            </w:r>
            <w:r>
              <w:rPr>
                <w:rFonts w:hint="eastAsia"/>
                <w:vertAlign w:val="superscript"/>
                <w:lang w:val="en-US" w:eastAsia="zh-CN"/>
              </w:rPr>
              <w:t>2</w:t>
            </w:r>
            <w:r>
              <w:rPr>
                <w:rFonts w:hint="eastAsia"/>
                <w:lang w:val="en-US" w:eastAsia="zh-CN"/>
              </w:rPr>
              <w:t>。</w:t>
            </w:r>
          </w:p>
          <w:p>
            <w:pPr>
              <w:pStyle w:val="13"/>
              <w:keepNext w:val="0"/>
              <w:keepLines w:val="0"/>
              <w:pageBreakBefore w:val="0"/>
              <w:widowControl w:val="0"/>
              <w:kinsoku/>
              <w:wordWrap/>
              <w:overflowPunct/>
              <w:topLinePunct w:val="0"/>
              <w:autoSpaceDE/>
              <w:autoSpaceDN/>
              <w:bidi w:val="0"/>
              <w:adjustRightInd/>
              <w:snapToGrid/>
              <w:spacing w:after="0" w:line="360" w:lineRule="auto"/>
              <w:ind w:left="0" w:leftChars="0" w:firstLine="540" w:firstLineChars="225"/>
              <w:textAlignment w:val="auto"/>
              <w:rPr>
                <w:rFonts w:hint="eastAsia"/>
                <w:lang w:val="en-US" w:eastAsia="zh-CN"/>
              </w:rPr>
            </w:pPr>
            <w:r>
              <w:rPr>
                <w:rFonts w:ascii="Times New Roman" w:hAnsi="Times New Roman" w:cs="Times New Roman"/>
                <w:color w:val="000000" w:themeColor="text1"/>
                <w:sz w:val="24"/>
                <w:szCs w:val="24"/>
                <w:lang w:val="zh-TW"/>
                <w14:textFill>
                  <w14:solidFill>
                    <w14:schemeClr w14:val="tx1"/>
                  </w14:solidFill>
                </w14:textFill>
              </w:rPr>
              <w:t>为</w:t>
            </w:r>
            <w:r>
              <w:rPr>
                <w:rFonts w:hint="eastAsia" w:ascii="Times New Roman" w:hAnsi="Times New Roman" w:cs="Times New Roman"/>
                <w:color w:val="000000" w:themeColor="text1"/>
                <w:sz w:val="24"/>
                <w:szCs w:val="24"/>
                <w:lang w:val="zh-TW" w:eastAsia="zh-CN"/>
                <w14:textFill>
                  <w14:solidFill>
                    <w14:schemeClr w14:val="tx1"/>
                  </w14:solidFill>
                </w14:textFill>
              </w:rPr>
              <w:t>进一步</w:t>
            </w:r>
            <w:r>
              <w:rPr>
                <w:rFonts w:ascii="Times New Roman" w:hAnsi="Times New Roman" w:cs="Times New Roman"/>
                <w:color w:val="000000" w:themeColor="text1"/>
                <w:sz w:val="24"/>
                <w:szCs w:val="24"/>
                <w:lang w:val="zh-TW"/>
                <w14:textFill>
                  <w14:solidFill>
                    <w14:schemeClr w14:val="tx1"/>
                  </w14:solidFill>
                </w14:textFill>
              </w:rPr>
              <w:t>落实矿山地质环境保护与</w:t>
            </w:r>
            <w:r>
              <w:rPr>
                <w:rFonts w:hint="eastAsia" w:cs="Times New Roman"/>
                <w:color w:val="000000" w:themeColor="text1"/>
                <w:sz w:val="24"/>
                <w:szCs w:val="24"/>
                <w:lang w:val="zh-TW" w:eastAsia="zh-CN"/>
                <w14:textFill>
                  <w14:solidFill>
                    <w14:schemeClr w14:val="tx1"/>
                  </w14:solidFill>
                </w14:textFill>
              </w:rPr>
              <w:t>恢复治理</w:t>
            </w:r>
            <w:r>
              <w:rPr>
                <w:rFonts w:ascii="Times New Roman" w:hAnsi="Times New Roman" w:cs="Times New Roman"/>
                <w:color w:val="000000" w:themeColor="text1"/>
                <w:sz w:val="24"/>
                <w:szCs w:val="24"/>
                <w:lang w:val="zh-TW"/>
                <w14:textFill>
                  <w14:solidFill>
                    <w14:schemeClr w14:val="tx1"/>
                  </w14:solidFill>
                </w14:textFill>
              </w:rPr>
              <w:t>义务，</w:t>
            </w:r>
            <w:r>
              <w:rPr>
                <w:rFonts w:hint="eastAsia" w:ascii="Times New Roman" w:hAnsi="Times New Roman" w:cs="Times New Roman"/>
                <w:color w:val="000000" w:themeColor="text1"/>
                <w:sz w:val="24"/>
                <w:szCs w:val="24"/>
                <w:lang w:val="en-US" w:eastAsia="zh-CN"/>
                <w14:textFill>
                  <w14:solidFill>
                    <w14:schemeClr w14:val="tx1"/>
                  </w14:solidFill>
                </w14:textFill>
              </w:rPr>
              <w:t>中石化绿源地热能（陕西）开发有限公司</w:t>
            </w:r>
            <w:r>
              <w:rPr>
                <w:rFonts w:ascii="Times New Roman" w:hAnsi="Times New Roman" w:cs="Times New Roman"/>
                <w:color w:val="000000" w:themeColor="text1"/>
                <w:sz w:val="24"/>
                <w:szCs w:val="24"/>
                <w:lang w:val="zh-TW"/>
                <w14:textFill>
                  <w14:solidFill>
                    <w14:schemeClr w14:val="tx1"/>
                  </w14:solidFill>
                </w14:textFill>
              </w:rPr>
              <w:t>按照</w:t>
            </w:r>
            <w:r>
              <w:rPr>
                <w:rFonts w:hint="eastAsia" w:ascii="Times New Roman" w:hAnsi="Times New Roman" w:cs="Times New Roman"/>
                <w:color w:val="000000" w:themeColor="text1"/>
                <w:sz w:val="24"/>
                <w:szCs w:val="24"/>
                <w:lang w:val="zh-TW"/>
                <w14:textFill>
                  <w14:solidFill>
                    <w14:schemeClr w14:val="tx1"/>
                  </w14:solidFill>
                </w14:textFill>
              </w:rPr>
              <w:t>《矿山地质环境保护与恢复治理方案编制规范》（DZ/T0223-2011）</w:t>
            </w:r>
            <w:r>
              <w:rPr>
                <w:rFonts w:hint="eastAsia" w:cs="Times New Roman"/>
                <w:color w:val="000000" w:themeColor="text1"/>
                <w:sz w:val="24"/>
                <w:szCs w:val="24"/>
                <w:lang w:val="zh-TW" w:eastAsia="zh-CN"/>
                <w14:textFill>
                  <w14:solidFill>
                    <w14:schemeClr w14:val="tx1"/>
                  </w14:solidFill>
                </w14:textFill>
              </w:rPr>
              <w:t>、</w:t>
            </w:r>
            <w:r>
              <w:rPr>
                <w:rFonts w:hint="eastAsia" w:ascii="Times New Roman" w:hAnsi="Times New Roman" w:cs="Times New Roman"/>
                <w:color w:val="000000" w:themeColor="text1"/>
                <w:sz w:val="24"/>
                <w:szCs w:val="24"/>
                <w:lang w:val="zh-TW"/>
                <w14:textFill>
                  <w14:solidFill>
                    <w14:schemeClr w14:val="tx1"/>
                  </w14:solidFill>
                </w14:textFill>
              </w:rPr>
              <w:t>自然</w:t>
            </w:r>
            <w:r>
              <w:rPr>
                <w:rFonts w:ascii="Times New Roman" w:hAnsi="Times New Roman" w:cs="Times New Roman"/>
                <w:color w:val="000000" w:themeColor="text1"/>
                <w:sz w:val="24"/>
                <w:szCs w:val="24"/>
                <w:lang w:val="zh-TW"/>
                <w14:textFill>
                  <w14:solidFill>
                    <w14:schemeClr w14:val="tx1"/>
                  </w14:solidFill>
                </w14:textFill>
              </w:rPr>
              <w:t>资源部《矿山地质环境保护规定》等相关法律法规</w:t>
            </w:r>
            <w:r>
              <w:rPr>
                <w:rFonts w:hint="eastAsia" w:cs="Times New Roman"/>
                <w:color w:val="000000" w:themeColor="text1"/>
                <w:sz w:val="24"/>
                <w:szCs w:val="24"/>
                <w:lang w:val="zh-TW" w:eastAsia="zh-CN"/>
                <w14:textFill>
                  <w14:solidFill>
                    <w14:schemeClr w14:val="tx1"/>
                  </w14:solidFill>
                </w14:textFill>
              </w:rPr>
              <w:t>及</w:t>
            </w:r>
            <w:r>
              <w:rPr>
                <w:rFonts w:hint="eastAsia" w:ascii="Times New Roman" w:hAnsi="Times New Roman" w:cs="Times New Roman"/>
                <w:color w:val="000000" w:themeColor="text1"/>
                <w:sz w:val="24"/>
                <w:szCs w:val="24"/>
                <w:lang w:val="zh-TW"/>
                <w14:textFill>
                  <w14:solidFill>
                    <w14:schemeClr w14:val="tx1"/>
                  </w14:solidFill>
                </w14:textFill>
              </w:rPr>
              <w:t>原</w:t>
            </w:r>
            <w:r>
              <w:rPr>
                <w:rFonts w:ascii="Times New Roman" w:hAnsi="Times New Roman" w:cs="Times New Roman"/>
                <w:color w:val="000000" w:themeColor="text1"/>
                <w:sz w:val="24"/>
                <w:szCs w:val="24"/>
                <w:lang w:val="zh-TW"/>
                <w14:textFill>
                  <w14:solidFill>
                    <w14:schemeClr w14:val="tx1"/>
                  </w14:solidFill>
                </w14:textFill>
              </w:rPr>
              <w:t>国土资源部办公厅（国土资规</w:t>
            </w:r>
            <w:r>
              <w:rPr>
                <w:rFonts w:hint="eastAsia" w:ascii="Times New Roman" w:hAnsi="Times New Roman" w:cs="Times New Roman"/>
                <w:color w:val="000000" w:themeColor="text1"/>
                <w:sz w:val="24"/>
                <w:szCs w:val="24"/>
                <w:lang w:val="zh-TW"/>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201</w:t>
            </w:r>
            <w:r>
              <w:rPr>
                <w:rFonts w:hint="eastAsia" w:ascii="Times New Roman" w:hAnsi="Times New Roman" w:cs="Times New Roman"/>
                <w:color w:val="000000" w:themeColor="text1"/>
                <w:sz w:val="24"/>
                <w:szCs w:val="24"/>
                <w:lang w:val="zh-TW"/>
                <w14:textFill>
                  <w14:solidFill>
                    <w14:schemeClr w14:val="tx1"/>
                  </w14:solidFill>
                </w14:textFill>
              </w:rPr>
              <w:t>6]</w:t>
            </w:r>
            <w:r>
              <w:rPr>
                <w:rFonts w:ascii="Times New Roman" w:hAnsi="Times New Roman" w:cs="Times New Roman"/>
                <w:color w:val="000000" w:themeColor="text1"/>
                <w:sz w:val="24"/>
                <w:szCs w:val="24"/>
                <w:lang w:val="zh-TW"/>
                <w14:textFill>
                  <w14:solidFill>
                    <w14:schemeClr w14:val="tx1"/>
                  </w14:solidFill>
                </w14:textFill>
              </w:rPr>
              <w:t>21号）</w:t>
            </w:r>
            <w:r>
              <w:rPr>
                <w:rFonts w:hint="eastAsia" w:cs="Times New Roman"/>
                <w:color w:val="000000" w:themeColor="text1"/>
                <w:sz w:val="24"/>
                <w:szCs w:val="24"/>
                <w:lang w:val="zh-TW" w:eastAsia="zh-CN"/>
                <w14:textFill>
                  <w14:solidFill>
                    <w14:schemeClr w14:val="tx1"/>
                  </w14:solidFill>
                </w14:textFill>
              </w:rPr>
              <w:t>《国土资源部办公厅关于做好矿山地质环境保护与土地复垦方案编报有关工作的通知》、</w:t>
            </w:r>
            <w:r>
              <w:rPr>
                <w:rFonts w:hint="eastAsia" w:ascii="Times New Roman" w:hAnsi="Times New Roman" w:cs="Times New Roman"/>
                <w:color w:val="000000" w:themeColor="text1"/>
                <w:sz w:val="24"/>
                <w:szCs w:val="24"/>
                <w:lang w:val="zh-TW"/>
                <w14:textFill>
                  <w14:solidFill>
                    <w14:schemeClr w14:val="tx1"/>
                  </w14:solidFill>
                </w14:textFill>
              </w:rPr>
              <w:t>原</w:t>
            </w:r>
            <w:r>
              <w:rPr>
                <w:rFonts w:ascii="Times New Roman" w:hAnsi="Times New Roman" w:cs="Times New Roman"/>
                <w:color w:val="000000" w:themeColor="text1"/>
                <w:sz w:val="24"/>
                <w:szCs w:val="24"/>
                <w:lang w:val="zh-TW"/>
                <w14:textFill>
                  <w14:solidFill>
                    <w14:schemeClr w14:val="tx1"/>
                  </w14:solidFill>
                </w14:textFill>
              </w:rPr>
              <w:t>陕西省国土资源厅（陕国资环发</w:t>
            </w:r>
            <w:r>
              <w:rPr>
                <w:rFonts w:hint="eastAsia" w:ascii="Times New Roman" w:hAnsi="Times New Roman" w:cs="Times New Roman"/>
                <w:color w:val="000000" w:themeColor="text1"/>
                <w:sz w:val="24"/>
                <w:szCs w:val="24"/>
                <w:lang w:val="zh-TW"/>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2017</w:t>
            </w:r>
            <w:r>
              <w:rPr>
                <w:rFonts w:hint="eastAsia" w:ascii="Times New Roman" w:hAnsi="Times New Roman" w:cs="Times New Roman"/>
                <w:color w:val="000000" w:themeColor="text1"/>
                <w:sz w:val="24"/>
                <w:szCs w:val="24"/>
                <w:lang w:val="zh-TW"/>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11号）</w:t>
            </w:r>
            <w:r>
              <w:rPr>
                <w:rFonts w:hint="eastAsia" w:cs="Times New Roman"/>
                <w:color w:val="000000" w:themeColor="text1"/>
                <w:sz w:val="24"/>
                <w:szCs w:val="24"/>
                <w:lang w:val="zh-TW" w:eastAsia="zh-CN"/>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关于做好矿山地质环境保护与土地复垦方案编报有关工作的通知</w:t>
            </w:r>
            <w:r>
              <w:rPr>
                <w:rFonts w:hint="eastAsia" w:cs="Times New Roman"/>
                <w:color w:val="000000" w:themeColor="text1"/>
                <w:sz w:val="24"/>
                <w:szCs w:val="24"/>
                <w:lang w:val="zh-TW" w:eastAsia="zh-CN"/>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w:t>
            </w:r>
            <w:r>
              <w:rPr>
                <w:rFonts w:hint="eastAsia"/>
                <w:lang w:val="en-US" w:eastAsia="zh-CN"/>
              </w:rPr>
              <w:t>中石化绿源地热能（陕西）开发有限公司委托陕西工程勘察研究院有限公司编制《中石化绿源地热能（陕西）开发有限公司文热4地热区块矿山地质环境保护与恢复治理方案报告表》。</w:t>
            </w:r>
          </w:p>
          <w:p>
            <w:pPr>
              <w:pStyle w:val="13"/>
              <w:keepNext w:val="0"/>
              <w:keepLines w:val="0"/>
              <w:pageBreakBefore w:val="0"/>
              <w:widowControl w:val="0"/>
              <w:kinsoku/>
              <w:wordWrap/>
              <w:overflowPunct/>
              <w:topLinePunct w:val="0"/>
              <w:autoSpaceDE/>
              <w:autoSpaceDN/>
              <w:bidi w:val="0"/>
              <w:adjustRightInd/>
              <w:snapToGrid/>
              <w:spacing w:after="0" w:line="360" w:lineRule="auto"/>
              <w:ind w:left="0" w:leftChars="0" w:firstLine="540" w:firstLineChars="225"/>
              <w:textAlignment w:val="auto"/>
              <w:rPr>
                <w:rFonts w:hint="eastAsia"/>
                <w:lang w:val="en-US" w:eastAsia="zh-CN"/>
              </w:rPr>
            </w:pPr>
            <w:r>
              <w:rPr>
                <w:rFonts w:ascii="Times New Roman" w:cs="Times New Roman"/>
                <w:snapToGrid/>
                <w:color w:val="auto"/>
                <w:sz w:val="24"/>
                <w:szCs w:val="24"/>
              </w:rPr>
              <w:t>根据</w:t>
            </w:r>
            <w:r>
              <w:rPr>
                <w:rFonts w:hint="eastAsia" w:ascii="Times New Roman" w:hAnsi="Times New Roman" w:cs="Times New Roman"/>
                <w:color w:val="000000" w:themeColor="text1"/>
                <w:sz w:val="24"/>
                <w:szCs w:val="24"/>
                <w:lang w:val="zh-TW"/>
                <w14:textFill>
                  <w14:solidFill>
                    <w14:schemeClr w14:val="tx1"/>
                  </w14:solidFill>
                </w14:textFill>
              </w:rPr>
              <w:t>《矿山地质环境保护与恢复治理方案编制规范》（DZ/T0223-2011）</w:t>
            </w:r>
            <w:r>
              <w:rPr>
                <w:rFonts w:ascii="Times New Roman" w:cs="Times New Roman"/>
                <w:snapToGrid/>
                <w:color w:val="auto"/>
                <w:sz w:val="24"/>
                <w:szCs w:val="24"/>
              </w:rPr>
              <w:t>相关要求，确定本方案的适用年限为5年。以后每5年修订一次或重新编制方案。但在适用</w:t>
            </w:r>
            <w:r>
              <w:rPr>
                <w:rFonts w:hint="eastAsia" w:ascii="Times New Roman" w:cs="Times New Roman"/>
                <w:snapToGrid/>
                <w:color w:val="auto"/>
                <w:sz w:val="24"/>
                <w:szCs w:val="24"/>
              </w:rPr>
              <w:t>期</w:t>
            </w:r>
            <w:r>
              <w:rPr>
                <w:rFonts w:ascii="Times New Roman" w:cs="Times New Roman"/>
                <w:snapToGrid/>
                <w:color w:val="auto"/>
                <w:sz w:val="24"/>
                <w:szCs w:val="24"/>
              </w:rPr>
              <w:t>年限内，若出现矿山企业变更开采规模、矿区范围或者开采方式等情况时，应当重新编制方案</w:t>
            </w:r>
            <w:r>
              <w:rPr>
                <w:rFonts w:hint="eastAsia" w:cs="Times New Roman"/>
                <w:snapToGrid/>
                <w:color w:val="auto"/>
                <w:sz w:val="24"/>
                <w:szCs w:val="24"/>
                <w:lang w:eastAsia="zh-CN"/>
              </w:rPr>
              <w:t>，</w:t>
            </w:r>
            <w:r>
              <w:rPr>
                <w:rFonts w:ascii="Times New Roman" w:cs="Times New Roman"/>
                <w:snapToGrid/>
                <w:color w:val="auto"/>
                <w:sz w:val="24"/>
                <w:szCs w:val="24"/>
              </w:rPr>
              <w:t>同时本方案不代替相关工程勘察、治理设计。</w:t>
            </w:r>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lang w:val="en-US" w:eastAsia="zh-CN"/>
              </w:rPr>
            </w:pPr>
            <w:r>
              <w:rPr>
                <w:rFonts w:hint="eastAsia"/>
                <w:lang w:val="en-US" w:eastAsia="zh-CN"/>
              </w:rPr>
              <w:t>（二）编制目的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1、为建设绿色矿山，积极贯彻《矿山地质环境保护规定》。规范地热资源开采，避免资源浪费，有效解决开发过程中的地质环境等问题，保护和改善区域生活环境和生态环境。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2、按照“预防为主、防治结合，谁开发谁保护、谁破坏谁治理、谁投资谁受益”及“谁损毁、谁复垦”的原则，保证中石化绿源地热能（陕西）开发有限公司文热4地热区块地热资源开采中的矿山地质环境保护与恢复治理义务的落实，实现资源开发与环境保护可持续性的协调发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3、通过预测地热资源开采是否对当地生态环境造成的不良影响，合理规划设计，制定针对性的治理措施，最大限度减缓对矿山地质环境的影响、节约利用土地资源，保护耕地资源。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4、为自然资源主管部门监督管理矿山企业矿山地质环境保护与恢复治理工作落实情况提供依据。</w:t>
            </w:r>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lang w:val="en-US" w:eastAsia="zh-CN"/>
              </w:rPr>
            </w:pPr>
            <w:r>
              <w:rPr>
                <w:rFonts w:hint="eastAsia"/>
                <w:lang w:val="en-US" w:eastAsia="zh-CN"/>
              </w:rPr>
              <w:t>（三）编制依据</w:t>
            </w:r>
          </w:p>
          <w:p>
            <w:pPr>
              <w:spacing w:line="360" w:lineRule="auto"/>
              <w:ind w:firstLine="480"/>
            </w:pPr>
            <w:r>
              <w:rPr>
                <w:rFonts w:hint="eastAsia"/>
                <w:lang w:val="en-US" w:eastAsia="zh-CN"/>
              </w:rPr>
              <w:t>1、</w:t>
            </w:r>
            <w:r>
              <w:rPr>
                <w:rFonts w:hint="eastAsia"/>
              </w:rPr>
              <w:t>《国务院关于加强地质灾害防治工作的决定》，国发[2011]20号；</w:t>
            </w:r>
          </w:p>
          <w:p>
            <w:pPr>
              <w:spacing w:line="360" w:lineRule="auto"/>
              <w:ind w:firstLine="480"/>
            </w:pPr>
            <w:r>
              <w:rPr>
                <w:rFonts w:hint="eastAsia"/>
                <w:lang w:val="en-US" w:eastAsia="zh-CN"/>
              </w:rPr>
              <w:t>2、</w:t>
            </w:r>
            <w:r>
              <w:t>国土资源部办公厅《关于做好矿山地质环境保护与土地复垦方案编制有关工作的通知》及</w:t>
            </w:r>
            <w:r>
              <w:rPr>
                <w:rFonts w:hint="eastAsia"/>
                <w:lang w:eastAsia="zh-CN"/>
              </w:rPr>
              <w:t>《</w:t>
            </w:r>
            <w:r>
              <w:t>矿山地质环境保护与土地复垦方案编制指南</w:t>
            </w:r>
            <w:r>
              <w:rPr>
                <w:rFonts w:hint="eastAsia"/>
                <w:lang w:eastAsia="zh-CN"/>
              </w:rPr>
              <w:t>》</w:t>
            </w:r>
            <w:r>
              <w:t>，</w:t>
            </w:r>
            <w:bookmarkStart w:id="25" w:name="OLE_LINK5"/>
            <w:bookmarkStart w:id="26" w:name="OLE_LINK6"/>
            <w:r>
              <w:t>国土资规[2016]21号，2017年1月3日；</w:t>
            </w:r>
            <w:bookmarkEnd w:id="25"/>
            <w:bookmarkEnd w:id="26"/>
          </w:p>
          <w:p>
            <w:pPr>
              <w:spacing w:line="360" w:lineRule="auto"/>
              <w:ind w:firstLine="480"/>
            </w:pPr>
            <w:r>
              <w:rPr>
                <w:rFonts w:hint="eastAsia"/>
                <w:lang w:val="en-US" w:eastAsia="zh-CN"/>
              </w:rPr>
              <w:t>3、</w:t>
            </w:r>
            <w:r>
              <w:t>陕西省国土资源厅《关于做好矿山地质环境保护与土地复垦方案编制有关工作的通知》，陕国土资环发[2017]11号，2017年2月20日；</w:t>
            </w:r>
          </w:p>
          <w:p>
            <w:pPr>
              <w:spacing w:line="360" w:lineRule="auto"/>
              <w:ind w:firstLine="480"/>
            </w:pPr>
            <w:r>
              <w:rPr>
                <w:rFonts w:hint="eastAsia"/>
                <w:lang w:val="en-US" w:eastAsia="zh-CN"/>
              </w:rPr>
              <w:t>4、</w:t>
            </w:r>
            <w:r>
              <w:t>《关于加快建设绿色矿山的实施意见》，国土资规[2017]4号，国土资源部、财政部、环境保护部、国家质量监督检验检疫总局、中国银行业监督管理委员会、中国证券监督管理委员会，2017年3月22日；</w:t>
            </w:r>
          </w:p>
          <w:p>
            <w:pPr>
              <w:spacing w:line="360" w:lineRule="auto"/>
              <w:ind w:firstLine="480"/>
            </w:pPr>
            <w:r>
              <w:rPr>
                <w:rFonts w:hint="eastAsia"/>
                <w:lang w:val="en-US" w:eastAsia="zh-CN"/>
              </w:rPr>
              <w:t>5、</w:t>
            </w:r>
            <w:r>
              <w:t>《陕西省关于加强矿山地质环境恢复和综合治理的实施方案》，陕国土资发[2017]19号，</w:t>
            </w:r>
            <w:r>
              <w:rPr>
                <w:rFonts w:hint="eastAsia"/>
              </w:rPr>
              <w:t>原</w:t>
            </w:r>
            <w:r>
              <w:t>陕西省国土资源厅、省发展和</w:t>
            </w:r>
            <w:r>
              <w:rPr>
                <w:rFonts w:hint="eastAsia"/>
              </w:rPr>
              <w:t>改革</w:t>
            </w:r>
            <w:r>
              <w:t>委员会、省工业与信息化厅、省财政厅、省环境保护厅，2017年4月；</w:t>
            </w:r>
          </w:p>
          <w:p>
            <w:pPr>
              <w:spacing w:line="360" w:lineRule="auto"/>
              <w:ind w:firstLine="480"/>
            </w:pPr>
            <w:r>
              <w:rPr>
                <w:rFonts w:hint="eastAsia"/>
                <w:lang w:val="en-US" w:eastAsia="zh-CN"/>
              </w:rPr>
              <w:t>6、</w:t>
            </w:r>
            <w:r>
              <w:t>陕西省国土资源厅《关于加快矿山地质环境保护与土地复垦工作的通知》，陕国土资发[2017]39号，2017年9月25日；</w:t>
            </w:r>
          </w:p>
          <w:p>
            <w:pPr>
              <w:spacing w:line="360" w:lineRule="auto"/>
              <w:ind w:firstLine="480"/>
            </w:pPr>
            <w:r>
              <w:rPr>
                <w:rFonts w:hint="eastAsia"/>
                <w:lang w:val="en-US" w:eastAsia="zh-CN"/>
              </w:rPr>
              <w:t>7、</w:t>
            </w:r>
            <w:r>
              <w:t>《关于取消矿山地质环境治理恢复保证金建立矿山地质环境治理恢复基金的指导意见》，财建[2017]638号，财政部、国土资源部、环境保护部，2017年11月6日；</w:t>
            </w:r>
          </w:p>
          <w:p>
            <w:pPr>
              <w:spacing w:line="360" w:lineRule="auto"/>
              <w:ind w:firstLine="480"/>
            </w:pPr>
            <w:r>
              <w:rPr>
                <w:rFonts w:hint="eastAsia"/>
                <w:lang w:val="en-US" w:eastAsia="zh-CN"/>
              </w:rPr>
              <w:t>8、</w:t>
            </w:r>
            <w:r>
              <w:t>陕西省国土资源厅《关于规范矿业权人勘察开采信息公示异常名录管理的通知》，陕国土资矿发[2018]15号，2018年4月11日；</w:t>
            </w:r>
          </w:p>
          <w:p>
            <w:pPr>
              <w:spacing w:line="360" w:lineRule="auto"/>
              <w:ind w:firstLine="480"/>
            </w:pPr>
            <w:r>
              <w:rPr>
                <w:rFonts w:hint="eastAsia"/>
                <w:lang w:val="en-US" w:eastAsia="zh-CN"/>
              </w:rPr>
              <w:t>9、</w:t>
            </w:r>
            <w:r>
              <w:t>《关于印发《陕西省矿山地质环境治理恢复与土地复垦基金实施办法》的通知》，陕国土资发[2018]92号，陕西省国土资源厅、陕西省财政厅、陕西省环境保护厅2018年7月12日；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rPr>
            </w:pPr>
            <w:r>
              <w:rPr>
                <w:rFonts w:hint="eastAsia"/>
                <w:lang w:val="en-US" w:eastAsia="zh-CN"/>
              </w:rPr>
              <w:t>10、</w:t>
            </w:r>
            <w:r>
              <w:t>陕西省国土资源厅《关于进一步落实矿山地质环境治理恢复与土地复垦基金实施办法的通知》，陕国土资发[2018]120号，2018年10月23日</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val="en-US" w:eastAsia="zh-CN"/>
              </w:rPr>
              <w:t>11、</w:t>
            </w:r>
            <w:r>
              <w:rPr>
                <w:rFonts w:hint="default"/>
              </w:rPr>
              <w:t>19</w:t>
            </w:r>
            <w:r>
              <w:rPr>
                <w:rFonts w:hint="default"/>
                <w:lang w:val="en-US" w:eastAsia="zh-CN"/>
              </w:rPr>
              <w:t>83</w:t>
            </w:r>
            <w:r>
              <w:rPr>
                <w:rFonts w:hint="default"/>
              </w:rPr>
              <w:t>年陕西省地勘局第一水文地质工程地质队提交《</w:t>
            </w:r>
            <w:r>
              <w:rPr>
                <w:rFonts w:hint="default"/>
                <w:lang w:eastAsia="zh-CN"/>
              </w:rPr>
              <w:t>咸阳市水文地质工程地质勘察报告</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val="en-US" w:eastAsia="zh-CN"/>
              </w:rPr>
              <w:t>12、</w:t>
            </w:r>
            <w:r>
              <w:rPr>
                <w:rFonts w:hint="default"/>
              </w:rPr>
              <w:t>19</w:t>
            </w:r>
            <w:r>
              <w:rPr>
                <w:rFonts w:hint="default"/>
                <w:lang w:val="en-US" w:eastAsia="zh-CN"/>
              </w:rPr>
              <w:t>98</w:t>
            </w:r>
            <w:r>
              <w:rPr>
                <w:rFonts w:hint="default"/>
              </w:rPr>
              <w:t>年陕西地勘局局域地质矿产研究院提交了《</w:t>
            </w:r>
            <w:r>
              <w:rPr>
                <w:rFonts w:hint="default"/>
                <w:lang w:eastAsia="zh-CN"/>
              </w:rPr>
              <w:t>咸阳市区地热普查报告</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lang w:eastAsia="zh-CN"/>
              </w:rPr>
            </w:pPr>
            <w:r>
              <w:rPr>
                <w:rFonts w:hint="default" w:ascii="Times New Roman" w:hAnsi="Times New Roman" w:cs="Times New Roman"/>
                <w:lang w:val="en-US" w:eastAsia="zh-CN"/>
              </w:rPr>
              <w:t>13、200</w:t>
            </w:r>
            <w:r>
              <w:rPr>
                <w:rFonts w:hint="default" w:ascii="Times New Roman" w:hAnsi="Times New Roman" w:cs="Times New Roman"/>
              </w:rPr>
              <w:t>5年12月陕西省地矿局区域地质矿产研究院提交的《</w:t>
            </w:r>
            <w:r>
              <w:rPr>
                <w:rFonts w:hint="default" w:ascii="Times New Roman" w:hAnsi="Times New Roman" w:cs="Times New Roman"/>
                <w:lang w:eastAsia="zh-CN"/>
              </w:rPr>
              <w:t>陕西省咸阳市区地热资源详查报告</w:t>
            </w:r>
            <w:r>
              <w:rPr>
                <w:rFonts w:hint="default" w:ascii="Times New Roman" w:hAnsi="Times New Roman" w:cs="Times New Roman"/>
              </w:rPr>
              <w:t>》</w:t>
            </w:r>
            <w:r>
              <w:rPr>
                <w:rFonts w:hint="default" w:ascii="Times New Roman" w:hAnsi="Times New Roman" w:cs="Times New Roman"/>
                <w:lang w:eastAsia="zh-CN"/>
              </w:rPr>
              <w:t>；</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14、2018年9月陕西地矿区研院有限公司编制的《咸阳市文林路文热4井区块矿产资源开发利用方案》；</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15、2018年9月陕西地矿区研院有限公司编制的《咸阳市文林路文热4井地热区块矿山地质环境保护与恢复治理方案报告表》；</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16、委托书；</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17、委托合同。</w:t>
            </w:r>
          </w:p>
          <w:p>
            <w:pPr>
              <w:pStyle w:val="3"/>
              <w:bidi w:val="0"/>
              <w:rPr>
                <w:rFonts w:hint="eastAsia"/>
                <w:lang w:val="en-US" w:eastAsia="zh-CN"/>
              </w:rPr>
            </w:pPr>
            <w:bookmarkStart w:id="27" w:name="_Toc25887"/>
            <w:r>
              <w:rPr>
                <w:rFonts w:hint="eastAsia"/>
                <w:lang w:val="en-US" w:eastAsia="zh-CN"/>
              </w:rPr>
              <w:t>一、概况</w:t>
            </w:r>
            <w:bookmarkEnd w:id="27"/>
          </w:p>
          <w:p>
            <w:pPr>
              <w:pStyle w:val="4"/>
              <w:bidi w:val="0"/>
              <w:rPr>
                <w:rFonts w:hint="eastAsia"/>
                <w:lang w:val="en-US" w:eastAsia="zh-CN"/>
              </w:rPr>
            </w:pPr>
            <w:r>
              <w:rPr>
                <w:rFonts w:hint="eastAsia"/>
                <w:lang w:val="en-US" w:eastAsia="zh-CN"/>
              </w:rPr>
              <w:t>（一）矿山基本概况</w:t>
            </w:r>
          </w:p>
          <w:p>
            <w:pPr>
              <w:pStyle w:val="5"/>
              <w:bidi w:val="0"/>
              <w:rPr>
                <w:rFonts w:hint="eastAsia"/>
                <w:lang w:val="en-US" w:eastAsia="zh-CN"/>
              </w:rPr>
            </w:pPr>
            <w:r>
              <w:rPr>
                <w:rFonts w:hint="eastAsia"/>
                <w:lang w:val="en-US" w:eastAsia="zh-CN"/>
              </w:rPr>
              <w:t>1、交通位置</w:t>
            </w:r>
          </w:p>
          <w:p>
            <w:pPr>
              <w:bidi w:val="0"/>
            </w:pPr>
            <w:r>
              <w:rPr>
                <w:rFonts w:hint="eastAsia"/>
                <w:lang w:eastAsia="zh-CN"/>
              </w:rPr>
              <w:t>中石化绿源地热能（陕西）开发有限公司</w:t>
            </w:r>
            <w:r>
              <w:rPr>
                <w:rFonts w:hint="eastAsia"/>
                <w:lang w:val="en-US" w:eastAsia="zh-CN"/>
              </w:rPr>
              <w:t>文热4地热区块</w:t>
            </w:r>
            <w:r>
              <w:rPr>
                <w:rFonts w:hint="eastAsia"/>
              </w:rPr>
              <w:t>位于</w:t>
            </w:r>
            <w:r>
              <w:rPr>
                <w:rFonts w:hint="eastAsia"/>
                <w:lang w:eastAsia="zh-CN"/>
              </w:rPr>
              <w:t>西咸新区秦汉新城</w:t>
            </w:r>
            <w:r>
              <w:rPr>
                <w:rFonts w:hint="eastAsia"/>
              </w:rPr>
              <w:t>李家寨村东北方向迎宾大道西侧，地理坐标：东经108°</w:t>
            </w:r>
            <w:r>
              <w:rPr>
                <w:rFonts w:hint="eastAsia"/>
                <w:lang w:val="en-US" w:eastAsia="zh-CN"/>
              </w:rPr>
              <w:t>43</w:t>
            </w:r>
            <w:r>
              <w:rPr>
                <w:rFonts w:hint="eastAsia"/>
              </w:rPr>
              <w:t>′</w:t>
            </w:r>
            <w:r>
              <w:rPr>
                <w:rFonts w:hint="eastAsia"/>
                <w:lang w:val="en-US" w:eastAsia="zh-CN"/>
              </w:rPr>
              <w:t>39</w:t>
            </w:r>
            <w:r>
              <w:rPr>
                <w:rFonts w:hint="eastAsia"/>
              </w:rPr>
              <w:t>″；北纬3</w:t>
            </w:r>
            <w:r>
              <w:rPr>
                <w:rFonts w:hint="eastAsia"/>
                <w:lang w:val="en-US" w:eastAsia="zh-CN"/>
              </w:rPr>
              <w:t>4</w:t>
            </w:r>
            <w:r>
              <w:rPr>
                <w:rFonts w:hint="eastAsia"/>
              </w:rPr>
              <w:t>°</w:t>
            </w:r>
            <w:r>
              <w:rPr>
                <w:rFonts w:hint="eastAsia"/>
                <w:lang w:val="en-US" w:eastAsia="zh-CN"/>
              </w:rPr>
              <w:t>22</w:t>
            </w:r>
            <w:r>
              <w:rPr>
                <w:rFonts w:hint="eastAsia"/>
              </w:rPr>
              <w:t>′</w:t>
            </w:r>
            <w:r>
              <w:rPr>
                <w:rFonts w:hint="eastAsia"/>
                <w:lang w:val="en-US" w:eastAsia="zh-CN"/>
              </w:rPr>
              <w:t>11</w:t>
            </w:r>
            <w:r>
              <w:rPr>
                <w:rFonts w:hint="eastAsia"/>
              </w:rPr>
              <w:t>″，高程</w:t>
            </w:r>
            <w:r>
              <w:rPr>
                <w:rFonts w:hint="eastAsia"/>
                <w:lang w:eastAsia="zh-CN"/>
              </w:rPr>
              <w:t>约</w:t>
            </w:r>
            <w:r>
              <w:rPr>
                <w:rFonts w:hint="eastAsia"/>
                <w:lang w:val="en-US" w:eastAsia="zh-CN"/>
              </w:rPr>
              <w:t>434</w:t>
            </w:r>
            <w:r>
              <w:rPr>
                <w:rFonts w:hint="eastAsia"/>
              </w:rPr>
              <w:t>m。</w:t>
            </w:r>
          </w:p>
          <w:p>
            <w:pPr>
              <w:bidi w:val="0"/>
            </w:pPr>
            <w:r>
              <w:rPr>
                <w:rFonts w:hint="eastAsia"/>
              </w:rPr>
              <w:t>秦汉新城</w:t>
            </w:r>
            <w:r>
              <w:t>行政划属</w:t>
            </w:r>
            <w:r>
              <w:rPr>
                <w:rFonts w:hint="eastAsia"/>
              </w:rPr>
              <w:t>西咸新区，</w:t>
            </w:r>
            <w:r>
              <w:t>秦汉新城地处泾河与渭河交汇的三角地带，北至泾河，南至渭河，西至兴平市南位镇行政边界，东至包茂高速</w:t>
            </w:r>
            <w:r>
              <w:rPr>
                <w:rFonts w:hint="eastAsia"/>
              </w:rPr>
              <w:t>，</w:t>
            </w:r>
            <w:r>
              <w:t>介于东经108°32′~1</w:t>
            </w:r>
            <w:r>
              <w:rPr>
                <w:rFonts w:hint="eastAsia"/>
              </w:rPr>
              <w:t>0</w:t>
            </w:r>
            <w:r>
              <w:t>8°58′，北纬34°22′～34°30′之间，规划总面积302</w:t>
            </w:r>
            <w:r>
              <w:rPr>
                <w:rFonts w:hint="eastAsia"/>
              </w:rPr>
              <w:t>km</w:t>
            </w:r>
            <w:r>
              <w:rPr>
                <w:rFonts w:hint="eastAsia"/>
                <w:vertAlign w:val="superscript"/>
              </w:rPr>
              <w:t>2</w:t>
            </w:r>
            <w:r>
              <w:t>，地貌单元</w:t>
            </w:r>
            <w:r>
              <w:rPr>
                <w:rFonts w:hint="eastAsia"/>
              </w:rPr>
              <w:t>大部</w:t>
            </w:r>
            <w:r>
              <w:t>属</w:t>
            </w:r>
            <w:r>
              <w:rPr>
                <w:rFonts w:hint="eastAsia"/>
              </w:rPr>
              <w:t>黄土台塬</w:t>
            </w:r>
            <w:r>
              <w:rPr>
                <w:rFonts w:hint="eastAsia"/>
                <w:lang w:eastAsia="zh-CN"/>
              </w:rPr>
              <w:t>，</w:t>
            </w:r>
            <w:r>
              <w:rPr>
                <w:rFonts w:hint="eastAsia"/>
              </w:rPr>
              <w:t>东南部</w:t>
            </w:r>
            <w:r>
              <w:t>为渭河冲积平原河谷</w:t>
            </w:r>
            <w:r>
              <w:rPr>
                <w:lang w:val="zh-TW"/>
              </w:rPr>
              <w:t>阶地</w:t>
            </w:r>
            <w:r>
              <w:rPr>
                <w:rFonts w:hint="eastAsia"/>
                <w:lang w:val="zh-TW"/>
              </w:rPr>
              <w:t>。</w:t>
            </w:r>
            <w:r>
              <w:t>秦汉新城地势中部高南北低，位于泾河以南，塬面开阔，地势平坦，海拔为430-500</w:t>
            </w:r>
            <w:r>
              <w:rPr>
                <w:rFonts w:hint="eastAsia"/>
              </w:rPr>
              <w:t>m</w:t>
            </w:r>
            <w:r>
              <w:t>，地势平坦。</w:t>
            </w:r>
            <w:r>
              <w:rPr>
                <w:rFonts w:hint="eastAsia"/>
              </w:rPr>
              <w:t>东</w:t>
            </w:r>
            <w:r>
              <w:t>南部大致以宝鸡峡高干渠为分界线，为冲积平原区，隔渭河与西安相望</w:t>
            </w:r>
            <w:r>
              <w:rPr>
                <w:lang w:val="zh-TW"/>
              </w:rPr>
              <w:t>。</w:t>
            </w:r>
          </w:p>
          <w:p>
            <w:pPr>
              <w:bidi w:val="0"/>
              <w:rPr>
                <w:rFonts w:hint="eastAsia"/>
                <w:lang w:val="en-US" w:eastAsia="zh-CN"/>
              </w:rPr>
            </w:pPr>
            <w:r>
              <w:rPr>
                <w:rFonts w:hint="eastAsia"/>
                <w:lang w:val="zh-TW"/>
              </w:rPr>
              <w:t>秦汉新城</w:t>
            </w:r>
            <w:r>
              <w:rPr>
                <w:rFonts w:hint="eastAsia"/>
              </w:rPr>
              <w:t>辖区内由</w:t>
            </w:r>
            <w:r>
              <w:t>陇海铁路、西（安）兰（州）国道（G310）和西（安）宝（鸡）高速在区块周边形成交通网，西安咸阳国际机场近在咫尺，交通极为便利</w:t>
            </w:r>
            <w:r>
              <w:rPr>
                <w:rFonts w:hint="eastAsia"/>
                <w:lang w:eastAsia="zh-CN"/>
              </w:rPr>
              <w:t>，见图</w:t>
            </w:r>
            <w:r>
              <w:rPr>
                <w:rFonts w:hint="eastAsia"/>
                <w:lang w:val="en-US" w:eastAsia="zh-CN"/>
              </w:rPr>
              <w:t>1。</w:t>
            </w:r>
          </w:p>
          <w:p>
            <w:pPr>
              <w:pStyle w:val="5"/>
              <w:bidi w:val="0"/>
              <w:rPr>
                <w:rFonts w:hint="eastAsia"/>
                <w:lang w:val="en-US" w:eastAsia="zh-CN"/>
              </w:rPr>
            </w:pPr>
            <w:r>
              <w:rPr>
                <w:rFonts w:hint="eastAsia"/>
                <w:lang w:val="en-US" w:eastAsia="zh-CN"/>
              </w:rPr>
              <w:t>2、自然地理及经济概况</w:t>
            </w:r>
          </w:p>
          <w:tbl>
            <w:tblPr>
              <w:tblStyle w:val="15"/>
              <w:tblW w:w="824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2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58" w:hRule="atLeast"/>
              </w:trPr>
              <w:tc>
                <w:tcPr>
                  <w:tcW w:w="8240"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rPr>
                  </w:pPr>
                  <w:r>
                    <w:drawing>
                      <wp:inline distT="0" distB="0" distL="114300" distR="114300">
                        <wp:extent cx="5586095" cy="3166745"/>
                        <wp:effectExtent l="12700" t="12700" r="20955" b="20955"/>
                        <wp:docPr id="47" name="图片 9" descr="202102240925117101786 - 副本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descr="202102240925117101786 - 副本_00"/>
                                <pic:cNvPicPr>
                                  <a:picLocks noChangeAspect="1"/>
                                </pic:cNvPicPr>
                              </pic:nvPicPr>
                              <pic:blipFill>
                                <a:blip r:embed="rId9"/>
                                <a:srcRect l="3435" t="10639" r="2754" b="17691"/>
                                <a:stretch>
                                  <a:fillRect/>
                                </a:stretch>
                              </pic:blipFill>
                              <pic:spPr>
                                <a:xfrm>
                                  <a:off x="0" y="0"/>
                                  <a:ext cx="5586095" cy="3166745"/>
                                </a:xfrm>
                                <a:prstGeom prst="rect">
                                  <a:avLst/>
                                </a:prstGeom>
                                <a:noFill/>
                                <a:ln w="12700">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 w:hRule="atLeast"/>
              </w:trPr>
              <w:tc>
                <w:tcPr>
                  <w:tcW w:w="82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rPr>
                  </w:pPr>
                  <w:r>
                    <w:rPr>
                      <w:rFonts w:hint="eastAsia" w:ascii="仿宋" w:hAnsi="仿宋" w:eastAsia="仿宋" w:cs="仿宋"/>
                      <w:b/>
                      <w:bCs/>
                    </w:rPr>
                    <w:t>图</w:t>
                  </w:r>
                  <w:r>
                    <w:rPr>
                      <w:rFonts w:hint="eastAsia" w:ascii="仿宋" w:hAnsi="仿宋" w:eastAsia="仿宋" w:cs="仿宋"/>
                      <w:b/>
                      <w:bCs/>
                      <w:lang w:val="en-US" w:eastAsia="zh-CN"/>
                    </w:rPr>
                    <w:t>1</w:t>
                  </w:r>
                  <w:r>
                    <w:rPr>
                      <w:rFonts w:hint="eastAsia" w:ascii="仿宋" w:hAnsi="仿宋" w:eastAsia="仿宋" w:cs="仿宋"/>
                      <w:b/>
                      <w:bCs/>
                    </w:rPr>
                    <w:t xml:space="preserve">  秦汉新城交通位置图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5" w:hRule="atLeast"/>
              </w:trPr>
              <w:tc>
                <w:tcPr>
                  <w:tcW w:w="824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lang w:eastAsia="zh-CN"/>
                    </w:rPr>
                  </w:pPr>
                  <w:r>
                    <w:rPr>
                      <w:rFonts w:hint="eastAsia"/>
                      <w:lang w:eastAsia="zh-CN"/>
                    </w:rPr>
                    <w:drawing>
                      <wp:inline distT="0" distB="0" distL="114300" distR="114300">
                        <wp:extent cx="4201160" cy="4828540"/>
                        <wp:effectExtent l="0" t="0" r="8890" b="10160"/>
                        <wp:docPr id="36" name="图片 36" descr="833ad0d96aa99417a80e506f676b3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833ad0d96aa99417a80e506f676b38a"/>
                                <pic:cNvPicPr>
                                  <a:picLocks noChangeAspect="1"/>
                                </pic:cNvPicPr>
                              </pic:nvPicPr>
                              <pic:blipFill>
                                <a:blip r:embed="rId10"/>
                                <a:srcRect l="2425" t="2988" r="36212" b="3611"/>
                                <a:stretch>
                                  <a:fillRect/>
                                </a:stretch>
                              </pic:blipFill>
                              <pic:spPr>
                                <a:xfrm>
                                  <a:off x="0" y="0"/>
                                  <a:ext cx="4201160" cy="48285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 w:hRule="atLeast"/>
              </w:trPr>
              <w:tc>
                <w:tcPr>
                  <w:tcW w:w="82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rPr>
                  </w:pPr>
                  <w:r>
                    <w:rPr>
                      <w:rFonts w:hint="eastAsia" w:ascii="仿宋" w:hAnsi="仿宋" w:eastAsia="仿宋" w:cs="仿宋"/>
                      <w:b/>
                      <w:bCs/>
                      <w:lang w:val="en-US" w:eastAsia="zh-CN"/>
                    </w:rPr>
                    <w:t>图2  文热4地热区块地质地貌图</w:t>
                  </w:r>
                </w:p>
              </w:tc>
            </w:tr>
          </w:tbl>
          <w:p>
            <w:pPr>
              <w:pStyle w:val="2"/>
              <w:rPr>
                <w:rFonts w:hint="eastAsia"/>
                <w:lang w:val="en-US" w:eastAsia="zh-CN"/>
              </w:rPr>
            </w:pPr>
            <w:r>
              <w:rPr>
                <w:rFonts w:hint="eastAsia"/>
                <w:lang w:val="en-US" w:eastAsia="zh-CN"/>
              </w:rPr>
              <w:t>（1）地形地貌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default"/>
                <w:lang w:val="en-US" w:eastAsia="zh-CN"/>
              </w:rPr>
              <w:t>秦汉新城地势中部高南北低，</w:t>
            </w:r>
            <w:r>
              <w:rPr>
                <w:rFonts w:hint="eastAsia"/>
                <w:lang w:val="en-US" w:eastAsia="zh-CN"/>
              </w:rPr>
              <w:t>区内大部分</w:t>
            </w:r>
            <w:r>
              <w:rPr>
                <w:rFonts w:hint="default"/>
                <w:lang w:val="en-US" w:eastAsia="zh-CN"/>
              </w:rPr>
              <w:t>为黄土台塬</w:t>
            </w:r>
            <w:r>
              <w:rPr>
                <w:rFonts w:hint="eastAsia"/>
                <w:lang w:val="en-US" w:eastAsia="zh-CN"/>
              </w:rPr>
              <w:t>和三级阶地</w:t>
            </w:r>
            <w:r>
              <w:rPr>
                <w:rFonts w:hint="default"/>
                <w:lang w:val="en-US" w:eastAsia="zh-CN"/>
              </w:rPr>
              <w:t>，</w:t>
            </w:r>
            <w:r>
              <w:rPr>
                <w:rFonts w:hint="eastAsia"/>
                <w:lang w:val="en-US" w:eastAsia="zh-CN"/>
              </w:rPr>
              <w:t>该地热区块</w:t>
            </w:r>
            <w:r>
              <w:rPr>
                <w:rFonts w:hint="default"/>
                <w:lang w:val="en-US" w:eastAsia="zh-CN"/>
              </w:rPr>
              <w:t>位于泾河以南，塬面开阔，地势平坦，海拔为430-500</w:t>
            </w:r>
            <w:r>
              <w:rPr>
                <w:rFonts w:hint="eastAsia"/>
                <w:lang w:val="en-US" w:eastAsia="zh-CN"/>
              </w:rPr>
              <w:t>m</w:t>
            </w:r>
            <w:r>
              <w:rPr>
                <w:rFonts w:hint="default"/>
                <w:lang w:val="en-US" w:eastAsia="zh-CN"/>
              </w:rPr>
              <w:t>，地势平坦。</w:t>
            </w:r>
            <w:r>
              <w:rPr>
                <w:rFonts w:hint="eastAsia"/>
                <w:lang w:val="en-US" w:eastAsia="zh-CN"/>
              </w:rPr>
              <w:t>东</w:t>
            </w:r>
            <w:r>
              <w:rPr>
                <w:rFonts w:hint="default"/>
                <w:lang w:val="en-US" w:eastAsia="zh-CN"/>
              </w:rPr>
              <w:t>南部大致以宝鸡峡高干渠为分界线，为冲积平原区，隔渭河与西安相望。</w:t>
            </w:r>
            <w:r>
              <w:rPr>
                <w:rFonts w:hint="eastAsia"/>
                <w:lang w:val="en-US" w:eastAsia="zh-CN"/>
              </w:rPr>
              <w:t>文热4地热区块</w:t>
            </w:r>
            <w:r>
              <w:rPr>
                <w:rFonts w:hint="eastAsia"/>
                <w:lang w:eastAsia="zh-CN"/>
              </w:rPr>
              <w:t>所在位置地貌上属于黄土台塬，见图</w:t>
            </w:r>
            <w:r>
              <w:rPr>
                <w:rFonts w:hint="eastAsia"/>
                <w:lang w:val="en-US" w:eastAsia="zh-CN"/>
              </w:rPr>
              <w:t>2</w:t>
            </w:r>
            <w:r>
              <w:rPr>
                <w:rFonts w:hint="eastAsia"/>
                <w:lang w:eastAsia="zh-CN"/>
              </w:rPr>
              <w:t>。</w:t>
            </w:r>
          </w:p>
          <w:p>
            <w:pPr>
              <w:pStyle w:val="2"/>
              <w:numPr>
                <w:ilvl w:val="0"/>
                <w:numId w:val="1"/>
              </w:numPr>
              <w:rPr>
                <w:rFonts w:hint="eastAsia"/>
                <w:lang w:val="en-US" w:eastAsia="zh-CN"/>
              </w:rPr>
            </w:pPr>
            <w:r>
              <w:rPr>
                <w:rFonts w:hint="eastAsia"/>
                <w:lang w:val="en-US" w:eastAsia="zh-CN"/>
              </w:rPr>
              <w:t>气象水文</w:t>
            </w:r>
          </w:p>
          <w:p>
            <w:pPr>
              <w:bidi w:val="0"/>
              <w:rPr>
                <w:rFonts w:hint="default"/>
                <w:lang w:val="en-US" w:eastAsia="zh-CN"/>
              </w:rPr>
            </w:pPr>
            <w:r>
              <w:rPr>
                <w:rFonts w:hint="default"/>
                <w:lang w:val="en-US" w:eastAsia="zh-CN"/>
              </w:rPr>
              <w:t>秦汉新城所在地区属暖温带大陆性季风气候，四季冷暖、干湿分明。年平均气温13℃，冬季</w:t>
            </w:r>
            <w:r>
              <w:rPr>
                <w:rFonts w:hint="eastAsia"/>
                <w:lang w:val="en-US" w:eastAsia="zh-CN"/>
              </w:rPr>
              <w:t>（</w:t>
            </w:r>
            <w:r>
              <w:rPr>
                <w:rFonts w:hint="default"/>
                <w:lang w:val="en-US" w:eastAsia="zh-CN"/>
              </w:rPr>
              <w:t>1月</w:t>
            </w:r>
            <w:r>
              <w:rPr>
                <w:rFonts w:hint="eastAsia"/>
                <w:lang w:val="en-US" w:eastAsia="zh-CN"/>
              </w:rPr>
              <w:t>）</w:t>
            </w:r>
            <w:r>
              <w:rPr>
                <w:rFonts w:hint="default"/>
                <w:lang w:val="en-US" w:eastAsia="zh-CN"/>
              </w:rPr>
              <w:t>最冷为-</w:t>
            </w:r>
            <w:r>
              <w:rPr>
                <w:rFonts w:hint="eastAsia"/>
                <w:lang w:val="en-US" w:eastAsia="zh-CN"/>
              </w:rPr>
              <w:t>18.6</w:t>
            </w:r>
            <w:r>
              <w:rPr>
                <w:rFonts w:hint="default"/>
                <w:lang w:val="en-US" w:eastAsia="zh-CN"/>
              </w:rPr>
              <w:t>℃，夏季最热</w:t>
            </w:r>
            <w:r>
              <w:rPr>
                <w:rFonts w:hint="eastAsia"/>
                <w:lang w:val="en-US" w:eastAsia="zh-CN"/>
              </w:rPr>
              <w:t>（</w:t>
            </w:r>
            <w:r>
              <w:rPr>
                <w:rFonts w:hint="default"/>
                <w:lang w:val="en-US" w:eastAsia="zh-CN"/>
              </w:rPr>
              <w:t>7月</w:t>
            </w:r>
            <w:r>
              <w:rPr>
                <w:rFonts w:hint="eastAsia"/>
                <w:lang w:val="en-US" w:eastAsia="zh-CN"/>
              </w:rPr>
              <w:t>）</w:t>
            </w:r>
            <w:r>
              <w:rPr>
                <w:rFonts w:hint="default"/>
                <w:lang w:val="en-US" w:eastAsia="zh-CN"/>
              </w:rPr>
              <w:t>为41.4℃。年均降水量562.9mm，降水量最多829.7mm，最少为349.2mm。年平均日照时数为2195.2h，最多</w:t>
            </w:r>
            <w:r>
              <w:rPr>
                <w:rFonts w:hint="eastAsia"/>
                <w:lang w:val="en-US" w:eastAsia="zh-CN"/>
              </w:rPr>
              <w:t>（</w:t>
            </w:r>
            <w:r>
              <w:rPr>
                <w:rFonts w:hint="default"/>
                <w:lang w:val="en-US" w:eastAsia="zh-CN"/>
              </w:rPr>
              <w:t>8月</w:t>
            </w:r>
            <w:r>
              <w:rPr>
                <w:rFonts w:hint="eastAsia"/>
                <w:lang w:val="en-US" w:eastAsia="zh-CN"/>
              </w:rPr>
              <w:t>）</w:t>
            </w:r>
            <w:r>
              <w:rPr>
                <w:rFonts w:hint="default"/>
                <w:lang w:val="en-US" w:eastAsia="zh-CN"/>
              </w:rPr>
              <w:t>为241.6h，最少</w:t>
            </w:r>
            <w:r>
              <w:rPr>
                <w:rFonts w:hint="eastAsia"/>
                <w:lang w:val="en-US" w:eastAsia="zh-CN"/>
              </w:rPr>
              <w:t>（</w:t>
            </w:r>
            <w:r>
              <w:rPr>
                <w:rFonts w:hint="default"/>
                <w:lang w:val="en-US" w:eastAsia="zh-CN"/>
              </w:rPr>
              <w:t>2月</w:t>
            </w:r>
            <w:r>
              <w:rPr>
                <w:rFonts w:hint="eastAsia"/>
                <w:lang w:val="en-US" w:eastAsia="zh-CN"/>
              </w:rPr>
              <w:t>）</w:t>
            </w:r>
            <w:r>
              <w:rPr>
                <w:rFonts w:hint="default"/>
                <w:lang w:val="en-US" w:eastAsia="zh-CN"/>
              </w:rPr>
              <w:t>为146.2h</w:t>
            </w:r>
            <w:r>
              <w:rPr>
                <w:rFonts w:hint="eastAsia"/>
                <w:lang w:val="en-US" w:eastAsia="zh-CN"/>
              </w:rPr>
              <w:t>，</w:t>
            </w:r>
            <w:r>
              <w:rPr>
                <w:rFonts w:hint="default"/>
                <w:lang w:val="en-US" w:eastAsia="zh-CN"/>
              </w:rPr>
              <w:t>无霜期年均213天。依据《西安市城市集中供热管理条例》和《咸阳市城市集中供热管理条例》</w:t>
            </w:r>
            <w:r>
              <w:rPr>
                <w:rFonts w:hint="default"/>
                <w:lang w:eastAsia="zh-CN"/>
              </w:rPr>
              <w:t>第十九条的规定，</w:t>
            </w:r>
            <w:r>
              <w:rPr>
                <w:rFonts w:hint="default"/>
                <w:lang w:val="en-US" w:eastAsia="zh-CN"/>
              </w:rPr>
              <w:t>城市</w:t>
            </w:r>
            <w:r>
              <w:rPr>
                <w:rFonts w:hint="default"/>
                <w:lang w:eastAsia="zh-CN"/>
              </w:rPr>
              <w:t>供暖期为每年</w:t>
            </w:r>
            <w:r>
              <w:rPr>
                <w:rFonts w:hint="default"/>
                <w:lang w:val="en-US" w:eastAsia="zh-CN"/>
              </w:rPr>
              <w:t>11月15日</w:t>
            </w:r>
            <w:r>
              <w:rPr>
                <w:rFonts w:hint="eastAsia"/>
                <w:lang w:val="en-US" w:eastAsia="zh-CN"/>
              </w:rPr>
              <w:t>-</w:t>
            </w:r>
            <w:r>
              <w:rPr>
                <w:rFonts w:hint="default"/>
                <w:lang w:val="en-US" w:eastAsia="zh-CN"/>
              </w:rPr>
              <w:t>次年3月15日，共计121天。</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480" w:firstLineChars="200"/>
              <w:jc w:val="both"/>
              <w:textAlignment w:val="auto"/>
              <w:rPr>
                <w:rFonts w:hint="eastAsia"/>
                <w:lang w:val="en-US" w:eastAsia="zh-CN"/>
              </w:rPr>
            </w:pPr>
            <w:r>
              <w:rPr>
                <w:rFonts w:hint="default"/>
                <w:lang w:eastAsia="zh-CN"/>
              </w:rPr>
              <w:t>秦</w:t>
            </w:r>
            <w:r>
              <w:rPr>
                <w:rFonts w:hint="default"/>
                <w:lang w:val="en-US" w:eastAsia="zh-CN"/>
              </w:rPr>
              <w:t>汉新城属黄河流域渭河水系，主要河流有渭河、泾河2条河流流经本区。渭河发源于甘肃省渭源县鸟鼠山，自西向东经甘肃省的渭源、陇西、武山、甘谷、天水、宝鸡、杨凌、咸阳、渭南等市（区）后于潼关汇入黄河，全长818km，</w:t>
            </w:r>
            <w:r>
              <w:rPr>
                <w:rFonts w:hint="default"/>
              </w:rPr>
              <w:t>流域总面积13.5万km</w:t>
            </w:r>
            <w:r>
              <w:rPr>
                <w:rFonts w:hint="default"/>
                <w:vertAlign w:val="superscript"/>
              </w:rPr>
              <w:t>2</w:t>
            </w:r>
            <w:r>
              <w:rPr>
                <w:rFonts w:hint="default"/>
              </w:rPr>
              <w:t>。在本区宽500～1200m，为砂质河床，河床宽窄不等，河床最宽处2</w:t>
            </w:r>
            <w:r>
              <w:rPr>
                <w:rFonts w:hint="default"/>
                <w:lang w:val="en-US" w:eastAsia="zh-CN"/>
              </w:rPr>
              <w:t>km</w:t>
            </w:r>
            <w:r>
              <w:rPr>
                <w:rFonts w:hint="default"/>
              </w:rPr>
              <w:t>，最窄处700</w:t>
            </w:r>
            <w:r>
              <w:rPr>
                <w:rFonts w:hint="default"/>
                <w:lang w:val="en-US" w:eastAsia="zh-CN"/>
              </w:rPr>
              <w:t>m</w:t>
            </w:r>
            <w:r>
              <w:rPr>
                <w:rFonts w:hint="default"/>
              </w:rPr>
              <w:t>，坡降平缓（0.5～0.8‰），河岸弯曲，河床不固定，迂回摆动，属典型的游荡性泥沙河床。据咸阳水文站资料，河流水位、流量随季节变化极大，暴涨暴落，河流流量多集中在七、八、九、十四个月，约占总径流量的62%。多年平均流量为43.06</w:t>
            </w:r>
            <w:r>
              <w:rPr>
                <w:rFonts w:hint="eastAsia"/>
                <w:lang w:val="en-US" w:eastAsia="zh-CN"/>
              </w:rPr>
              <w:t>亿</w:t>
            </w:r>
            <w:r>
              <w:rPr>
                <w:rFonts w:hint="default"/>
              </w:rPr>
              <w:t>m</w:t>
            </w:r>
            <w:r>
              <w:rPr>
                <w:rFonts w:hint="default"/>
                <w:vertAlign w:val="superscript"/>
              </w:rPr>
              <w:t>3</w:t>
            </w:r>
            <w:r>
              <w:rPr>
                <w:rFonts w:hint="default"/>
              </w:rPr>
              <w:t>，平均径流量136.5m</w:t>
            </w:r>
            <w:r>
              <w:rPr>
                <w:rFonts w:hint="default"/>
                <w:vertAlign w:val="superscript"/>
              </w:rPr>
              <w:t>3</w:t>
            </w:r>
            <w:r>
              <w:rPr>
                <w:rFonts w:hint="default"/>
              </w:rPr>
              <w:t>/s，渭河极端最小流量0.61m</w:t>
            </w:r>
            <w:r>
              <w:rPr>
                <w:rFonts w:hint="default"/>
                <w:vertAlign w:val="superscript"/>
              </w:rPr>
              <w:t>3</w:t>
            </w:r>
            <w:r>
              <w:rPr>
                <w:rFonts w:hint="default"/>
              </w:rPr>
              <w:t>/s（1995年），渭河极端最大流量7220m</w:t>
            </w:r>
            <w:r>
              <w:rPr>
                <w:rFonts w:hint="default"/>
                <w:vertAlign w:val="superscript"/>
              </w:rPr>
              <w:t>3</w:t>
            </w:r>
            <w:r>
              <w:rPr>
                <w:rFonts w:hint="default"/>
              </w:rPr>
              <w:t>/s（1954年）。多年平均含沙量31.0kg/m³，输沙量14091.9万吨。泾河是渭河最大的支流，发源于宁夏回族自治区泾源县境内六盘山东麓老龙潭，自西北向东南流经宁夏、甘肃及陕西三省（区）</w:t>
            </w:r>
            <w:r>
              <w:rPr>
                <w:rFonts w:hint="default"/>
                <w:lang w:eastAsia="zh-CN"/>
              </w:rPr>
              <w:t>，</w:t>
            </w:r>
            <w:r>
              <w:rPr>
                <w:rFonts w:hint="default"/>
              </w:rPr>
              <w:t>于陕西省高陵县注入渭河，全长455km，</w:t>
            </w:r>
            <w:r>
              <w:rPr>
                <w:rFonts w:hint="default"/>
                <w:lang w:val="en-US" w:eastAsia="zh-CN"/>
              </w:rPr>
              <w:t>泾河新城</w:t>
            </w:r>
            <w:r>
              <w:rPr>
                <w:rFonts w:hint="default"/>
              </w:rPr>
              <w:t>境内泾河长度约为23.50km</w:t>
            </w:r>
            <w:r>
              <w:rPr>
                <w:rFonts w:hint="default"/>
                <w:lang w:eastAsia="zh-CN"/>
              </w:rPr>
              <w:t>，</w:t>
            </w:r>
            <w:r>
              <w:rPr>
                <w:rFonts w:hint="default"/>
                <w:lang w:val="en-US" w:eastAsia="zh-CN"/>
              </w:rPr>
              <w:t>总</w:t>
            </w:r>
            <w:r>
              <w:rPr>
                <w:rFonts w:hint="default"/>
              </w:rPr>
              <w:t>流域面积4.59万km</w:t>
            </w:r>
            <w:r>
              <w:rPr>
                <w:rFonts w:hint="default"/>
                <w:vertAlign w:val="superscript"/>
              </w:rPr>
              <w:t>2</w:t>
            </w:r>
            <w:r>
              <w:rPr>
                <w:rFonts w:hint="default"/>
                <w:lang w:eastAsia="zh-CN"/>
              </w:rPr>
              <w:t>。</w:t>
            </w:r>
            <w:r>
              <w:rPr>
                <w:rFonts w:hint="default"/>
              </w:rPr>
              <w:t>泾河张家山水文站多年平均径流量19.11亿m</w:t>
            </w:r>
            <w:r>
              <w:rPr>
                <w:rFonts w:hint="default"/>
                <w:vertAlign w:val="superscript"/>
                <w:lang w:val="en-US" w:eastAsia="zh-CN"/>
              </w:rPr>
              <w:t>3</w:t>
            </w:r>
            <w:r>
              <w:rPr>
                <w:rFonts w:hint="default"/>
              </w:rPr>
              <w:t>。多年平均流量61.5m</w:t>
            </w:r>
            <w:r>
              <w:rPr>
                <w:rFonts w:hint="default"/>
                <w:vertAlign w:val="superscript"/>
                <w:lang w:val="en-US" w:eastAsia="zh-CN"/>
              </w:rPr>
              <w:t>3</w:t>
            </w:r>
            <w:r>
              <w:rPr>
                <w:rFonts w:hint="default"/>
              </w:rPr>
              <w:t>/s，最大洪峰流量9200m</w:t>
            </w:r>
            <w:r>
              <w:rPr>
                <w:rFonts w:hint="default"/>
                <w:vertAlign w:val="superscript"/>
                <w:lang w:val="en-US" w:eastAsia="zh-CN"/>
              </w:rPr>
              <w:t>3</w:t>
            </w:r>
            <w:r>
              <w:rPr>
                <w:rFonts w:hint="default"/>
              </w:rPr>
              <w:t>/s（1993年8月8日），最小流量4.93m</w:t>
            </w:r>
            <w:r>
              <w:rPr>
                <w:rFonts w:hint="default"/>
                <w:vertAlign w:val="superscript"/>
                <w:lang w:val="en-US" w:eastAsia="zh-CN"/>
              </w:rPr>
              <w:t>3</w:t>
            </w:r>
            <w:r>
              <w:rPr>
                <w:rFonts w:hint="default"/>
              </w:rPr>
              <w:t>/s（1977年9月1日）。</w:t>
            </w:r>
          </w:p>
          <w:p>
            <w:pPr>
              <w:pStyle w:val="2"/>
              <w:rPr>
                <w:rFonts w:hint="default"/>
                <w:lang w:val="en-US" w:eastAsia="zh-CN"/>
              </w:rPr>
            </w:pPr>
            <w:r>
              <w:rPr>
                <w:rFonts w:hint="eastAsia"/>
                <w:lang w:val="en-US" w:eastAsia="zh-CN"/>
              </w:rPr>
              <w:t>（3）社会经济</w:t>
            </w:r>
          </w:p>
          <w:p>
            <w:pPr>
              <w:keepNext w:val="0"/>
              <w:keepLines w:val="0"/>
              <w:pageBreakBefore w:val="0"/>
              <w:widowControl w:val="0"/>
              <w:kinsoku/>
              <w:wordWrap/>
              <w:overflowPunct/>
              <w:topLinePunct w:val="0"/>
              <w:autoSpaceDE/>
              <w:autoSpaceDN/>
              <w:bidi w:val="0"/>
              <w:adjustRightInd/>
              <w:snapToGrid/>
              <w:spacing w:line="360" w:lineRule="auto"/>
              <w:ind w:firstLine="460" w:firstLineChars="192"/>
              <w:jc w:val="left"/>
              <w:textAlignment w:val="auto"/>
              <w:rPr>
                <w:rFonts w:hint="default"/>
              </w:rPr>
            </w:pPr>
            <w:r>
              <w:rPr>
                <w:rFonts w:hint="default"/>
              </w:rPr>
              <w:t>秦汉新</w:t>
            </w:r>
            <w:r>
              <w:rPr>
                <w:rFonts w:hint="default"/>
                <w:lang w:val="en-US" w:eastAsia="zh-CN"/>
              </w:rPr>
              <w:t>城</w:t>
            </w:r>
            <w:r>
              <w:rPr>
                <w:rFonts w:hint="eastAsia"/>
                <w:lang w:val="en-US" w:eastAsia="zh-CN"/>
              </w:rPr>
              <w:t>地处</w:t>
            </w:r>
            <w:r>
              <w:rPr>
                <w:rFonts w:hint="default"/>
                <w:lang w:val="en-US" w:eastAsia="zh-CN"/>
              </w:rPr>
              <w:t>陕西省关中平原中部，隶属于</w:t>
            </w:r>
            <w:r>
              <w:rPr>
                <w:rFonts w:hint="eastAsia"/>
                <w:lang w:val="en-US" w:eastAsia="zh-CN"/>
              </w:rPr>
              <w:t>西咸新区</w:t>
            </w:r>
            <w:r>
              <w:rPr>
                <w:rFonts w:hint="default"/>
                <w:lang w:val="en-US" w:eastAsia="zh-CN"/>
              </w:rPr>
              <w:t>管辖范围</w:t>
            </w:r>
            <w:r>
              <w:rPr>
                <w:rFonts w:hint="eastAsia"/>
                <w:lang w:val="en-US" w:eastAsia="zh-CN"/>
              </w:rPr>
              <w:t>，</w:t>
            </w:r>
            <w:r>
              <w:rPr>
                <w:rFonts w:hint="default"/>
                <w:lang w:val="en-US" w:eastAsia="zh-CN"/>
              </w:rPr>
              <w:t>位于</w:t>
            </w:r>
            <w:r>
              <w:rPr>
                <w:rFonts w:hint="default"/>
                <w:lang w:val="en-US" w:eastAsia="zh-CN"/>
              </w:rPr>
              <w:fldChar w:fldCharType="begin"/>
            </w:r>
            <w:r>
              <w:rPr>
                <w:rFonts w:hint="default"/>
                <w:lang w:val="en-US" w:eastAsia="zh-CN"/>
              </w:rPr>
              <w:instrText xml:space="preserve"> HYPERLINK "https://baike.baidu.com/item/%E8%A5%BF%E5%92%B8%E6%96%B0%E5%8C%BA/8134358" \t "https://baike.baidu.com/item/%E7%A7%A6%E6%B1%89%E6%96%B0%E5%9F%8E/_blank" </w:instrText>
            </w:r>
            <w:r>
              <w:rPr>
                <w:rFonts w:hint="default"/>
                <w:lang w:val="en-US" w:eastAsia="zh-CN"/>
              </w:rPr>
              <w:fldChar w:fldCharType="separate"/>
            </w:r>
            <w:r>
              <w:rPr>
                <w:rFonts w:hint="default"/>
                <w:lang w:val="en-US" w:eastAsia="zh-CN"/>
              </w:rPr>
              <w:t>西咸新区</w:t>
            </w:r>
            <w:r>
              <w:rPr>
                <w:rFonts w:hint="default"/>
                <w:lang w:val="en-US" w:eastAsia="zh-CN"/>
              </w:rPr>
              <w:fldChar w:fldCharType="end"/>
            </w:r>
            <w:r>
              <w:rPr>
                <w:rFonts w:hint="default"/>
                <w:lang w:val="en-US" w:eastAsia="zh-CN"/>
              </w:rPr>
              <w:t>的几何中心，西接咸阳主城区，南跨</w:t>
            </w:r>
            <w:r>
              <w:rPr>
                <w:rFonts w:hint="default"/>
                <w:lang w:val="en-US" w:eastAsia="zh-CN"/>
              </w:rPr>
              <w:fldChar w:fldCharType="begin"/>
            </w:r>
            <w:r>
              <w:rPr>
                <w:rFonts w:hint="default"/>
                <w:lang w:val="en-US" w:eastAsia="zh-CN"/>
              </w:rPr>
              <w:instrText xml:space="preserve"> HYPERLINK "https://baike.baidu.com/item/%E6%B8%AD%E6%B2%B3/932174" \t "https://baike.baidu.com/item/%E7%A7%A6%E6%B1%89%E6%96%B0%E5%9F%8E/_blank" </w:instrText>
            </w:r>
            <w:r>
              <w:rPr>
                <w:rFonts w:hint="default"/>
                <w:lang w:val="en-US" w:eastAsia="zh-CN"/>
              </w:rPr>
              <w:fldChar w:fldCharType="separate"/>
            </w:r>
            <w:r>
              <w:rPr>
                <w:rFonts w:hint="default"/>
                <w:lang w:val="en-US" w:eastAsia="zh-CN"/>
              </w:rPr>
              <w:t>渭河</w:t>
            </w:r>
            <w:r>
              <w:rPr>
                <w:rFonts w:hint="default"/>
                <w:lang w:val="en-US" w:eastAsia="zh-CN"/>
              </w:rPr>
              <w:fldChar w:fldCharType="end"/>
            </w:r>
            <w:r>
              <w:rPr>
                <w:rFonts w:hint="default"/>
                <w:lang w:val="en-US" w:eastAsia="zh-CN"/>
              </w:rPr>
              <w:t>与西安相联，是西咸新区五大功能组团的核心载体。</w:t>
            </w:r>
          </w:p>
          <w:p>
            <w:pPr>
              <w:bidi w:val="0"/>
              <w:rPr>
                <w:rFonts w:hint="default"/>
                <w:lang w:val="en-US" w:eastAsia="zh-CN"/>
              </w:rPr>
            </w:pPr>
            <w:r>
              <w:rPr>
                <w:rFonts w:hint="eastAsia"/>
                <w:lang w:val="en-US" w:eastAsia="zh-CN"/>
              </w:rPr>
              <w:t>秦汉</w:t>
            </w:r>
            <w:r>
              <w:rPr>
                <w:rFonts w:hint="default"/>
                <w:lang w:val="en-US" w:eastAsia="zh-CN"/>
              </w:rPr>
              <w:t>新城内共有各类文物保护点23处，其中国家重点文物保护</w:t>
            </w:r>
            <w:r>
              <w:rPr>
                <w:rFonts w:hint="eastAsia"/>
                <w:lang w:val="en-US" w:eastAsia="zh-CN"/>
              </w:rPr>
              <w:t>点</w:t>
            </w:r>
            <w:r>
              <w:rPr>
                <w:rFonts w:hint="default"/>
                <w:lang w:val="en-US" w:eastAsia="zh-CN"/>
              </w:rPr>
              <w:t>10处，省级重点文物保护点3处，区级文物保护单位10处，包括五陵塬文物保护区、秦宫殿遗址保护区和其他众多遗址遗迹</w:t>
            </w:r>
            <w:r>
              <w:rPr>
                <w:rFonts w:hint="eastAsia"/>
                <w:lang w:val="en-US" w:eastAsia="zh-CN"/>
              </w:rPr>
              <w:t>，</w:t>
            </w:r>
            <w:r>
              <w:rPr>
                <w:rFonts w:hint="default"/>
                <w:lang w:val="en-US" w:eastAsia="zh-CN"/>
              </w:rPr>
              <w:t>素有</w:t>
            </w:r>
            <w:r>
              <w:rPr>
                <w:rFonts w:hint="eastAsia"/>
                <w:lang w:val="en-US" w:eastAsia="zh-CN"/>
              </w:rPr>
              <w:t>“</w:t>
            </w:r>
            <w:r>
              <w:rPr>
                <w:rFonts w:hint="default"/>
                <w:lang w:val="en-US" w:eastAsia="zh-CN"/>
              </w:rPr>
              <w:t>天然历史博物馆</w:t>
            </w:r>
            <w:r>
              <w:rPr>
                <w:rFonts w:hint="eastAsia"/>
                <w:lang w:val="en-US" w:eastAsia="zh-CN"/>
              </w:rPr>
              <w:t>”</w:t>
            </w:r>
            <w:r>
              <w:rPr>
                <w:rFonts w:hint="default"/>
                <w:lang w:val="en-US" w:eastAsia="zh-CN"/>
              </w:rPr>
              <w:t>之称。</w:t>
            </w:r>
          </w:p>
          <w:p>
            <w:pPr>
              <w:bidi w:val="0"/>
              <w:rPr>
                <w:rFonts w:hint="default"/>
                <w:lang w:val="en-US" w:eastAsia="zh-CN"/>
              </w:rPr>
            </w:pPr>
            <w:r>
              <w:rPr>
                <w:rFonts w:hint="eastAsia"/>
                <w:lang w:val="en-US" w:eastAsia="zh-CN"/>
              </w:rPr>
              <w:t>秦汉</w:t>
            </w:r>
            <w:r>
              <w:rPr>
                <w:rFonts w:hint="default"/>
                <w:lang w:val="en-US" w:eastAsia="zh-CN"/>
              </w:rPr>
              <w:t>新城城市规划区包括</w:t>
            </w:r>
            <w:r>
              <w:rPr>
                <w:rFonts w:hint="eastAsia"/>
                <w:lang w:val="en-US" w:eastAsia="zh-CN"/>
              </w:rPr>
              <w:t>原咸阳市</w:t>
            </w:r>
            <w:r>
              <w:rPr>
                <w:rFonts w:hint="default"/>
              </w:rPr>
              <w:t>渭城区的正阳镇、窑店镇、渭城镇、周陵镇福银高速以南的区域，秦都区的双照镇，兴平市的南位镇，泾阳县的高庄镇（部分）</w:t>
            </w:r>
            <w:r>
              <w:rPr>
                <w:rFonts w:hint="eastAsia"/>
                <w:lang w:eastAsia="zh-CN"/>
              </w:rPr>
              <w:t>等</w:t>
            </w:r>
            <w:r>
              <w:rPr>
                <w:rFonts w:hint="eastAsia"/>
              </w:rPr>
              <w:t>6个街办（镇）</w:t>
            </w:r>
            <w:r>
              <w:rPr>
                <w:rFonts w:hint="eastAsia"/>
                <w:lang w:eastAsia="zh-CN"/>
              </w:rPr>
              <w:t>，</w:t>
            </w:r>
            <w:r>
              <w:rPr>
                <w:rFonts w:hint="eastAsia"/>
              </w:rPr>
              <w:t>总规划面积302</w:t>
            </w:r>
            <w:r>
              <w:rPr>
                <w:rFonts w:hint="eastAsia"/>
                <w:lang w:val="en-US" w:eastAsia="zh-CN"/>
              </w:rPr>
              <w:t>km</w:t>
            </w:r>
            <w:r>
              <w:rPr>
                <w:rFonts w:hint="eastAsia"/>
                <w:vertAlign w:val="superscript"/>
                <w:lang w:val="en-US" w:eastAsia="zh-CN"/>
              </w:rPr>
              <w:t>2</w:t>
            </w:r>
            <w:r>
              <w:rPr>
                <w:rFonts w:hint="eastAsia"/>
              </w:rPr>
              <w:t>，其中城市建设用地约50</w:t>
            </w:r>
            <w:r>
              <w:rPr>
                <w:rFonts w:hint="eastAsia"/>
                <w:lang w:val="en-US" w:eastAsia="zh-CN"/>
              </w:rPr>
              <w:t>km</w:t>
            </w:r>
            <w:r>
              <w:rPr>
                <w:rFonts w:hint="eastAsia"/>
                <w:vertAlign w:val="superscript"/>
                <w:lang w:val="en-US" w:eastAsia="zh-CN"/>
              </w:rPr>
              <w:t>2</w:t>
            </w:r>
            <w:r>
              <w:rPr>
                <w:rFonts w:hint="eastAsia"/>
              </w:rPr>
              <w:t>，遗址保护区104</w:t>
            </w:r>
            <w:r>
              <w:rPr>
                <w:rFonts w:hint="eastAsia"/>
                <w:lang w:val="en-US" w:eastAsia="zh-CN"/>
              </w:rPr>
              <w:t>km</w:t>
            </w:r>
            <w:r>
              <w:rPr>
                <w:rFonts w:hint="eastAsia"/>
                <w:vertAlign w:val="superscript"/>
                <w:lang w:val="en-US" w:eastAsia="zh-CN"/>
              </w:rPr>
              <w:t>2</w:t>
            </w:r>
            <w:r>
              <w:rPr>
                <w:rFonts w:hint="eastAsia"/>
              </w:rPr>
              <w:t>，自贸片区10.85</w:t>
            </w:r>
            <w:r>
              <w:rPr>
                <w:rFonts w:hint="eastAsia"/>
                <w:lang w:val="en-US" w:eastAsia="zh-CN"/>
              </w:rPr>
              <w:t>km</w:t>
            </w:r>
            <w:r>
              <w:rPr>
                <w:rFonts w:hint="eastAsia"/>
                <w:vertAlign w:val="superscript"/>
                <w:lang w:val="en-US" w:eastAsia="zh-CN"/>
              </w:rPr>
              <w:t>2</w:t>
            </w:r>
            <w:r>
              <w:rPr>
                <w:rFonts w:hint="eastAsia"/>
              </w:rPr>
              <w:t>。秦汉新城与西安隔渭河相望，随着西安主城区北拓及咸阳城区东扩，两座古都将在这里对接融合。</w:t>
            </w:r>
            <w:r>
              <w:rPr>
                <w:rFonts w:hint="eastAsia"/>
                <w:lang w:val="en-US" w:eastAsia="zh-CN"/>
              </w:rPr>
              <w:t>据统计，截止2018年末，</w:t>
            </w:r>
            <w:r>
              <w:rPr>
                <w:rFonts w:hint="eastAsia"/>
                <w:lang w:eastAsia="zh-CN"/>
              </w:rPr>
              <w:t>秦汉新城常住人口</w:t>
            </w:r>
            <w:r>
              <w:rPr>
                <w:rFonts w:hint="eastAsia"/>
                <w:lang w:val="en-US" w:eastAsia="zh-CN"/>
              </w:rPr>
              <w:t>25.28万人，其中</w:t>
            </w:r>
            <w:r>
              <w:rPr>
                <w:rFonts w:hint="default"/>
              </w:rPr>
              <w:t>城镇人口</w:t>
            </w:r>
            <w:r>
              <w:rPr>
                <w:rFonts w:hint="eastAsia"/>
                <w:lang w:val="en-US" w:eastAsia="zh-CN"/>
              </w:rPr>
              <w:t>5.42</w:t>
            </w:r>
            <w:r>
              <w:rPr>
                <w:rFonts w:hint="default"/>
              </w:rPr>
              <w:t>万人</w:t>
            </w:r>
            <w:r>
              <w:rPr>
                <w:rFonts w:hint="eastAsia"/>
                <w:lang w:eastAsia="zh-CN"/>
              </w:rPr>
              <w:t>，农村人口</w:t>
            </w:r>
            <w:r>
              <w:rPr>
                <w:rFonts w:hint="eastAsia"/>
                <w:lang w:val="en-US" w:eastAsia="zh-CN"/>
              </w:rPr>
              <w:t>19.86万人，</w:t>
            </w:r>
            <w:r>
              <w:rPr>
                <w:rFonts w:hint="default"/>
              </w:rPr>
              <w:t>城镇化率</w:t>
            </w:r>
            <w:r>
              <w:rPr>
                <w:rFonts w:hint="eastAsia"/>
                <w:lang w:val="en-US" w:eastAsia="zh-CN"/>
              </w:rPr>
              <w:t>21.44</w:t>
            </w:r>
            <w:r>
              <w:rPr>
                <w:rFonts w:hint="default"/>
              </w:rPr>
              <w:t>%。</w:t>
            </w:r>
            <w:r>
              <w:rPr>
                <w:rFonts w:hint="eastAsia"/>
                <w:lang w:eastAsia="zh-CN"/>
              </w:rPr>
              <w:t>耕地面积</w:t>
            </w:r>
            <w:r>
              <w:rPr>
                <w:rFonts w:hint="eastAsia"/>
                <w:lang w:val="en-US" w:eastAsia="zh-CN"/>
              </w:rPr>
              <w:t>12.73万亩，农田有效灌溉面积6.60万亩。</w:t>
            </w:r>
            <w:r>
              <w:rPr>
                <w:rFonts w:hint="default"/>
              </w:rPr>
              <w:t>201</w:t>
            </w:r>
            <w:r>
              <w:rPr>
                <w:rFonts w:hint="default"/>
                <w:lang w:val="en-US" w:eastAsia="zh-CN"/>
              </w:rPr>
              <w:t>8</w:t>
            </w:r>
            <w:r>
              <w:rPr>
                <w:rFonts w:hint="default"/>
              </w:rPr>
              <w:t>年</w:t>
            </w:r>
            <w:r>
              <w:rPr>
                <w:rFonts w:hint="eastAsia"/>
                <w:lang w:eastAsia="zh-CN"/>
              </w:rPr>
              <w:t>，秦汉新城</w:t>
            </w:r>
            <w:r>
              <w:rPr>
                <w:rFonts w:hint="default"/>
              </w:rPr>
              <w:t>国内生产总值完成</w:t>
            </w:r>
            <w:r>
              <w:rPr>
                <w:rFonts w:hint="eastAsia"/>
                <w:lang w:val="en-US" w:eastAsia="zh-CN"/>
              </w:rPr>
              <w:t>117.290</w:t>
            </w:r>
            <w:r>
              <w:rPr>
                <w:rFonts w:hint="default"/>
              </w:rPr>
              <w:t>亿元</w:t>
            </w:r>
            <w:r>
              <w:rPr>
                <w:rFonts w:hint="default"/>
                <w:lang w:eastAsia="zh-CN"/>
              </w:rPr>
              <w:t>，</w:t>
            </w:r>
            <w:r>
              <w:rPr>
                <w:rFonts w:hint="default"/>
              </w:rPr>
              <w:t>规模以上工业总产值完成</w:t>
            </w:r>
            <w:r>
              <w:rPr>
                <w:rFonts w:hint="eastAsia"/>
                <w:lang w:val="en-US" w:eastAsia="zh-CN"/>
              </w:rPr>
              <w:t>9.47</w:t>
            </w:r>
            <w:r>
              <w:rPr>
                <w:rFonts w:hint="default"/>
              </w:rPr>
              <w:t>亿元；其中：第一产业增加值</w:t>
            </w:r>
            <w:r>
              <w:rPr>
                <w:rFonts w:hint="eastAsia"/>
                <w:lang w:val="en-US" w:eastAsia="zh-CN"/>
              </w:rPr>
              <w:t>18.71</w:t>
            </w:r>
            <w:r>
              <w:rPr>
                <w:rFonts w:hint="default"/>
              </w:rPr>
              <w:t>亿元，占生产总值比重</w:t>
            </w:r>
            <w:r>
              <w:rPr>
                <w:rFonts w:hint="eastAsia"/>
                <w:lang w:val="en-US" w:eastAsia="zh-CN"/>
              </w:rPr>
              <w:t>15.95</w:t>
            </w:r>
            <w:r>
              <w:rPr>
                <w:rFonts w:hint="default"/>
              </w:rPr>
              <w:t>%</w:t>
            </w:r>
            <w:r>
              <w:rPr>
                <w:rFonts w:hint="eastAsia"/>
                <w:lang w:eastAsia="zh-CN"/>
              </w:rPr>
              <w:t>；</w:t>
            </w:r>
            <w:r>
              <w:rPr>
                <w:rFonts w:hint="default"/>
              </w:rPr>
              <w:t>第二产业增加值</w:t>
            </w:r>
            <w:r>
              <w:rPr>
                <w:rFonts w:hint="eastAsia"/>
                <w:lang w:val="en-US" w:eastAsia="zh-CN"/>
              </w:rPr>
              <w:t>48.95</w:t>
            </w:r>
            <w:r>
              <w:rPr>
                <w:rFonts w:hint="default"/>
              </w:rPr>
              <w:t>亿元，占生产总值</w:t>
            </w:r>
            <w:r>
              <w:rPr>
                <w:rFonts w:hint="eastAsia"/>
                <w:lang w:val="en-US" w:eastAsia="zh-CN"/>
              </w:rPr>
              <w:t>41.73</w:t>
            </w:r>
            <w:r>
              <w:rPr>
                <w:rFonts w:hint="default"/>
              </w:rPr>
              <w:t>%</w:t>
            </w:r>
            <w:r>
              <w:rPr>
                <w:rFonts w:hint="eastAsia"/>
                <w:lang w:eastAsia="zh-CN"/>
              </w:rPr>
              <w:t>；</w:t>
            </w:r>
            <w:r>
              <w:rPr>
                <w:rFonts w:hint="default"/>
              </w:rPr>
              <w:t>第三产业增加值</w:t>
            </w:r>
            <w:r>
              <w:rPr>
                <w:rFonts w:hint="eastAsia"/>
                <w:lang w:val="en-US" w:eastAsia="zh-CN"/>
              </w:rPr>
              <w:t>49.63</w:t>
            </w:r>
            <w:r>
              <w:rPr>
                <w:rFonts w:hint="default"/>
              </w:rPr>
              <w:t>亿元，占生产总值</w:t>
            </w:r>
            <w:r>
              <w:rPr>
                <w:rFonts w:hint="eastAsia"/>
                <w:lang w:val="en-US" w:eastAsia="zh-CN"/>
              </w:rPr>
              <w:t>42.31</w:t>
            </w:r>
            <w:r>
              <w:rPr>
                <w:rFonts w:hint="default"/>
              </w:rPr>
              <w:t>%。三次产业的结构为</w:t>
            </w:r>
            <w:r>
              <w:rPr>
                <w:rFonts w:hint="eastAsia"/>
                <w:lang w:val="en-US" w:eastAsia="zh-CN"/>
              </w:rPr>
              <w:t>16</w:t>
            </w:r>
            <w:r>
              <w:rPr>
                <w:rFonts w:hint="default"/>
              </w:rPr>
              <w:t>：</w:t>
            </w:r>
            <w:r>
              <w:rPr>
                <w:rFonts w:hint="eastAsia"/>
                <w:lang w:val="en-US" w:eastAsia="zh-CN"/>
              </w:rPr>
              <w:t>42</w:t>
            </w:r>
            <w:r>
              <w:rPr>
                <w:rFonts w:hint="default"/>
              </w:rPr>
              <w:t>：</w:t>
            </w:r>
            <w:r>
              <w:rPr>
                <w:rFonts w:hint="eastAsia"/>
                <w:lang w:val="en-US" w:eastAsia="zh-CN"/>
              </w:rPr>
              <w:t>42</w:t>
            </w:r>
            <w:r>
              <w:rPr>
                <w:rFonts w:hint="default"/>
                <w:lang w:eastAsia="zh-CN"/>
              </w:rPr>
              <w:t>。</w:t>
            </w:r>
          </w:p>
          <w:p>
            <w:pPr>
              <w:pStyle w:val="5"/>
              <w:bidi w:val="0"/>
              <w:rPr>
                <w:rFonts w:hint="default"/>
                <w:lang w:val="en-US" w:eastAsia="zh-CN"/>
              </w:rPr>
            </w:pPr>
            <w:r>
              <w:rPr>
                <w:rFonts w:hint="eastAsia"/>
                <w:lang w:val="en-US" w:eastAsia="zh-CN"/>
              </w:rPr>
              <w:t>3、矿权基本情况</w:t>
            </w:r>
          </w:p>
          <w:p>
            <w:pPr>
              <w:spacing w:line="360" w:lineRule="auto"/>
              <w:ind w:firstLine="480" w:firstLineChars="200"/>
              <w:jc w:val="both"/>
              <w:rPr>
                <w:rFonts w:hint="eastAsia"/>
                <w:lang w:eastAsia="zh-CN"/>
              </w:rPr>
            </w:pPr>
            <w:r>
              <w:rPr>
                <w:rFonts w:hint="eastAsia"/>
                <w:lang w:val="zh-TW" w:eastAsia="zh-CN"/>
              </w:rPr>
              <w:t>中石化绿源地热能（陕西）开发有限公司</w:t>
            </w:r>
            <w:r>
              <w:rPr>
                <w:rFonts w:hint="eastAsia"/>
                <w:lang w:val="en-US" w:eastAsia="zh-CN"/>
              </w:rPr>
              <w:t>文热4地热区块</w:t>
            </w:r>
            <w:r>
              <w:rPr>
                <w:rFonts w:hint="eastAsia"/>
                <w:lang w:val="zh-TW" w:eastAsia="zh-CN"/>
              </w:rPr>
              <w:t>采矿许可证最初是2009年11月由咸阳市国土资源局颁发，最初矿权面积为1.0001km</w:t>
            </w:r>
            <w:r>
              <w:rPr>
                <w:rFonts w:hint="eastAsia"/>
                <w:vertAlign w:val="superscript"/>
                <w:lang w:val="zh-TW" w:eastAsia="zh-CN"/>
              </w:rPr>
              <w:t>2</w:t>
            </w:r>
            <w:r>
              <w:rPr>
                <w:rFonts w:hint="eastAsia"/>
                <w:lang w:val="zh-TW" w:eastAsia="zh-CN"/>
              </w:rPr>
              <w:t>，批准生产规模为20.00</w:t>
            </w:r>
            <w:r>
              <w:rPr>
                <w:rFonts w:hint="eastAsia"/>
                <w:lang w:val="en-US" w:eastAsia="zh-CN"/>
              </w:rPr>
              <w:t>万</w:t>
            </w:r>
            <w:r>
              <w:t>m</w:t>
            </w:r>
            <w:r>
              <w:rPr>
                <w:rFonts w:hint="eastAsia"/>
                <w:vertAlign w:val="superscript"/>
                <w:lang w:val="en-US" w:eastAsia="zh-CN"/>
              </w:rPr>
              <w:t>3</w:t>
            </w:r>
            <w:r>
              <w:rPr>
                <w:rFonts w:hint="eastAsia"/>
                <w:lang w:val="en-US" w:eastAsia="zh-CN"/>
              </w:rPr>
              <w:t>/a</w:t>
            </w:r>
            <w:r>
              <w:rPr>
                <w:rFonts w:hint="eastAsia"/>
                <w:lang w:val="zh-TW" w:eastAsia="zh-CN"/>
              </w:rPr>
              <w:t>，之后2012年10月进行延续，延续期限为3年，2015年8月矿权所有人再次延续时，由于行政区划改革导致矿产主管部门尚未明确，故矿权延续未能按期进行；到2021年由陕西省西咸新区自然资源和规划局接管，并颁发了采矿权许可证，批准矿权面积0.16km</w:t>
            </w:r>
            <w:r>
              <w:rPr>
                <w:rFonts w:hint="eastAsia"/>
                <w:vertAlign w:val="superscript"/>
                <w:lang w:val="zh-TW" w:eastAsia="zh-CN"/>
              </w:rPr>
              <w:t>2</w:t>
            </w:r>
            <w:r>
              <w:rPr>
                <w:rFonts w:hint="eastAsia"/>
                <w:lang w:val="zh-TW" w:eastAsia="zh-CN"/>
              </w:rPr>
              <w:t>，批准生产规模为16.00</w:t>
            </w:r>
            <w:r>
              <w:rPr>
                <w:rFonts w:hint="eastAsia"/>
                <w:lang w:val="en-US" w:eastAsia="zh-CN"/>
              </w:rPr>
              <w:t>万</w:t>
            </w:r>
            <w:r>
              <w:t>m</w:t>
            </w:r>
            <w:r>
              <w:rPr>
                <w:rFonts w:hint="eastAsia"/>
                <w:vertAlign w:val="superscript"/>
                <w:lang w:val="en-US" w:eastAsia="zh-CN"/>
              </w:rPr>
              <w:t>3</w:t>
            </w:r>
            <w:r>
              <w:rPr>
                <w:rFonts w:hint="eastAsia"/>
                <w:lang w:val="en-US" w:eastAsia="zh-CN"/>
              </w:rPr>
              <w:t>/a，有效期1年（自2021年10月27日至2022年10月27日），采矿许可证</w:t>
            </w:r>
            <w:r>
              <w:t>证号为：C61000020100</w:t>
            </w:r>
            <w:r>
              <w:rPr>
                <w:rFonts w:hint="eastAsia"/>
              </w:rPr>
              <w:t>71120069759</w:t>
            </w:r>
            <w:r>
              <w:rPr>
                <w:rFonts w:hint="eastAsia"/>
                <w:lang w:val="zh-TW" w:eastAsia="zh-CN"/>
              </w:rPr>
              <w:t>，</w:t>
            </w:r>
            <w:r>
              <w:rPr>
                <w:rFonts w:hint="eastAsia"/>
                <w:lang w:eastAsia="zh-CN"/>
              </w:rPr>
              <w:t>采矿许可证内容如下：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（1）矿山名称：</w:t>
            </w:r>
            <w:r>
              <w:rPr>
                <w:rFonts w:hint="eastAsia"/>
                <w:lang w:eastAsia="zh-CN"/>
              </w:rPr>
              <w:t>中石化绿源地热能（陕西）开发有限公司</w:t>
            </w:r>
            <w:r>
              <w:rPr>
                <w:rFonts w:hint="eastAsia"/>
                <w:lang w:val="en-US" w:eastAsia="zh-CN"/>
              </w:rPr>
              <w:t>文热4地热区块</w:t>
            </w:r>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（2）矿山地点：</w:t>
            </w:r>
            <w:r>
              <w:rPr>
                <w:rFonts w:hint="eastAsia"/>
                <w:lang w:eastAsia="zh-CN"/>
              </w:rPr>
              <w:t>陕西省西咸新区秦汉新城李家寨村东北方向迎宾大道西侧</w:t>
            </w:r>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（3）矿区面积：</w:t>
            </w:r>
            <w:r>
              <w:rPr>
                <w:rFonts w:hint="eastAsia"/>
                <w:lang w:val="en-US" w:eastAsia="zh-CN"/>
              </w:rPr>
              <w:t>0.16</w:t>
            </w:r>
            <w:r>
              <w:t>km</w:t>
            </w:r>
            <w:r>
              <w:rPr>
                <w:vertAlign w:val="superscript"/>
              </w:rPr>
              <w:t>2</w:t>
            </w:r>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（4）开采矿种：</w:t>
            </w:r>
            <w:r>
              <w:rPr>
                <w:rFonts w:hint="eastAsia"/>
                <w:lang w:eastAsia="zh-CN"/>
              </w:rPr>
              <w:t>地热</w:t>
            </w:r>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（5）建设性质：生产矿山；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（6）建设规模：生产规模</w:t>
            </w:r>
            <w:r>
              <w:rPr>
                <w:rFonts w:hint="eastAsia"/>
                <w:lang w:val="en-US" w:eastAsia="zh-CN"/>
              </w:rPr>
              <w:t>16.00万</w:t>
            </w:r>
            <w:r>
              <w:t>m</w:t>
            </w:r>
            <w:r>
              <w:rPr>
                <w:vertAlign w:val="superscript"/>
              </w:rPr>
              <w:t>3</w:t>
            </w:r>
            <w:r>
              <w:t>/a；</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lang w:eastAsia="zh-CN"/>
              </w:rPr>
            </w:pPr>
            <w:r>
              <w:t>（7）</w:t>
            </w:r>
            <w:r>
              <w:rPr>
                <w:rFonts w:hint="eastAsia"/>
              </w:rPr>
              <w:t>开采方式</w:t>
            </w:r>
            <w:r>
              <w:rPr>
                <w:rFonts w:hint="eastAsia"/>
                <w:lang w:eastAsia="zh-CN"/>
              </w:rPr>
              <w:t>及用途</w:t>
            </w:r>
            <w:r>
              <w:rPr>
                <w:rFonts w:hint="eastAsia"/>
              </w:rPr>
              <w:t>：地热井泵抽的方式</w:t>
            </w:r>
            <w:r>
              <w:rPr>
                <w:rFonts w:hint="eastAsia"/>
                <w:lang w:eastAsia="zh-CN"/>
              </w:rPr>
              <w:t>，</w:t>
            </w:r>
            <w:r>
              <w:rPr>
                <w:rFonts w:hint="eastAsia"/>
                <w:lang w:val="en-US" w:eastAsia="zh-CN"/>
              </w:rPr>
              <w:t>全部</w:t>
            </w:r>
            <w:r>
              <w:rPr>
                <w:rFonts w:hint="eastAsia"/>
                <w:lang w:eastAsia="zh-CN"/>
              </w:rPr>
              <w:t>用于地热供暖。</w:t>
            </w:r>
          </w:p>
          <w:p>
            <w:pPr>
              <w:bidi w:val="0"/>
              <w:rPr>
                <w:rFonts w:hint="default"/>
                <w:lang w:val="en-US" w:eastAsia="zh-CN"/>
              </w:rPr>
            </w:pPr>
            <w:r>
              <w:rPr>
                <w:rFonts w:hint="eastAsia"/>
                <w:lang w:val="en-US" w:eastAsia="zh-CN"/>
              </w:rPr>
              <w:t>文热4</w:t>
            </w:r>
            <w:r>
              <w:rPr>
                <w:rFonts w:hint="eastAsia"/>
                <w:lang w:eastAsia="zh-CN"/>
              </w:rPr>
              <w:t>地热区块</w:t>
            </w:r>
            <w:r>
              <w:rPr>
                <w:rFonts w:hint="eastAsia"/>
                <w:lang w:val="en-US" w:eastAsia="zh-CN"/>
              </w:rPr>
              <w:t>目前有2眼地热井，为文热4地热开采井和WH1回灌井，该区块</w:t>
            </w:r>
            <w:r>
              <w:rPr>
                <w:rFonts w:hint="eastAsia"/>
                <w:lang w:eastAsia="zh-CN"/>
              </w:rPr>
              <w:t>通过文热4井提取地下热水将其热量开发出来，以板式换热器利用技术提取地热能供暖；</w:t>
            </w:r>
            <w:r>
              <w:rPr>
                <w:rFonts w:hint="eastAsia"/>
                <w:lang w:val="en-US" w:eastAsia="zh-CN"/>
              </w:rPr>
              <w:t>将供暖后的尾水经</w:t>
            </w:r>
            <w:r>
              <w:t>管道由</w:t>
            </w:r>
            <w:r>
              <w:rPr>
                <w:rFonts w:hint="eastAsia"/>
              </w:rPr>
              <w:t>WH1井</w:t>
            </w:r>
            <w:r>
              <w:t>回</w:t>
            </w:r>
            <w:r>
              <w:rPr>
                <w:rFonts w:hint="eastAsia"/>
                <w:lang w:val="en-US" w:eastAsia="zh-CN"/>
              </w:rPr>
              <w:t>灌进</w:t>
            </w:r>
            <w:r>
              <w:t>入同深度地层，仅利用地热能资源，</w:t>
            </w:r>
            <w:r>
              <w:rPr>
                <w:rFonts w:hint="eastAsia"/>
                <w:lang w:eastAsia="zh-CN"/>
              </w:rPr>
              <w:t>“</w:t>
            </w:r>
            <w:r>
              <w:rPr>
                <w:rFonts w:hint="eastAsia"/>
              </w:rPr>
              <w:t>取热不耗水</w:t>
            </w:r>
            <w:r>
              <w:rPr>
                <w:rFonts w:hint="eastAsia"/>
                <w:lang w:eastAsia="zh-CN"/>
              </w:rPr>
              <w:t>”</w:t>
            </w:r>
            <w:r>
              <w:rPr>
                <w:rFonts w:hint="eastAsia"/>
              </w:rPr>
              <w:t>。</w:t>
            </w:r>
          </w:p>
          <w:p>
            <w:pPr>
              <w:pStyle w:val="5"/>
              <w:bidi w:val="0"/>
              <w:rPr>
                <w:rFonts w:hint="default"/>
                <w:lang w:val="en-US" w:eastAsia="zh-CN"/>
              </w:rPr>
            </w:pPr>
            <w:r>
              <w:rPr>
                <w:rFonts w:hint="eastAsia"/>
                <w:lang w:val="en-US" w:eastAsia="zh-CN"/>
              </w:rPr>
              <w:t>4、地热区块开发现状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val="en-US" w:eastAsia="zh-CN"/>
              </w:rPr>
            </w:pPr>
            <w:r>
              <w:rPr>
                <w:rFonts w:hint="default"/>
                <w:lang w:val="en-US" w:eastAsia="zh-CN"/>
              </w:rPr>
              <w:t>开发利用方案：矿区地热资源开采方式为管井（地热井）抽汲式，矿区目前有地热井</w:t>
            </w:r>
            <w:r>
              <w:rPr>
                <w:rFonts w:hint="eastAsia"/>
                <w:lang w:val="en-US" w:eastAsia="zh-CN"/>
              </w:rPr>
              <w:t>1</w:t>
            </w:r>
            <w:r>
              <w:rPr>
                <w:rFonts w:hint="default"/>
                <w:lang w:val="en-US" w:eastAsia="zh-CN"/>
              </w:rPr>
              <w:t>眼</w:t>
            </w:r>
            <w:r>
              <w:rPr>
                <w:rFonts w:hint="eastAsia"/>
                <w:lang w:val="en-US" w:eastAsia="zh-CN"/>
              </w:rPr>
              <w:t>（文热4）</w:t>
            </w:r>
            <w:r>
              <w:rPr>
                <w:rFonts w:hint="default"/>
                <w:lang w:val="en-US" w:eastAsia="zh-CN"/>
              </w:rPr>
              <w:t>，</w:t>
            </w:r>
            <w:r>
              <w:rPr>
                <w:rFonts w:hint="eastAsia"/>
                <w:lang w:val="en-US" w:eastAsia="zh-CN"/>
              </w:rPr>
              <w:t>与其配套的回灌井1眼（WH1），但其井位未在文热4井区块内。文热4井：井口坐标：N：34°23′02.71″，E：108°43′25.29″，井口高程457m，2007年11月成井，井深2908.1m，开采层段为蓝田灞河组和高陵群热储，取水段深度1430.9-2873.2m（取水段高程937.9-2416.2m）。成井时初始静水位为-37m，抽水试验最大降深13m时，井口出水量180.48m</w:t>
            </w:r>
            <w:r>
              <w:rPr>
                <w:rFonts w:hint="eastAsia"/>
                <w:vertAlign w:val="superscript"/>
                <w:lang w:val="en-US" w:eastAsia="zh-CN"/>
              </w:rPr>
              <w:t>3</w:t>
            </w:r>
            <w:r>
              <w:rPr>
                <w:rFonts w:hint="eastAsia"/>
                <w:lang w:val="en-US" w:eastAsia="zh-CN"/>
              </w:rPr>
              <w:t>/h，水温81℃。目前该井静水位114.8m，出水量为80m</w:t>
            </w:r>
            <w:r>
              <w:rPr>
                <w:rFonts w:hint="eastAsia"/>
                <w:vertAlign w:val="superscript"/>
                <w:lang w:val="en-US" w:eastAsia="zh-CN"/>
              </w:rPr>
              <w:t>3</w:t>
            </w:r>
            <w:r>
              <w:rPr>
                <w:rFonts w:hint="eastAsia"/>
                <w:lang w:val="en-US" w:eastAsia="zh-CN"/>
              </w:rPr>
              <w:t>/h时稳定水位为121.3m，水温70℃。WH1回灌井：井口坐标：N：34°22′11.00″，E108°43′33.00″，井口高程423m，2008年12月成井，井深2452.15m，回灌层段为新近系蓝田灞河组热储，回灌深度为1436.22-2452.15m（回灌段高程1013.22-2029.15m）。成井时，静水位-20m，抽水试验最大降深0.8m时，井口出水量95.5m</w:t>
            </w:r>
            <w:r>
              <w:rPr>
                <w:rFonts w:hint="eastAsia"/>
                <w:vertAlign w:val="superscript"/>
                <w:lang w:val="en-US" w:eastAsia="zh-CN"/>
              </w:rPr>
              <w:t>3</w:t>
            </w:r>
            <w:r>
              <w:rPr>
                <w:rFonts w:hint="eastAsia"/>
                <w:lang w:val="en-US" w:eastAsia="zh-CN"/>
              </w:rPr>
              <w:t>/h，水温65℃。文热4</w:t>
            </w:r>
            <w:r>
              <w:rPr>
                <w:rFonts w:hint="default"/>
                <w:lang w:val="en-US" w:eastAsia="zh-CN"/>
              </w:rPr>
              <w:t>为开采井，开采层段为蓝田灞河组和高陵群</w:t>
            </w:r>
            <w:r>
              <w:rPr>
                <w:rFonts w:hint="eastAsia"/>
                <w:lang w:eastAsia="zh-CN"/>
              </w:rPr>
              <w:t>；</w:t>
            </w:r>
            <w:r>
              <w:rPr>
                <w:rFonts w:hint="eastAsia"/>
                <w:lang w:val="en-US" w:eastAsia="zh-CN"/>
              </w:rPr>
              <w:t>WH1为回灌井，回灌层段为蓝田灞河组。</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eastAsia"/>
                <w:lang w:val="en-US" w:eastAsia="zh-CN"/>
              </w:rPr>
              <w:t>文热4地热区块</w:t>
            </w:r>
            <w:r>
              <w:rPr>
                <w:rFonts w:hint="default"/>
                <w:lang w:val="en-US" w:eastAsia="zh-CN"/>
              </w:rPr>
              <w:t>开发利用地热资源</w:t>
            </w:r>
            <w:r>
              <w:rPr>
                <w:rFonts w:hint="default"/>
                <w:lang w:eastAsia="zh-CN"/>
              </w:rPr>
              <w:t>为二十局三公司（东区、西区）供暖使用，面积16.91</w:t>
            </w:r>
            <w:r>
              <w:rPr>
                <w:rFonts w:hint="eastAsia"/>
                <w:lang w:val="en-US" w:eastAsia="zh-CN"/>
              </w:rPr>
              <w:t>万</w:t>
            </w:r>
            <w:r>
              <w:t>m</w:t>
            </w:r>
            <w:r>
              <w:rPr>
                <w:rFonts w:hint="eastAsia"/>
                <w:vertAlign w:val="superscript"/>
                <w:lang w:val="en-US" w:eastAsia="zh-CN"/>
              </w:rPr>
              <w:t>2</w:t>
            </w:r>
            <w:r>
              <w:rPr>
                <w:rFonts w:hint="eastAsia"/>
                <w:lang w:val="en-US" w:eastAsia="zh-CN"/>
              </w:rPr>
              <w:t>。供暖尾水将由管道通过WH1井回灌至同深度地层，</w:t>
            </w:r>
            <w:r>
              <w:rPr>
                <w:rFonts w:hint="default"/>
              </w:rPr>
              <w:t>仅利用地热能资源，</w:t>
            </w:r>
            <w:r>
              <w:rPr>
                <w:rFonts w:hint="default"/>
                <w:lang w:eastAsia="zh-CN"/>
              </w:rPr>
              <w:t>采用</w:t>
            </w:r>
            <w:r>
              <w:rPr>
                <w:rFonts w:hint="eastAsia"/>
                <w:lang w:eastAsia="zh-CN"/>
              </w:rPr>
              <w:t>“</w:t>
            </w:r>
            <w:r>
              <w:rPr>
                <w:rFonts w:hint="default"/>
              </w:rPr>
              <w:t>取热不耗水</w:t>
            </w:r>
            <w:r>
              <w:rPr>
                <w:rFonts w:hint="eastAsia"/>
                <w:lang w:eastAsia="zh-CN"/>
              </w:rPr>
              <w:t>”</w:t>
            </w:r>
            <w:r>
              <w:rPr>
                <w:rFonts w:hint="eastAsia"/>
                <w:lang w:val="en-US" w:eastAsia="zh-CN"/>
              </w:rPr>
              <w:t>的</w:t>
            </w:r>
            <w:r>
              <w:rPr>
                <w:rFonts w:hint="default"/>
                <w:lang w:eastAsia="zh-CN"/>
              </w:rPr>
              <w:t>供暖方式</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default"/>
                <w:lang w:eastAsia="zh-CN"/>
              </w:rPr>
              <w:t>地热水开发利用</w:t>
            </w:r>
            <w:r>
              <w:rPr>
                <w:rFonts w:hint="default"/>
              </w:rPr>
              <w:t>工艺流程：以74℃地热原水为热源的一级换热系统，其二次循环系统温度为55/40℃+3760kW热泵机组作为热源。经板换换热后温度为47℃，之后进入热泵系统进行二次提取热量，最终排放的尾水温度为12℃，全部回灌至WH1</w:t>
            </w:r>
            <w:r>
              <w:rPr>
                <w:rFonts w:hint="eastAsia"/>
                <w:lang w:val="en-US" w:eastAsia="zh-CN"/>
              </w:rPr>
              <w:t>回灌</w:t>
            </w:r>
            <w:r>
              <w:rPr>
                <w:rFonts w:hint="default"/>
              </w:rPr>
              <w:t>井中</w:t>
            </w:r>
            <w:r>
              <w:rPr>
                <w:rFonts w:hint="eastAsia"/>
                <w:lang w:eastAsia="zh-CN"/>
              </w:rPr>
              <w:t>，见图</w:t>
            </w:r>
            <w:r>
              <w:rPr>
                <w:rFonts w:hint="eastAsia"/>
                <w:lang w:val="en-US" w:eastAsia="zh-CN"/>
              </w:rPr>
              <w:t>3</w:t>
            </w:r>
            <w:r>
              <w:rPr>
                <w:rFonts w:hint="default"/>
              </w:rPr>
              <w:t>。</w:t>
            </w:r>
          </w:p>
          <w:p>
            <w:pPr>
              <w:spacing w:line="360" w:lineRule="auto"/>
              <w:ind w:firstLine="480" w:firstLineChars="200"/>
              <w:jc w:val="left"/>
            </w:pPr>
            <w:r>
              <w:rPr>
                <w:rFonts w:hint="eastAsia"/>
                <w:lang w:val="en-US" w:eastAsia="zh-CN"/>
              </w:rPr>
              <w:t>水质变化情况：</w:t>
            </w:r>
            <w:r>
              <w:rPr>
                <w:rFonts w:hint="eastAsia"/>
              </w:rPr>
              <w:t>将成</w:t>
            </w:r>
            <w:r>
              <w:t>井初期的水质化验资料与</w:t>
            </w:r>
            <w:r>
              <w:rPr>
                <w:rFonts w:hint="eastAsia"/>
                <w:lang w:eastAsia="zh-CN"/>
              </w:rPr>
              <w:t>近期</w:t>
            </w:r>
            <w:r>
              <w:t>水质资料进行分析对比，水化学类型</w:t>
            </w:r>
            <w:r>
              <w:rPr>
                <w:rFonts w:hint="eastAsia"/>
              </w:rPr>
              <w:t>始终为</w:t>
            </w:r>
            <w:r>
              <w:t>Cl-Na型水，主要离子含量</w:t>
            </w:r>
            <w:r>
              <w:rPr>
                <w:rFonts w:hint="eastAsia"/>
              </w:rPr>
              <w:t>变化不大</w:t>
            </w:r>
            <w:r>
              <w:t>，水质动态</w:t>
            </w:r>
            <w:r>
              <w:rPr>
                <w:rFonts w:hint="eastAsia"/>
              </w:rPr>
              <w:t>变化</w:t>
            </w:r>
            <w:r>
              <w:t>较</w:t>
            </w:r>
            <w:r>
              <w:rPr>
                <w:rFonts w:hint="eastAsia"/>
              </w:rPr>
              <w:t>小，根据区域内不同深度水化学类型规律分析，根据同类项目经验随着回灌井的使用，井组间开采段上部水循环加剧，水中主要阴阳离子会逐渐减少，但文热4地热区块开采井、回灌井距离较远，水循环距离加大，该现象不明显</w:t>
            </w:r>
            <w:r>
              <w:t>。详见表</w:t>
            </w:r>
            <w:r>
              <w:rPr>
                <w:rFonts w:hint="eastAsia"/>
                <w:lang w:val="en-US" w:eastAsia="zh-CN"/>
              </w:rPr>
              <w:t>1</w:t>
            </w:r>
            <w:r>
              <w:t>。</w:t>
            </w:r>
          </w:p>
          <w:p>
            <w:pPr>
              <w:pStyle w:val="2"/>
              <w:rPr>
                <w:rFonts w:hint="default"/>
              </w:rPr>
            </w:pPr>
          </w:p>
          <w:tbl>
            <w:tblPr>
              <w:tblStyle w:val="15"/>
              <w:tblW w:w="83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78" w:hRule="atLeast"/>
              </w:trPr>
              <w:tc>
                <w:tcPr>
                  <w:tcW w:w="83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rPr>
                  </w:pPr>
                  <w:r>
                    <w:object>
                      <v:shape id="_x0000_i1025" o:spt="75" type="#_x0000_t75" style="height:212.1pt;width:415.2pt;" o:ole="t" filled="f" o:preferrelative="t" stroked="f" coordsize="21600,21600">
                        <v:path/>
                        <v:fill on="f" focussize="0,0"/>
                        <v:stroke on="f"/>
                        <v:imagedata r:id="rId12" o:title=""/>
                        <o:lock v:ext="edit" aspectratio="t"/>
                        <w10:wrap type="none"/>
                        <w10:anchorlock/>
                      </v:shape>
                      <o:OLEObject Type="Embed" ProgID="Visio.Drawing.15" ShapeID="_x0000_i1025" DrawAspect="Content" ObjectID="_1468075725" r:id="rId11">
                        <o:LockedField>false</o:LockedField>
                      </o:OLEObject>
                    </w:obje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trPr>
              <w:tc>
                <w:tcPr>
                  <w:tcW w:w="830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rPr>
                  </w:pPr>
                  <w:r>
                    <w:rPr>
                      <w:rFonts w:hint="eastAsia" w:ascii="仿宋" w:hAnsi="仿宋" w:eastAsia="仿宋" w:cs="仿宋"/>
                      <w:b/>
                      <w:bCs/>
                      <w:lang w:eastAsia="zh-CN"/>
                    </w:rPr>
                    <w:t>图</w:t>
                  </w:r>
                  <w:r>
                    <w:rPr>
                      <w:rFonts w:hint="eastAsia" w:ascii="仿宋" w:hAnsi="仿宋" w:eastAsia="仿宋" w:cs="仿宋"/>
                      <w:b/>
                      <w:bCs/>
                      <w:lang w:val="en-US" w:eastAsia="zh-CN"/>
                    </w:rPr>
                    <w:t>3  文热4地热区块地热开发利用工艺图</w:t>
                  </w:r>
                </w:p>
              </w:tc>
            </w:tr>
          </w:tbl>
          <w:p>
            <w:pPr>
              <w:adjustRightInd w:val="0"/>
              <w:spacing w:line="540" w:lineRule="exact"/>
              <w:jc w:val="center"/>
            </w:pPr>
            <w:r>
              <w:rPr>
                <w:rFonts w:hint="eastAsia" w:ascii="仿宋" w:hAnsi="仿宋" w:eastAsia="仿宋" w:cs="仿宋"/>
                <w:b/>
                <w:bCs/>
              </w:rPr>
              <w:t>绿源文热4地热区块地热流体主要成分变化对比表     表</w:t>
            </w:r>
            <w:r>
              <w:rPr>
                <w:rFonts w:hint="eastAsia" w:ascii="仿宋" w:hAnsi="仿宋" w:eastAsia="仿宋" w:cs="仿宋"/>
                <w:b/>
                <w:bCs/>
                <w:lang w:val="en-US" w:eastAsia="zh-CN"/>
              </w:rPr>
              <w:t>1</w:t>
            </w:r>
            <w:r>
              <w:rPr>
                <w:rFonts w:hint="eastAsia" w:ascii="仿宋" w:hAnsi="仿宋" w:eastAsia="仿宋" w:cs="仿宋"/>
                <w:b/>
                <w:bCs/>
              </w:rPr>
              <w:t xml:space="preserve"> </w:t>
            </w:r>
            <w:r>
              <w:rPr>
                <w:rFonts w:hint="eastAsia"/>
              </w:rPr>
              <w:t xml:space="preserve"> </w:t>
            </w:r>
          </w:p>
          <w:tbl>
            <w:tblPr>
              <w:tblStyle w:val="15"/>
              <w:tblW w:w="7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8"/>
              <w:gridCol w:w="2000"/>
              <w:gridCol w:w="2000"/>
              <w:gridCol w:w="2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998" w:type="dxa"/>
                  <w:vMerge w:val="restart"/>
                  <w:vAlign w:val="center"/>
                </w:tcPr>
                <w:p>
                  <w:pPr>
                    <w:spacing w:line="360" w:lineRule="auto"/>
                    <w:ind w:left="0" w:leftChars="0" w:firstLine="0" w:firstLineChars="0"/>
                    <w:jc w:val="center"/>
                  </w:pPr>
                  <w:r>
                    <w:t>主要检测项</w:t>
                  </w:r>
                </w:p>
              </w:tc>
              <w:tc>
                <w:tcPr>
                  <w:tcW w:w="6001" w:type="dxa"/>
                  <w:gridSpan w:val="3"/>
                  <w:vAlign w:val="center"/>
                </w:tcPr>
                <w:p>
                  <w:pPr>
                    <w:spacing w:line="360" w:lineRule="auto"/>
                    <w:ind w:left="0" w:leftChars="0" w:firstLine="0" w:firstLineChars="0"/>
                    <w:jc w:val="center"/>
                  </w:pPr>
                  <w:r>
                    <w:t>检测值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998" w:type="dxa"/>
                  <w:vMerge w:val="continue"/>
                  <w:vAlign w:val="center"/>
                </w:tcPr>
                <w:p>
                  <w:pPr>
                    <w:spacing w:line="360" w:lineRule="auto"/>
                    <w:jc w:val="center"/>
                  </w:pPr>
                </w:p>
              </w:tc>
              <w:tc>
                <w:tcPr>
                  <w:tcW w:w="2000" w:type="dxa"/>
                  <w:vAlign w:val="center"/>
                </w:tcPr>
                <w:p>
                  <w:pPr>
                    <w:spacing w:line="360" w:lineRule="auto"/>
                    <w:ind w:left="0" w:leftChars="0" w:firstLine="0" w:firstLineChars="0"/>
                    <w:jc w:val="center"/>
                  </w:pPr>
                  <w:r>
                    <w:rPr>
                      <w:rFonts w:hint="eastAsia"/>
                    </w:rPr>
                    <w:t>2007</w:t>
                  </w:r>
                  <w:r>
                    <w:t>年</w:t>
                  </w:r>
                </w:p>
              </w:tc>
              <w:tc>
                <w:tcPr>
                  <w:tcW w:w="2000" w:type="dxa"/>
                  <w:vAlign w:val="center"/>
                </w:tcPr>
                <w:p>
                  <w:pPr>
                    <w:spacing w:line="360" w:lineRule="auto"/>
                    <w:ind w:left="0" w:leftChars="0" w:firstLine="0" w:firstLineChars="0"/>
                    <w:jc w:val="center"/>
                  </w:pPr>
                  <w:r>
                    <w:rPr>
                      <w:rFonts w:hint="eastAsia"/>
                    </w:rPr>
                    <w:t>2008</w:t>
                  </w:r>
                  <w:r>
                    <w:t>年</w:t>
                  </w:r>
                </w:p>
              </w:tc>
              <w:tc>
                <w:tcPr>
                  <w:tcW w:w="2001" w:type="dxa"/>
                  <w:vAlign w:val="center"/>
                </w:tcPr>
                <w:p>
                  <w:pPr>
                    <w:spacing w:line="360" w:lineRule="auto"/>
                    <w:ind w:left="0" w:leftChars="0" w:firstLine="0" w:firstLineChars="0"/>
                    <w:jc w:val="center"/>
                  </w:pPr>
                  <w:r>
                    <w:rPr>
                      <w:rFonts w:hint="eastAsia"/>
                    </w:rPr>
                    <w:t>2021年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998" w:type="dxa"/>
                  <w:vAlign w:val="center"/>
                </w:tcPr>
                <w:p>
                  <w:pPr>
                    <w:spacing w:line="360" w:lineRule="auto"/>
                    <w:ind w:left="0" w:leftChars="0" w:firstLine="0" w:firstLineChars="0"/>
                    <w:jc w:val="center"/>
                  </w:pPr>
                  <w:r>
                    <w:t>Na+ 、K+</w:t>
                  </w:r>
                </w:p>
              </w:tc>
              <w:tc>
                <w:tcPr>
                  <w:tcW w:w="2000" w:type="dxa"/>
                  <w:vAlign w:val="center"/>
                </w:tcPr>
                <w:p>
                  <w:pPr>
                    <w:spacing w:line="360" w:lineRule="auto"/>
                    <w:ind w:left="0" w:leftChars="0" w:firstLine="0" w:firstLineChars="0"/>
                    <w:jc w:val="center"/>
                  </w:pPr>
                  <w:r>
                    <w:rPr>
                      <w:rFonts w:hint="eastAsia"/>
                    </w:rPr>
                    <w:t>1898.3</w:t>
                  </w:r>
                  <w:r>
                    <w:t>mg/L</w:t>
                  </w:r>
                </w:p>
              </w:tc>
              <w:tc>
                <w:tcPr>
                  <w:tcW w:w="2000" w:type="dxa"/>
                  <w:vAlign w:val="center"/>
                </w:tcPr>
                <w:p>
                  <w:pPr>
                    <w:spacing w:line="360" w:lineRule="auto"/>
                    <w:ind w:left="0" w:leftChars="0" w:firstLine="0" w:firstLineChars="0"/>
                    <w:jc w:val="center"/>
                  </w:pPr>
                  <w:r>
                    <w:rPr>
                      <w:rFonts w:hint="eastAsia"/>
                    </w:rPr>
                    <w:t>2918.7</w:t>
                  </w:r>
                  <w:r>
                    <w:t xml:space="preserve"> mg/L</w:t>
                  </w:r>
                </w:p>
              </w:tc>
              <w:tc>
                <w:tcPr>
                  <w:tcW w:w="2001" w:type="dxa"/>
                  <w:vAlign w:val="center"/>
                </w:tcPr>
                <w:p>
                  <w:pPr>
                    <w:spacing w:line="360" w:lineRule="auto"/>
                    <w:ind w:left="0" w:leftChars="0" w:firstLine="0" w:firstLineChars="0"/>
                    <w:jc w:val="center"/>
                  </w:pPr>
                  <w:r>
                    <w:rPr>
                      <w:rFonts w:hint="eastAsia"/>
                    </w:rPr>
                    <w:t>1801.0</w:t>
                  </w: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998" w:type="dxa"/>
                  <w:vAlign w:val="center"/>
                </w:tcPr>
                <w:p>
                  <w:pPr>
                    <w:spacing w:line="360" w:lineRule="auto"/>
                    <w:ind w:left="0" w:leftChars="0" w:firstLine="0" w:firstLineChars="0"/>
                    <w:jc w:val="center"/>
                  </w:pPr>
                  <w:r>
                    <w:t>Cl-</w:t>
                  </w:r>
                </w:p>
              </w:tc>
              <w:tc>
                <w:tcPr>
                  <w:tcW w:w="2000" w:type="dxa"/>
                  <w:vAlign w:val="center"/>
                </w:tcPr>
                <w:p>
                  <w:pPr>
                    <w:spacing w:line="360" w:lineRule="auto"/>
                    <w:ind w:left="0" w:leftChars="0" w:firstLine="0" w:firstLineChars="0"/>
                    <w:jc w:val="center"/>
                  </w:pPr>
                  <w:r>
                    <w:rPr>
                      <w:rFonts w:hint="eastAsia"/>
                    </w:rPr>
                    <w:t>2729.6</w:t>
                  </w:r>
                  <w:r>
                    <w:t>mg/L</w:t>
                  </w:r>
                </w:p>
              </w:tc>
              <w:tc>
                <w:tcPr>
                  <w:tcW w:w="2000" w:type="dxa"/>
                  <w:vAlign w:val="center"/>
                </w:tcPr>
                <w:p>
                  <w:pPr>
                    <w:spacing w:line="360" w:lineRule="auto"/>
                    <w:ind w:left="0" w:leftChars="0" w:firstLine="0" w:firstLineChars="0"/>
                    <w:jc w:val="center"/>
                  </w:pPr>
                  <w:r>
                    <w:rPr>
                      <w:rFonts w:hint="eastAsia"/>
                    </w:rPr>
                    <w:t>4378.1</w:t>
                  </w:r>
                  <w:r>
                    <w:t>mg/L</w:t>
                  </w:r>
                </w:p>
              </w:tc>
              <w:tc>
                <w:tcPr>
                  <w:tcW w:w="2001" w:type="dxa"/>
                  <w:vAlign w:val="center"/>
                </w:tcPr>
                <w:p>
                  <w:pPr>
                    <w:spacing w:line="360" w:lineRule="auto"/>
                    <w:ind w:left="0" w:leftChars="0" w:firstLine="0" w:firstLineChars="0"/>
                    <w:jc w:val="center"/>
                  </w:pPr>
                  <w:r>
                    <w:rPr>
                      <w:rFonts w:hint="eastAsia"/>
                    </w:rPr>
                    <w:t>2500</w:t>
                  </w: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998" w:type="dxa"/>
                  <w:vAlign w:val="center"/>
                </w:tcPr>
                <w:p>
                  <w:pPr>
                    <w:spacing w:line="360" w:lineRule="auto"/>
                    <w:ind w:left="0" w:leftChars="0" w:firstLine="0" w:firstLineChars="0"/>
                    <w:jc w:val="center"/>
                  </w:pPr>
                  <w:r>
                    <w:t>SO42-</w:t>
                  </w:r>
                </w:p>
              </w:tc>
              <w:tc>
                <w:tcPr>
                  <w:tcW w:w="2000" w:type="dxa"/>
                  <w:vAlign w:val="center"/>
                </w:tcPr>
                <w:p>
                  <w:pPr>
                    <w:spacing w:line="360" w:lineRule="auto"/>
                    <w:ind w:left="0" w:leftChars="0" w:firstLine="0" w:firstLineChars="0"/>
                    <w:jc w:val="center"/>
                  </w:pPr>
                  <w:r>
                    <w:rPr>
                      <w:rFonts w:hint="eastAsia"/>
                    </w:rPr>
                    <w:t>475.5</w:t>
                  </w:r>
                  <w:r>
                    <w:t>mg/L</w:t>
                  </w:r>
                </w:p>
              </w:tc>
              <w:tc>
                <w:tcPr>
                  <w:tcW w:w="2000" w:type="dxa"/>
                  <w:vAlign w:val="center"/>
                </w:tcPr>
                <w:p>
                  <w:pPr>
                    <w:spacing w:line="360" w:lineRule="auto"/>
                    <w:ind w:left="0" w:leftChars="0" w:firstLine="0" w:firstLineChars="0"/>
                    <w:jc w:val="center"/>
                  </w:pPr>
                  <w:r>
                    <w:rPr>
                      <w:rFonts w:hint="eastAsia"/>
                    </w:rPr>
                    <w:t>603.3</w:t>
                  </w:r>
                  <w:r>
                    <w:t>mg/L</w:t>
                  </w:r>
                </w:p>
              </w:tc>
              <w:tc>
                <w:tcPr>
                  <w:tcW w:w="2001" w:type="dxa"/>
                  <w:vAlign w:val="center"/>
                </w:tcPr>
                <w:p>
                  <w:pPr>
                    <w:spacing w:line="360" w:lineRule="auto"/>
                    <w:ind w:left="0" w:leftChars="0" w:firstLine="0" w:firstLineChars="0"/>
                    <w:jc w:val="center"/>
                  </w:pPr>
                  <w:r>
                    <w:rPr>
                      <w:rFonts w:hint="eastAsia"/>
                    </w:rPr>
                    <w:t>514</w:t>
                  </w: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3" w:hRule="atLeast"/>
                <w:jc w:val="center"/>
              </w:trPr>
              <w:tc>
                <w:tcPr>
                  <w:tcW w:w="1998" w:type="dxa"/>
                  <w:vAlign w:val="center"/>
                </w:tcPr>
                <w:p>
                  <w:pPr>
                    <w:spacing w:line="360" w:lineRule="auto"/>
                    <w:ind w:left="0" w:leftChars="0" w:firstLine="0" w:firstLineChars="0"/>
                    <w:jc w:val="center"/>
                  </w:pPr>
                  <w:r>
                    <w:t>HCO3-</w:t>
                  </w:r>
                </w:p>
              </w:tc>
              <w:tc>
                <w:tcPr>
                  <w:tcW w:w="2000" w:type="dxa"/>
                  <w:vAlign w:val="center"/>
                </w:tcPr>
                <w:p>
                  <w:pPr>
                    <w:spacing w:line="360" w:lineRule="auto"/>
                    <w:ind w:left="0" w:leftChars="0" w:firstLine="0" w:firstLineChars="0"/>
                    <w:jc w:val="center"/>
                  </w:pPr>
                  <w:r>
                    <w:rPr>
                      <w:rFonts w:hint="eastAsia"/>
                    </w:rPr>
                    <w:t>320.3</w:t>
                  </w:r>
                  <w:r>
                    <w:t>mg/L</w:t>
                  </w:r>
                </w:p>
              </w:tc>
              <w:tc>
                <w:tcPr>
                  <w:tcW w:w="2000" w:type="dxa"/>
                  <w:vAlign w:val="center"/>
                </w:tcPr>
                <w:p>
                  <w:pPr>
                    <w:spacing w:line="360" w:lineRule="auto"/>
                    <w:ind w:left="0" w:leftChars="0" w:firstLine="0" w:firstLineChars="0"/>
                    <w:jc w:val="center"/>
                  </w:pPr>
                  <w:r>
                    <w:rPr>
                      <w:rFonts w:hint="eastAsia"/>
                    </w:rPr>
                    <w:t>213.6</w:t>
                  </w:r>
                  <w:r>
                    <w:t xml:space="preserve"> mg/L</w:t>
                  </w:r>
                </w:p>
              </w:tc>
              <w:tc>
                <w:tcPr>
                  <w:tcW w:w="2001" w:type="dxa"/>
                  <w:vAlign w:val="center"/>
                </w:tcPr>
                <w:p>
                  <w:pPr>
                    <w:spacing w:line="360" w:lineRule="auto"/>
                    <w:ind w:left="0" w:leftChars="0" w:firstLine="0" w:firstLineChars="0"/>
                    <w:jc w:val="center"/>
                  </w:pPr>
                  <w:r>
                    <w:rPr>
                      <w:rFonts w:hint="eastAsia"/>
                    </w:rPr>
                    <w:t>305</w:t>
                  </w: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3" w:hRule="atLeast"/>
                <w:jc w:val="center"/>
              </w:trPr>
              <w:tc>
                <w:tcPr>
                  <w:tcW w:w="1998" w:type="dxa"/>
                  <w:vAlign w:val="center"/>
                </w:tcPr>
                <w:p>
                  <w:pPr>
                    <w:spacing w:line="360" w:lineRule="auto"/>
                    <w:ind w:left="0" w:leftChars="0" w:firstLine="0" w:firstLineChars="0"/>
                    <w:jc w:val="center"/>
                  </w:pPr>
                  <w:r>
                    <w:t>F-</w:t>
                  </w:r>
                </w:p>
              </w:tc>
              <w:tc>
                <w:tcPr>
                  <w:tcW w:w="2000" w:type="dxa"/>
                  <w:vAlign w:val="center"/>
                </w:tcPr>
                <w:p>
                  <w:pPr>
                    <w:spacing w:line="360" w:lineRule="auto"/>
                    <w:ind w:left="0" w:leftChars="0" w:firstLine="0" w:firstLineChars="0"/>
                    <w:jc w:val="center"/>
                  </w:pPr>
                  <w:r>
                    <w:rPr>
                      <w:rFonts w:hint="eastAsia"/>
                    </w:rPr>
                    <w:t>1.95</w:t>
                  </w:r>
                  <w:r>
                    <w:t>mg/L</w:t>
                  </w:r>
                </w:p>
              </w:tc>
              <w:tc>
                <w:tcPr>
                  <w:tcW w:w="2000" w:type="dxa"/>
                  <w:vAlign w:val="center"/>
                </w:tcPr>
                <w:p>
                  <w:pPr>
                    <w:spacing w:line="360" w:lineRule="auto"/>
                    <w:ind w:left="0" w:leftChars="0" w:firstLine="0" w:firstLineChars="0"/>
                    <w:jc w:val="center"/>
                  </w:pPr>
                  <w:r>
                    <w:rPr>
                      <w:rFonts w:hint="eastAsia"/>
                    </w:rPr>
                    <w:t>1.95</w:t>
                  </w:r>
                  <w:r>
                    <w:t xml:space="preserve"> mg/L</w:t>
                  </w:r>
                </w:p>
              </w:tc>
              <w:tc>
                <w:tcPr>
                  <w:tcW w:w="2001" w:type="dxa"/>
                  <w:vAlign w:val="center"/>
                </w:tcPr>
                <w:p>
                  <w:pPr>
                    <w:spacing w:line="360" w:lineRule="auto"/>
                    <w:ind w:left="0" w:leftChars="0" w:firstLine="0" w:firstLineChars="0"/>
                    <w:jc w:val="center"/>
                  </w:pPr>
                  <w:r>
                    <w:rPr>
                      <w:rFonts w:hint="eastAsia"/>
                    </w:rPr>
                    <w:t>1.66</w:t>
                  </w: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3" w:hRule="atLeast"/>
                <w:jc w:val="center"/>
              </w:trPr>
              <w:tc>
                <w:tcPr>
                  <w:tcW w:w="1998" w:type="dxa"/>
                  <w:vAlign w:val="center"/>
                </w:tcPr>
                <w:p>
                  <w:pPr>
                    <w:spacing w:line="360" w:lineRule="auto"/>
                    <w:ind w:left="0" w:leftChars="0" w:firstLine="0" w:firstLineChars="0"/>
                    <w:jc w:val="center"/>
                  </w:pPr>
                  <w:r>
                    <w:t>PH</w:t>
                  </w:r>
                </w:p>
              </w:tc>
              <w:tc>
                <w:tcPr>
                  <w:tcW w:w="2000" w:type="dxa"/>
                  <w:vAlign w:val="center"/>
                </w:tcPr>
                <w:p>
                  <w:pPr>
                    <w:spacing w:line="360" w:lineRule="auto"/>
                    <w:ind w:left="0" w:leftChars="0" w:firstLine="0" w:firstLineChars="0"/>
                    <w:jc w:val="center"/>
                  </w:pPr>
                  <w:r>
                    <w:rPr>
                      <w:rFonts w:hint="eastAsia"/>
                    </w:rPr>
                    <w:t>7.5</w:t>
                  </w:r>
                </w:p>
              </w:tc>
              <w:tc>
                <w:tcPr>
                  <w:tcW w:w="2000" w:type="dxa"/>
                  <w:vAlign w:val="center"/>
                </w:tcPr>
                <w:p>
                  <w:pPr>
                    <w:spacing w:line="360" w:lineRule="auto"/>
                    <w:ind w:left="0" w:leftChars="0" w:firstLine="0" w:firstLineChars="0"/>
                    <w:jc w:val="center"/>
                  </w:pPr>
                  <w:r>
                    <w:rPr>
                      <w:rFonts w:hint="eastAsia"/>
                    </w:rPr>
                    <w:t>7.3</w:t>
                  </w:r>
                </w:p>
              </w:tc>
              <w:tc>
                <w:tcPr>
                  <w:tcW w:w="2001" w:type="dxa"/>
                  <w:vAlign w:val="center"/>
                </w:tcPr>
                <w:p>
                  <w:pPr>
                    <w:spacing w:line="360" w:lineRule="auto"/>
                    <w:ind w:left="0" w:leftChars="0" w:firstLine="0" w:firstLineChars="0"/>
                    <w:jc w:val="center"/>
                  </w:pPr>
                  <w:r>
                    <w:rPr>
                      <w:rFonts w:hint="eastAsia"/>
                    </w:rPr>
                    <w:t>7.81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3" w:hRule="atLeast"/>
                <w:jc w:val="center"/>
              </w:trPr>
              <w:tc>
                <w:tcPr>
                  <w:tcW w:w="1998" w:type="dxa"/>
                  <w:vAlign w:val="center"/>
                </w:tcPr>
                <w:p>
                  <w:pPr>
                    <w:spacing w:line="360" w:lineRule="auto"/>
                    <w:ind w:left="0" w:leftChars="0" w:firstLine="0" w:firstLineChars="0"/>
                    <w:jc w:val="center"/>
                  </w:pPr>
                  <w:r>
                    <w:t>溶解性总固体</w:t>
                  </w:r>
                </w:p>
              </w:tc>
              <w:tc>
                <w:tcPr>
                  <w:tcW w:w="2000" w:type="dxa"/>
                  <w:vAlign w:val="center"/>
                </w:tcPr>
                <w:p>
                  <w:pPr>
                    <w:spacing w:line="360" w:lineRule="auto"/>
                    <w:ind w:left="0" w:leftChars="0" w:firstLine="0" w:firstLineChars="0"/>
                    <w:jc w:val="center"/>
                  </w:pPr>
                  <w:r>
                    <w:rPr>
                      <w:rFonts w:hint="eastAsia"/>
                    </w:rPr>
                    <w:t>5306</w:t>
                  </w:r>
                  <w:r>
                    <w:t>mg/L</w:t>
                  </w:r>
                </w:p>
              </w:tc>
              <w:tc>
                <w:tcPr>
                  <w:tcW w:w="2000" w:type="dxa"/>
                  <w:vAlign w:val="center"/>
                </w:tcPr>
                <w:p>
                  <w:pPr>
                    <w:spacing w:line="360" w:lineRule="auto"/>
                    <w:ind w:left="0" w:leftChars="0" w:firstLine="0" w:firstLineChars="0"/>
                    <w:jc w:val="center"/>
                  </w:pPr>
                  <w:r>
                    <w:rPr>
                      <w:rFonts w:hint="eastAsia"/>
                    </w:rPr>
                    <w:t>7900</w:t>
                  </w:r>
                  <w:r>
                    <w:t xml:space="preserve"> mg/L</w:t>
                  </w:r>
                </w:p>
              </w:tc>
              <w:tc>
                <w:tcPr>
                  <w:tcW w:w="2001" w:type="dxa"/>
                  <w:vAlign w:val="center"/>
                </w:tcPr>
                <w:p>
                  <w:pPr>
                    <w:spacing w:line="360" w:lineRule="auto"/>
                    <w:ind w:left="0" w:leftChars="0" w:firstLine="0" w:firstLineChars="0"/>
                    <w:jc w:val="center"/>
                  </w:pPr>
                  <w:r>
                    <w:rPr>
                      <w:rFonts w:hint="eastAsia"/>
                    </w:rPr>
                    <w:t>5472</w:t>
                  </w: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3" w:hRule="atLeast"/>
                <w:jc w:val="center"/>
              </w:trPr>
              <w:tc>
                <w:tcPr>
                  <w:tcW w:w="1998" w:type="dxa"/>
                  <w:vAlign w:val="center"/>
                </w:tcPr>
                <w:p>
                  <w:pPr>
                    <w:spacing w:line="360" w:lineRule="auto"/>
                    <w:ind w:left="0" w:leftChars="0" w:firstLine="0" w:firstLineChars="0"/>
                    <w:jc w:val="center"/>
                  </w:pPr>
                  <w:r>
                    <w:t>可溶解性SiO2</w:t>
                  </w:r>
                </w:p>
              </w:tc>
              <w:tc>
                <w:tcPr>
                  <w:tcW w:w="2000" w:type="dxa"/>
                  <w:vAlign w:val="center"/>
                </w:tcPr>
                <w:p>
                  <w:pPr>
                    <w:spacing w:line="360" w:lineRule="auto"/>
                    <w:ind w:left="0" w:leftChars="0" w:firstLine="0" w:firstLineChars="0"/>
                    <w:jc w:val="center"/>
                  </w:pPr>
                  <w:r>
                    <w:rPr>
                      <w:rFonts w:hint="eastAsia"/>
                    </w:rPr>
                    <w:t>45.5</w:t>
                  </w:r>
                  <w:r>
                    <w:t>mg/L</w:t>
                  </w:r>
                </w:p>
              </w:tc>
              <w:tc>
                <w:tcPr>
                  <w:tcW w:w="2000" w:type="dxa"/>
                  <w:vAlign w:val="center"/>
                </w:tcPr>
                <w:p>
                  <w:pPr>
                    <w:spacing w:line="360" w:lineRule="auto"/>
                    <w:ind w:left="0" w:leftChars="0" w:firstLine="0" w:firstLineChars="0"/>
                    <w:jc w:val="center"/>
                  </w:pPr>
                  <w:r>
                    <w:rPr>
                      <w:rFonts w:hint="eastAsia"/>
                    </w:rPr>
                    <w:t>33.8</w:t>
                  </w:r>
                  <w:r>
                    <w:t xml:space="preserve"> mg/L</w:t>
                  </w:r>
                </w:p>
              </w:tc>
              <w:tc>
                <w:tcPr>
                  <w:tcW w:w="2001" w:type="dxa"/>
                  <w:vAlign w:val="center"/>
                </w:tcPr>
                <w:p>
                  <w:pPr>
                    <w:spacing w:line="360" w:lineRule="auto"/>
                    <w:ind w:left="0" w:leftChars="0" w:firstLine="0" w:firstLineChars="0"/>
                    <w:jc w:val="center"/>
                  </w:pPr>
                  <w:r>
                    <w:rPr>
                      <w:rFonts w:hint="eastAsia"/>
                    </w:rPr>
                    <w:t>47.3</w:t>
                  </w:r>
                  <w:r>
                    <w:t>mg/L</w:t>
                  </w:r>
                </w:p>
              </w:tc>
            </w:tr>
          </w:tbl>
          <w:p>
            <w:pPr>
              <w:bidi w:val="0"/>
            </w:pPr>
            <w:r>
              <w:rPr>
                <w:rFonts w:hint="eastAsia"/>
                <w:lang w:val="en-US" w:eastAsia="zh-CN"/>
              </w:rPr>
              <w:t>水温变化情况：</w:t>
            </w:r>
            <w:r>
              <w:rPr>
                <w:rFonts w:hint="eastAsia"/>
              </w:rPr>
              <w:t>文热4地热区块</w:t>
            </w:r>
            <w:r>
              <w:t>地热流体温度由成井初期</w:t>
            </w:r>
            <w:r>
              <w:rPr>
                <w:rFonts w:hint="eastAsia"/>
              </w:rPr>
              <w:t>（2007年）</w:t>
            </w:r>
            <w:r>
              <w:t>的</w:t>
            </w:r>
            <w:r>
              <w:rPr>
                <w:rFonts w:hint="eastAsia"/>
              </w:rPr>
              <w:t>81</w:t>
            </w:r>
            <w:r>
              <w:t>℃降至</w:t>
            </w:r>
            <w:r>
              <w:rPr>
                <w:rFonts w:hint="eastAsia"/>
              </w:rPr>
              <w:t>2021年的70</w:t>
            </w:r>
            <w:r>
              <w:t>℃，随着</w:t>
            </w:r>
            <w:r>
              <w:rPr>
                <w:rFonts w:hint="eastAsia"/>
              </w:rPr>
              <w:t>地热资源的不断开发利用</w:t>
            </w:r>
            <w:r>
              <w:t>，</w:t>
            </w:r>
            <w:r>
              <w:rPr>
                <w:rFonts w:hint="eastAsia"/>
              </w:rPr>
              <w:t>地热流体</w:t>
            </w:r>
            <w:r>
              <w:t>温度有所</w:t>
            </w:r>
            <w:r>
              <w:rPr>
                <w:rFonts w:hint="eastAsia"/>
              </w:rPr>
              <w:t>衰减</w:t>
            </w:r>
            <w:r>
              <w:t>。</w:t>
            </w:r>
          </w:p>
          <w:p>
            <w:pPr>
              <w:spacing w:line="580" w:lineRule="exact"/>
              <w:ind w:firstLine="480" w:firstLineChars="200"/>
            </w:pPr>
            <w:r>
              <w:rPr>
                <w:rFonts w:hint="eastAsia"/>
                <w:lang w:eastAsia="zh-CN"/>
              </w:rPr>
              <w:t>水位变化情况：</w:t>
            </w:r>
            <w:r>
              <w:rPr>
                <w:rFonts w:hint="eastAsia"/>
              </w:rPr>
              <w:t>文热4地热区块定向井于2007年11月成井后于2008年投入使用，为二十局三公司（东区、西区）供暖在2008年至2021年供暖期间水位自成井时的-37m下降至2021年供暖季结束后的-114.8m，水位累计下降了77.8m，年平均下降5.56m</w:t>
            </w:r>
            <w:r>
              <w:rPr>
                <w:rFonts w:hint="eastAsia"/>
                <w:lang w:eastAsia="zh-CN"/>
              </w:rPr>
              <w:t>，见表</w:t>
            </w:r>
            <w:r>
              <w:rPr>
                <w:rFonts w:hint="eastAsia"/>
                <w:lang w:val="en-US" w:eastAsia="zh-CN"/>
              </w:rPr>
              <w:t>2，</w:t>
            </w:r>
            <w:r>
              <w:rPr>
                <w:rFonts w:hint="eastAsia"/>
              </w:rPr>
              <w:t>水位下降幅度较大。</w:t>
            </w:r>
            <w:r>
              <w:rPr>
                <w:rFonts w:hint="eastAsia"/>
                <w:lang w:eastAsia="zh-CN"/>
              </w:rPr>
              <w:t>文热4</w:t>
            </w:r>
            <w:r>
              <w:rPr>
                <w:rFonts w:hint="eastAsia"/>
              </w:rPr>
              <w:t>井配套回灌井为WH1井，</w:t>
            </w:r>
            <w:r>
              <w:rPr>
                <w:rFonts w:hint="eastAsia"/>
                <w:lang w:eastAsia="zh-CN"/>
              </w:rPr>
              <w:t>文热4</w:t>
            </w:r>
            <w:r>
              <w:rPr>
                <w:rFonts w:hint="eastAsia"/>
              </w:rPr>
              <w:t>井供暖尾水直接回灌至WH1井中，由于WH1井距离</w:t>
            </w:r>
            <w:r>
              <w:rPr>
                <w:rFonts w:hint="eastAsia"/>
                <w:lang w:eastAsia="zh-CN"/>
              </w:rPr>
              <w:t>文热4</w:t>
            </w:r>
            <w:r>
              <w:rPr>
                <w:rFonts w:hint="eastAsia"/>
              </w:rPr>
              <w:t>井约1.6km，两眼井距离较远，短期内，WH1井对</w:t>
            </w:r>
            <w:r>
              <w:rPr>
                <w:rFonts w:hint="eastAsia"/>
                <w:lang w:eastAsia="zh-CN"/>
              </w:rPr>
              <w:t>文热4</w:t>
            </w:r>
            <w:r>
              <w:rPr>
                <w:rFonts w:hint="eastAsia"/>
              </w:rPr>
              <w:t>井地热资源量补给距离较远，导致</w:t>
            </w:r>
            <w:r>
              <w:rPr>
                <w:rFonts w:hint="eastAsia"/>
                <w:lang w:eastAsia="zh-CN"/>
              </w:rPr>
              <w:t>文热4</w:t>
            </w:r>
            <w:r>
              <w:rPr>
                <w:rFonts w:hint="eastAsia"/>
              </w:rPr>
              <w:t>井水位下降较快，但从长远来看</w:t>
            </w:r>
            <w:r>
              <w:rPr>
                <w:rFonts w:hint="eastAsia"/>
                <w:lang w:eastAsia="zh-CN"/>
              </w:rPr>
              <w:t>文热4</w:t>
            </w:r>
            <w:r>
              <w:rPr>
                <w:rFonts w:hint="eastAsia"/>
              </w:rPr>
              <w:t>井资源量能够得到补给。</w:t>
            </w:r>
          </w:p>
          <w:p>
            <w:pPr>
              <w:spacing w:line="480" w:lineRule="exact"/>
              <w:jc w:val="center"/>
              <w:rPr>
                <w:rFonts w:hint="eastAsia" w:ascii="仿宋" w:hAnsi="仿宋" w:eastAsia="仿宋" w:cs="仿宋"/>
                <w:b/>
                <w:bCs/>
                <w:lang w:val="en-US"/>
              </w:rPr>
            </w:pPr>
            <w:r>
              <w:rPr>
                <w:rFonts w:hint="eastAsia" w:ascii="仿宋" w:hAnsi="仿宋" w:eastAsia="仿宋" w:cs="仿宋"/>
                <w:b/>
                <w:bCs/>
              </w:rPr>
              <w:t>文热4地热区块文热4井静水位统计表        表</w:t>
            </w:r>
            <w:r>
              <w:rPr>
                <w:rFonts w:hint="eastAsia" w:ascii="仿宋" w:hAnsi="仿宋" w:eastAsia="仿宋" w:cs="仿宋"/>
                <w:b/>
                <w:bCs/>
                <w:lang w:val="en-US" w:eastAsia="zh-CN"/>
              </w:rPr>
              <w:t>2</w:t>
            </w:r>
          </w:p>
          <w:tbl>
            <w:tblPr>
              <w:tblStyle w:val="14"/>
              <w:tblW w:w="8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882"/>
              <w:gridCol w:w="930"/>
              <w:gridCol w:w="929"/>
              <w:gridCol w:w="928"/>
              <w:gridCol w:w="930"/>
              <w:gridCol w:w="930"/>
              <w:gridCol w:w="930"/>
              <w:gridCol w:w="928"/>
              <w:gridCol w:w="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0" w:hRule="atLeast"/>
                <w:jc w:val="center"/>
              </w:trPr>
              <w:tc>
                <w:tcPr>
                  <w:tcW w:w="882" w:type="dxa"/>
                  <w:vAlign w:val="center"/>
                </w:tcPr>
                <w:p>
                  <w:pPr>
                    <w:ind w:left="0" w:leftChars="0" w:firstLine="0" w:firstLineChars="0"/>
                    <w:jc w:val="center"/>
                  </w:pPr>
                  <w:r>
                    <w:rPr>
                      <w:rFonts w:hint="eastAsia"/>
                    </w:rPr>
                    <w:t>年份</w:t>
                  </w:r>
                </w:p>
              </w:tc>
              <w:tc>
                <w:tcPr>
                  <w:tcW w:w="930" w:type="dxa"/>
                  <w:vAlign w:val="center"/>
                </w:tcPr>
                <w:p>
                  <w:pPr>
                    <w:ind w:left="0" w:leftChars="0" w:firstLine="0" w:firstLineChars="0"/>
                    <w:jc w:val="center"/>
                    <w:rPr>
                      <w:rFonts w:hint="eastAsia"/>
                    </w:rPr>
                  </w:pPr>
                  <w:r>
                    <w:rPr>
                      <w:rFonts w:hint="eastAsia"/>
                    </w:rPr>
                    <w:t>2007.11</w:t>
                  </w:r>
                </w:p>
              </w:tc>
              <w:tc>
                <w:tcPr>
                  <w:tcW w:w="929" w:type="dxa"/>
                  <w:vAlign w:val="center"/>
                </w:tcPr>
                <w:p>
                  <w:pPr>
                    <w:ind w:left="0" w:leftChars="0" w:firstLine="0" w:firstLineChars="0"/>
                    <w:jc w:val="center"/>
                    <w:rPr>
                      <w:rFonts w:hint="eastAsia"/>
                    </w:rPr>
                  </w:pPr>
                  <w:r>
                    <w:rPr>
                      <w:rFonts w:hint="eastAsia"/>
                    </w:rPr>
                    <w:t>2008.8</w:t>
                  </w:r>
                </w:p>
              </w:tc>
              <w:tc>
                <w:tcPr>
                  <w:tcW w:w="928" w:type="dxa"/>
                  <w:vAlign w:val="center"/>
                </w:tcPr>
                <w:p>
                  <w:pPr>
                    <w:ind w:left="0" w:leftChars="0" w:firstLine="0" w:firstLineChars="0"/>
                    <w:jc w:val="center"/>
                    <w:rPr>
                      <w:rFonts w:hint="eastAsia"/>
                    </w:rPr>
                  </w:pPr>
                  <w:r>
                    <w:rPr>
                      <w:rFonts w:hint="eastAsia"/>
                    </w:rPr>
                    <w:t>2009.8</w:t>
                  </w:r>
                </w:p>
              </w:tc>
              <w:tc>
                <w:tcPr>
                  <w:tcW w:w="930" w:type="dxa"/>
                  <w:vAlign w:val="center"/>
                </w:tcPr>
                <w:p>
                  <w:pPr>
                    <w:ind w:left="0" w:leftChars="0" w:firstLine="0" w:firstLineChars="0"/>
                    <w:jc w:val="center"/>
                    <w:rPr>
                      <w:rFonts w:hint="eastAsia"/>
                    </w:rPr>
                  </w:pPr>
                  <w:r>
                    <w:rPr>
                      <w:rFonts w:hint="eastAsia"/>
                    </w:rPr>
                    <w:t>2010.8</w:t>
                  </w:r>
                </w:p>
              </w:tc>
              <w:tc>
                <w:tcPr>
                  <w:tcW w:w="930" w:type="dxa"/>
                  <w:vAlign w:val="center"/>
                </w:tcPr>
                <w:p>
                  <w:pPr>
                    <w:ind w:left="0" w:leftChars="0" w:firstLine="0" w:firstLineChars="0"/>
                    <w:jc w:val="center"/>
                    <w:rPr>
                      <w:rFonts w:hint="eastAsia"/>
                    </w:rPr>
                  </w:pPr>
                  <w:r>
                    <w:rPr>
                      <w:rFonts w:hint="eastAsia"/>
                    </w:rPr>
                    <w:t>2011.8</w:t>
                  </w:r>
                </w:p>
              </w:tc>
              <w:tc>
                <w:tcPr>
                  <w:tcW w:w="930" w:type="dxa"/>
                  <w:vAlign w:val="center"/>
                </w:tcPr>
                <w:p>
                  <w:pPr>
                    <w:ind w:left="0" w:leftChars="0" w:firstLine="0" w:firstLineChars="0"/>
                    <w:jc w:val="center"/>
                    <w:rPr>
                      <w:rFonts w:hint="eastAsia"/>
                    </w:rPr>
                  </w:pPr>
                  <w:r>
                    <w:rPr>
                      <w:rFonts w:hint="eastAsia"/>
                    </w:rPr>
                    <w:t>2012.8</w:t>
                  </w:r>
                </w:p>
              </w:tc>
              <w:tc>
                <w:tcPr>
                  <w:tcW w:w="928" w:type="dxa"/>
                  <w:vAlign w:val="center"/>
                </w:tcPr>
                <w:p>
                  <w:pPr>
                    <w:ind w:left="0" w:leftChars="0" w:firstLine="0" w:firstLineChars="0"/>
                    <w:jc w:val="center"/>
                    <w:rPr>
                      <w:rFonts w:hint="eastAsia"/>
                    </w:rPr>
                  </w:pPr>
                  <w:r>
                    <w:rPr>
                      <w:rFonts w:hint="eastAsia"/>
                    </w:rPr>
                    <w:t>2013.8</w:t>
                  </w:r>
                </w:p>
              </w:tc>
              <w:tc>
                <w:tcPr>
                  <w:tcW w:w="930" w:type="dxa"/>
                  <w:vAlign w:val="center"/>
                </w:tcPr>
                <w:p>
                  <w:pPr>
                    <w:ind w:left="0" w:leftChars="0" w:firstLine="0" w:firstLineChars="0"/>
                    <w:jc w:val="center"/>
                    <w:rPr>
                      <w:rFonts w:hint="eastAsia"/>
                    </w:rPr>
                  </w:pPr>
                  <w:r>
                    <w:rPr>
                      <w:rFonts w:hint="eastAsia"/>
                    </w:rPr>
                    <w:t>2014.8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37" w:hRule="atLeast"/>
                <w:jc w:val="center"/>
              </w:trPr>
              <w:tc>
                <w:tcPr>
                  <w:tcW w:w="882" w:type="dxa"/>
                  <w:vAlign w:val="center"/>
                </w:tcPr>
                <w:p>
                  <w:pPr>
                    <w:ind w:left="0" w:leftChars="0" w:firstLine="0" w:firstLineChars="0"/>
                    <w:jc w:val="center"/>
                    <w:rPr>
                      <w:rFonts w:hint="eastAsia"/>
                    </w:rPr>
                  </w:pPr>
                  <w:r>
                    <w:rPr>
                      <w:rFonts w:hint="eastAsia"/>
                    </w:rPr>
                    <w:t>水位（m）</w:t>
                  </w:r>
                </w:p>
              </w:tc>
              <w:tc>
                <w:tcPr>
                  <w:tcW w:w="930" w:type="dxa"/>
                  <w:vAlign w:val="center"/>
                </w:tcPr>
                <w:p>
                  <w:pPr>
                    <w:ind w:left="0" w:leftChars="0" w:firstLine="0" w:firstLineChars="0"/>
                    <w:jc w:val="center"/>
                    <w:rPr>
                      <w:rFonts w:hint="eastAsia"/>
                    </w:rPr>
                  </w:pPr>
                  <w:r>
                    <w:rPr>
                      <w:rFonts w:hint="eastAsia"/>
                    </w:rPr>
                    <w:t>-37.00</w:t>
                  </w:r>
                </w:p>
              </w:tc>
              <w:tc>
                <w:tcPr>
                  <w:tcW w:w="929" w:type="dxa"/>
                  <w:vAlign w:val="center"/>
                </w:tcPr>
                <w:p>
                  <w:pPr>
                    <w:ind w:left="0" w:leftChars="0" w:firstLine="0" w:firstLineChars="0"/>
                    <w:jc w:val="center"/>
                    <w:rPr>
                      <w:rFonts w:hint="eastAsia"/>
                    </w:rPr>
                  </w:pPr>
                  <w:r>
                    <w:rPr>
                      <w:rFonts w:hint="eastAsia"/>
                    </w:rPr>
                    <w:t>-37.00</w:t>
                  </w:r>
                </w:p>
              </w:tc>
              <w:tc>
                <w:tcPr>
                  <w:tcW w:w="928" w:type="dxa"/>
                  <w:vAlign w:val="center"/>
                </w:tcPr>
                <w:p>
                  <w:pPr>
                    <w:ind w:left="0" w:leftChars="0" w:firstLine="0" w:firstLineChars="0"/>
                    <w:jc w:val="center"/>
                    <w:rPr>
                      <w:rFonts w:hint="eastAsia"/>
                    </w:rPr>
                  </w:pPr>
                  <w:r>
                    <w:rPr>
                      <w:rFonts w:hint="eastAsia"/>
                    </w:rPr>
                    <w:t>-49.30</w:t>
                  </w:r>
                </w:p>
              </w:tc>
              <w:tc>
                <w:tcPr>
                  <w:tcW w:w="930" w:type="dxa"/>
                  <w:vAlign w:val="center"/>
                </w:tcPr>
                <w:p>
                  <w:pPr>
                    <w:ind w:left="0" w:leftChars="0" w:firstLine="0" w:firstLineChars="0"/>
                    <w:jc w:val="center"/>
                    <w:rPr>
                      <w:rFonts w:hint="eastAsia"/>
                    </w:rPr>
                  </w:pPr>
                  <w:r>
                    <w:rPr>
                      <w:rFonts w:hint="eastAsia"/>
                    </w:rPr>
                    <w:t>-58.34</w:t>
                  </w:r>
                </w:p>
              </w:tc>
              <w:tc>
                <w:tcPr>
                  <w:tcW w:w="930" w:type="dxa"/>
                  <w:vAlign w:val="center"/>
                </w:tcPr>
                <w:p>
                  <w:pPr>
                    <w:ind w:left="0" w:leftChars="0" w:firstLine="0" w:firstLineChars="0"/>
                    <w:jc w:val="center"/>
                    <w:rPr>
                      <w:rFonts w:hint="eastAsia"/>
                    </w:rPr>
                  </w:pPr>
                  <w:r>
                    <w:rPr>
                      <w:rFonts w:hint="eastAsia"/>
                    </w:rPr>
                    <w:t>-67.31</w:t>
                  </w:r>
                </w:p>
              </w:tc>
              <w:tc>
                <w:tcPr>
                  <w:tcW w:w="930" w:type="dxa"/>
                  <w:vAlign w:val="center"/>
                </w:tcPr>
                <w:p>
                  <w:pPr>
                    <w:ind w:left="0" w:leftChars="0" w:firstLine="0" w:firstLineChars="0"/>
                    <w:jc w:val="center"/>
                    <w:rPr>
                      <w:rFonts w:hint="eastAsia"/>
                    </w:rPr>
                  </w:pPr>
                  <w:r>
                    <w:rPr>
                      <w:rFonts w:hint="eastAsia"/>
                    </w:rPr>
                    <w:t>-76.92</w:t>
                  </w:r>
                </w:p>
              </w:tc>
              <w:tc>
                <w:tcPr>
                  <w:tcW w:w="928" w:type="dxa"/>
                  <w:vAlign w:val="center"/>
                </w:tcPr>
                <w:p>
                  <w:pPr>
                    <w:ind w:left="0" w:leftChars="0" w:firstLine="0" w:firstLineChars="0"/>
                    <w:jc w:val="center"/>
                    <w:rPr>
                      <w:rFonts w:hint="eastAsia"/>
                    </w:rPr>
                  </w:pPr>
                  <w:r>
                    <w:rPr>
                      <w:rFonts w:hint="eastAsia"/>
                    </w:rPr>
                    <w:t>-85.13</w:t>
                  </w:r>
                </w:p>
              </w:tc>
              <w:tc>
                <w:tcPr>
                  <w:tcW w:w="930" w:type="dxa"/>
                  <w:vAlign w:val="center"/>
                </w:tcPr>
                <w:p>
                  <w:pPr>
                    <w:ind w:left="0" w:leftChars="0" w:firstLine="0" w:firstLineChars="0"/>
                    <w:jc w:val="center"/>
                    <w:rPr>
                      <w:rFonts w:hint="eastAsia"/>
                    </w:rPr>
                  </w:pPr>
                  <w:r>
                    <w:rPr>
                      <w:rFonts w:hint="eastAsia"/>
                    </w:rPr>
                    <w:t>-92.12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2" w:hRule="atLeast"/>
                <w:jc w:val="center"/>
              </w:trPr>
              <w:tc>
                <w:tcPr>
                  <w:tcW w:w="882" w:type="dxa"/>
                  <w:vAlign w:val="center"/>
                </w:tcPr>
                <w:p>
                  <w:pPr>
                    <w:ind w:left="0" w:leftChars="0" w:firstLine="0" w:firstLineChars="0"/>
                    <w:jc w:val="center"/>
                    <w:rPr>
                      <w:rFonts w:hint="eastAsia"/>
                    </w:rPr>
                  </w:pPr>
                  <w:r>
                    <w:rPr>
                      <w:rFonts w:hint="eastAsia"/>
                    </w:rPr>
                    <w:t>年份</w:t>
                  </w:r>
                </w:p>
              </w:tc>
              <w:tc>
                <w:tcPr>
                  <w:tcW w:w="930" w:type="dxa"/>
                  <w:vAlign w:val="center"/>
                </w:tcPr>
                <w:p>
                  <w:pPr>
                    <w:ind w:left="0" w:leftChars="0" w:firstLine="0" w:firstLineChars="0"/>
                    <w:jc w:val="center"/>
                    <w:rPr>
                      <w:rFonts w:hint="eastAsia"/>
                    </w:rPr>
                  </w:pPr>
                  <w:r>
                    <w:rPr>
                      <w:rFonts w:hint="eastAsia"/>
                    </w:rPr>
                    <w:t>2015.8</w:t>
                  </w:r>
                </w:p>
              </w:tc>
              <w:tc>
                <w:tcPr>
                  <w:tcW w:w="929" w:type="dxa"/>
                  <w:vAlign w:val="center"/>
                </w:tcPr>
                <w:p>
                  <w:pPr>
                    <w:ind w:left="0" w:leftChars="0" w:firstLine="0" w:firstLineChars="0"/>
                    <w:jc w:val="center"/>
                    <w:rPr>
                      <w:rFonts w:hint="eastAsia"/>
                    </w:rPr>
                  </w:pPr>
                  <w:r>
                    <w:rPr>
                      <w:rFonts w:hint="eastAsia"/>
                    </w:rPr>
                    <w:t>2016.8</w:t>
                  </w:r>
                </w:p>
              </w:tc>
              <w:tc>
                <w:tcPr>
                  <w:tcW w:w="928" w:type="dxa"/>
                  <w:vAlign w:val="center"/>
                </w:tcPr>
                <w:p>
                  <w:pPr>
                    <w:ind w:left="0" w:leftChars="0" w:firstLine="0" w:firstLineChars="0"/>
                    <w:jc w:val="center"/>
                    <w:rPr>
                      <w:rFonts w:hint="eastAsia"/>
                    </w:rPr>
                  </w:pPr>
                  <w:r>
                    <w:rPr>
                      <w:rFonts w:hint="eastAsia"/>
                    </w:rPr>
                    <w:t>2017.8</w:t>
                  </w:r>
                </w:p>
              </w:tc>
              <w:tc>
                <w:tcPr>
                  <w:tcW w:w="930" w:type="dxa"/>
                  <w:vAlign w:val="center"/>
                </w:tcPr>
                <w:p>
                  <w:pPr>
                    <w:ind w:left="0" w:leftChars="0" w:firstLine="0" w:firstLineChars="0"/>
                    <w:jc w:val="center"/>
                    <w:rPr>
                      <w:rFonts w:hint="eastAsia"/>
                    </w:rPr>
                  </w:pPr>
                  <w:r>
                    <w:rPr>
                      <w:rFonts w:hint="eastAsia"/>
                    </w:rPr>
                    <w:t>2018.8</w:t>
                  </w:r>
                </w:p>
              </w:tc>
              <w:tc>
                <w:tcPr>
                  <w:tcW w:w="930" w:type="dxa"/>
                  <w:vAlign w:val="center"/>
                </w:tcPr>
                <w:p>
                  <w:pPr>
                    <w:ind w:left="0" w:leftChars="0" w:firstLine="0" w:firstLineChars="0"/>
                    <w:jc w:val="center"/>
                    <w:rPr>
                      <w:rFonts w:hint="eastAsia"/>
                    </w:rPr>
                  </w:pPr>
                  <w:r>
                    <w:rPr>
                      <w:rFonts w:hint="eastAsia"/>
                    </w:rPr>
                    <w:t>2019.8</w:t>
                  </w:r>
                </w:p>
              </w:tc>
              <w:tc>
                <w:tcPr>
                  <w:tcW w:w="930" w:type="dxa"/>
                  <w:vAlign w:val="center"/>
                </w:tcPr>
                <w:p>
                  <w:pPr>
                    <w:ind w:left="0" w:leftChars="0" w:firstLine="0" w:firstLineChars="0"/>
                    <w:jc w:val="center"/>
                    <w:rPr>
                      <w:rFonts w:hint="eastAsia"/>
                    </w:rPr>
                  </w:pPr>
                  <w:r>
                    <w:rPr>
                      <w:rFonts w:hint="eastAsia"/>
                    </w:rPr>
                    <w:t>2020.8</w:t>
                  </w:r>
                </w:p>
              </w:tc>
              <w:tc>
                <w:tcPr>
                  <w:tcW w:w="928" w:type="dxa"/>
                  <w:vAlign w:val="center"/>
                </w:tcPr>
                <w:p>
                  <w:pPr>
                    <w:ind w:left="0" w:leftChars="0" w:firstLine="0" w:firstLineChars="0"/>
                    <w:jc w:val="center"/>
                    <w:rPr>
                      <w:rFonts w:hint="eastAsia"/>
                    </w:rPr>
                  </w:pPr>
                  <w:r>
                    <w:rPr>
                      <w:rFonts w:hint="eastAsia"/>
                    </w:rPr>
                    <w:t>2021.8</w:t>
                  </w:r>
                </w:p>
              </w:tc>
              <w:tc>
                <w:tcPr>
                  <w:tcW w:w="930" w:type="dxa"/>
                  <w:vAlign w:val="center"/>
                </w:tcPr>
                <w:p>
                  <w:pPr>
                    <w:ind w:left="0" w:leftChars="0" w:firstLine="0" w:firstLineChars="0"/>
                    <w:jc w:val="center"/>
                    <w:rPr>
                      <w:rFonts w:hint="eastAsia"/>
                    </w:rPr>
                  </w:pPr>
                  <w:r>
                    <w:rPr>
                      <w:rFonts w:hint="eastAsia"/>
                    </w:rPr>
                    <w:t>2022.4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8" w:hRule="atLeast"/>
                <w:jc w:val="center"/>
              </w:trPr>
              <w:tc>
                <w:tcPr>
                  <w:tcW w:w="882" w:type="dxa"/>
                  <w:vAlign w:val="center"/>
                </w:tcPr>
                <w:p>
                  <w:pPr>
                    <w:ind w:left="0" w:leftChars="0" w:firstLine="0" w:firstLineChars="0"/>
                    <w:jc w:val="center"/>
                    <w:rPr>
                      <w:rFonts w:hint="eastAsia"/>
                    </w:rPr>
                  </w:pPr>
                  <w:r>
                    <w:rPr>
                      <w:rFonts w:hint="eastAsia"/>
                    </w:rPr>
                    <w:t>水位（m）</w:t>
                  </w:r>
                </w:p>
              </w:tc>
              <w:tc>
                <w:tcPr>
                  <w:tcW w:w="930" w:type="dxa"/>
                  <w:vAlign w:val="center"/>
                </w:tcPr>
                <w:p>
                  <w:pPr>
                    <w:ind w:left="0" w:leftChars="0" w:firstLine="0" w:firstLineChars="0"/>
                    <w:jc w:val="center"/>
                    <w:rPr>
                      <w:rFonts w:hint="eastAsia"/>
                    </w:rPr>
                  </w:pPr>
                  <w:r>
                    <w:rPr>
                      <w:rFonts w:hint="eastAsia"/>
                    </w:rPr>
                    <w:t>-97.46</w:t>
                  </w:r>
                </w:p>
              </w:tc>
              <w:tc>
                <w:tcPr>
                  <w:tcW w:w="929" w:type="dxa"/>
                  <w:vAlign w:val="center"/>
                </w:tcPr>
                <w:p>
                  <w:pPr>
                    <w:ind w:left="0" w:leftChars="0" w:firstLine="0" w:firstLineChars="0"/>
                    <w:jc w:val="center"/>
                    <w:rPr>
                      <w:rFonts w:hint="eastAsia"/>
                    </w:rPr>
                  </w:pPr>
                  <w:r>
                    <w:rPr>
                      <w:rFonts w:hint="eastAsia"/>
                    </w:rPr>
                    <w:t>-101.87</w:t>
                  </w:r>
                </w:p>
              </w:tc>
              <w:tc>
                <w:tcPr>
                  <w:tcW w:w="928" w:type="dxa"/>
                  <w:vAlign w:val="center"/>
                </w:tcPr>
                <w:p>
                  <w:pPr>
                    <w:ind w:left="0" w:leftChars="0" w:firstLine="0" w:firstLineChars="0"/>
                    <w:jc w:val="center"/>
                    <w:rPr>
                      <w:rFonts w:hint="eastAsia"/>
                    </w:rPr>
                  </w:pPr>
                  <w:r>
                    <w:rPr>
                      <w:rFonts w:hint="eastAsia"/>
                    </w:rPr>
                    <w:t>-104.88</w:t>
                  </w:r>
                </w:p>
              </w:tc>
              <w:tc>
                <w:tcPr>
                  <w:tcW w:w="930" w:type="dxa"/>
                  <w:vAlign w:val="center"/>
                </w:tcPr>
                <w:p>
                  <w:pPr>
                    <w:ind w:left="0" w:leftChars="0" w:firstLine="0" w:firstLineChars="0"/>
                    <w:jc w:val="center"/>
                    <w:rPr>
                      <w:rFonts w:hint="eastAsia"/>
                    </w:rPr>
                  </w:pPr>
                  <w:r>
                    <w:rPr>
                      <w:rFonts w:hint="eastAsia"/>
                    </w:rPr>
                    <w:t>-107.01</w:t>
                  </w:r>
                </w:p>
              </w:tc>
              <w:tc>
                <w:tcPr>
                  <w:tcW w:w="930" w:type="dxa"/>
                  <w:vAlign w:val="center"/>
                </w:tcPr>
                <w:p>
                  <w:pPr>
                    <w:ind w:left="0" w:leftChars="0" w:firstLine="0" w:firstLineChars="0"/>
                    <w:jc w:val="center"/>
                    <w:rPr>
                      <w:rFonts w:hint="eastAsia"/>
                    </w:rPr>
                  </w:pPr>
                  <w:r>
                    <w:rPr>
                      <w:rFonts w:hint="eastAsia"/>
                    </w:rPr>
                    <w:t>-108.88</w:t>
                  </w:r>
                </w:p>
              </w:tc>
              <w:tc>
                <w:tcPr>
                  <w:tcW w:w="930" w:type="dxa"/>
                  <w:vAlign w:val="center"/>
                </w:tcPr>
                <w:p>
                  <w:pPr>
                    <w:ind w:left="0" w:leftChars="0" w:firstLine="0" w:firstLineChars="0"/>
                    <w:jc w:val="center"/>
                    <w:rPr>
                      <w:rFonts w:hint="eastAsia"/>
                    </w:rPr>
                  </w:pPr>
                  <w:r>
                    <w:rPr>
                      <w:rFonts w:hint="eastAsia"/>
                    </w:rPr>
                    <w:t>-110.41</w:t>
                  </w:r>
                </w:p>
              </w:tc>
              <w:tc>
                <w:tcPr>
                  <w:tcW w:w="928" w:type="dxa"/>
                  <w:vAlign w:val="center"/>
                </w:tcPr>
                <w:p>
                  <w:pPr>
                    <w:ind w:left="0" w:leftChars="0" w:firstLine="0" w:firstLineChars="0"/>
                    <w:jc w:val="center"/>
                    <w:rPr>
                      <w:rFonts w:hint="eastAsia"/>
                    </w:rPr>
                  </w:pPr>
                  <w:r>
                    <w:rPr>
                      <w:rFonts w:hint="eastAsia"/>
                    </w:rPr>
                    <w:t>-112.11</w:t>
                  </w:r>
                </w:p>
              </w:tc>
              <w:tc>
                <w:tcPr>
                  <w:tcW w:w="930" w:type="dxa"/>
                  <w:vAlign w:val="center"/>
                </w:tcPr>
                <w:p>
                  <w:pPr>
                    <w:ind w:left="0" w:leftChars="0" w:firstLine="0" w:firstLineChars="0"/>
                    <w:jc w:val="center"/>
                    <w:rPr>
                      <w:rFonts w:hint="eastAsia"/>
                    </w:rPr>
                  </w:pPr>
                  <w:r>
                    <w:rPr>
                      <w:rFonts w:hint="eastAsia"/>
                    </w:rPr>
                    <w:t>-114.80</w:t>
                  </w:r>
                </w:p>
              </w:tc>
            </w:tr>
          </w:tbl>
          <w:p>
            <w:pPr>
              <w:pStyle w:val="4"/>
              <w:bidi w:val="0"/>
              <w:rPr>
                <w:rFonts w:hint="eastAsia"/>
                <w:lang w:val="en-US" w:eastAsia="zh-CN"/>
              </w:rPr>
            </w:pPr>
            <w:r>
              <w:rPr>
                <w:rFonts w:hint="eastAsia"/>
                <w:lang w:val="en-US" w:eastAsia="zh-CN"/>
              </w:rPr>
              <w:t>（二）建设过程概况</w:t>
            </w:r>
          </w:p>
          <w:p>
            <w:pPr>
              <w:bidi w:val="0"/>
              <w:rPr>
                <w:rFonts w:hint="default"/>
              </w:rPr>
            </w:pPr>
            <w:r>
              <w:rPr>
                <w:rFonts w:hint="eastAsia" w:cs="Times New Roman"/>
                <w:b w:val="0"/>
                <w:bCs w:val="0"/>
                <w:color w:val="auto"/>
                <w:sz w:val="24"/>
                <w:szCs w:val="24"/>
                <w:lang w:val="en-US" w:eastAsia="zh-CN"/>
              </w:rPr>
              <w:t>文热4地热区块</w:t>
            </w:r>
            <w:r>
              <w:rPr>
                <w:rFonts w:hint="eastAsia" w:ascii="Times New Roman" w:hAnsi="Times New Roman" w:eastAsia="宋体" w:cs="Times New Roman"/>
                <w:b w:val="0"/>
                <w:bCs w:val="0"/>
                <w:color w:val="auto"/>
                <w:sz w:val="24"/>
                <w:szCs w:val="24"/>
                <w:lang w:val="en-US" w:eastAsia="zh-CN"/>
              </w:rPr>
              <w:t>已建地热开采井</w:t>
            </w:r>
            <w:r>
              <w:rPr>
                <w:rFonts w:hint="eastAsia" w:cs="Times New Roman"/>
                <w:b w:val="0"/>
                <w:bCs w:val="0"/>
                <w:color w:val="auto"/>
                <w:sz w:val="24"/>
                <w:szCs w:val="24"/>
                <w:lang w:val="en-US" w:eastAsia="zh-CN"/>
              </w:rPr>
              <w:t>、回灌井、</w:t>
            </w:r>
            <w:r>
              <w:rPr>
                <w:rFonts w:hint="eastAsia" w:ascii="Times New Roman" w:hAnsi="Times New Roman" w:eastAsia="宋体" w:cs="Times New Roman"/>
                <w:b w:val="0"/>
                <w:bCs w:val="0"/>
                <w:color w:val="auto"/>
                <w:sz w:val="24"/>
                <w:szCs w:val="24"/>
                <w:lang w:val="en-US" w:eastAsia="zh-CN"/>
              </w:rPr>
              <w:t>泵房、地热换热站；其中</w:t>
            </w:r>
            <w:r>
              <w:rPr>
                <w:rFonts w:hint="eastAsia" w:cs="Times New Roman"/>
                <w:b w:val="0"/>
                <w:bCs w:val="0"/>
                <w:color w:val="auto"/>
                <w:sz w:val="24"/>
                <w:szCs w:val="24"/>
                <w:lang w:val="en-US" w:eastAsia="zh-CN"/>
              </w:rPr>
              <w:t>文热4井</w:t>
            </w:r>
            <w:r>
              <w:rPr>
                <w:rFonts w:hint="eastAsia" w:ascii="Times New Roman" w:hAnsi="Times New Roman" w:eastAsia="宋体" w:cs="Times New Roman"/>
                <w:b w:val="0"/>
                <w:bCs w:val="0"/>
                <w:color w:val="auto"/>
                <w:sz w:val="24"/>
                <w:szCs w:val="24"/>
                <w:lang w:val="en-US" w:eastAsia="zh-CN"/>
              </w:rPr>
              <w:t>成井时间为</w:t>
            </w:r>
            <w:r>
              <w:rPr>
                <w:rFonts w:hint="eastAsia" w:cs="Times New Roman"/>
                <w:b w:val="0"/>
                <w:bCs w:val="0"/>
                <w:color w:val="auto"/>
                <w:sz w:val="24"/>
                <w:szCs w:val="24"/>
                <w:lang w:val="en-US" w:eastAsia="zh-CN"/>
              </w:rPr>
              <w:t>2007年11月</w:t>
            </w:r>
            <w:r>
              <w:rPr>
                <w:rFonts w:hint="eastAsia" w:ascii="Times New Roman" w:hAnsi="Times New Roman" w:eastAsia="宋体" w:cs="Times New Roman"/>
                <w:b w:val="0"/>
                <w:bCs w:val="0"/>
                <w:color w:val="auto"/>
                <w:sz w:val="24"/>
                <w:szCs w:val="24"/>
                <w:lang w:val="en-US" w:eastAsia="zh-CN"/>
              </w:rPr>
              <w:t>，</w:t>
            </w:r>
            <w:r>
              <w:rPr>
                <w:rFonts w:hint="eastAsia" w:cs="Times New Roman"/>
                <w:b w:val="0"/>
                <w:bCs w:val="0"/>
                <w:color w:val="auto"/>
                <w:sz w:val="24"/>
                <w:szCs w:val="24"/>
                <w:lang w:val="en-US" w:eastAsia="zh-CN"/>
              </w:rPr>
              <w:t>WH1回灌井成井时间2008年12月，虽然WH1井为文热4井配套的回灌井，但其不在矿区范围内，WH1井距离文热4井约1.6km，</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泵房建设时间为20</w:t>
            </w:r>
            <w:r>
              <w:rPr>
                <w:rFonts w:hint="eastAsia" w:cs="Times New Roman"/>
                <w:b w:val="0"/>
                <w:bCs w:val="0"/>
                <w:color w:val="000000" w:themeColor="text1"/>
                <w:sz w:val="24"/>
                <w:szCs w:val="24"/>
                <w:lang w:val="en-US" w:eastAsia="zh-CN"/>
                <w14:textFill>
                  <w14:solidFill>
                    <w14:schemeClr w14:val="tx1"/>
                  </w14:solidFill>
                </w14:textFill>
              </w:rPr>
              <w:t>07</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年，地热换热站</w:t>
            </w:r>
            <w:r>
              <w:rPr>
                <w:rFonts w:hint="eastAsia" w:cs="Times New Roman"/>
                <w:b w:val="0"/>
                <w:bCs w:val="0"/>
                <w:color w:val="000000" w:themeColor="text1"/>
                <w:sz w:val="24"/>
                <w:szCs w:val="24"/>
                <w:lang w:val="en-US" w:eastAsia="zh-CN"/>
                <w14:textFill>
                  <w14:solidFill>
                    <w14:schemeClr w14:val="tx1"/>
                  </w14:solidFill>
                </w14:textFill>
              </w:rPr>
              <w:t>、及其他办公、维修等辅助用房</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建设时间为20</w:t>
            </w:r>
            <w:r>
              <w:rPr>
                <w:rFonts w:hint="eastAsia" w:cs="Times New Roman"/>
                <w:b w:val="0"/>
                <w:bCs w:val="0"/>
                <w:color w:val="000000" w:themeColor="text1"/>
                <w:sz w:val="24"/>
                <w:szCs w:val="24"/>
                <w:lang w:val="en-US" w:eastAsia="zh-CN"/>
                <w14:textFill>
                  <w14:solidFill>
                    <w14:schemeClr w14:val="tx1"/>
                  </w14:solidFill>
                </w14:textFill>
              </w:rPr>
              <w:t>0</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7年。</w:t>
            </w:r>
            <w:r>
              <w:rPr>
                <w:rFonts w:hint="eastAsia"/>
                <w:lang w:val="en-US" w:eastAsia="zh-CN"/>
              </w:rPr>
              <w:t>文热4</w:t>
            </w:r>
            <w:r>
              <w:rPr>
                <w:rFonts w:hint="default"/>
              </w:rPr>
              <w:t>井及其泵房</w:t>
            </w:r>
            <w:r>
              <w:rPr>
                <w:rFonts w:hint="eastAsia"/>
                <w:lang w:val="en-US" w:eastAsia="zh-CN"/>
              </w:rPr>
              <w:t>面积40.5</w:t>
            </w:r>
            <w:r>
              <w:rPr>
                <w:rFonts w:hint="default"/>
              </w:rPr>
              <w:t>m</w:t>
            </w:r>
            <w:r>
              <w:rPr>
                <w:rFonts w:hint="default"/>
                <w:vertAlign w:val="superscript"/>
              </w:rPr>
              <w:t>2</w:t>
            </w:r>
            <w:r>
              <w:rPr>
                <w:rFonts w:hint="eastAsia"/>
                <w:lang w:val="en-US" w:eastAsia="zh-CN"/>
              </w:rPr>
              <w:t>，</w:t>
            </w:r>
            <w:r>
              <w:rPr>
                <w:rFonts w:hint="default"/>
              </w:rPr>
              <w:t>地热换热站、及其他办公、维修等辅助用房等建筑，</w:t>
            </w:r>
            <w:r>
              <w:rPr>
                <w:rFonts w:hint="eastAsia"/>
                <w:lang w:val="en-US" w:eastAsia="zh-CN"/>
              </w:rPr>
              <w:t>面积635</w:t>
            </w:r>
            <w:r>
              <w:rPr>
                <w:rFonts w:hint="default"/>
              </w:rPr>
              <w:t>m</w:t>
            </w:r>
            <w:r>
              <w:rPr>
                <w:rFonts w:hint="default"/>
                <w:vertAlign w:val="superscript"/>
              </w:rPr>
              <w:t>2</w:t>
            </w:r>
            <w:r>
              <w:rPr>
                <w:rFonts w:hint="eastAsia"/>
                <w:lang w:val="en-US" w:eastAsia="zh-CN"/>
              </w:rPr>
              <w:t>，三个电箱占地面积为37.44</w:t>
            </w:r>
            <w:r>
              <w:rPr>
                <w:rFonts w:hint="default"/>
              </w:rPr>
              <w:t>m</w:t>
            </w:r>
            <w:r>
              <w:rPr>
                <w:rFonts w:hint="default"/>
                <w:vertAlign w:val="superscript"/>
              </w:rPr>
              <w:t>2</w:t>
            </w:r>
            <w:r>
              <w:rPr>
                <w:rFonts w:hint="eastAsia"/>
                <w:lang w:eastAsia="zh-CN"/>
              </w:rPr>
              <w:t>，</w:t>
            </w:r>
            <w:r>
              <w:rPr>
                <w:rFonts w:hint="eastAsia"/>
                <w:lang w:val="en-US" w:eastAsia="zh-CN"/>
              </w:rPr>
              <w:t>其配套的回灌井不在矿区范围内，占地</w:t>
            </w:r>
            <w:r>
              <w:rPr>
                <w:rFonts w:hint="default"/>
              </w:rPr>
              <w:t>面积约</w:t>
            </w:r>
            <w:r>
              <w:rPr>
                <w:rFonts w:hint="eastAsia"/>
                <w:lang w:val="en-US" w:eastAsia="zh-CN"/>
              </w:rPr>
              <w:t>20</w:t>
            </w:r>
            <w:r>
              <w:rPr>
                <w:rFonts w:hint="default"/>
              </w:rPr>
              <w:t>m</w:t>
            </w:r>
            <w:r>
              <w:rPr>
                <w:rFonts w:hint="default"/>
                <w:vertAlign w:val="superscript"/>
              </w:rPr>
              <w:t>2</w:t>
            </w:r>
            <w:r>
              <w:rPr>
                <w:rFonts w:hint="eastAsia"/>
                <w:lang w:eastAsia="zh-CN"/>
              </w:rPr>
              <w:t>，详见照片，</w:t>
            </w:r>
            <w:r>
              <w:rPr>
                <w:rFonts w:hint="default"/>
              </w:rPr>
              <w:t>合计为732.94m</w:t>
            </w:r>
            <w:r>
              <w:rPr>
                <w:rFonts w:hint="default"/>
                <w:vertAlign w:val="superscript"/>
              </w:rPr>
              <w:t>2</w:t>
            </w:r>
            <w:r>
              <w:rPr>
                <w:rFonts w:hint="default"/>
              </w:rPr>
              <w:t>。</w:t>
            </w:r>
          </w:p>
          <w:p>
            <w:pPr>
              <w:pStyle w:val="4"/>
              <w:bidi w:val="0"/>
              <w:rPr>
                <w:rFonts w:hint="eastAsia"/>
                <w:lang w:val="en-US" w:eastAsia="zh-CN"/>
              </w:rPr>
            </w:pPr>
            <w:r>
              <w:rPr>
                <w:rFonts w:hint="eastAsia"/>
                <w:lang w:val="en-US" w:eastAsia="zh-CN"/>
              </w:rPr>
              <w:t>（三）上一期矿山地质环境保护与恢复治理执行情况</w:t>
            </w:r>
          </w:p>
          <w:p>
            <w:pPr>
              <w:bidi w:val="0"/>
              <w:rPr>
                <w:rFonts w:hint="eastAsia"/>
                <w:lang w:val="en-US" w:eastAsia="zh-CN"/>
              </w:rPr>
            </w:pPr>
            <w:r>
              <w:rPr>
                <w:rFonts w:hint="eastAsia"/>
                <w:lang w:val="en-US" w:eastAsia="zh-CN"/>
              </w:rPr>
              <w:t>2018年9月，陕西地矿区研院有限公司编制了《咸阳市文林路文热4井地热区块矿山地质环境保护与恢复治理方案报告表》并通过评审，该报告表适用期为5年。截至2022年9月矿山地质环境保护与恢复治理工程执行情况如下：</w:t>
            </w:r>
          </w:p>
          <w:tbl>
            <w:tblPr>
              <w:tblStyle w:val="15"/>
              <w:tblpPr w:leftFromText="180" w:rightFromText="180" w:vertAnchor="text" w:horzAnchor="page" w:tblpX="42" w:tblpY="-12420"/>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2" w:hRule="atLeast"/>
              </w:trPr>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drawing>
                      <wp:inline distT="0" distB="0" distL="114300" distR="114300">
                        <wp:extent cx="2784475" cy="2088515"/>
                        <wp:effectExtent l="0" t="0" r="15875" b="6985"/>
                        <wp:docPr id="85" name="图片 85" descr="ca71c25ca5c9372bc1bf3ac33595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a71c25ca5c9372bc1bf3ac33595e82"/>
                                <pic:cNvPicPr>
                                  <a:picLocks noChangeAspect="1"/>
                                </pic:cNvPicPr>
                              </pic:nvPicPr>
                              <pic:blipFill>
                                <a:blip r:embed="rId13"/>
                                <a:stretch>
                                  <a:fillRect/>
                                </a:stretch>
                              </pic:blipFill>
                              <pic:spPr>
                                <a:xfrm>
                                  <a:off x="0" y="0"/>
                                  <a:ext cx="2784475" cy="2088515"/>
                                </a:xfrm>
                                <a:prstGeom prst="rect">
                                  <a:avLst/>
                                </a:prstGeom>
                              </pic:spPr>
                            </pic:pic>
                          </a:graphicData>
                        </a:graphic>
                      </wp:inline>
                    </w:drawing>
                  </w:r>
                </w:p>
              </w:tc>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drawing>
                      <wp:inline distT="0" distB="0" distL="114300" distR="114300">
                        <wp:extent cx="2782570" cy="2087245"/>
                        <wp:effectExtent l="0" t="0" r="17780" b="8255"/>
                        <wp:docPr id="86" name="图片 86" descr="ad01f9993c749af828ab6b715cc1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ad01f9993c749af828ab6b715cc1d02"/>
                                <pic:cNvPicPr>
                                  <a:picLocks noChangeAspect="1"/>
                                </pic:cNvPicPr>
                              </pic:nvPicPr>
                              <pic:blipFill>
                                <a:blip r:embed="rId14"/>
                                <a:stretch>
                                  <a:fillRect/>
                                </a:stretch>
                              </pic:blipFill>
                              <pic:spPr>
                                <a:xfrm>
                                  <a:off x="0" y="0"/>
                                  <a:ext cx="2782570" cy="208724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2" w:hRule="atLeast"/>
              </w:trPr>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drawing>
                      <wp:inline distT="0" distB="0" distL="114300" distR="114300">
                        <wp:extent cx="2544445" cy="2072005"/>
                        <wp:effectExtent l="0" t="0" r="8255" b="4445"/>
                        <wp:docPr id="87" name="图片 87" descr="db8305bbb317598b32429d99c2598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db8305bbb317598b32429d99c25981d"/>
                                <pic:cNvPicPr>
                                  <a:picLocks noChangeAspect="1"/>
                                </pic:cNvPicPr>
                              </pic:nvPicPr>
                              <pic:blipFill>
                                <a:blip r:embed="rId15"/>
                                <a:stretch>
                                  <a:fillRect/>
                                </a:stretch>
                              </pic:blipFill>
                              <pic:spPr>
                                <a:xfrm>
                                  <a:off x="0" y="0"/>
                                  <a:ext cx="2544445" cy="2072005"/>
                                </a:xfrm>
                                <a:prstGeom prst="rect">
                                  <a:avLst/>
                                </a:prstGeom>
                              </pic:spPr>
                            </pic:pic>
                          </a:graphicData>
                        </a:graphic>
                      </wp:inline>
                    </w:drawing>
                  </w:r>
                </w:p>
              </w:tc>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drawing>
                      <wp:anchor distT="0" distB="0" distL="114300" distR="114300" simplePos="0" relativeHeight="251660288" behindDoc="1" locked="0" layoutInCell="1" allowOverlap="1">
                        <wp:simplePos x="0" y="0"/>
                        <wp:positionH relativeFrom="column">
                          <wp:posOffset>20955</wp:posOffset>
                        </wp:positionH>
                        <wp:positionV relativeFrom="paragraph">
                          <wp:posOffset>76200</wp:posOffset>
                        </wp:positionV>
                        <wp:extent cx="2503805" cy="2127250"/>
                        <wp:effectExtent l="0" t="0" r="10795" b="6350"/>
                        <wp:wrapNone/>
                        <wp:docPr id="80" name="图片 80" descr="359bce8194d6ccf8f0489c2eb54b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359bce8194d6ccf8f0489c2eb54b4a7"/>
                                <pic:cNvPicPr>
                                  <a:picLocks noChangeAspect="1"/>
                                </pic:cNvPicPr>
                              </pic:nvPicPr>
                              <pic:blipFill>
                                <a:blip r:embed="rId16"/>
                                <a:stretch>
                                  <a:fillRect/>
                                </a:stretch>
                              </pic:blipFill>
                              <pic:spPr>
                                <a:xfrm>
                                  <a:off x="0" y="0"/>
                                  <a:ext cx="2503805" cy="212725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306"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ascii="仿宋" w:hAnsi="仿宋" w:eastAsia="仿宋" w:cs="仿宋"/>
                      <w:b/>
                      <w:bCs/>
                      <w:lang w:eastAsia="zh-CN"/>
                    </w:rPr>
                    <w:t>房屋建筑及换热设备照片</w:t>
                  </w:r>
                </w:p>
              </w:tc>
            </w:tr>
          </w:tbl>
          <w:p>
            <w:pPr>
              <w:pStyle w:val="5"/>
              <w:bidi w:val="0"/>
              <w:rPr>
                <w:rFonts w:hint="default"/>
                <w:lang w:val="en-US" w:eastAsia="zh-CN"/>
              </w:rPr>
            </w:pPr>
            <w:r>
              <w:rPr>
                <w:rFonts w:hint="eastAsia"/>
                <w:lang w:val="en-US" w:eastAsia="zh-CN"/>
              </w:rPr>
              <w:t>1、基金缴存及使用情况</w:t>
            </w:r>
          </w:p>
          <w:p>
            <w:pPr>
              <w:pStyle w:val="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中石化绿源地热能（陕西）开发有限公司于2016年依据咸阳市国土局文件《关于办理矿山地质环境恢复保证金核定手续》和《矿山地质环境治理恢复保证金存储通知书》，办理了地质环境恢复保证金核定手续，并缴存保证金6万元整，2019年，按照陕西省国土资源厅、陕西省财政厅及陕西省环境保护厅联合颁发的“关于印发《陕西省矿山地质环境保护土地复垦基金实施办发》的通知”的要求，中石化绿源地热能（陕西）开发有限公司在建行建立基金专用账户，并与原咸阳市国土局及中国建设银行股份有限公司咸阳分行签订《矿山地质环境治理恢复与土地复垦基金监管协议》，将原缴存保证金转至基金专用账户，以保证矿山基金缴存工作的进行。</w:t>
            </w:r>
          </w:p>
          <w:p>
            <w:pPr>
              <w:pStyle w:val="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根据《咸阳市文林路文热</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en-US" w:eastAsia="zh-CN"/>
              </w:rPr>
              <w:t>井地热区块矿山地质环境保护与恢复治理方案报告表》(2018年)，</w:t>
            </w:r>
            <w:r>
              <w:rPr>
                <w:rFonts w:hint="eastAsia" w:ascii="Times New Roman" w:hAnsi="Times New Roman" w:cs="Times New Roman"/>
                <w:color w:val="auto"/>
                <w:highlight w:val="none"/>
                <w:lang w:val="en-US" w:eastAsia="zh-CN"/>
              </w:rPr>
              <w:t>适用期内</w:t>
            </w:r>
            <w:r>
              <w:rPr>
                <w:rFonts w:hint="default" w:ascii="Times New Roman" w:hAnsi="Times New Roman" w:cs="Times New Roman"/>
                <w:color w:val="auto"/>
                <w:highlight w:val="none"/>
                <w:lang w:val="en-US" w:eastAsia="zh-CN"/>
              </w:rPr>
              <w:t>矿山地质环境保护与恢复治理费用为3</w:t>
            </w:r>
            <w:r>
              <w:rPr>
                <w:rFonts w:hint="eastAsia" w:ascii="Times New Roman" w:hAnsi="Times New Roman" w:cs="Times New Roman"/>
                <w:color w:val="auto"/>
                <w:highlight w:val="none"/>
                <w:lang w:val="en-US" w:eastAsia="zh-CN"/>
              </w:rPr>
              <w:t>9500</w:t>
            </w:r>
            <w:r>
              <w:rPr>
                <w:rFonts w:hint="default" w:ascii="Times New Roman" w:hAnsi="Times New Roman" w:cs="Times New Roman"/>
                <w:color w:val="auto"/>
                <w:highlight w:val="none"/>
                <w:lang w:val="en-US" w:eastAsia="zh-CN"/>
              </w:rPr>
              <w:t>.00元。</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根据矿权单位提供的清单该区块矿山地质环境保护与治理恢复基金缴存总额为60000.00元，截止到目前，矿山企业未申请提取矿山地质环境保护与治理恢复基金。</w:t>
            </w:r>
          </w:p>
          <w:tbl>
            <w:tblPr>
              <w:tblStyle w:val="15"/>
              <w:tblpPr w:leftFromText="180" w:rightFromText="180" w:vertAnchor="text" w:horzAnchor="page" w:tblpX="42" w:tblpY="-12420"/>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30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lang w:eastAsia="zh-CN"/>
                    </w:rPr>
                  </w:pPr>
                  <w:r>
                    <w:drawing>
                      <wp:inline distT="0" distB="0" distL="114300" distR="114300">
                        <wp:extent cx="5132070" cy="2588895"/>
                        <wp:effectExtent l="0" t="0" r="11430" b="190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17"/>
                                <a:stretch>
                                  <a:fillRect/>
                                </a:stretch>
                              </pic:blipFill>
                              <pic:spPr>
                                <a:xfrm>
                                  <a:off x="0" y="0"/>
                                  <a:ext cx="5132070" cy="25888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30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lang w:eastAsia="zh-CN"/>
                    </w:rPr>
                  </w:pPr>
                  <w:r>
                    <w:rPr>
                      <w:rFonts w:hint="eastAsia" w:ascii="仿宋" w:hAnsi="仿宋" w:eastAsia="仿宋" w:cs="仿宋"/>
                      <w:b/>
                      <w:bCs/>
                      <w:color w:val="auto"/>
                      <w:lang w:eastAsia="zh-CN"/>
                    </w:rPr>
                    <w:t>保证金缴存回单</w:t>
                  </w:r>
                </w:p>
              </w:tc>
            </w:tr>
          </w:tbl>
          <w:p>
            <w:pPr>
              <w:pStyle w:val="5"/>
              <w:bidi w:val="0"/>
              <w:rPr>
                <w:rFonts w:hint="default"/>
                <w:color w:val="auto"/>
                <w:highlight w:val="none"/>
                <w:lang w:val="en-US" w:eastAsia="zh-CN"/>
              </w:rPr>
            </w:pPr>
            <w:r>
              <w:rPr>
                <w:rFonts w:hint="eastAsia"/>
                <w:color w:val="auto"/>
                <w:highlight w:val="none"/>
                <w:lang w:val="en-US" w:eastAsia="zh-CN"/>
              </w:rPr>
              <w:t>2、矿山地质环境保护与恢复治理工作执行情况</w:t>
            </w:r>
          </w:p>
          <w:p>
            <w:pPr>
              <w:pStyle w:val="2"/>
              <w:rPr>
                <w:rFonts w:hint="default" w:ascii="Times New Roman" w:hAnsi="Times New Roman" w:cs="Times New Roman"/>
                <w:color w:val="auto"/>
                <w:highlight w:val="none"/>
              </w:rPr>
            </w:pPr>
            <w:r>
              <w:rPr>
                <w:rFonts w:hint="default" w:ascii="Times New Roman" w:hAnsi="Times New Roman" w:cs="Times New Roman"/>
                <w:color w:val="auto"/>
                <w:highlight w:val="none"/>
              </w:rPr>
              <w:t>据《</w:t>
            </w:r>
            <w:r>
              <w:rPr>
                <w:rFonts w:hint="default" w:ascii="Times New Roman" w:hAnsi="Times New Roman" w:cs="Times New Roman"/>
                <w:color w:val="auto"/>
                <w:highlight w:val="none"/>
                <w:lang w:val="en-US" w:eastAsia="zh-CN"/>
              </w:rPr>
              <w:t>咸阳市文林路文热</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en-US" w:eastAsia="zh-CN"/>
              </w:rPr>
              <w:t>井地热区块矿山地质环境保护与恢复治理方案报告表</w:t>
            </w:r>
            <w:r>
              <w:rPr>
                <w:rFonts w:hint="default" w:ascii="Times New Roman" w:hAnsi="Times New Roman" w:cs="Times New Roman"/>
                <w:color w:val="auto"/>
                <w:highlight w:val="none"/>
              </w:rPr>
              <w:t>》(201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eastAsia="zh-CN"/>
              </w:rPr>
              <w:t>矿权单位在上个适用期完成工作量见下表，</w:t>
            </w:r>
            <w:r>
              <w:rPr>
                <w:rFonts w:hint="default" w:ascii="Times New Roman" w:hAnsi="Times New Roman" w:cs="Times New Roman"/>
                <w:color w:val="auto"/>
                <w:highlight w:val="none"/>
              </w:rPr>
              <w:t>其中</w:t>
            </w:r>
            <w:r>
              <w:rPr>
                <w:rFonts w:hint="eastAsia" w:ascii="Times New Roman" w:hAnsi="Times New Roman" w:cs="Times New Roman"/>
                <w:color w:val="auto"/>
                <w:highlight w:val="none"/>
                <w:lang w:eastAsia="zh-CN"/>
              </w:rPr>
              <w:t>主要包括</w:t>
            </w:r>
            <w:r>
              <w:rPr>
                <w:rFonts w:hint="default" w:ascii="Times New Roman" w:hAnsi="Times New Roman" w:cs="Times New Roman"/>
                <w:color w:val="auto"/>
                <w:highlight w:val="none"/>
                <w:lang w:eastAsia="zh-CN"/>
              </w:rPr>
              <w:t>水质监测、地热井水温、水量、水位监测、管线</w:t>
            </w:r>
            <w:r>
              <w:rPr>
                <w:rFonts w:hint="eastAsia" w:ascii="Times New Roman" w:hAnsi="Times New Roman" w:cs="Times New Roman"/>
                <w:color w:val="auto"/>
                <w:highlight w:val="none"/>
                <w:lang w:eastAsia="zh-CN"/>
              </w:rPr>
              <w:t>巡查</w:t>
            </w:r>
            <w:r>
              <w:rPr>
                <w:rFonts w:hint="default" w:ascii="Times New Roman" w:hAnsi="Times New Roman" w:cs="Times New Roman"/>
                <w:color w:val="auto"/>
                <w:highlight w:val="none"/>
              </w:rPr>
              <w:t>。</w:t>
            </w:r>
          </w:p>
          <w:p>
            <w:pPr>
              <w:spacing w:line="480" w:lineRule="exact"/>
              <w:jc w:val="center"/>
              <w:rPr>
                <w:rFonts w:hint="default"/>
                <w:color w:val="000000" w:themeColor="text1"/>
                <w:highlight w:val="none"/>
                <w:lang w:val="en-US" w:eastAsia="zh-CN"/>
                <w14:textFill>
                  <w14:solidFill>
                    <w14:schemeClr w14:val="tx1"/>
                  </w14:solidFill>
                </w14:textFill>
              </w:rPr>
            </w:pPr>
            <w:r>
              <w:rPr>
                <w:rFonts w:hint="eastAsia" w:ascii="仿宋" w:hAnsi="仿宋" w:eastAsia="仿宋" w:cs="仿宋"/>
                <w:b/>
                <w:bCs/>
                <w:color w:val="000000" w:themeColor="text1"/>
                <w:highlight w:val="none"/>
                <w:lang w:eastAsia="zh-CN"/>
                <w14:textFill>
                  <w14:solidFill>
                    <w14:schemeClr w14:val="tx1"/>
                  </w14:solidFill>
                </w14:textFill>
              </w:rPr>
              <w:t>上个适用期内</w:t>
            </w:r>
            <w:r>
              <w:rPr>
                <w:rFonts w:hint="eastAsia" w:ascii="仿宋" w:hAnsi="仿宋" w:eastAsia="仿宋" w:cs="仿宋"/>
                <w:b/>
                <w:bCs/>
                <w:color w:val="000000" w:themeColor="text1"/>
                <w:highlight w:val="none"/>
                <w:lang w:val="en-US" w:eastAsia="zh-CN"/>
                <w14:textFill>
                  <w14:solidFill>
                    <w14:schemeClr w14:val="tx1"/>
                  </w14:solidFill>
                </w14:textFill>
              </w:rPr>
              <w:t>矿山地质环境保护与恢复治理工作情况表     表3</w:t>
            </w:r>
          </w:p>
          <w:tbl>
            <w:tblPr>
              <w:tblStyle w:val="14"/>
              <w:tblW w:w="4922"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98"/>
              <w:gridCol w:w="1798"/>
              <w:gridCol w:w="2016"/>
              <w:gridCol w:w="25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1102" w:type="pct"/>
                  <w:vAlign w:val="center"/>
                </w:tcPr>
                <w:p>
                  <w:pPr>
                    <w:pStyle w:val="12"/>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水质监测</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c>
                <w:tcPr>
                  <w:tcW w:w="1102" w:type="pct"/>
                  <w:vAlign w:val="center"/>
                </w:tcPr>
                <w:p>
                  <w:pPr>
                    <w:pStyle w:val="12"/>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环境监测</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c>
                <w:tcPr>
                  <w:tcW w:w="1235" w:type="pct"/>
                  <w:vAlign w:val="center"/>
                </w:tcPr>
                <w:p>
                  <w:pPr>
                    <w:pStyle w:val="12"/>
                    <w:keepNext w:val="0"/>
                    <w:keepLines w:val="0"/>
                    <w:pageBreakBefore w:val="0"/>
                    <w:widowControl w:val="0"/>
                    <w:kinsoku/>
                    <w:wordWrap/>
                    <w:overflowPunct/>
                    <w:topLinePunct w:val="0"/>
                    <w:autoSpaceDE/>
                    <w:autoSpaceDN/>
                    <w:bidi w:val="0"/>
                    <w:adjustRightInd/>
                    <w:snapToGrid/>
                    <w:spacing w:after="0" w:line="240" w:lineRule="auto"/>
                    <w:ind w:left="-50" w:right="-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管线巡查</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c>
                <w:tcPr>
                  <w:tcW w:w="1560" w:type="pct"/>
                  <w:vAlign w:val="center"/>
                </w:tcPr>
                <w:p>
                  <w:pPr>
                    <w:pStyle w:val="12"/>
                    <w:keepNext w:val="0"/>
                    <w:keepLines w:val="0"/>
                    <w:pageBreakBefore w:val="0"/>
                    <w:widowControl w:val="0"/>
                    <w:kinsoku/>
                    <w:wordWrap/>
                    <w:overflowPunct/>
                    <w:topLinePunct w:val="0"/>
                    <w:autoSpaceDE/>
                    <w:autoSpaceDN/>
                    <w:bidi w:val="0"/>
                    <w:adjustRightInd/>
                    <w:snapToGrid/>
                    <w:spacing w:after="0" w:line="240" w:lineRule="auto"/>
                    <w:ind w:left="-50" w:right="-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尾水水质监测</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1102" w:type="pct"/>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5</w:t>
                  </w:r>
                </w:p>
              </w:tc>
              <w:tc>
                <w:tcPr>
                  <w:tcW w:w="1102" w:type="pct"/>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630</w:t>
                  </w:r>
                </w:p>
              </w:tc>
              <w:tc>
                <w:tcPr>
                  <w:tcW w:w="1235" w:type="pct"/>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630</w:t>
                  </w:r>
                </w:p>
              </w:tc>
              <w:tc>
                <w:tcPr>
                  <w:tcW w:w="1560" w:type="pct"/>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2</w:t>
                  </w:r>
                </w:p>
              </w:tc>
            </w:tr>
          </w:tbl>
          <w:p>
            <w:pPr>
              <w:pStyle w:val="4"/>
              <w:bidi w:val="0"/>
            </w:pPr>
            <w:r>
              <w:rPr>
                <w:rFonts w:hint="eastAsia"/>
                <w:lang w:val="en-US" w:eastAsia="zh-CN"/>
              </w:rPr>
              <w:t>（四）本次工作完成情况</w:t>
            </w:r>
          </w:p>
          <w:p>
            <w:pPr>
              <w:pStyle w:val="18"/>
              <w:ind w:firstLine="480" w:firstLineChars="200"/>
            </w:pPr>
            <w:r>
              <w:rPr>
                <w:rFonts w:hint="eastAsia"/>
                <w:lang w:eastAsia="zh-CN"/>
              </w:rPr>
              <w:t>我公司在</w:t>
            </w:r>
            <w:r>
              <w:rPr>
                <w:rFonts w:hint="eastAsia"/>
              </w:rPr>
              <w:t>接受任务后，即组织人员开展工作；202</w:t>
            </w:r>
            <w:r>
              <w:rPr>
                <w:rFonts w:hint="eastAsia"/>
                <w:lang w:val="en-US" w:eastAsia="zh-CN"/>
              </w:rPr>
              <w:t>2</w:t>
            </w:r>
            <w:r>
              <w:rPr>
                <w:rFonts w:hint="eastAsia"/>
              </w:rPr>
              <w:t>年</w:t>
            </w:r>
            <w:r>
              <w:rPr>
                <w:rFonts w:hint="eastAsia"/>
                <w:lang w:val="en-US" w:eastAsia="zh-CN"/>
              </w:rPr>
              <w:t>7</w:t>
            </w:r>
            <w:r>
              <w:rPr>
                <w:rFonts w:hint="eastAsia"/>
              </w:rPr>
              <w:t>月</w:t>
            </w:r>
            <w:r>
              <w:rPr>
                <w:rFonts w:hint="eastAsia"/>
                <w:lang w:val="en-US" w:eastAsia="zh-CN"/>
              </w:rPr>
              <w:t>11</w:t>
            </w:r>
            <w:r>
              <w:rPr>
                <w:rFonts w:hint="eastAsia"/>
              </w:rPr>
              <w:t>日—</w:t>
            </w:r>
            <w:r>
              <w:rPr>
                <w:rFonts w:hint="eastAsia"/>
                <w:lang w:val="en-US" w:eastAsia="zh-CN"/>
              </w:rPr>
              <w:t>7</w:t>
            </w:r>
            <w:r>
              <w:rPr>
                <w:rFonts w:hint="eastAsia"/>
              </w:rPr>
              <w:t>月1</w:t>
            </w:r>
            <w:r>
              <w:rPr>
                <w:rFonts w:hint="eastAsia"/>
                <w:lang w:val="en-US" w:eastAsia="zh-CN"/>
              </w:rPr>
              <w:t>5</w:t>
            </w:r>
            <w:r>
              <w:rPr>
                <w:rFonts w:hint="eastAsia"/>
              </w:rPr>
              <w:t>日</w:t>
            </w:r>
            <w:r>
              <w:rPr>
                <w:rFonts w:hint="eastAsia"/>
                <w:lang w:eastAsia="zh-CN"/>
              </w:rPr>
              <w:t>收</w:t>
            </w:r>
            <w:r>
              <w:rPr>
                <w:rFonts w:hint="eastAsia"/>
              </w:rPr>
              <w:t>集资料、编写工作计划；202</w:t>
            </w:r>
            <w:r>
              <w:rPr>
                <w:rFonts w:hint="eastAsia"/>
                <w:lang w:val="en-US" w:eastAsia="zh-CN"/>
              </w:rPr>
              <w:t>2</w:t>
            </w:r>
            <w:r>
              <w:rPr>
                <w:rFonts w:hint="eastAsia"/>
              </w:rPr>
              <w:t>年</w:t>
            </w:r>
            <w:r>
              <w:rPr>
                <w:rFonts w:hint="eastAsia"/>
                <w:lang w:val="en-US" w:eastAsia="zh-CN"/>
              </w:rPr>
              <w:t>7</w:t>
            </w:r>
            <w:r>
              <w:rPr>
                <w:rFonts w:hint="eastAsia"/>
              </w:rPr>
              <w:t>月</w:t>
            </w:r>
            <w:r>
              <w:rPr>
                <w:rFonts w:hint="eastAsia"/>
                <w:lang w:val="en-US" w:eastAsia="zh-CN"/>
              </w:rPr>
              <w:t>20—22</w:t>
            </w:r>
            <w:r>
              <w:rPr>
                <w:rFonts w:hint="eastAsia"/>
              </w:rPr>
              <w:t>日进行野外调查，之后转入室内综合资料整理、分析研究，于202</w:t>
            </w:r>
            <w:r>
              <w:rPr>
                <w:rFonts w:hint="eastAsia"/>
                <w:lang w:val="en-US" w:eastAsia="zh-CN"/>
              </w:rPr>
              <w:t>2</w:t>
            </w:r>
            <w:r>
              <w:rPr>
                <w:rFonts w:hint="eastAsia"/>
              </w:rPr>
              <w:t>年</w:t>
            </w:r>
            <w:r>
              <w:rPr>
                <w:rFonts w:hint="eastAsia"/>
                <w:lang w:val="en-US" w:eastAsia="zh-CN"/>
              </w:rPr>
              <w:t>7</w:t>
            </w:r>
            <w:r>
              <w:rPr>
                <w:rFonts w:hint="eastAsia"/>
              </w:rPr>
              <w:t>月底完成方案编制工作，并依据公司内审意见进行补充完善。本次完成工作量</w:t>
            </w:r>
            <w:r>
              <w:rPr>
                <w:rFonts w:hint="eastAsia"/>
                <w:lang w:eastAsia="zh-CN"/>
              </w:rPr>
              <w:t>，</w:t>
            </w:r>
            <w:r>
              <w:rPr>
                <w:rFonts w:hint="eastAsia"/>
              </w:rPr>
              <w:t>详见表</w:t>
            </w:r>
            <w:r>
              <w:rPr>
                <w:rFonts w:hint="eastAsia"/>
                <w:lang w:val="en-US" w:eastAsia="zh-CN"/>
              </w:rPr>
              <w:t>4</w:t>
            </w:r>
            <w:r>
              <w:rPr>
                <w:rFonts w:hint="eastAsia"/>
              </w:rPr>
              <w:t>。</w:t>
            </w:r>
          </w:p>
          <w:p>
            <w:pPr>
              <w:spacing w:line="480" w:lineRule="exact"/>
              <w:jc w:val="center"/>
              <w:rPr>
                <w:rFonts w:hint="eastAsia" w:ascii="仿宋" w:hAnsi="仿宋" w:eastAsia="仿宋" w:cs="仿宋"/>
                <w:b/>
                <w:bCs/>
                <w:lang w:val="en-US" w:eastAsia="zh-CN"/>
              </w:rPr>
            </w:pPr>
            <w:r>
              <w:rPr>
                <w:rFonts w:hint="eastAsia" w:ascii="仿宋" w:hAnsi="仿宋" w:eastAsia="仿宋" w:cs="仿宋"/>
                <w:b/>
                <w:bCs/>
              </w:rPr>
              <w:t>完成工作量统计表</w:t>
            </w:r>
            <w:r>
              <w:rPr>
                <w:rFonts w:hint="eastAsia" w:ascii="仿宋" w:hAnsi="仿宋" w:eastAsia="仿宋" w:cs="仿宋"/>
                <w:b/>
                <w:bCs/>
                <w:lang w:val="en-US" w:eastAsia="zh-CN"/>
              </w:rPr>
              <w:t xml:space="preserve">            表4</w:t>
            </w:r>
          </w:p>
          <w:tbl>
            <w:tblPr>
              <w:tblStyle w:val="14"/>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384"/>
              <w:gridCol w:w="1382"/>
              <w:gridCol w:w="1380"/>
              <w:gridCol w:w="1380"/>
              <w:gridCol w:w="13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c>
                <w:tcPr>
                  <w:tcW w:w="138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矿区面积</w:t>
                  </w:r>
                </w:p>
                <w:p>
                  <w:pPr>
                    <w:pStyle w:val="12"/>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rPr>
                  </w:pPr>
                  <w:r>
                    <w:rPr>
                      <w:rFonts w:hint="eastAsia" w:ascii="仿宋" w:hAnsi="仿宋" w:eastAsia="仿宋" w:cs="仿宋"/>
                      <w:color w:val="auto"/>
                      <w:highlight w:val="none"/>
                    </w:rPr>
                    <w:t>（km</w:t>
                  </w:r>
                  <w:r>
                    <w:rPr>
                      <w:rFonts w:hint="eastAsia" w:ascii="仿宋" w:hAnsi="仿宋" w:eastAsia="仿宋" w:cs="仿宋"/>
                      <w:color w:val="auto"/>
                      <w:highlight w:val="none"/>
                      <w:vertAlign w:val="superscript"/>
                    </w:rPr>
                    <w:t>2</w:t>
                  </w:r>
                  <w:r>
                    <w:rPr>
                      <w:rFonts w:hint="eastAsia" w:ascii="仿宋" w:hAnsi="仿宋" w:eastAsia="仿宋" w:cs="仿宋"/>
                      <w:color w:val="auto"/>
                      <w:highlight w:val="none"/>
                    </w:rPr>
                    <w:t>）</w:t>
                  </w:r>
                </w:p>
              </w:tc>
              <w:tc>
                <w:tcPr>
                  <w:tcW w:w="138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评估区面积</w:t>
                  </w:r>
                </w:p>
                <w:p>
                  <w:pPr>
                    <w:pStyle w:val="12"/>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rPr>
                  </w:pPr>
                  <w:r>
                    <w:rPr>
                      <w:rFonts w:hint="eastAsia" w:ascii="仿宋" w:hAnsi="仿宋" w:eastAsia="仿宋" w:cs="仿宋"/>
                      <w:color w:val="auto"/>
                      <w:highlight w:val="none"/>
                    </w:rPr>
                    <w:t>（km</w:t>
                  </w:r>
                  <w:r>
                    <w:rPr>
                      <w:rFonts w:hint="eastAsia" w:ascii="仿宋" w:hAnsi="仿宋" w:eastAsia="仿宋" w:cs="仿宋"/>
                      <w:color w:val="auto"/>
                      <w:highlight w:val="none"/>
                      <w:vertAlign w:val="superscript"/>
                    </w:rPr>
                    <w:t>2</w:t>
                  </w:r>
                  <w:r>
                    <w:rPr>
                      <w:rFonts w:hint="eastAsia" w:ascii="仿宋" w:hAnsi="仿宋" w:eastAsia="仿宋" w:cs="仿宋"/>
                      <w:color w:val="auto"/>
                      <w:highlight w:val="none"/>
                    </w:rPr>
                    <w:t>）</w:t>
                  </w:r>
                </w:p>
              </w:tc>
              <w:tc>
                <w:tcPr>
                  <w:tcW w:w="1382"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调查路线</w:t>
                  </w:r>
                </w:p>
                <w:p>
                  <w:pPr>
                    <w:pStyle w:val="12"/>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rPr>
                  </w:pPr>
                  <w:r>
                    <w:rPr>
                      <w:rFonts w:hint="eastAsia" w:ascii="仿宋" w:hAnsi="仿宋" w:eastAsia="仿宋" w:cs="仿宋"/>
                      <w:color w:val="auto"/>
                      <w:highlight w:val="none"/>
                    </w:rPr>
                    <w:t>（km）</w:t>
                  </w:r>
                </w:p>
              </w:tc>
              <w:tc>
                <w:tcPr>
                  <w:tcW w:w="1380"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调查点</w:t>
                  </w:r>
                </w:p>
                <w:p>
                  <w:pPr>
                    <w:pStyle w:val="12"/>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rPr>
                  </w:pPr>
                  <w:r>
                    <w:rPr>
                      <w:rFonts w:hint="eastAsia" w:ascii="仿宋" w:hAnsi="仿宋" w:eastAsia="仿宋" w:cs="仿宋"/>
                      <w:color w:val="auto"/>
                      <w:highlight w:val="none"/>
                    </w:rPr>
                    <w:t>（个）</w:t>
                  </w:r>
                </w:p>
              </w:tc>
              <w:tc>
                <w:tcPr>
                  <w:tcW w:w="1380"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拍照</w:t>
                  </w:r>
                </w:p>
                <w:p>
                  <w:pPr>
                    <w:pStyle w:val="12"/>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rPr>
                  </w:pPr>
                  <w:r>
                    <w:rPr>
                      <w:rFonts w:hint="eastAsia" w:ascii="仿宋" w:hAnsi="仿宋" w:eastAsia="仿宋" w:cs="仿宋"/>
                      <w:color w:val="auto"/>
                      <w:highlight w:val="none"/>
                    </w:rPr>
                    <w:t>（张）</w:t>
                  </w:r>
                </w:p>
              </w:tc>
              <w:tc>
                <w:tcPr>
                  <w:tcW w:w="1376"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auto"/>
                      <w:highlight w:val="none"/>
                    </w:rPr>
                  </w:pPr>
                  <w:r>
                    <w:rPr>
                      <w:rFonts w:hint="eastAsia" w:ascii="仿宋" w:hAnsi="仿宋" w:eastAsia="仿宋" w:cs="仿宋"/>
                      <w:color w:val="auto"/>
                      <w:highlight w:val="none"/>
                    </w:rPr>
                    <w:t>搜集资料</w:t>
                  </w:r>
                </w:p>
                <w:p>
                  <w:pPr>
                    <w:pStyle w:val="12"/>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rPr>
                  </w:pPr>
                  <w:r>
                    <w:rPr>
                      <w:rFonts w:hint="eastAsia" w:ascii="仿宋" w:hAnsi="仿宋" w:eastAsia="仿宋" w:cs="仿宋"/>
                      <w:color w:val="auto"/>
                      <w:highlight w:val="none"/>
                    </w:rPr>
                    <w:t>（份）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54" w:hRule="atLeast"/>
              </w:trPr>
              <w:tc>
                <w:tcPr>
                  <w:tcW w:w="138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lang w:val="en-US" w:eastAsia="zh-CN"/>
                    </w:rPr>
                  </w:pPr>
                  <w:r>
                    <w:rPr>
                      <w:rFonts w:hint="eastAsia" w:ascii="仿宋" w:hAnsi="仿宋" w:eastAsia="仿宋" w:cs="仿宋"/>
                      <w:color w:val="auto"/>
                      <w:highlight w:val="none"/>
                      <w:lang w:val="en-US" w:eastAsia="zh-CN"/>
                    </w:rPr>
                    <w:t>0.16</w:t>
                  </w:r>
                </w:p>
              </w:tc>
              <w:tc>
                <w:tcPr>
                  <w:tcW w:w="138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lang w:val="en-US" w:eastAsia="zh-CN"/>
                    </w:rPr>
                  </w:pPr>
                  <w:r>
                    <w:rPr>
                      <w:rFonts w:hint="eastAsia" w:ascii="仿宋" w:hAnsi="仿宋" w:eastAsia="仿宋" w:cs="仿宋"/>
                      <w:color w:val="auto"/>
                      <w:highlight w:val="none"/>
                      <w:lang w:val="en-US" w:eastAsia="zh-CN"/>
                    </w:rPr>
                    <w:t>1.622</w:t>
                  </w:r>
                </w:p>
              </w:tc>
              <w:tc>
                <w:tcPr>
                  <w:tcW w:w="1382"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rPr>
                  </w:pPr>
                  <w:r>
                    <w:rPr>
                      <w:rFonts w:hint="eastAsia" w:ascii="仿宋" w:hAnsi="仿宋" w:eastAsia="仿宋" w:cs="仿宋"/>
                      <w:color w:val="auto"/>
                      <w:highlight w:val="none"/>
                    </w:rPr>
                    <w:t>1.5</w:t>
                  </w:r>
                </w:p>
              </w:tc>
              <w:tc>
                <w:tcPr>
                  <w:tcW w:w="1380"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rPr>
                  </w:pPr>
                  <w:r>
                    <w:rPr>
                      <w:rFonts w:hint="eastAsia" w:ascii="仿宋" w:hAnsi="仿宋" w:eastAsia="仿宋" w:cs="仿宋"/>
                      <w:color w:val="auto"/>
                      <w:highlight w:val="none"/>
                    </w:rPr>
                    <w:t>6</w:t>
                  </w:r>
                </w:p>
              </w:tc>
              <w:tc>
                <w:tcPr>
                  <w:tcW w:w="1380"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lang w:eastAsia="zh-CN"/>
                    </w:rPr>
                  </w:pPr>
                  <w:r>
                    <w:rPr>
                      <w:rFonts w:hint="eastAsia" w:ascii="仿宋" w:hAnsi="仿宋" w:eastAsia="仿宋" w:cs="仿宋"/>
                      <w:color w:val="auto"/>
                      <w:highlight w:val="none"/>
                    </w:rPr>
                    <w:t>1</w:t>
                  </w:r>
                  <w:r>
                    <w:rPr>
                      <w:rFonts w:hint="eastAsia" w:ascii="仿宋" w:hAnsi="仿宋" w:eastAsia="仿宋" w:cs="仿宋"/>
                      <w:color w:val="auto"/>
                      <w:highlight w:val="none"/>
                      <w:lang w:val="en-US" w:eastAsia="zh-CN"/>
                    </w:rPr>
                    <w:t>6</w:t>
                  </w:r>
                </w:p>
              </w:tc>
              <w:tc>
                <w:tcPr>
                  <w:tcW w:w="1376"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rPr>
                  </w:pPr>
                  <w:r>
                    <w:rPr>
                      <w:rFonts w:hint="eastAsia" w:ascii="仿宋" w:hAnsi="仿宋" w:eastAsia="仿宋" w:cs="仿宋"/>
                      <w:color w:val="auto"/>
                      <w:highlight w:val="none"/>
                    </w:rPr>
                    <w:t>4</w:t>
                  </w:r>
                </w:p>
              </w:tc>
            </w:tr>
          </w:tbl>
          <w:p>
            <w:pPr>
              <w:pStyle w:val="18"/>
              <w:ind w:firstLine="480" w:firstLineChars="200"/>
              <w:rPr>
                <w:rFonts w:hint="default"/>
                <w:lang w:val="en-US" w:eastAsia="zh-CN"/>
              </w:rPr>
            </w:pPr>
            <w:r>
              <w:rPr>
                <w:rFonts w:hint="eastAsia"/>
                <w:lang w:eastAsia="zh-CN"/>
              </w:rPr>
              <w:t>本次工作</w:t>
            </w:r>
            <w:r>
              <w:rPr>
                <w:rFonts w:hint="default"/>
                <w:lang w:eastAsia="zh-CN"/>
              </w:rPr>
              <w:t>收集了该矿区的开发利用方案、</w:t>
            </w:r>
            <w:r>
              <w:rPr>
                <w:rFonts w:hint="eastAsia"/>
                <w:lang w:eastAsia="zh-CN"/>
              </w:rPr>
              <w:t>上个适用期的矿山地质环境保护与恢复治理方案报告表、</w:t>
            </w:r>
            <w:r>
              <w:rPr>
                <w:rFonts w:hint="default"/>
                <w:lang w:eastAsia="zh-CN"/>
              </w:rPr>
              <w:t>成井报告及运营期间相关监测资料和水质监测报告。本次所收集到的资料可靠，反映了该项目地热</w:t>
            </w:r>
            <w:r>
              <w:rPr>
                <w:rFonts w:hint="eastAsia"/>
                <w:lang w:eastAsia="zh-CN"/>
              </w:rPr>
              <w:t>区块</w:t>
            </w:r>
            <w:r>
              <w:rPr>
                <w:rFonts w:hint="default"/>
                <w:lang w:eastAsia="zh-CN"/>
              </w:rPr>
              <w:t>开发利用情况、井身结构、前期的矿山环境保护与恢复治理工作布置，同时运营期间相关监测资料和水质监测报告，为本次的地质环境保护和恢复治理工作提供了科学依据。</w:t>
            </w:r>
          </w:p>
          <w:p>
            <w:pPr>
              <w:pStyle w:val="3"/>
              <w:numPr>
                <w:ilvl w:val="0"/>
                <w:numId w:val="0"/>
              </w:numPr>
              <w:bidi w:val="0"/>
              <w:ind w:leftChars="0"/>
              <w:rPr>
                <w:rFonts w:hint="eastAsia"/>
                <w:lang w:val="en-US" w:eastAsia="zh-CN"/>
              </w:rPr>
            </w:pPr>
            <w:bookmarkStart w:id="28" w:name="_Toc26780"/>
            <w:r>
              <w:rPr>
                <w:rFonts w:hint="eastAsia"/>
                <w:lang w:val="en-US" w:eastAsia="zh-CN"/>
              </w:rPr>
              <w:t>二、矿区地质环境条件</w:t>
            </w:r>
            <w:bookmarkEnd w:id="28"/>
          </w:p>
          <w:p>
            <w:pPr>
              <w:pStyle w:val="4"/>
              <w:numPr>
                <w:ilvl w:val="0"/>
                <w:numId w:val="2"/>
              </w:numPr>
              <w:bidi w:val="0"/>
              <w:rPr>
                <w:rFonts w:hint="eastAsia"/>
                <w:lang w:val="en-US" w:eastAsia="zh-CN"/>
              </w:rPr>
            </w:pPr>
            <w:r>
              <w:rPr>
                <w:rFonts w:hint="eastAsia"/>
                <w:lang w:val="en-US" w:eastAsia="zh-CN"/>
              </w:rPr>
              <w:t>地层岩性</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lang w:val="en-US" w:eastAsia="zh-CN"/>
              </w:rPr>
            </w:pPr>
            <w:r>
              <w:rPr>
                <w:rFonts w:hint="default"/>
                <w:lang w:val="en-US" w:eastAsia="zh-CN"/>
              </w:rPr>
              <w:t>1、第一热储层段（第四系三门组Q</w:t>
            </w:r>
            <w:r>
              <w:rPr>
                <w:rFonts w:hint="default"/>
                <w:vertAlign w:val="subscript"/>
                <w:lang w:val="en-US" w:eastAsia="zh-CN"/>
              </w:rPr>
              <w:t>1</w:t>
            </w:r>
            <w:r>
              <w:rPr>
                <w:rFonts w:hint="default"/>
                <w:vertAlign w:val="baseline"/>
                <w:lang w:val="en-US" w:eastAsia="zh-CN"/>
              </w:rPr>
              <w:t>s</w:t>
            </w:r>
            <w:r>
              <w:rPr>
                <w:rFonts w:hint="default"/>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lang w:val="en-US" w:eastAsia="zh-CN"/>
              </w:rPr>
            </w:pPr>
            <w:r>
              <w:rPr>
                <w:rFonts w:hint="default"/>
                <w:lang w:val="en-US" w:eastAsia="zh-CN"/>
              </w:rPr>
              <w:t>岩性下部浅棕色、浅棕红色粘土层与棕黄色细砂不等厚互层，上部浅灰黄、灰色粘土层，夹灰白色粉砂、中砂、粗砂层，局部为含砾粗砂，未固结成岩或半固结成岩。规划为热储禁采，保护层段。</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lang w:val="en-US" w:eastAsia="zh-CN"/>
              </w:rPr>
            </w:pPr>
            <w:r>
              <w:rPr>
                <w:rFonts w:hint="default"/>
                <w:lang w:val="en-US" w:eastAsia="zh-CN"/>
              </w:rPr>
              <w:t>2、第二热储层段（新近系上新统张家坡组N</w:t>
            </w:r>
            <w:r>
              <w:rPr>
                <w:rFonts w:hint="default"/>
                <w:vertAlign w:val="subscript"/>
                <w:lang w:val="en-US" w:eastAsia="zh-CN"/>
              </w:rPr>
              <w:t>2</w:t>
            </w:r>
            <w:r>
              <w:rPr>
                <w:rFonts w:hint="default"/>
                <w:vertAlign w:val="baseline"/>
                <w:lang w:val="en-US" w:eastAsia="zh-CN"/>
              </w:rPr>
              <w:t>z</w:t>
            </w:r>
            <w:r>
              <w:rPr>
                <w:rFonts w:hint="default"/>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lang w:val="en-US" w:eastAsia="zh-CN"/>
              </w:rPr>
            </w:pPr>
            <w:r>
              <w:rPr>
                <w:rFonts w:hint="default"/>
                <w:lang w:val="en-US" w:eastAsia="zh-CN"/>
              </w:rPr>
              <w:t>岩性为灰－浅褐色泥岩与浅灰色砂岩、薄层粉砂岩互层，底部夹含砾砂岩，平均顶底板埋深722.38—1347.86m，热储层砂层厚度31.7－330.1m，平均124.57m。热储层砂厚比为5.50－39.16%，均值为17.06 %；热储顶板平均地温52.0℃，底顶板平均地温64.69℃，平均地温58.35℃。</w:t>
            </w:r>
          </w:p>
          <w:p>
            <w:pPr>
              <w:bidi w:val="0"/>
              <w:rPr>
                <w:rFonts w:hint="default"/>
              </w:rPr>
            </w:pPr>
            <w:r>
              <w:rPr>
                <w:rFonts w:hint="default"/>
              </w:rPr>
              <w:t>3、第三热储层段（新近系上新统蓝田灞河组N</w:t>
            </w:r>
            <w:r>
              <w:rPr>
                <w:rFonts w:hint="default"/>
                <w:vertAlign w:val="subscript"/>
              </w:rPr>
              <w:t>2</w:t>
            </w:r>
            <w:r>
              <w:rPr>
                <w:rFonts w:hint="default"/>
                <w:vertAlign w:val="baseline"/>
              </w:rPr>
              <w:t>l+b</w:t>
            </w:r>
            <w:r>
              <w:rPr>
                <w:rFonts w:hint="default"/>
              </w:rPr>
              <w:t>）</w:t>
            </w:r>
          </w:p>
          <w:p>
            <w:pPr>
              <w:bidi w:val="0"/>
              <w:rPr>
                <w:rFonts w:hint="default"/>
              </w:rPr>
            </w:pPr>
            <w:r>
              <w:rPr>
                <w:rFonts w:hint="default"/>
              </w:rPr>
              <w:t>岩性上部为浅棕色泥岩、砂质泥岩夹灰白色细砂岩、中砂岩、浅灰色泥质粉砂岩，下部为棕褐色泥岩与灰白色、灰黄色细砂岩、粗砂岩、含砾粗砂岩、中砂岩呈不等厚互层，平均顶底板埋深1347.86—2274.03m，热储层砂层厚度185.5－439.8m，平均362.59m。热储层砂厚比为19.89－49.04%，均值为39.83 %；热储顶板平均地温64.97℃，底顶板平均地温86.61℃，平均地温75.79℃。</w:t>
            </w:r>
          </w:p>
          <w:p>
            <w:pPr>
              <w:bidi w:val="0"/>
              <w:rPr>
                <w:rFonts w:hint="default"/>
              </w:rPr>
            </w:pPr>
            <w:r>
              <w:rPr>
                <w:rFonts w:hint="default"/>
              </w:rPr>
              <w:t>4、第四热储层段（中新统高陵群N</w:t>
            </w:r>
            <w:r>
              <w:rPr>
                <w:rFonts w:hint="default"/>
                <w:vertAlign w:val="subscript"/>
              </w:rPr>
              <w:t>1</w:t>
            </w:r>
            <w:r>
              <w:rPr>
                <w:rFonts w:hint="default"/>
                <w:vertAlign w:val="baseline"/>
              </w:rPr>
              <w:t>gl</w:t>
            </w:r>
            <w:r>
              <w:rPr>
                <w:rFonts w:hint="default"/>
              </w:rPr>
              <w:t>）</w:t>
            </w:r>
          </w:p>
          <w:p>
            <w:pPr>
              <w:bidi w:val="0"/>
              <w:rPr>
                <w:rFonts w:hint="default"/>
              </w:rPr>
            </w:pPr>
            <w:r>
              <w:rPr>
                <w:rFonts w:hint="default"/>
              </w:rPr>
              <w:t>岩性主要为灰白色含砾粗砂岩，砂岩、粉砂岩与砂质泥岩、紫褐色泥岩不等厚互层；中上部为褐色－浅灰绿色泥岩、粉砂质泥岩夹薄层砂岩、含砾粗砂岩。平均顶底板埋深2365.57－2820.33m，热储层砂层厚度29.4－352.5m，平均137.74m。热储层砂厚比为6.01－50.9%，均值为29.79%；热储顶板平均地温89.31℃，底顶板平均地温102.14℃，平均地温95.73℃。</w:t>
            </w:r>
          </w:p>
          <w:p>
            <w:pPr>
              <w:bidi w:val="0"/>
              <w:rPr>
                <w:rFonts w:hint="default"/>
              </w:rPr>
            </w:pPr>
            <w:r>
              <w:rPr>
                <w:rFonts w:hint="eastAsia"/>
                <w:lang w:val="en-US" w:eastAsia="zh-CN"/>
              </w:rPr>
              <w:t>5</w:t>
            </w:r>
            <w:r>
              <w:rPr>
                <w:rFonts w:hint="default"/>
              </w:rPr>
              <w:t>、第五热储层段（古近系E）</w:t>
            </w:r>
          </w:p>
          <w:p>
            <w:pPr>
              <w:bidi w:val="0"/>
              <w:rPr>
                <w:rFonts w:hint="default"/>
              </w:rPr>
            </w:pPr>
            <w:r>
              <w:rPr>
                <w:rFonts w:hint="default"/>
              </w:rPr>
              <w:t>本层大部分为残积层，岩性上部主要为灰色砂砾岩与肉红色泥岩不等厚互层，下部杂色泥质砂砾岩、砂质泥岩。砂砾成分以石英为主，偶见有花岗岩碎屑及小燧石，分选差，棱角状。平均顶底板埋深2780.68－2928.83m，热储层砂层厚度6－155.5m，平均45.74m。热储层砂厚比为4.39－75.67%，均值为32.28%；热储顶板平均地温99.41℃，底顶板平均地温104.04℃，平均地温101.72℃。</w:t>
            </w:r>
          </w:p>
          <w:p>
            <w:pPr>
              <w:pStyle w:val="4"/>
              <w:bidi w:val="0"/>
              <w:rPr>
                <w:rFonts w:hint="eastAsia"/>
                <w:lang w:val="en-US" w:eastAsia="zh-CN"/>
              </w:rPr>
            </w:pPr>
            <w:r>
              <w:rPr>
                <w:rFonts w:hint="eastAsia"/>
                <w:lang w:val="en-US" w:eastAsia="zh-CN"/>
              </w:rPr>
              <w:t>（二）构造特征</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rPr>
            </w:pPr>
            <w:r>
              <w:rPr>
                <w:rFonts w:hint="eastAsia"/>
                <w:lang w:eastAsia="zh-CN"/>
              </w:rPr>
              <w:t>秦汉新城</w:t>
            </w:r>
            <w:r>
              <w:rPr>
                <w:rFonts w:hint="default"/>
              </w:rPr>
              <w:t>位于渭河盆地咸礼凸起和西安凹陷两大构造单元结合部位，</w:t>
            </w:r>
            <w:r>
              <w:rPr>
                <w:rFonts w:hint="default"/>
                <w:lang w:eastAsia="zh-CN"/>
              </w:rPr>
              <w:t>以</w:t>
            </w:r>
            <w:r>
              <w:rPr>
                <w:rFonts w:hint="eastAsia"/>
                <w:lang w:eastAsia="zh-CN"/>
              </w:rPr>
              <w:t>渭河断裂</w:t>
            </w:r>
            <w:r>
              <w:rPr>
                <w:rFonts w:hint="default"/>
                <w:lang w:eastAsia="zh-CN"/>
              </w:rPr>
              <w:t>为界，</w:t>
            </w:r>
            <w:r>
              <w:rPr>
                <w:rFonts w:hint="default"/>
              </w:rPr>
              <w:t>以北为咸礼凸起，以南为西安凹陷。区内断裂主要有渭河北岸北东东向断裂、长安—咸阳断裂、沣河西侧南北向断裂</w:t>
            </w:r>
            <w:r>
              <w:rPr>
                <w:rFonts w:hint="eastAsia"/>
                <w:lang w:eastAsia="zh-CN"/>
              </w:rPr>
              <w:t>，</w:t>
            </w:r>
            <w:r>
              <w:rPr>
                <w:rFonts w:hint="eastAsia"/>
                <w:lang w:val="en-US" w:eastAsia="zh-CN"/>
              </w:rPr>
              <w:t>距离渭河北侧断裂带3km左右</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rPr>
            </w:pPr>
            <w:r>
              <w:drawing>
                <wp:inline distT="0" distB="0" distL="114300" distR="114300">
                  <wp:extent cx="5272405" cy="3013710"/>
                  <wp:effectExtent l="0" t="0" r="4445" b="15240"/>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18">
                            <a:clrChange>
                              <a:clrFrom>
                                <a:srgbClr val="FDFFFE">
                                  <a:alpha val="100000"/>
                                </a:srgbClr>
                              </a:clrFrom>
                              <a:clrTo>
                                <a:srgbClr val="FDFFFE">
                                  <a:alpha val="100000"/>
                                  <a:alpha val="0"/>
                                </a:srgbClr>
                              </a:clrTo>
                            </a:clrChange>
                          </a:blip>
                          <a:stretch>
                            <a:fillRect/>
                          </a:stretch>
                        </pic:blipFill>
                        <pic:spPr>
                          <a:xfrm>
                            <a:off x="0" y="0"/>
                            <a:ext cx="5272405" cy="3013710"/>
                          </a:xfrm>
                          <a:prstGeom prst="rect">
                            <a:avLst/>
                          </a:prstGeom>
                          <a:noFill/>
                          <a:ln>
                            <a:noFill/>
                          </a:ln>
                        </pic:spPr>
                      </pic:pic>
                    </a:graphicData>
                  </a:graphic>
                </wp:inline>
              </w:drawing>
            </w:r>
          </w:p>
          <w:p>
            <w:pPr>
              <w:spacing w:line="480" w:lineRule="exact"/>
              <w:jc w:val="center"/>
              <w:rPr>
                <w:rFonts w:hint="eastAsia" w:ascii="仿宋" w:hAnsi="仿宋" w:eastAsia="仿宋" w:cs="仿宋"/>
                <w:b/>
                <w:bCs/>
                <w:lang w:val="en-US" w:eastAsia="zh-CN"/>
              </w:rPr>
            </w:pPr>
            <w:r>
              <w:rPr>
                <w:rFonts w:hint="eastAsia" w:ascii="仿宋" w:hAnsi="仿宋" w:eastAsia="仿宋" w:cs="仿宋"/>
                <w:b/>
                <w:bCs/>
                <w:lang w:eastAsia="zh-CN"/>
              </w:rPr>
              <w:t>图</w:t>
            </w:r>
            <w:r>
              <w:rPr>
                <w:rFonts w:hint="eastAsia" w:ascii="仿宋" w:hAnsi="仿宋" w:eastAsia="仿宋" w:cs="仿宋"/>
                <w:b/>
                <w:bCs/>
                <w:lang w:val="en-US" w:eastAsia="zh-CN"/>
              </w:rPr>
              <w:t>4  渭河盆地构造刚要图</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lang w:eastAsia="zh-CN"/>
              </w:rPr>
            </w:pPr>
            <w:r>
              <w:rPr>
                <w:rFonts w:hint="default"/>
                <w:lang w:eastAsia="zh-CN"/>
              </w:rPr>
              <w:t>1、</w:t>
            </w:r>
            <w:r>
              <w:rPr>
                <w:rFonts w:hint="eastAsia"/>
                <w:lang w:eastAsia="zh-CN"/>
              </w:rPr>
              <w:t>渭河断裂</w:t>
            </w:r>
            <w:r>
              <w:rPr>
                <w:rFonts w:hint="default"/>
                <w:lang w:eastAsia="zh-CN"/>
              </w:rPr>
              <w:t>（F1）</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lang w:eastAsia="zh-CN"/>
              </w:rPr>
            </w:pPr>
            <w:r>
              <w:rPr>
                <w:rFonts w:hint="eastAsia"/>
                <w:lang w:eastAsia="zh-CN"/>
              </w:rPr>
              <w:t>渭河断裂</w:t>
            </w:r>
            <w:r>
              <w:rPr>
                <w:rFonts w:hint="default"/>
                <w:lang w:eastAsia="zh-CN"/>
              </w:rPr>
              <w:t>西起宝鸡，经武功、咸阳、渭南交口、大荔官池至黄河出省境；该断裂沿咸阳珠泉－毕塬－渭城路北侧的三级阶地前缘，呈北东东向展布，断层面倾向南。倾角70°左右，其北盘上升，南盘下降，为一高角度正断层。据大地电磁测深资料，断裂深度达20</w:t>
            </w:r>
            <w:r>
              <w:rPr>
                <w:rFonts w:hint="eastAsia"/>
                <w:lang w:val="en-US" w:eastAsia="zh-CN"/>
              </w:rPr>
              <w:t>k</w:t>
            </w:r>
            <w:r>
              <w:rPr>
                <w:rFonts w:hint="default"/>
                <w:lang w:eastAsia="zh-CN"/>
              </w:rPr>
              <w:t>m以上，勘查区内上新统在断层两侧断距达700－1000m。该断裂控制了基底的构造分区，断裂以北基底为华北准地台下古生界奥陶系碳酸盐岩、碎屑岩地层，以南基底为秦岭褶皱系元古界变质岩层。该断裂不仅是两个一级大地构造单元的分界，而且对盆地的形成和发展起着重要的控制作用。</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lang w:eastAsia="zh-CN"/>
              </w:rPr>
            </w:pPr>
            <w:r>
              <w:rPr>
                <w:rFonts w:hint="default"/>
                <w:lang w:val="en-US" w:eastAsia="zh-CN"/>
              </w:rPr>
              <w:t>2、</w:t>
            </w:r>
            <w:r>
              <w:rPr>
                <w:rFonts w:hint="default"/>
                <w:lang w:eastAsia="zh-CN"/>
              </w:rPr>
              <w:t>长安－咸阳断裂（F</w:t>
            </w:r>
            <w:r>
              <w:rPr>
                <w:rFonts w:hint="default"/>
                <w:lang w:val="en-US" w:eastAsia="zh-CN"/>
              </w:rPr>
              <w:t>2</w:t>
            </w:r>
            <w:r>
              <w:rPr>
                <w:rFonts w:hint="default"/>
                <w:lang w:eastAsia="zh-CN"/>
              </w:rPr>
              <w:t>）</w:t>
            </w:r>
          </w:p>
          <w:p>
            <w:pPr>
              <w:numPr>
                <w:ilvl w:val="0"/>
                <w:numId w:val="0"/>
              </w:numPr>
              <w:rPr>
                <w:rFonts w:hint="eastAsia"/>
                <w:lang w:val="en-US" w:eastAsia="zh-CN"/>
              </w:rPr>
            </w:pPr>
            <w:r>
              <w:rPr>
                <w:rFonts w:hint="default"/>
                <w:lang w:eastAsia="zh-CN"/>
              </w:rPr>
              <w:t>该断裂为盆地北西向构造带中的一条隐伏活动性断裂，自长安大峪口向北西经杜曲、韦曲、三桥、沣河桥东跨越渭河、经省财校东侧向北与红崖沟相重，总长度约60km。目前，对该断裂的研究还不够深入，浅井测温资料显示，断裂西侧地温梯度明显高于东侧，如文林路之北，断裂西侧地温梯度高达4.46－4.61℃/hm，而断裂东侧地温梯度仅3.05－3.21℃/hm。表明第四纪早更新世以来，该断裂对区内沉积环境和沉积物厚度有着一定的影响</w:t>
            </w:r>
            <w:r>
              <w:rPr>
                <w:rFonts w:hint="eastAsia"/>
                <w:lang w:eastAsia="zh-CN"/>
              </w:rPr>
              <w:t>。</w:t>
            </w:r>
          </w:p>
          <w:p>
            <w:pPr>
              <w:pStyle w:val="4"/>
              <w:bidi w:val="0"/>
              <w:rPr>
                <w:rFonts w:hint="eastAsia"/>
                <w:lang w:val="en-US" w:eastAsia="zh-CN"/>
              </w:rPr>
            </w:pPr>
            <w:r>
              <w:rPr>
                <w:rFonts w:hint="eastAsia"/>
                <w:lang w:val="en-US" w:eastAsia="zh-CN"/>
              </w:rPr>
              <w:t>（三）水文地质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eastAsia"/>
                <w:lang w:val="en-US" w:eastAsia="zh-CN"/>
              </w:rPr>
              <w:t>1、</w:t>
            </w:r>
            <w:r>
              <w:rPr>
                <w:rFonts w:hint="default"/>
                <w:lang w:eastAsia="zh-CN"/>
              </w:rPr>
              <w:t>浅部地下水特征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default"/>
                <w:lang w:eastAsia="zh-CN"/>
              </w:rPr>
              <w:t>矿区处于渭河北岸，含水层主要为第四系冲积砂、冲洪积层，分为潜水和承压水，埋深一般在20m－400m左右。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default"/>
                <w:lang w:eastAsia="zh-CN"/>
              </w:rPr>
              <w:t>地下水的补给来源主要为大气降水，渭河、</w:t>
            </w:r>
            <w:r>
              <w:rPr>
                <w:rFonts w:hint="eastAsia"/>
                <w:lang w:eastAsia="zh-CN"/>
              </w:rPr>
              <w:t>泾河</w:t>
            </w:r>
            <w:r>
              <w:rPr>
                <w:rFonts w:hint="default"/>
                <w:lang w:eastAsia="zh-CN"/>
              </w:rPr>
              <w:t>等地表水。排泄方式主要有人工排泄</w:t>
            </w:r>
            <w:r>
              <w:rPr>
                <w:rFonts w:hint="eastAsia"/>
                <w:lang w:val="en-US" w:eastAsia="zh-CN"/>
              </w:rPr>
              <w:t>和</w:t>
            </w:r>
            <w:r>
              <w:rPr>
                <w:rFonts w:hint="default"/>
                <w:lang w:eastAsia="zh-CN"/>
              </w:rPr>
              <w:t>地表径流排泄，其次为蒸发和向深部承压水的越流排泄。水文地质条件较简单。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eastAsia"/>
                <w:lang w:val="en-US" w:eastAsia="zh-CN"/>
              </w:rPr>
              <w:t>2、</w:t>
            </w:r>
            <w:r>
              <w:rPr>
                <w:rFonts w:hint="default"/>
                <w:lang w:eastAsia="zh-CN"/>
              </w:rPr>
              <w:t>深部地热水特征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lang w:eastAsia="zh-CN"/>
              </w:rPr>
              <w:t>矿区</w:t>
            </w:r>
            <w:r>
              <w:rPr>
                <w:rFonts w:hint="default"/>
              </w:rPr>
              <w:t>位于关中断陷盆地中部，渭河盆地在构造成因上，是喜山期构造运动裂陷、延伸形成发展而来的新生代断陷—断坳盆地，具有凹陷深、地层新、形成晚的特点</w:t>
            </w:r>
            <w:r>
              <w:rPr>
                <w:rFonts w:hint="default"/>
                <w:lang w:eastAsia="zh-CN"/>
              </w:rPr>
              <w:t>，盆地内以渭河断裂（</w:t>
            </w:r>
            <w:r>
              <w:rPr>
                <w:rFonts w:hint="default"/>
                <w:lang w:val="en-US" w:eastAsia="zh-CN"/>
              </w:rPr>
              <w:t>F1</w:t>
            </w:r>
            <w:r>
              <w:rPr>
                <w:rFonts w:hint="default"/>
                <w:lang w:eastAsia="zh-CN"/>
              </w:rPr>
              <w:t>）为界，</w:t>
            </w:r>
            <w:r>
              <w:rPr>
                <w:rFonts w:hint="default"/>
              </w:rPr>
              <w:t>构造分区</w:t>
            </w:r>
            <w:r>
              <w:rPr>
                <w:rFonts w:hint="default"/>
                <w:lang w:eastAsia="zh-CN"/>
              </w:rPr>
              <w:t>上北部</w:t>
            </w:r>
            <w:r>
              <w:rPr>
                <w:rFonts w:hint="default"/>
              </w:rPr>
              <w:t>属</w:t>
            </w:r>
            <w:r>
              <w:rPr>
                <w:rFonts w:hint="default"/>
                <w:lang w:eastAsia="zh-CN"/>
              </w:rPr>
              <w:t>咸礼凸起，南部属西安凹陷，矿区位于渭河北岸断裂以南，西安凹陷北部</w:t>
            </w:r>
            <w:r>
              <w:rPr>
                <w:rFonts w:hint="default"/>
              </w:rPr>
              <w:t>。</w:t>
            </w:r>
            <w:r>
              <w:rPr>
                <w:rFonts w:hint="default"/>
                <w:lang w:eastAsia="zh-CN"/>
              </w:rPr>
              <w:t>区内</w:t>
            </w:r>
            <w:r>
              <w:rPr>
                <w:rFonts w:hint="default"/>
              </w:rPr>
              <w:t>3000m深度内地层均为新生界碎屑岩类，热储类型属中低温孔隙裂隙型层状热储，自上而下赋存第四系三门组</w:t>
            </w:r>
            <w:r>
              <w:rPr>
                <w:rFonts w:hint="default"/>
                <w:lang w:eastAsia="zh-CN"/>
              </w:rPr>
              <w:t>、</w:t>
            </w:r>
            <w:r>
              <w:rPr>
                <w:rFonts w:hint="default"/>
              </w:rPr>
              <w:t>新近系上新统张家坡组、上新统蓝田灞河组、中新</w:t>
            </w:r>
            <w:r>
              <w:rPr>
                <w:rFonts w:hint="default"/>
                <w:lang w:eastAsia="zh-CN"/>
              </w:rPr>
              <w:t>统</w:t>
            </w:r>
            <w:r>
              <w:rPr>
                <w:rFonts w:hint="default"/>
              </w:rPr>
              <w:t>高陵群</w:t>
            </w:r>
            <w:r>
              <w:rPr>
                <w:rFonts w:hint="default"/>
                <w:lang w:eastAsia="zh-CN"/>
              </w:rPr>
              <w:t>、古近系等五</w:t>
            </w:r>
            <w:r>
              <w:rPr>
                <w:rFonts w:hint="default"/>
              </w:rPr>
              <w:t>个热储层段</w:t>
            </w:r>
            <w:r>
              <w:rPr>
                <w:rFonts w:hint="default"/>
                <w:lang w:eastAsia="zh-CN"/>
              </w:rPr>
              <w:t>，其中</w:t>
            </w:r>
            <w:r>
              <w:rPr>
                <w:rFonts w:hint="default"/>
              </w:rPr>
              <w:t>第一热储层段第四系三门组</w:t>
            </w:r>
            <w:r>
              <w:rPr>
                <w:rFonts w:hint="default"/>
                <w:lang w:eastAsia="zh-CN"/>
              </w:rPr>
              <w:t>热储</w:t>
            </w:r>
            <w:r>
              <w:rPr>
                <w:rFonts w:hint="default"/>
              </w:rPr>
              <w:t>为保护、禁采层段。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据陕西省地矿局区域地质矿产研究院200</w:t>
            </w:r>
            <w:r>
              <w:rPr>
                <w:rFonts w:hint="default"/>
                <w:lang w:val="en-US" w:eastAsia="zh-CN"/>
              </w:rPr>
              <w:t>6年7月提交的</w:t>
            </w:r>
            <w:r>
              <w:rPr>
                <w:rFonts w:hint="default"/>
              </w:rPr>
              <w:t>《陕西省咸阳市区地热资源详查报告》，渭河近东西向隐伏活动性深大断裂（F1）</w:t>
            </w:r>
            <w:r>
              <w:rPr>
                <w:rFonts w:hint="default"/>
                <w:lang w:eastAsia="zh-CN"/>
              </w:rPr>
              <w:t>为</w:t>
            </w:r>
            <w:r>
              <w:rPr>
                <w:rFonts w:hint="default"/>
              </w:rPr>
              <w:t>整个关中地区起控热导水作用的最主要的断裂构造。区内热储层次多，总厚度</w:t>
            </w:r>
            <w:r>
              <w:rPr>
                <w:rFonts w:hint="default"/>
                <w:lang w:eastAsia="zh-CN"/>
              </w:rPr>
              <w:t>很</w:t>
            </w:r>
            <w:r>
              <w:rPr>
                <w:rFonts w:hint="default"/>
              </w:rPr>
              <w:t>大，</w:t>
            </w:r>
            <w:r>
              <w:rPr>
                <w:rFonts w:hint="default"/>
                <w:lang w:eastAsia="zh-CN"/>
              </w:rPr>
              <w:t>储层物性条件好，</w:t>
            </w:r>
            <w:r>
              <w:rPr>
                <w:rFonts w:hint="default"/>
              </w:rPr>
              <w:t>分布面积大且稳定，地热水资源</w:t>
            </w:r>
            <w:r>
              <w:rPr>
                <w:rFonts w:hint="default"/>
                <w:lang w:eastAsia="zh-CN"/>
              </w:rPr>
              <w:t>十分</w:t>
            </w:r>
            <w:r>
              <w:rPr>
                <w:rFonts w:hint="default"/>
              </w:rPr>
              <w:t>丰富。</w:t>
            </w:r>
          </w:p>
          <w:p>
            <w:pPr>
              <w:pStyle w:val="4"/>
              <w:bidi w:val="0"/>
              <w:rPr>
                <w:rFonts w:hint="default"/>
                <w:lang w:val="en-US" w:eastAsia="zh-CN"/>
              </w:rPr>
            </w:pPr>
            <w:r>
              <w:rPr>
                <w:rFonts w:hint="eastAsia"/>
                <w:lang w:val="en-US" w:eastAsia="zh-CN"/>
              </w:rPr>
              <w:t>（四）工程地质</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eastAsia"/>
                <w:lang w:val="en-US" w:eastAsia="zh-CN"/>
              </w:rPr>
              <w:t>文热4地热区块</w:t>
            </w:r>
            <w:r>
              <w:rPr>
                <w:rFonts w:hint="default"/>
                <w:lang w:val="zh-CN"/>
              </w:rPr>
              <w:t>已建地热开采井的泵房、地热换热站，地热回灌井的泵房；涉及的岩土体类型为土体</w:t>
            </w:r>
            <w:r>
              <w:rPr>
                <w:rFonts w:hint="eastAsia"/>
                <w:lang w:eastAsia="zh-CN"/>
              </w:rPr>
              <w:t>，</w:t>
            </w:r>
            <w:r>
              <w:rPr>
                <w:rFonts w:hint="default"/>
              </w:rPr>
              <w:t>主要为</w:t>
            </w:r>
            <w:r>
              <w:rPr>
                <w:rFonts w:hint="default"/>
                <w:lang w:val="zh-CN"/>
              </w:rPr>
              <w:t>第四系</w:t>
            </w:r>
            <w:r>
              <w:rPr>
                <w:rFonts w:hint="eastAsia"/>
                <w:lang w:val="zh-CN"/>
              </w:rPr>
              <w:t>全新统上部冲积层</w:t>
            </w:r>
            <w:r>
              <w:rPr>
                <w:rFonts w:hint="default"/>
                <w:lang w:val="zh-CN"/>
              </w:rPr>
              <w:t>（Q</w:t>
            </w:r>
            <w:r>
              <w:rPr>
                <w:rFonts w:hint="eastAsia"/>
                <w:vertAlign w:val="subscript"/>
                <w:lang w:val="en-US" w:eastAsia="zh-CN"/>
              </w:rPr>
              <w:t>4</w:t>
            </w:r>
            <w:r>
              <w:rPr>
                <w:rFonts w:hint="eastAsia"/>
                <w:vertAlign w:val="superscript"/>
                <w:lang w:val="en-US" w:eastAsia="zh-CN"/>
              </w:rPr>
              <w:t>2</w:t>
            </w:r>
            <w:r>
              <w:rPr>
                <w:rFonts w:hint="default"/>
                <w:vertAlign w:val="superscript"/>
                <w:lang w:val="zh-CN"/>
              </w:rPr>
              <w:t>eol</w:t>
            </w:r>
            <w:r>
              <w:rPr>
                <w:rFonts w:hint="default"/>
                <w:lang w:val="zh-CN"/>
              </w:rPr>
              <w:t>）和第四系</w:t>
            </w:r>
            <w:r>
              <w:rPr>
                <w:rFonts w:hint="eastAsia"/>
                <w:lang w:val="zh-CN"/>
              </w:rPr>
              <w:t>全新统下部冲积层</w:t>
            </w:r>
            <w:r>
              <w:rPr>
                <w:rFonts w:hint="default"/>
                <w:lang w:val="zh-CN"/>
              </w:rPr>
              <w:t>（Q</w:t>
            </w:r>
            <w:r>
              <w:rPr>
                <w:rFonts w:hint="eastAsia"/>
                <w:vertAlign w:val="subscript"/>
                <w:lang w:val="en-US" w:eastAsia="zh-CN"/>
              </w:rPr>
              <w:t>4</w:t>
            </w:r>
            <w:r>
              <w:rPr>
                <w:rFonts w:hint="eastAsia"/>
                <w:vertAlign w:val="superscript"/>
                <w:lang w:val="en-US" w:eastAsia="zh-CN"/>
              </w:rPr>
              <w:t>1</w:t>
            </w:r>
            <w:r>
              <w:rPr>
                <w:rFonts w:hint="default"/>
                <w:vertAlign w:val="superscript"/>
                <w:lang w:val="zh-CN"/>
              </w:rPr>
              <w:t>eol</w:t>
            </w:r>
            <w:r>
              <w:rPr>
                <w:rFonts w:hint="default"/>
                <w:lang w:val="zh-CN"/>
              </w:rPr>
              <w:t>）</w:t>
            </w:r>
            <w:r>
              <w:rPr>
                <w:rFonts w:hint="default"/>
                <w:lang w:val="en-US" w:eastAsia="zh-CN"/>
              </w:rPr>
              <w:t>。</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lang w:val="zh-CN"/>
              </w:rPr>
              <w:t>第四系</w:t>
            </w:r>
            <w:r>
              <w:rPr>
                <w:rFonts w:hint="eastAsia"/>
                <w:lang w:val="zh-CN"/>
              </w:rPr>
              <w:t>全新统上部冲积层</w:t>
            </w:r>
            <w:r>
              <w:rPr>
                <w:rFonts w:hint="default"/>
                <w:lang w:val="zh-CN"/>
              </w:rPr>
              <w:t>（Q</w:t>
            </w:r>
            <w:r>
              <w:rPr>
                <w:rFonts w:hint="eastAsia"/>
                <w:vertAlign w:val="subscript"/>
                <w:lang w:val="en-US" w:eastAsia="zh-CN"/>
              </w:rPr>
              <w:t>4</w:t>
            </w:r>
            <w:r>
              <w:rPr>
                <w:rFonts w:hint="eastAsia"/>
                <w:vertAlign w:val="superscript"/>
                <w:lang w:val="en-US" w:eastAsia="zh-CN"/>
              </w:rPr>
              <w:t>2</w:t>
            </w:r>
            <w:r>
              <w:rPr>
                <w:rFonts w:hint="default"/>
                <w:vertAlign w:val="superscript"/>
                <w:lang w:val="zh-CN"/>
              </w:rPr>
              <w:t>eol</w:t>
            </w:r>
            <w:r>
              <w:rPr>
                <w:rFonts w:hint="default"/>
                <w:lang w:val="zh-CN"/>
              </w:rPr>
              <w:t>）：区内层底深度</w:t>
            </w:r>
            <w:r>
              <w:rPr>
                <w:rFonts w:hint="default"/>
              </w:rPr>
              <w:t>2.5-18.3m，</w:t>
            </w:r>
            <w:r>
              <w:rPr>
                <w:rFonts w:hint="default"/>
                <w:lang w:val="zh-CN"/>
              </w:rPr>
              <w:t>褐黄色，稍湿，坚硬，</w:t>
            </w:r>
            <w:r>
              <w:rPr>
                <w:rFonts w:hint="default"/>
              </w:rPr>
              <w:t>岩性以粉质粘土为主，</w:t>
            </w:r>
            <w:r>
              <w:rPr>
                <w:rFonts w:hint="default"/>
                <w:lang w:val="zh-CN"/>
              </w:rPr>
              <w:t>虫孔及针状孔隙发育，具轻微</w:t>
            </w:r>
            <w:r>
              <w:rPr>
                <w:rFonts w:hint="default"/>
              </w:rPr>
              <w:t>～中等</w:t>
            </w:r>
            <w:r>
              <w:rPr>
                <w:rFonts w:hint="default"/>
                <w:lang w:val="zh-CN"/>
              </w:rPr>
              <w:t>湿陷性和自重湿陷性，</w:t>
            </w:r>
            <w:r>
              <w:rPr>
                <w:rFonts w:hint="default"/>
              </w:rPr>
              <w:t>天然重度</w:t>
            </w:r>
            <w:r>
              <w:rPr>
                <w:rFonts w:hint="default"/>
              </w:rPr>
              <w:sym w:font="Symbol" w:char="0067"/>
            </w:r>
            <w:r>
              <w:rPr>
                <w:rFonts w:hint="default"/>
              </w:rPr>
              <w:t>为14.0kN/m</w:t>
            </w:r>
            <w:r>
              <w:rPr>
                <w:rFonts w:hint="default"/>
                <w:vertAlign w:val="superscript"/>
              </w:rPr>
              <w:t>3</w:t>
            </w:r>
            <w:r>
              <w:rPr>
                <w:rFonts w:hint="default"/>
              </w:rPr>
              <w:t>，内摩擦角</w:t>
            </w:r>
            <w:r>
              <w:rPr>
                <w:rFonts w:hint="default"/>
              </w:rPr>
              <w:sym w:font="Symbol" w:char="006A"/>
            </w:r>
            <w:r>
              <w:rPr>
                <w:rFonts w:hint="default"/>
              </w:rPr>
              <w:t>为18°，粘聚力c为21.0～23.0kPa，</w:t>
            </w:r>
            <w:r>
              <w:rPr>
                <w:rFonts w:hint="default"/>
                <w:lang w:val="zh-CN"/>
              </w:rPr>
              <w:t>承载力</w:t>
            </w:r>
            <w:r>
              <w:rPr>
                <w:rFonts w:hint="default"/>
              </w:rPr>
              <w:t>特征值fak为170kPa。</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lang w:val="zh-CN"/>
              </w:rPr>
              <w:t>第四系</w:t>
            </w:r>
            <w:r>
              <w:rPr>
                <w:rFonts w:hint="eastAsia"/>
                <w:lang w:val="zh-CN"/>
              </w:rPr>
              <w:t>全新统下部冲积层</w:t>
            </w:r>
            <w:r>
              <w:rPr>
                <w:rFonts w:hint="default"/>
                <w:lang w:val="zh-CN"/>
              </w:rPr>
              <w:t>（Q</w:t>
            </w:r>
            <w:r>
              <w:rPr>
                <w:rFonts w:hint="eastAsia"/>
                <w:vertAlign w:val="subscript"/>
                <w:lang w:val="en-US" w:eastAsia="zh-CN"/>
              </w:rPr>
              <w:t>4</w:t>
            </w:r>
            <w:r>
              <w:rPr>
                <w:rFonts w:hint="eastAsia"/>
                <w:vertAlign w:val="superscript"/>
                <w:lang w:val="en-US" w:eastAsia="zh-CN"/>
              </w:rPr>
              <w:t>1</w:t>
            </w:r>
            <w:r>
              <w:rPr>
                <w:rFonts w:hint="default"/>
                <w:vertAlign w:val="superscript"/>
                <w:lang w:val="zh-CN"/>
              </w:rPr>
              <w:t>eol</w:t>
            </w:r>
            <w:r>
              <w:rPr>
                <w:rFonts w:hint="default"/>
                <w:lang w:val="zh-CN"/>
              </w:rPr>
              <w:t>）：区内层底深度</w:t>
            </w:r>
            <w:r>
              <w:rPr>
                <w:rFonts w:hint="default"/>
              </w:rPr>
              <w:t>大于30m，浅褐黄色～</w:t>
            </w:r>
            <w:r>
              <w:rPr>
                <w:rFonts w:hint="default"/>
                <w:lang w:val="zh-CN"/>
              </w:rPr>
              <w:t>黄褐色，稍湿，坚硬，</w:t>
            </w:r>
            <w:r>
              <w:rPr>
                <w:rFonts w:hint="default"/>
              </w:rPr>
              <w:t>岩性以粉质粘土为主，</w:t>
            </w:r>
            <w:r>
              <w:rPr>
                <w:rFonts w:hint="default"/>
                <w:lang w:val="zh-CN"/>
              </w:rPr>
              <w:t>虫孔及针状孔隙发育，具轻微</w:t>
            </w:r>
            <w:r>
              <w:rPr>
                <w:rFonts w:hint="default"/>
              </w:rPr>
              <w:t>～中等</w:t>
            </w:r>
            <w:r>
              <w:rPr>
                <w:rFonts w:hint="default"/>
                <w:lang w:val="zh-CN"/>
              </w:rPr>
              <w:t>湿陷性和自重湿陷性，</w:t>
            </w:r>
            <w:r>
              <w:rPr>
                <w:rFonts w:hint="default"/>
              </w:rPr>
              <w:t>天然重度</w:t>
            </w:r>
            <w:r>
              <w:rPr>
                <w:rFonts w:hint="default"/>
              </w:rPr>
              <w:sym w:font="Symbol" w:char="0067"/>
            </w:r>
            <w:r>
              <w:rPr>
                <w:rFonts w:hint="default"/>
              </w:rPr>
              <w:t>为14.2～14.4kN/m</w:t>
            </w:r>
            <w:r>
              <w:rPr>
                <w:rFonts w:hint="default"/>
                <w:vertAlign w:val="superscript"/>
              </w:rPr>
              <w:t>3</w:t>
            </w:r>
            <w:r>
              <w:rPr>
                <w:rFonts w:hint="default"/>
              </w:rPr>
              <w:t>，内摩擦角</w:t>
            </w:r>
            <w:r>
              <w:rPr>
                <w:rFonts w:hint="default"/>
              </w:rPr>
              <w:sym w:font="Symbol" w:char="006A"/>
            </w:r>
            <w:r>
              <w:rPr>
                <w:rFonts w:hint="default"/>
              </w:rPr>
              <w:t>为18-20°，粘聚力c为25.0kPa，</w:t>
            </w:r>
            <w:r>
              <w:rPr>
                <w:rFonts w:hint="default"/>
                <w:lang w:val="zh-CN"/>
              </w:rPr>
              <w:t>承载力</w:t>
            </w:r>
            <w:r>
              <w:rPr>
                <w:rFonts w:hint="default"/>
              </w:rPr>
              <w:t>特征值fak为200-240kPa。</w:t>
            </w:r>
          </w:p>
          <w:p>
            <w:pPr>
              <w:pStyle w:val="2"/>
              <w:rPr>
                <w:rFonts w:hint="eastAsia"/>
                <w:lang w:val="zh-CN" w:eastAsia="zh-CN"/>
              </w:rPr>
            </w:pPr>
            <w:r>
              <w:rPr>
                <w:rFonts w:hint="eastAsia"/>
                <w:lang w:eastAsia="zh-CN"/>
              </w:rPr>
              <w:t>综上所述，矿区工程地质条件良好。</w:t>
            </w:r>
          </w:p>
          <w:p>
            <w:pPr>
              <w:pStyle w:val="4"/>
              <w:bidi w:val="0"/>
              <w:rPr>
                <w:rFonts w:hint="default"/>
                <w:lang w:val="en-US" w:eastAsia="zh-CN"/>
              </w:rPr>
            </w:pPr>
            <w:r>
              <w:rPr>
                <w:rFonts w:hint="eastAsia"/>
                <w:lang w:val="en-US" w:eastAsia="zh-CN"/>
              </w:rPr>
              <w:t>（五）矿体地质特征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矿区内的矿产资源为地热水，</w:t>
            </w:r>
            <w:r>
              <w:rPr>
                <w:rFonts w:hint="eastAsia"/>
                <w:lang w:val="en-US" w:eastAsia="zh-CN"/>
              </w:rPr>
              <w:t>文热4</w:t>
            </w:r>
            <w:r>
              <w:rPr>
                <w:rFonts w:hint="default"/>
              </w:rPr>
              <w:t>开采层段在</w:t>
            </w:r>
            <w:r>
              <w:rPr>
                <w:rFonts w:hint="eastAsia"/>
                <w:lang w:val="en-US" w:eastAsia="zh-CN"/>
              </w:rPr>
              <w:t>1430.90m以下</w:t>
            </w:r>
            <w:r>
              <w:rPr>
                <w:rFonts w:hint="default"/>
              </w:rPr>
              <w:t>，主要开采</w:t>
            </w:r>
            <w:r>
              <w:t>蓝田灞河组</w:t>
            </w:r>
            <w:r>
              <w:rPr>
                <w:rFonts w:hint="eastAsia"/>
                <w:lang w:eastAsia="zh-CN"/>
              </w:rPr>
              <w:t>以下</w:t>
            </w:r>
            <w:r>
              <w:t>的热储层资源量</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val="en-US" w:eastAsia="zh-CN"/>
              </w:rPr>
              <w:t>据区内已成地热井可知</w:t>
            </w:r>
            <w:r>
              <w:rPr>
                <w:rFonts w:hint="default"/>
              </w:rPr>
              <w:t>各热储层段阴、阳离子均以</w:t>
            </w:r>
            <w:r>
              <w:rPr>
                <w:rFonts w:hint="default"/>
                <w:lang w:val="en-US" w:eastAsia="zh-CN"/>
              </w:rPr>
              <w:t>Cl</w:t>
            </w:r>
            <w:r>
              <w:rPr>
                <w:rFonts w:hint="default"/>
              </w:rPr>
              <w:t>-和Na+为主，水化学类型主要为</w:t>
            </w:r>
            <w:r>
              <w:rPr>
                <w:rFonts w:hint="default"/>
                <w:lang w:val="en-US" w:eastAsia="zh-CN"/>
              </w:rPr>
              <w:t>Cl</w:t>
            </w:r>
            <w:r>
              <w:rPr>
                <w:rFonts w:hint="default"/>
              </w:rPr>
              <w:t>-Na型水，其次为HCO</w:t>
            </w:r>
            <w:r>
              <w:rPr>
                <w:rFonts w:hint="default"/>
                <w:vertAlign w:val="subscript"/>
              </w:rPr>
              <w:t>3</w:t>
            </w:r>
            <w:r>
              <w:rPr>
                <w:rFonts w:hint="default"/>
              </w:rPr>
              <w:t>·Cl-Na</w:t>
            </w:r>
            <w:r>
              <w:rPr>
                <w:rFonts w:hint="default"/>
                <w:lang w:eastAsia="zh-CN"/>
              </w:rPr>
              <w:t>、</w:t>
            </w:r>
            <w:r>
              <w:rPr>
                <w:rFonts w:hint="default"/>
              </w:rPr>
              <w:t>Cl-Na·Ca</w:t>
            </w:r>
            <w:r>
              <w:rPr>
                <w:rFonts w:hint="default"/>
                <w:lang w:val="en-US" w:eastAsia="zh-CN"/>
              </w:rPr>
              <w:t>、Cl·HCO</w:t>
            </w:r>
            <w:r>
              <w:rPr>
                <w:rFonts w:hint="default"/>
                <w:vertAlign w:val="subscript"/>
                <w:lang w:val="en-US" w:eastAsia="zh-CN"/>
              </w:rPr>
              <w:t>3</w:t>
            </w:r>
            <w:r>
              <w:rPr>
                <w:rFonts w:hint="default"/>
                <w:lang w:val="en-US" w:eastAsia="zh-CN"/>
              </w:rPr>
              <w:t>·SO</w:t>
            </w:r>
            <w:r>
              <w:rPr>
                <w:rFonts w:hint="default"/>
                <w:vertAlign w:val="subscript"/>
                <w:lang w:val="en-US" w:eastAsia="zh-CN"/>
              </w:rPr>
              <w:t>4</w:t>
            </w:r>
            <w:r>
              <w:rPr>
                <w:rFonts w:hint="default"/>
                <w:lang w:val="en-US" w:eastAsia="zh-CN"/>
              </w:rPr>
              <w:t>-Na</w:t>
            </w:r>
            <w:r>
              <w:rPr>
                <w:rFonts w:hint="default"/>
              </w:rPr>
              <w:t>型水，</w:t>
            </w:r>
            <w:r>
              <w:rPr>
                <w:rFonts w:hint="default"/>
                <w:lang w:eastAsia="zh-CN"/>
              </w:rPr>
              <w:t>矿化度</w:t>
            </w:r>
            <w:r>
              <w:rPr>
                <w:rFonts w:hint="default"/>
                <w:lang w:val="en-US" w:eastAsia="zh-CN"/>
              </w:rPr>
              <w:t>2468—7412mg/L，为微咸水—咸水，</w:t>
            </w:r>
            <w:r>
              <w:rPr>
                <w:rFonts w:hint="default"/>
              </w:rPr>
              <w:t>PH值在</w:t>
            </w:r>
            <w:r>
              <w:rPr>
                <w:rFonts w:hint="default"/>
                <w:lang w:val="en-US" w:eastAsia="zh-CN"/>
              </w:rPr>
              <w:t>7.3</w:t>
            </w:r>
            <w:r>
              <w:rPr>
                <w:rFonts w:hint="default"/>
              </w:rPr>
              <w:t>～</w:t>
            </w:r>
            <w:r>
              <w:rPr>
                <w:rFonts w:hint="default"/>
                <w:lang w:val="en-US" w:eastAsia="zh-CN"/>
              </w:rPr>
              <w:t>7.97</w:t>
            </w:r>
            <w:r>
              <w:rPr>
                <w:rFonts w:hint="default"/>
              </w:rPr>
              <w:t>之间，</w:t>
            </w:r>
            <w:r>
              <w:rPr>
                <w:rFonts w:hint="default"/>
                <w:lang w:eastAsia="zh-CN"/>
              </w:rPr>
              <w:t>均</w:t>
            </w:r>
            <w:r>
              <w:rPr>
                <w:rFonts w:hint="default"/>
              </w:rPr>
              <w:t>呈中性</w:t>
            </w:r>
            <w:r>
              <w:rPr>
                <w:rFonts w:hint="default"/>
                <w:lang w:eastAsia="zh-CN"/>
              </w:rPr>
              <w:t>；</w:t>
            </w:r>
            <w:r>
              <w:rPr>
                <w:rFonts w:hint="default"/>
                <w:lang w:val="en-US" w:eastAsia="zh-CN"/>
              </w:rPr>
              <w:t>因SO</w:t>
            </w:r>
            <w:r>
              <w:rPr>
                <w:rFonts w:hint="default"/>
                <w:vertAlign w:val="subscript"/>
                <w:lang w:val="en-US" w:eastAsia="zh-CN"/>
              </w:rPr>
              <w:t>4</w:t>
            </w:r>
            <w:r>
              <w:rPr>
                <w:rFonts w:hint="default"/>
                <w:vertAlign w:val="superscript"/>
                <w:lang w:val="en-US" w:eastAsia="zh-CN"/>
              </w:rPr>
              <w:t>2</w:t>
            </w:r>
            <w:r>
              <w:rPr>
                <w:rFonts w:hint="default"/>
                <w:vertAlign w:val="superscript"/>
              </w:rPr>
              <w:t>-</w:t>
            </w:r>
            <w:r>
              <w:rPr>
                <w:rFonts w:hint="default"/>
                <w:lang w:val="en-US" w:eastAsia="zh-CN"/>
              </w:rPr>
              <w:t>（62.5—720mg/L）、Cl</w:t>
            </w:r>
            <w:r>
              <w:rPr>
                <w:rFonts w:hint="default"/>
                <w:vertAlign w:val="superscript"/>
              </w:rPr>
              <w:t>-</w:t>
            </w:r>
            <w:r>
              <w:rPr>
                <w:rFonts w:hint="default"/>
                <w:lang w:val="en-US" w:eastAsia="zh-CN"/>
              </w:rPr>
              <w:t>（192.5—3944.0mg/L）含量一般较高，对钢质井管及管道具有中等腐蚀或强腐蚀性</w:t>
            </w:r>
            <w:r>
              <w:rPr>
                <w:rFonts w:hint="default"/>
              </w:rPr>
              <w:t>。按照《</w:t>
            </w:r>
            <w:r>
              <w:rPr>
                <w:rFonts w:hint="default"/>
                <w:lang w:eastAsia="zh-CN"/>
              </w:rPr>
              <w:t>理</w:t>
            </w:r>
            <w:r>
              <w:rPr>
                <w:rFonts w:hint="default"/>
              </w:rPr>
              <w:t>疗热矿水水质标准》（GB/T11615-2010）评价，分析区内已成地热水井氟、</w:t>
            </w:r>
            <w:r>
              <w:rPr>
                <w:rFonts w:hint="default"/>
                <w:lang w:eastAsia="zh-CN"/>
              </w:rPr>
              <w:t>碘、锶、</w:t>
            </w:r>
            <w:r>
              <w:rPr>
                <w:rFonts w:hint="default"/>
              </w:rPr>
              <w:t>偏硅酸、偏硼酸含量分别达到一项或</w:t>
            </w:r>
            <w:r>
              <w:rPr>
                <w:rFonts w:hint="default"/>
                <w:lang w:eastAsia="zh-CN"/>
              </w:rPr>
              <w:t>三</w:t>
            </w:r>
            <w:r>
              <w:rPr>
                <w:rFonts w:hint="default"/>
              </w:rPr>
              <w:t>至</w:t>
            </w:r>
            <w:r>
              <w:rPr>
                <w:rFonts w:hint="default"/>
                <w:lang w:eastAsia="zh-CN"/>
              </w:rPr>
              <w:t>五</w:t>
            </w:r>
            <w:r>
              <w:rPr>
                <w:rFonts w:hint="default"/>
              </w:rPr>
              <w:t>项</w:t>
            </w:r>
            <w:r>
              <w:rPr>
                <w:rFonts w:hint="default"/>
                <w:lang w:eastAsia="zh-CN"/>
              </w:rPr>
              <w:t>达到</w:t>
            </w:r>
            <w:r>
              <w:rPr>
                <w:rFonts w:hint="default"/>
              </w:rPr>
              <w:t>矿水命名浓度，具有较高的理疗价值。</w:t>
            </w:r>
          </w:p>
          <w:p>
            <w:pPr>
              <w:pStyle w:val="4"/>
              <w:bidi w:val="0"/>
              <w:rPr>
                <w:rFonts w:hint="default"/>
                <w:lang w:val="en-US" w:eastAsia="zh-CN"/>
              </w:rPr>
            </w:pPr>
            <w:r>
              <w:rPr>
                <w:rFonts w:hint="eastAsia"/>
                <w:lang w:val="en-US" w:eastAsia="zh-CN"/>
              </w:rPr>
              <w:t>（六）不良地质现象</w:t>
            </w:r>
          </w:p>
          <w:p>
            <w:pPr>
              <w:bidi w:val="0"/>
              <w:rPr>
                <w:rFonts w:hint="default"/>
              </w:rPr>
            </w:pPr>
            <w:r>
              <w:rPr>
                <w:rFonts w:hint="default"/>
              </w:rPr>
              <w:t>矿区内未发现崩塌、滑坡、泥石流、地面塌陷等矿山地质灾害和溶洞、土洞、河流冲刷、砂土液化以及渗透变形、水质恶化等不良地质现象。</w:t>
            </w:r>
          </w:p>
          <w:p>
            <w:pPr>
              <w:bidi w:val="0"/>
              <w:rPr>
                <w:rFonts w:hint="default"/>
              </w:rPr>
            </w:pPr>
            <w:r>
              <w:rPr>
                <w:rFonts w:hint="default"/>
              </w:rPr>
              <w:t>矿区地形平坦、地貌类型单一，现状条件下矿山地质灾害不发育。</w:t>
            </w:r>
          </w:p>
          <w:p>
            <w:pPr>
              <w:pStyle w:val="4"/>
              <w:bidi w:val="0"/>
              <w:rPr>
                <w:rFonts w:hint="default"/>
                <w:lang w:val="en-US" w:eastAsia="zh-CN"/>
              </w:rPr>
            </w:pPr>
            <w:r>
              <w:rPr>
                <w:rFonts w:hint="eastAsia"/>
                <w:lang w:val="en-US" w:eastAsia="zh-CN"/>
              </w:rPr>
              <w:t>（七）人类工程活动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lang w:val="en-US" w:eastAsia="zh-CN"/>
              </w:rPr>
              <w:t>文热4井及回灌井</w:t>
            </w:r>
            <w:r>
              <w:rPr>
                <w:rFonts w:hint="eastAsia"/>
              </w:rPr>
              <w:t>等其他配套设施均位于公司规划的空闲地带，</w:t>
            </w:r>
            <w:r>
              <w:t>没有其他矿床的开采。</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default"/>
                <w:lang w:eastAsia="zh-CN"/>
              </w:rPr>
              <w:t>区内</w:t>
            </w:r>
            <w:r>
              <w:rPr>
                <w:rFonts w:hint="default"/>
              </w:rPr>
              <w:t>主要人类工程活动有房屋建筑、道路修筑</w:t>
            </w:r>
            <w:r>
              <w:rPr>
                <w:rFonts w:hint="default"/>
                <w:lang w:eastAsia="zh-CN"/>
              </w:rPr>
              <w:t>、</w:t>
            </w:r>
            <w:r>
              <w:rPr>
                <w:rFonts w:hint="eastAsia"/>
                <w:lang w:val="en-US" w:eastAsia="zh-CN"/>
              </w:rPr>
              <w:t>铁路</w:t>
            </w:r>
            <w:r>
              <w:rPr>
                <w:rFonts w:hint="default"/>
              </w:rPr>
              <w:t>等，现简述如下：</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default"/>
              </w:rPr>
              <w:t>（1）房屋建筑</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eastAsia"/>
                <w:lang w:val="en-US" w:eastAsia="zh-CN"/>
              </w:rPr>
              <w:t>换热站</w:t>
            </w:r>
            <w:r>
              <w:rPr>
                <w:rFonts w:hint="default"/>
              </w:rPr>
              <w:t>为</w:t>
            </w:r>
            <w:r>
              <w:rPr>
                <w:rFonts w:hint="default"/>
                <w:lang w:eastAsia="zh-CN"/>
              </w:rPr>
              <w:t>周边原有的建筑物</w:t>
            </w:r>
            <w:r>
              <w:rPr>
                <w:rFonts w:hint="default"/>
              </w:rPr>
              <w:t>，为</w:t>
            </w:r>
            <w:r>
              <w:rPr>
                <w:rFonts w:hint="eastAsia"/>
                <w:lang w:val="en-US" w:eastAsia="zh-CN"/>
              </w:rPr>
              <w:t>1-2</w:t>
            </w:r>
            <w:r>
              <w:rPr>
                <w:rFonts w:hint="default"/>
              </w:rPr>
              <w:t>层</w:t>
            </w:r>
            <w:r>
              <w:rPr>
                <w:rFonts w:hint="eastAsia"/>
                <w:lang w:eastAsia="zh-CN"/>
              </w:rPr>
              <w:t>，</w:t>
            </w:r>
            <w:r>
              <w:rPr>
                <w:rFonts w:hint="eastAsia"/>
                <w:lang w:val="en-US" w:eastAsia="zh-CN"/>
              </w:rPr>
              <w:t>泵房为城市建设用地，不涉及土地复垦</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default"/>
              </w:rPr>
              <w:t>（2）道路修筑</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default"/>
                <w:lang w:eastAsia="zh-CN"/>
              </w:rPr>
              <w:t>区块</w:t>
            </w:r>
            <w:r>
              <w:rPr>
                <w:rFonts w:hint="default"/>
              </w:rPr>
              <w:t>内道路主要为</w:t>
            </w:r>
            <w:r>
              <w:rPr>
                <w:rFonts w:hint="default"/>
                <w:lang w:eastAsia="zh-CN"/>
              </w:rPr>
              <w:t>沥青路面</w:t>
            </w:r>
            <w:r>
              <w:rPr>
                <w:rFonts w:hint="default"/>
              </w:rPr>
              <w:t>。</w:t>
            </w:r>
          </w:p>
          <w:tbl>
            <w:tblPr>
              <w:tblStyle w:val="1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612" w:hRule="atLeast"/>
                <w:jc w:val="center"/>
              </w:trPr>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drawing>
                      <wp:inline distT="0" distB="0" distL="114300" distR="114300">
                        <wp:extent cx="2784475" cy="2088515"/>
                        <wp:effectExtent l="0" t="0" r="15875" b="6985"/>
                        <wp:docPr id="83" name="图片 83" descr="ca71c25ca5c9372bc1bf3ac33595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a71c25ca5c9372bc1bf3ac33595e82"/>
                                <pic:cNvPicPr>
                                  <a:picLocks noChangeAspect="1"/>
                                </pic:cNvPicPr>
                              </pic:nvPicPr>
                              <pic:blipFill>
                                <a:blip r:embed="rId13"/>
                                <a:stretch>
                                  <a:fillRect/>
                                </a:stretch>
                              </pic:blipFill>
                              <pic:spPr>
                                <a:xfrm>
                                  <a:off x="0" y="0"/>
                                  <a:ext cx="2784475" cy="2088515"/>
                                </a:xfrm>
                                <a:prstGeom prst="rect">
                                  <a:avLst/>
                                </a:prstGeom>
                              </pic:spPr>
                            </pic:pic>
                          </a:graphicData>
                        </a:graphic>
                      </wp:inline>
                    </w:drawing>
                  </w:r>
                </w:p>
              </w:tc>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drawing>
                      <wp:inline distT="0" distB="0" distL="114300" distR="114300">
                        <wp:extent cx="2782570" cy="2087245"/>
                        <wp:effectExtent l="0" t="0" r="17780" b="8255"/>
                        <wp:docPr id="16" name="图片 16" descr="ad01f9993c749af828ab6b715cc1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d01f9993c749af828ab6b715cc1d02"/>
                                <pic:cNvPicPr>
                                  <a:picLocks noChangeAspect="1"/>
                                </pic:cNvPicPr>
                              </pic:nvPicPr>
                              <pic:blipFill>
                                <a:blip r:embed="rId14"/>
                                <a:stretch>
                                  <a:fillRect/>
                                </a:stretch>
                              </pic:blipFill>
                              <pic:spPr>
                                <a:xfrm>
                                  <a:off x="0" y="0"/>
                                  <a:ext cx="2782570" cy="208724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06"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ascii="仿宋" w:hAnsi="仿宋" w:eastAsia="仿宋" w:cs="仿宋"/>
                      <w:b/>
                      <w:bCs/>
                      <w:lang w:eastAsia="zh-CN"/>
                    </w:rPr>
                    <w:t>房屋建筑及周边道路照片</w:t>
                  </w:r>
                </w:p>
              </w:tc>
            </w:tr>
          </w:tbl>
          <w:p>
            <w:pPr>
              <w:keepNext w:val="0"/>
              <w:keepLines w:val="0"/>
              <w:pageBreakBefore w:val="0"/>
              <w:widowControl w:val="0"/>
              <w:kinsoku/>
              <w:wordWrap/>
              <w:overflowPunct/>
              <w:topLinePunct w:val="0"/>
              <w:autoSpaceDE/>
              <w:autoSpaceDN/>
              <w:bidi w:val="0"/>
              <w:adjustRightInd/>
              <w:snapToGrid/>
              <w:spacing w:before="185" w:beforeLines="50" w:line="360" w:lineRule="auto"/>
              <w:ind w:left="0" w:leftChars="0" w:right="0" w:rightChars="0" w:firstLine="480"/>
              <w:jc w:val="both"/>
              <w:textAlignment w:val="auto"/>
              <w:outlineLvl w:val="9"/>
              <w:rPr>
                <w:rFonts w:hint="default"/>
                <w:lang w:eastAsia="zh-CN"/>
              </w:rPr>
            </w:pPr>
            <w:r>
              <w:rPr>
                <w:rFonts w:hint="default"/>
                <w:lang w:eastAsia="zh-CN"/>
              </w:rPr>
              <w:t>（</w:t>
            </w:r>
            <w:r>
              <w:rPr>
                <w:rFonts w:hint="default"/>
                <w:lang w:val="en-US" w:eastAsia="zh-CN"/>
              </w:rPr>
              <w:t>3</w:t>
            </w:r>
            <w:r>
              <w:rPr>
                <w:rFonts w:hint="default"/>
                <w:lang w:eastAsia="zh-CN"/>
              </w:rPr>
              <w:t>）</w:t>
            </w:r>
            <w:r>
              <w:rPr>
                <w:rFonts w:hint="eastAsia"/>
                <w:lang w:val="en-US" w:eastAsia="zh-CN"/>
              </w:rPr>
              <w:t>道路</w:t>
            </w:r>
          </w:p>
          <w:p>
            <w:pPr>
              <w:bidi w:val="0"/>
              <w:rPr>
                <w:rFonts w:hint="default"/>
                <w:lang w:eastAsia="zh-CN"/>
              </w:rPr>
            </w:pPr>
            <w:r>
              <w:rPr>
                <w:rFonts w:hint="default"/>
                <w:lang w:eastAsia="zh-CN"/>
              </w:rPr>
              <w:t>在区块</w:t>
            </w:r>
            <w:r>
              <w:rPr>
                <w:rFonts w:hint="eastAsia"/>
                <w:lang w:val="en-US" w:eastAsia="zh-CN"/>
              </w:rPr>
              <w:t>正北方向</w:t>
            </w:r>
            <w:r>
              <w:rPr>
                <w:rFonts w:hint="default"/>
                <w:lang w:eastAsia="zh-CN"/>
              </w:rPr>
              <w:t>方向有一条</w:t>
            </w:r>
            <w:r>
              <w:rPr>
                <w:rFonts w:hint="eastAsia"/>
                <w:lang w:val="en-US" w:eastAsia="zh-CN"/>
              </w:rPr>
              <w:t>北</w:t>
            </w:r>
            <w:r>
              <w:rPr>
                <w:rFonts w:hint="default"/>
                <w:lang w:eastAsia="zh-CN"/>
              </w:rPr>
              <w:t>东</w:t>
            </w:r>
            <w:r>
              <w:rPr>
                <w:rFonts w:hint="default"/>
                <w:lang w:val="en-US" w:eastAsia="zh-CN"/>
              </w:rPr>
              <w:t>-</w:t>
            </w:r>
            <w:r>
              <w:rPr>
                <w:rFonts w:hint="eastAsia"/>
                <w:lang w:val="en-US" w:eastAsia="zh-CN"/>
              </w:rPr>
              <w:t>南</w:t>
            </w:r>
            <w:r>
              <w:rPr>
                <w:rFonts w:hint="default"/>
                <w:lang w:val="en-US" w:eastAsia="zh-CN"/>
              </w:rPr>
              <w:t>西</w:t>
            </w:r>
            <w:r>
              <w:rPr>
                <w:rFonts w:hint="eastAsia"/>
                <w:lang w:val="en-US" w:eastAsia="zh-CN"/>
              </w:rPr>
              <w:t>方</w:t>
            </w:r>
            <w:r>
              <w:rPr>
                <w:rFonts w:hint="default"/>
                <w:lang w:val="en-US" w:eastAsia="zh-CN"/>
              </w:rPr>
              <w:t>向</w:t>
            </w:r>
            <w:r>
              <w:rPr>
                <w:rFonts w:hint="eastAsia"/>
                <w:lang w:val="en-US" w:eastAsia="zh-CN"/>
              </w:rPr>
              <w:t>的铁路</w:t>
            </w:r>
            <w:r>
              <w:rPr>
                <w:rFonts w:hint="default"/>
                <w:lang w:val="en-US" w:eastAsia="zh-CN"/>
              </w:rPr>
              <w:t>，</w:t>
            </w:r>
            <w:r>
              <w:rPr>
                <w:rFonts w:hint="default"/>
                <w:lang w:eastAsia="zh-CN"/>
              </w:rPr>
              <w:t>为</w:t>
            </w:r>
            <w:r>
              <w:rPr>
                <w:rFonts w:hint="eastAsia"/>
                <w:lang w:val="en-US" w:eastAsia="zh-CN"/>
              </w:rPr>
              <w:t>西安铁路枢纽新建北环线陇海线</w:t>
            </w:r>
            <w:r>
              <w:rPr>
                <w:rFonts w:hint="default"/>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由于地热矿床的特殊性，地热水开采不会对周围环境造成影响和破坏，同时也不会受到周围其它人类活动的影响。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因此，矿区破坏地质环境的人类工程活动较弱。</w:t>
            </w:r>
          </w:p>
          <w:p>
            <w:pPr>
              <w:pStyle w:val="3"/>
              <w:bidi w:val="0"/>
              <w:rPr>
                <w:rFonts w:hint="eastAsia"/>
                <w:lang w:val="en-US" w:eastAsia="zh-CN"/>
              </w:rPr>
            </w:pPr>
            <w:bookmarkStart w:id="29" w:name="_Toc19612"/>
            <w:bookmarkStart w:id="30" w:name="_Toc17275"/>
            <w:r>
              <w:rPr>
                <w:rFonts w:hint="eastAsia"/>
                <w:lang w:val="en-US" w:eastAsia="zh-CN"/>
              </w:rPr>
              <w:t>三、矿山地质环境问题</w:t>
            </w:r>
            <w:bookmarkEnd w:id="29"/>
            <w:bookmarkEnd w:id="30"/>
          </w:p>
          <w:p>
            <w:pPr>
              <w:pStyle w:val="4"/>
              <w:bidi w:val="0"/>
              <w:rPr>
                <w:rFonts w:hint="default"/>
                <w:lang w:val="en-US" w:eastAsia="zh-CN"/>
              </w:rPr>
            </w:pPr>
            <w:r>
              <w:rPr>
                <w:rFonts w:hint="eastAsia"/>
                <w:lang w:val="en-US" w:eastAsia="zh-CN"/>
              </w:rPr>
              <w:t>1、矿山地质灾害问题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zh-CN"/>
              </w:rPr>
            </w:pPr>
            <w:r>
              <w:rPr>
                <w:rFonts w:hint="eastAsia"/>
              </w:rPr>
              <w:t>依据本次野外地质调查，</w:t>
            </w:r>
            <w:r>
              <w:rPr>
                <w:rFonts w:hint="eastAsia"/>
                <w:lang w:val="en-US" w:eastAsia="zh-CN"/>
              </w:rPr>
              <w:t>矿区</w:t>
            </w:r>
            <w:r>
              <w:rPr>
                <w:rFonts w:hint="eastAsia"/>
              </w:rPr>
              <w:t>内总体</w:t>
            </w:r>
            <w:r>
              <w:rPr>
                <w:rFonts w:hint="default"/>
              </w:rPr>
              <w:t>地势</w:t>
            </w:r>
            <w:r>
              <w:rPr>
                <w:rFonts w:hint="eastAsia"/>
              </w:rPr>
              <w:t>北高南抵，成缓坡倾</w:t>
            </w:r>
            <w:r>
              <w:rPr>
                <w:rFonts w:hint="eastAsia"/>
                <w:lang w:eastAsia="zh-CN"/>
              </w:rPr>
              <w:t>向</w:t>
            </w:r>
            <w:r>
              <w:rPr>
                <w:rFonts w:hint="eastAsia"/>
              </w:rPr>
              <w:t>北，地面高程</w:t>
            </w:r>
            <w:r>
              <w:rPr>
                <w:rFonts w:hint="eastAsia"/>
                <w:lang w:val="en-US" w:eastAsia="zh-CN"/>
              </w:rPr>
              <w:t>差异不大</w:t>
            </w:r>
            <w:r>
              <w:rPr>
                <w:rFonts w:hint="eastAsia"/>
              </w:rPr>
              <w:t>，现状边坡稳定；</w:t>
            </w:r>
            <w:r>
              <w:rPr>
                <w:rFonts w:hint="eastAsia"/>
                <w:lang w:val="zh-CN"/>
              </w:rPr>
              <w:t>未发现崩塌、滑坡、泥石流、地面塌陷、地裂缝和地面沉降等地质灾害。评估区地质灾害现状弱发育，预测可能加剧地质灾害的可能性小，危险性小。</w:t>
            </w:r>
          </w:p>
          <w:p>
            <w:pPr>
              <w:bidi w:val="0"/>
              <w:rPr>
                <w:rFonts w:hint="eastAsia"/>
                <w:lang w:val="en-US" w:eastAsia="zh-CN"/>
              </w:rPr>
            </w:pPr>
            <w:r>
              <w:rPr>
                <w:rFonts w:hint="eastAsia"/>
                <w:lang w:val="en-US" w:eastAsia="zh-CN"/>
              </w:rPr>
              <w:t>现状及预测评估：现状条件下尚未发现任何地质灾害及隐患，危险性小，对地质环境影响较轻。矿山开采过程中遭受、引发、加剧地质灾害及隐患的可能性小。</w:t>
            </w:r>
          </w:p>
          <w:p>
            <w:pPr>
              <w:pStyle w:val="4"/>
              <w:bidi w:val="0"/>
              <w:rPr>
                <w:rFonts w:hint="default"/>
                <w:lang w:val="en-US" w:eastAsia="zh-CN"/>
              </w:rPr>
            </w:pPr>
            <w:r>
              <w:rPr>
                <w:rFonts w:hint="eastAsia"/>
                <w:lang w:val="en-US" w:eastAsia="zh-CN"/>
              </w:rPr>
              <w:t>2、矿区地形地貌问题</w:t>
            </w:r>
          </w:p>
          <w:p>
            <w:pPr>
              <w:keepNext w:val="0"/>
              <w:keepLines w:val="0"/>
              <w:pageBreakBefore w:val="0"/>
              <w:widowControl w:val="0"/>
              <w:kinsoku/>
              <w:wordWrap/>
              <w:overflowPunct/>
              <w:topLinePunct w:val="0"/>
              <w:autoSpaceDE/>
              <w:autoSpaceDN/>
              <w:bidi w:val="0"/>
              <w:adjustRightInd/>
              <w:snapToGrid/>
              <w:spacing w:line="360" w:lineRule="auto"/>
              <w:ind w:right="-12" w:rightChars="-5" w:firstLine="482"/>
              <w:textAlignment w:val="auto"/>
              <w:rPr>
                <w:rFonts w:hint="default"/>
              </w:rPr>
            </w:pPr>
            <w:r>
              <w:rPr>
                <w:rFonts w:hint="eastAsia"/>
                <w:lang w:eastAsia="zh-CN"/>
              </w:rPr>
              <w:t>由于</w:t>
            </w:r>
            <w:r>
              <w:rPr>
                <w:rFonts w:hint="default"/>
              </w:rPr>
              <w:t>地热井为点状工程，</w:t>
            </w:r>
            <w:r>
              <w:rPr>
                <w:rFonts w:hint="default"/>
                <w:lang w:eastAsia="zh-CN"/>
              </w:rPr>
              <w:t>其</w:t>
            </w:r>
            <w:r>
              <w:rPr>
                <w:rFonts w:hint="eastAsia"/>
                <w:lang w:eastAsia="zh-CN"/>
              </w:rPr>
              <w:t>用地主要为</w:t>
            </w:r>
            <w:r>
              <w:rPr>
                <w:rFonts w:hint="default"/>
                <w:lang w:eastAsia="zh-CN"/>
              </w:rPr>
              <w:t>泵房、地热换热站、</w:t>
            </w:r>
            <w:r>
              <w:rPr>
                <w:rFonts w:hint="eastAsia"/>
                <w:lang w:eastAsia="zh-CN"/>
              </w:rPr>
              <w:t>及</w:t>
            </w:r>
            <w:r>
              <w:rPr>
                <w:rFonts w:hint="eastAsia"/>
                <w:lang w:val="en-US" w:eastAsia="zh-CN"/>
              </w:rPr>
              <w:t>其他办公、维修等辅助用地，其总用地面积</w:t>
            </w:r>
            <w:r>
              <w:rPr>
                <w:rFonts w:hint="eastAsia"/>
                <w:lang w:eastAsia="zh-CN"/>
              </w:rPr>
              <w:t>为</w:t>
            </w:r>
            <w:r>
              <w:rPr>
                <w:rFonts w:hint="default"/>
              </w:rPr>
              <w:t>732.94</w:t>
            </w:r>
            <w:r>
              <w:rPr>
                <w:rFonts w:hint="eastAsia"/>
                <w:lang w:val="en-US" w:eastAsia="zh-CN"/>
              </w:rPr>
              <w:t>m</w:t>
            </w:r>
            <w:r>
              <w:rPr>
                <w:rFonts w:hint="eastAsia"/>
                <w:vertAlign w:val="superscript"/>
                <w:lang w:val="en-US" w:eastAsia="zh-CN"/>
              </w:rPr>
              <w:t>2</w:t>
            </w:r>
            <w:r>
              <w:rPr>
                <w:rFonts w:hint="default"/>
                <w:lang w:eastAsia="zh-CN"/>
              </w:rPr>
              <w:t>，建设</w:t>
            </w:r>
            <w:r>
              <w:rPr>
                <w:rFonts w:hint="eastAsia"/>
                <w:lang w:eastAsia="zh-CN"/>
              </w:rPr>
              <w:t>及运营期</w:t>
            </w:r>
            <w:r>
              <w:rPr>
                <w:rFonts w:hint="default"/>
                <w:lang w:eastAsia="zh-CN"/>
              </w:rPr>
              <w:t>间</w:t>
            </w:r>
            <w:r>
              <w:rPr>
                <w:rFonts w:hint="eastAsia"/>
                <w:lang w:eastAsia="zh-CN"/>
              </w:rPr>
              <w:t>没有</w:t>
            </w:r>
            <w:r>
              <w:rPr>
                <w:rFonts w:hint="default"/>
              </w:rPr>
              <w:t>改变区内总体地形地貌、地质遗迹及人文景观；其运营和采矿活动</w:t>
            </w:r>
            <w:r>
              <w:rPr>
                <w:rFonts w:hint="eastAsia"/>
                <w:lang w:eastAsia="zh-CN"/>
              </w:rPr>
              <w:t>没有</w:t>
            </w:r>
            <w:r>
              <w:rPr>
                <w:rFonts w:hint="default"/>
              </w:rPr>
              <w:t>改变区内总体地形地貌、地质遗迹及人文景观。因此，</w:t>
            </w:r>
            <w:r>
              <w:rPr>
                <w:rFonts w:hint="eastAsia"/>
                <w:lang w:val="en-US" w:eastAsia="zh-CN"/>
              </w:rPr>
              <w:t>矿山</w:t>
            </w:r>
            <w:r>
              <w:rPr>
                <w:rFonts w:hint="default"/>
              </w:rPr>
              <w:t>对地形地貌景观影响较轻。</w:t>
            </w:r>
          </w:p>
          <w:p>
            <w:pPr>
              <w:keepNext w:val="0"/>
              <w:keepLines w:val="0"/>
              <w:pageBreakBefore w:val="0"/>
              <w:widowControl w:val="0"/>
              <w:kinsoku/>
              <w:wordWrap/>
              <w:overflowPunct/>
              <w:topLinePunct w:val="0"/>
              <w:autoSpaceDE/>
              <w:autoSpaceDN/>
              <w:bidi w:val="0"/>
              <w:adjustRightInd/>
              <w:snapToGrid/>
              <w:spacing w:line="360" w:lineRule="auto"/>
              <w:ind w:right="-12" w:rightChars="-5" w:firstLine="482"/>
              <w:textAlignment w:val="auto"/>
              <w:rPr>
                <w:rFonts w:hint="eastAsia"/>
                <w:lang w:eastAsia="zh-CN"/>
              </w:rPr>
            </w:pPr>
            <w:r>
              <w:rPr>
                <w:rFonts w:hint="default"/>
              </w:rPr>
              <w:t>现状与预测评估对地形地貌景观影响较轻。</w:t>
            </w:r>
          </w:p>
          <w:p>
            <w:pPr>
              <w:pStyle w:val="4"/>
              <w:bidi w:val="0"/>
              <w:rPr>
                <w:rFonts w:hint="default"/>
                <w:lang w:val="en-US" w:eastAsia="zh-CN"/>
              </w:rPr>
            </w:pPr>
            <w:r>
              <w:rPr>
                <w:rFonts w:hint="eastAsia"/>
                <w:lang w:val="en-US" w:eastAsia="zh-CN"/>
              </w:rPr>
              <w:t>3、矿区含水层破坏问题</w:t>
            </w:r>
          </w:p>
          <w:p>
            <w:pPr>
              <w:bidi w:val="0"/>
              <w:rPr>
                <w:rFonts w:hint="default"/>
              </w:rPr>
            </w:pPr>
            <w:r>
              <w:rPr>
                <w:rFonts w:hint="eastAsia"/>
                <w:lang w:val="en-US" w:eastAsia="zh-CN"/>
              </w:rPr>
              <w:t>文热4地热区块</w:t>
            </w:r>
            <w:r>
              <w:rPr>
                <w:rFonts w:hint="default"/>
              </w:rPr>
              <w:t>采用潜水电泵从地热井中抽取深部地热水，与区域地表水</w:t>
            </w:r>
            <w:r>
              <w:rPr>
                <w:rFonts w:hint="default"/>
                <w:lang w:eastAsia="zh-CN"/>
              </w:rPr>
              <w:t>（渭河河水）</w:t>
            </w:r>
            <w:r>
              <w:rPr>
                <w:rFonts w:hint="default"/>
              </w:rPr>
              <w:t>、浅部含水层（</w:t>
            </w:r>
            <w:r>
              <w:rPr>
                <w:rFonts w:hint="eastAsia"/>
                <w:lang w:val="en-US" w:eastAsia="zh-CN"/>
              </w:rPr>
              <w:t>1430.90m</w:t>
            </w:r>
            <w:r>
              <w:rPr>
                <w:rFonts w:hint="default"/>
              </w:rPr>
              <w:t>以浅）无水力联系</w:t>
            </w:r>
            <w:r>
              <w:rPr>
                <w:rFonts w:hint="eastAsia"/>
                <w:lang w:eastAsia="zh-CN"/>
              </w:rPr>
              <w:t>；</w:t>
            </w:r>
            <w:r>
              <w:rPr>
                <w:rFonts w:hint="default"/>
              </w:rPr>
              <w:t>新近系热储层埋藏深、</w:t>
            </w:r>
            <w:r>
              <w:rPr>
                <w:rFonts w:hint="default"/>
                <w:lang w:eastAsia="zh-CN"/>
              </w:rPr>
              <w:t>上部覆盖层厚度大，其</w:t>
            </w:r>
            <w:r>
              <w:rPr>
                <w:rFonts w:hint="default"/>
              </w:rPr>
              <w:t>地层固结程度高、孔隙率较小、结构致密、抗压缩性较强</w:t>
            </w:r>
            <w:r>
              <w:rPr>
                <w:rFonts w:hint="default"/>
                <w:lang w:eastAsia="zh-CN"/>
              </w:rPr>
              <w:t>，有较好的保温性能；</w:t>
            </w:r>
            <w:r>
              <w:rPr>
                <w:rFonts w:hint="default"/>
              </w:rPr>
              <w:t>因此，采矿活动对深部含水层（热储层）的结构不会造成破坏</w:t>
            </w:r>
            <w:r>
              <w:rPr>
                <w:rFonts w:hint="default"/>
                <w:lang w:eastAsia="zh-CN"/>
              </w:rPr>
              <w:t>。</w:t>
            </w:r>
            <w:r>
              <w:rPr>
                <w:rFonts w:hint="eastAsia"/>
                <w:lang w:val="en-US" w:eastAsia="zh-CN"/>
              </w:rPr>
              <w:t>文热4地热区块</w:t>
            </w:r>
            <w:r>
              <w:rPr>
                <w:rFonts w:hint="default"/>
                <w:lang w:val="en-US" w:eastAsia="zh-CN"/>
              </w:rPr>
              <w:t>开采时依据《开发利用方案》对开采降深进行控制、对开采量进行控制、对水位下降进行控制，并按规定实施地热水回灌，对深部含水层的影响较轻；</w:t>
            </w:r>
            <w:r>
              <w:rPr>
                <w:rFonts w:hint="default"/>
              </w:rPr>
              <w:t>随开采时间的延长，热水水头会有一定的下降</w:t>
            </w:r>
            <w:r>
              <w:rPr>
                <w:rFonts w:hint="default"/>
                <w:lang w:eastAsia="zh-CN"/>
              </w:rPr>
              <w:t>，但</w:t>
            </w:r>
            <w:r>
              <w:rPr>
                <w:rFonts w:hint="default"/>
              </w:rPr>
              <w:t>不会造成深部含水层（热储层）疏干或半疏干状态</w:t>
            </w:r>
            <w:r>
              <w:rPr>
                <w:rFonts w:hint="eastAsia"/>
                <w:lang w:eastAsia="zh-CN"/>
              </w:rPr>
              <w:t>。</w:t>
            </w:r>
            <w:r>
              <w:rPr>
                <w:rFonts w:hint="default"/>
                <w:lang w:eastAsia="zh-CN"/>
              </w:rPr>
              <w:t>因此，</w:t>
            </w:r>
            <w:r>
              <w:rPr>
                <w:rFonts w:hint="eastAsia"/>
                <w:lang w:val="en-US" w:eastAsia="zh-CN"/>
              </w:rPr>
              <w:t>矿区地热水开采</w:t>
            </w:r>
            <w:r>
              <w:rPr>
                <w:rFonts w:hint="default"/>
              </w:rPr>
              <w:t>对含水层影响程度为较轻。</w:t>
            </w:r>
          </w:p>
          <w:p>
            <w:pPr>
              <w:bidi w:val="0"/>
              <w:rPr>
                <w:rFonts w:hint="eastAsia"/>
                <w:lang w:val="en-US" w:eastAsia="zh-CN"/>
              </w:rPr>
            </w:pPr>
            <w:r>
              <w:rPr>
                <w:rFonts w:hint="eastAsia"/>
                <w:lang w:val="en-US" w:eastAsia="zh-CN"/>
              </w:rPr>
              <w:t>现状评估及预测评估：矿山开采对含水层影响和破坏较轻。</w:t>
            </w:r>
          </w:p>
          <w:p>
            <w:pPr>
              <w:pStyle w:val="4"/>
              <w:bidi w:val="0"/>
              <w:rPr>
                <w:rFonts w:hint="default"/>
                <w:lang w:val="en-US" w:eastAsia="zh-CN"/>
              </w:rPr>
            </w:pPr>
            <w:r>
              <w:rPr>
                <w:rFonts w:hint="eastAsia"/>
                <w:lang w:val="en-US" w:eastAsia="zh-CN"/>
              </w:rPr>
              <w:t>4、土地资源问题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矿区</w:t>
            </w:r>
            <w:r>
              <w:rPr>
                <w:rFonts w:hint="default"/>
                <w:lang w:eastAsia="zh-CN"/>
              </w:rPr>
              <w:t>内</w:t>
            </w:r>
            <w:r>
              <w:rPr>
                <w:rFonts w:hint="default"/>
              </w:rPr>
              <w:t>已施工</w:t>
            </w:r>
            <w:r>
              <w:rPr>
                <w:rFonts w:hint="eastAsia"/>
                <w:lang w:val="en-US" w:eastAsia="zh-CN"/>
              </w:rPr>
              <w:t>1</w:t>
            </w:r>
            <w:r>
              <w:rPr>
                <w:rFonts w:hint="default"/>
              </w:rPr>
              <w:t>眼地热开采井</w:t>
            </w:r>
            <w:r>
              <w:rPr>
                <w:rFonts w:hint="eastAsia"/>
                <w:lang w:eastAsia="zh-CN"/>
              </w:rPr>
              <w:t>、</w:t>
            </w:r>
            <w:r>
              <w:rPr>
                <w:rFonts w:hint="eastAsia"/>
                <w:lang w:val="en-US" w:eastAsia="zh-CN"/>
              </w:rPr>
              <w:t>1眼地热回灌井</w:t>
            </w:r>
            <w:r>
              <w:rPr>
                <w:rFonts w:hint="default"/>
                <w:lang w:eastAsia="zh-CN"/>
              </w:rPr>
              <w:t>及其</w:t>
            </w:r>
            <w:r>
              <w:rPr>
                <w:rFonts w:hint="default"/>
              </w:rPr>
              <w:t>泵房、地热换热站，</w:t>
            </w:r>
            <w:r>
              <w:rPr>
                <w:rFonts w:hint="eastAsia"/>
                <w:lang w:val="en-US" w:eastAsia="zh-CN"/>
              </w:rPr>
              <w:t>文热4</w:t>
            </w:r>
            <w:r>
              <w:rPr>
                <w:rFonts w:hint="eastAsia"/>
                <w:lang w:eastAsia="zh-CN"/>
              </w:rPr>
              <w:t>井</w:t>
            </w:r>
            <w:r>
              <w:rPr>
                <w:rFonts w:hint="eastAsia"/>
                <w:lang w:val="en-US" w:eastAsia="zh-CN"/>
              </w:rPr>
              <w:t>及其</w:t>
            </w:r>
            <w:r>
              <w:rPr>
                <w:rFonts w:hint="eastAsia"/>
                <w:lang w:eastAsia="zh-CN"/>
              </w:rPr>
              <w:t>泵房面积为</w:t>
            </w:r>
            <w:r>
              <w:rPr>
                <w:rFonts w:hint="eastAsia"/>
                <w:lang w:val="en-US" w:eastAsia="zh-CN"/>
              </w:rPr>
              <w:t>40.5</w:t>
            </w:r>
            <w:r>
              <w:rPr>
                <w:rFonts w:hint="default"/>
              </w:rPr>
              <w:t>m</w:t>
            </w:r>
            <w:r>
              <w:rPr>
                <w:rFonts w:hint="default"/>
                <w:vertAlign w:val="superscript"/>
              </w:rPr>
              <w:t>2</w:t>
            </w:r>
            <w:r>
              <w:rPr>
                <w:rFonts w:hint="eastAsia"/>
                <w:lang w:val="en-US" w:eastAsia="zh-CN"/>
              </w:rPr>
              <w:t>，现场调查量得文热4井地热区块换热站、及其他办公、维修等辅助用地总面积为635</w:t>
            </w:r>
            <w:r>
              <w:rPr>
                <w:rFonts w:hint="default"/>
              </w:rPr>
              <w:t>m</w:t>
            </w:r>
            <w:r>
              <w:rPr>
                <w:rFonts w:hint="default"/>
                <w:vertAlign w:val="superscript"/>
              </w:rPr>
              <w:t>2</w:t>
            </w:r>
            <w:r>
              <w:rPr>
                <w:rFonts w:hint="eastAsia"/>
                <w:lang w:val="en-US" w:eastAsia="zh-CN"/>
              </w:rPr>
              <w:t>，三个电箱占地面积为37.44</w:t>
            </w:r>
            <w:r>
              <w:rPr>
                <w:rFonts w:hint="default"/>
              </w:rPr>
              <w:t>m</w:t>
            </w:r>
            <w:r>
              <w:rPr>
                <w:rFonts w:hint="default"/>
                <w:vertAlign w:val="superscript"/>
              </w:rPr>
              <w:t>2</w:t>
            </w:r>
            <w:r>
              <w:rPr>
                <w:rFonts w:hint="eastAsia"/>
                <w:lang w:eastAsia="zh-CN"/>
              </w:rPr>
              <w:t>，</w:t>
            </w:r>
            <w:r>
              <w:rPr>
                <w:rFonts w:hint="eastAsia"/>
                <w:lang w:val="en-US" w:eastAsia="zh-CN"/>
              </w:rPr>
              <w:t>目前文热4井地热区块总占地</w:t>
            </w:r>
            <w:r>
              <w:rPr>
                <w:rFonts w:hint="default"/>
              </w:rPr>
              <w:t>面积</w:t>
            </w:r>
            <w:r>
              <w:rPr>
                <w:rFonts w:hint="eastAsia"/>
                <w:lang w:eastAsia="zh-CN"/>
              </w:rPr>
              <w:t>为</w:t>
            </w:r>
            <w:r>
              <w:rPr>
                <w:rFonts w:hint="eastAsia"/>
                <w:lang w:val="en-US" w:eastAsia="zh-CN"/>
              </w:rPr>
              <w:t>675.5</w:t>
            </w:r>
            <w:r>
              <w:rPr>
                <w:rFonts w:hint="default"/>
              </w:rPr>
              <w:t>m</w:t>
            </w:r>
            <w:r>
              <w:rPr>
                <w:rFonts w:hint="default"/>
                <w:vertAlign w:val="superscript"/>
              </w:rPr>
              <w:t>2</w:t>
            </w:r>
            <w:r>
              <w:rPr>
                <w:rFonts w:hint="default"/>
              </w:rPr>
              <w:t>；</w:t>
            </w:r>
            <w:r>
              <w:rPr>
                <w:rFonts w:hint="eastAsia"/>
                <w:lang w:val="en-US" w:eastAsia="zh-CN"/>
              </w:rPr>
              <w:t>与其配套的WH1井不在矿区范围内，占地</w:t>
            </w:r>
            <w:r>
              <w:rPr>
                <w:rFonts w:hint="default"/>
              </w:rPr>
              <w:t>面积约</w:t>
            </w:r>
            <w:r>
              <w:rPr>
                <w:rFonts w:hint="eastAsia"/>
                <w:lang w:val="en-US" w:eastAsia="zh-CN"/>
              </w:rPr>
              <w:t>20</w:t>
            </w:r>
            <w:r>
              <w:rPr>
                <w:rFonts w:hint="default"/>
              </w:rPr>
              <w:t>m</w:t>
            </w:r>
            <w:r>
              <w:rPr>
                <w:rFonts w:hint="default"/>
                <w:vertAlign w:val="superscript"/>
              </w:rPr>
              <w:t>2</w:t>
            </w:r>
            <w:r>
              <w:rPr>
                <w:rFonts w:hint="eastAsia"/>
                <w:lang w:eastAsia="zh-CN"/>
              </w:rPr>
              <w:t>，</w:t>
            </w:r>
            <w:r>
              <w:rPr>
                <w:rFonts w:hint="default"/>
              </w:rPr>
              <w:t>合计占地面积</w:t>
            </w:r>
            <w:r>
              <w:rPr>
                <w:rFonts w:hint="eastAsia"/>
                <w:lang w:val="en-US" w:eastAsia="zh-CN"/>
              </w:rPr>
              <w:t>732.94</w:t>
            </w:r>
            <w:r>
              <w:rPr>
                <w:rFonts w:hint="default"/>
              </w:rPr>
              <w:t>m</w:t>
            </w:r>
            <w:r>
              <w:rPr>
                <w:rFonts w:hint="default"/>
                <w:vertAlign w:val="superscript"/>
              </w:rPr>
              <w:t>2</w:t>
            </w:r>
            <w:r>
              <w:rPr>
                <w:rFonts w:hint="default"/>
              </w:rPr>
              <w:t>。</w:t>
            </w:r>
            <w:r>
              <w:rPr>
                <w:rFonts w:hint="eastAsia"/>
                <w:lang w:eastAsia="zh-CN"/>
              </w:rPr>
              <w:t>且占地属性均为城市建设用地，无需土地复垦。地热开采</w:t>
            </w:r>
            <w:r>
              <w:rPr>
                <w:rFonts w:hint="default"/>
              </w:rPr>
              <w:t>对土地资源的影响和破坏较轻</w:t>
            </w:r>
            <w:r>
              <w:rPr>
                <w:rFonts w:hint="eastAsia"/>
                <w:lang w:eastAsia="zh-CN"/>
              </w:rPr>
              <w:t>，</w:t>
            </w:r>
            <w:r>
              <w:rPr>
                <w:rFonts w:hint="eastAsia"/>
                <w:lang w:val="en-US" w:eastAsia="zh-CN"/>
              </w:rPr>
              <w:t>且</w:t>
            </w:r>
            <w:r>
              <w:rPr>
                <w:rFonts w:hint="default"/>
              </w:rPr>
              <w:t>未来矿山</w:t>
            </w:r>
            <w:r>
              <w:rPr>
                <w:rFonts w:hint="eastAsia"/>
                <w:lang w:val="en-US" w:eastAsia="zh-CN"/>
              </w:rPr>
              <w:t>没有建筑需求</w:t>
            </w:r>
            <w:r>
              <w:rPr>
                <w:rFonts w:hint="default"/>
              </w:rPr>
              <w:t>。故矿山开采对土地资源的影响与破坏较轻。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default"/>
              </w:rPr>
              <w:t>现状评估及预测评估：矿山开采对土地资源的影响和破坏较轻。</w:t>
            </w:r>
          </w:p>
          <w:p>
            <w:pPr>
              <w:pStyle w:val="4"/>
              <w:bidi w:val="0"/>
              <w:rPr>
                <w:rFonts w:hint="default"/>
                <w:lang w:val="en-US" w:eastAsia="zh-CN"/>
              </w:rPr>
            </w:pPr>
            <w:r>
              <w:rPr>
                <w:rFonts w:hint="eastAsia"/>
                <w:lang w:val="en-US" w:eastAsia="zh-CN"/>
              </w:rPr>
              <w:t>5、其他地质环境问题</w:t>
            </w:r>
          </w:p>
          <w:p>
            <w:pPr>
              <w:bidi w:val="0"/>
              <w:rPr>
                <w:rFonts w:hint="eastAsia"/>
                <w:lang w:val="en-US" w:eastAsia="zh-CN"/>
              </w:rPr>
            </w:pPr>
            <w:r>
              <w:rPr>
                <w:rFonts w:hint="eastAsia"/>
                <w:lang w:eastAsia="zh-CN"/>
              </w:rPr>
              <w:t>文热</w:t>
            </w:r>
            <w:r>
              <w:rPr>
                <w:rFonts w:hint="eastAsia"/>
                <w:lang w:val="en-US" w:eastAsia="zh-CN"/>
              </w:rPr>
              <w:t>4及其回灌</w:t>
            </w:r>
            <w:r>
              <w:t>井及其他配套设施均位于项目空闲地带</w:t>
            </w:r>
            <w:r>
              <w:rPr>
                <w:rFonts w:hint="eastAsia"/>
              </w:rPr>
              <w:t>，</w:t>
            </w:r>
            <w:r>
              <w:rPr>
                <w:rFonts w:hint="eastAsia"/>
                <w:lang w:val="en-US" w:eastAsia="zh-CN"/>
              </w:rPr>
              <w:t>周围较为空旷</w:t>
            </w:r>
            <w:r>
              <w:rPr>
                <w:rFonts w:hint="eastAsia"/>
                <w:lang w:eastAsia="zh-CN"/>
              </w:rPr>
              <w:t>，</w:t>
            </w:r>
            <w:r>
              <w:rPr>
                <w:rFonts w:hint="default"/>
                <w:lang w:val="en-US" w:eastAsia="zh-CN"/>
              </w:rPr>
              <w:t>对主要交通干线、水利工程、村庄、工矿企业及其它各类建</w:t>
            </w:r>
            <w:r>
              <w:rPr>
                <w:rFonts w:hint="eastAsia"/>
                <w:lang w:val="en-US" w:eastAsia="zh-CN"/>
              </w:rPr>
              <w:t>（</w:t>
            </w:r>
            <w:r>
              <w:rPr>
                <w:rFonts w:hint="default"/>
                <w:lang w:val="en-US" w:eastAsia="zh-CN"/>
              </w:rPr>
              <w:t>构</w:t>
            </w:r>
            <w:r>
              <w:rPr>
                <w:rFonts w:hint="eastAsia"/>
                <w:lang w:val="en-US" w:eastAsia="zh-CN"/>
              </w:rPr>
              <w:t>）</w:t>
            </w:r>
            <w:r>
              <w:rPr>
                <w:rFonts w:hint="default"/>
                <w:lang w:val="en-US" w:eastAsia="zh-CN"/>
              </w:rPr>
              <w:t>筑物等</w:t>
            </w:r>
            <w:r>
              <w:rPr>
                <w:rFonts w:hint="eastAsia"/>
                <w:lang w:val="en-US" w:eastAsia="zh-CN"/>
              </w:rPr>
              <w:t>的影响和破坏较小。</w:t>
            </w:r>
          </w:p>
          <w:p>
            <w:pPr>
              <w:bidi w:val="0"/>
              <w:rPr>
                <w:rFonts w:hint="eastAsia"/>
                <w:lang w:val="en-US" w:eastAsia="zh-CN"/>
              </w:rPr>
            </w:pPr>
            <w:r>
              <w:rPr>
                <w:rFonts w:hint="eastAsia"/>
                <w:lang w:val="en-US" w:eastAsia="zh-CN"/>
              </w:rPr>
              <w:t>现状评估及预测评估：矿山开采对主要交通干线、水利工程、村庄、工矿企业及其它各类建（构）筑物等的影响与破坏较轻。</w:t>
            </w:r>
          </w:p>
          <w:p>
            <w:pPr>
              <w:pStyle w:val="4"/>
              <w:bidi w:val="0"/>
              <w:rPr>
                <w:rFonts w:hint="default"/>
                <w:lang w:val="en-US" w:eastAsia="zh-CN"/>
              </w:rPr>
            </w:pPr>
            <w:r>
              <w:rPr>
                <w:rFonts w:hint="eastAsia"/>
                <w:lang w:val="en-US" w:eastAsia="zh-CN"/>
              </w:rPr>
              <w:t>6、</w:t>
            </w:r>
            <w:r>
              <w:rPr>
                <w:rFonts w:hint="default"/>
                <w:lang w:val="en-US" w:eastAsia="zh-CN"/>
              </w:rPr>
              <w:t>已采取的防治措施和治理效果</w:t>
            </w:r>
          </w:p>
          <w:p>
            <w:pPr>
              <w:bidi w:val="0"/>
              <w:rPr>
                <w:rFonts w:hint="default"/>
                <w:lang w:val="en-US" w:eastAsia="zh-CN"/>
              </w:rPr>
            </w:pPr>
            <w:r>
              <w:rPr>
                <w:rFonts w:hint="default"/>
                <w:lang w:val="en-US" w:eastAsia="zh-CN"/>
              </w:rPr>
              <w:t>由于地热资源具有液体矿产资源流动性、特殊性，为了避免矿界纠纷 造成矿山环境问题，已经采取的措施有：</w:t>
            </w:r>
          </w:p>
          <w:p>
            <w:pPr>
              <w:bidi w:val="0"/>
              <w:rPr>
                <w:rFonts w:hint="default"/>
                <w:lang w:val="en-US" w:eastAsia="zh-CN"/>
              </w:rPr>
            </w:pPr>
            <w:r>
              <w:rPr>
                <w:rFonts w:hint="eastAsia"/>
                <w:lang w:val="en-US" w:eastAsia="zh-CN"/>
              </w:rPr>
              <w:t>（1）</w:t>
            </w:r>
            <w:r>
              <w:rPr>
                <w:rFonts w:hint="default"/>
                <w:lang w:val="en-US" w:eastAsia="zh-CN"/>
              </w:rPr>
              <w:t>本项目地热井的选取保证了其与周边地热井的合理井间距，使开采井间不受干扰。</w:t>
            </w:r>
          </w:p>
          <w:p>
            <w:pPr>
              <w:bidi w:val="0"/>
              <w:rPr>
                <w:rFonts w:hint="default"/>
                <w:lang w:val="en-US" w:eastAsia="zh-CN"/>
              </w:rPr>
            </w:pPr>
            <w:r>
              <w:rPr>
                <w:rFonts w:hint="eastAsia"/>
                <w:lang w:val="en-US" w:eastAsia="zh-CN"/>
              </w:rPr>
              <w:t>（2）</w:t>
            </w:r>
            <w:r>
              <w:rPr>
                <w:rFonts w:hint="default"/>
                <w:lang w:val="en-US" w:eastAsia="zh-CN"/>
              </w:rPr>
              <w:t>地热开采井浅部采用水泥固井，不会造成上部浅层水与深层热水 窜通风险。</w:t>
            </w:r>
          </w:p>
          <w:p>
            <w:pPr>
              <w:bidi w:val="0"/>
              <w:rPr>
                <w:rFonts w:hint="default"/>
                <w:lang w:val="en-US" w:eastAsia="zh-CN"/>
              </w:rPr>
            </w:pPr>
            <w:r>
              <w:rPr>
                <w:rFonts w:hint="eastAsia"/>
                <w:lang w:val="en-US" w:eastAsia="zh-CN"/>
              </w:rPr>
              <w:t>（3）</w:t>
            </w:r>
            <w:r>
              <w:rPr>
                <w:rFonts w:hint="default"/>
                <w:lang w:val="en-US" w:eastAsia="zh-CN"/>
              </w:rPr>
              <w:t>开展了环境监测，充分掌握地热井开采环境动态变化。</w:t>
            </w:r>
          </w:p>
          <w:p>
            <w:pPr>
              <w:bidi w:val="0"/>
              <w:rPr>
                <w:rFonts w:hint="default"/>
                <w:lang w:val="en-US" w:eastAsia="zh-CN"/>
              </w:rPr>
            </w:pPr>
            <w:r>
              <w:rPr>
                <w:rFonts w:hint="default"/>
                <w:lang w:val="en-US" w:eastAsia="zh-CN"/>
              </w:rPr>
              <w:t>目前</w:t>
            </w:r>
            <w:r>
              <w:rPr>
                <w:rFonts w:hint="eastAsia"/>
                <w:lang w:val="en-US" w:eastAsia="zh-CN"/>
              </w:rPr>
              <w:t>文热4地热区块</w:t>
            </w:r>
            <w:r>
              <w:rPr>
                <w:rFonts w:hint="default"/>
                <w:lang w:val="en-US" w:eastAsia="zh-CN"/>
              </w:rPr>
              <w:t>地热资源开发利用未造成矿山环境问题。</w:t>
            </w:r>
          </w:p>
          <w:p>
            <w:pPr>
              <w:pStyle w:val="3"/>
              <w:bidi w:val="0"/>
              <w:rPr>
                <w:rFonts w:hint="eastAsia"/>
                <w:lang w:val="en-US" w:eastAsia="zh-CN"/>
              </w:rPr>
            </w:pPr>
            <w:bookmarkStart w:id="31" w:name="_Toc5196"/>
            <w:bookmarkStart w:id="32" w:name="_Toc24109"/>
            <w:r>
              <w:rPr>
                <w:rFonts w:hint="eastAsia"/>
                <w:lang w:val="en-US" w:eastAsia="zh-CN"/>
              </w:rPr>
              <w:t>四、拟采取的保护与治理措施</w:t>
            </w:r>
            <w:bookmarkEnd w:id="31"/>
            <w:bookmarkEnd w:id="32"/>
          </w:p>
          <w:p>
            <w:pPr>
              <w:pStyle w:val="4"/>
              <w:bidi w:val="0"/>
              <w:rPr>
                <w:rFonts w:hint="default"/>
                <w:lang w:val="en-US" w:eastAsia="zh-CN"/>
              </w:rPr>
            </w:pPr>
            <w:r>
              <w:rPr>
                <w:rFonts w:hint="eastAsia"/>
                <w:lang w:val="en-US" w:eastAsia="zh-CN"/>
              </w:rPr>
              <w:t>1、矿山地质环境保护与治理分区</w:t>
            </w:r>
          </w:p>
          <w:p>
            <w:pPr>
              <w:bidi w:val="0"/>
              <w:rPr>
                <w:rFonts w:hint="eastAsia"/>
                <w:color w:val="auto"/>
                <w:lang w:eastAsia="zh-CN"/>
              </w:rPr>
            </w:pPr>
            <w:r>
              <w:rPr>
                <w:rFonts w:hint="default"/>
              </w:rPr>
              <w:t>根据《矿山地质环境保护与恢复治理方案编制规范》（DZ/T 0223－2011），矿山环境影响评估级别应根据评估区重要程度、矿山生产建设规模、矿山地质环境条件复杂程度等综合确定。评估区重要程度分级为重要区，矿山建设规模属</w:t>
            </w:r>
            <w:r>
              <w:rPr>
                <w:rFonts w:hint="eastAsia"/>
                <w:lang w:eastAsia="zh-CN"/>
              </w:rPr>
              <w:t>中</w:t>
            </w:r>
            <w:r>
              <w:rPr>
                <w:rFonts w:hint="default"/>
              </w:rPr>
              <w:t>型，矿山地质环境条件复杂程度为</w:t>
            </w:r>
            <w:r>
              <w:rPr>
                <w:rFonts w:hint="eastAsia"/>
                <w:lang w:eastAsia="zh-CN"/>
              </w:rPr>
              <w:t>简单</w:t>
            </w:r>
            <w:bookmarkStart w:id="59" w:name="_GoBack"/>
            <w:bookmarkEnd w:id="59"/>
            <w:r>
              <w:rPr>
                <w:rFonts w:hint="default"/>
              </w:rPr>
              <w:t>，</w:t>
            </w:r>
            <w:r>
              <w:rPr>
                <w:rFonts w:hint="default"/>
                <w:color w:val="auto"/>
              </w:rPr>
              <w:t>本次矿山环境影响评估的等级为</w:t>
            </w:r>
            <w:r>
              <w:rPr>
                <w:rFonts w:hint="eastAsia"/>
                <w:color w:val="auto"/>
                <w:lang w:eastAsia="zh-CN"/>
              </w:rPr>
              <w:t>一</w:t>
            </w:r>
            <w:r>
              <w:rPr>
                <w:rFonts w:hint="default"/>
                <w:color w:val="auto"/>
              </w:rPr>
              <w:t>级</w:t>
            </w:r>
            <w:r>
              <w:rPr>
                <w:rFonts w:hint="eastAsia"/>
                <w:color w:val="auto"/>
                <w:lang w:eastAsia="zh-CN"/>
              </w:rPr>
              <w:t>，又因地热井为点状工程，对周边环境影响较轻，综合考虑</w:t>
            </w:r>
            <w:r>
              <w:rPr>
                <w:rFonts w:hint="default"/>
                <w:color w:val="auto"/>
              </w:rPr>
              <w:t>确定本次矿山环境影响评估的等级为</w:t>
            </w:r>
            <w:r>
              <w:rPr>
                <w:rFonts w:hint="eastAsia"/>
                <w:color w:val="auto"/>
                <w:lang w:eastAsia="zh-CN"/>
              </w:rPr>
              <w:t>二</w:t>
            </w:r>
            <w:r>
              <w:rPr>
                <w:rFonts w:hint="default"/>
                <w:color w:val="auto"/>
              </w:rPr>
              <w:t>级</w:t>
            </w:r>
            <w:r>
              <w:rPr>
                <w:rFonts w:hint="eastAsia"/>
                <w:color w:val="auto"/>
                <w:lang w:eastAsia="zh-CN"/>
              </w:rPr>
              <w:t>。</w:t>
            </w:r>
          </w:p>
          <w:p>
            <w:pPr>
              <w:bidi w:val="0"/>
              <w:rPr>
                <w:rFonts w:hint="eastAsia"/>
                <w:lang w:eastAsia="zh-CN"/>
              </w:rPr>
            </w:pPr>
            <w:r>
              <w:rPr>
                <w:rFonts w:hint="default"/>
                <w:lang w:val="en-US" w:eastAsia="zh-CN"/>
              </w:rPr>
              <w:t>根据地热井开采利用的影响范围圈出矿山评估区范围，即分别以</w:t>
            </w:r>
            <w:r>
              <w:rPr>
                <w:rFonts w:hint="eastAsia"/>
                <w:lang w:val="en-US" w:eastAsia="zh-CN"/>
              </w:rPr>
              <w:t>文热4及其回灌井</w:t>
            </w:r>
            <w:r>
              <w:rPr>
                <w:rFonts w:hint="default"/>
                <w:lang w:val="en-US" w:eastAsia="zh-CN"/>
              </w:rPr>
              <w:t>井口为圆心，半径为500m的圆范围和地热管道两侧外扩50m范围作为评估区。</w:t>
            </w:r>
            <w:r>
              <w:rPr>
                <w:rFonts w:hint="eastAsia"/>
              </w:rPr>
              <w:t>根据《矿山地质环境保护与恢复治理方案编制规范》（DZ/T0223-2011），将评估区划为一般防治</w:t>
            </w:r>
            <w:r>
              <w:rPr>
                <w:rFonts w:hint="eastAsia"/>
                <w:color w:val="auto"/>
              </w:rPr>
              <w:t>区</w:t>
            </w:r>
            <w:r>
              <w:rPr>
                <w:rFonts w:hint="eastAsia"/>
                <w:color w:val="auto"/>
                <w:highlight w:val="none"/>
              </w:rPr>
              <w:t>，面积1.</w:t>
            </w:r>
            <w:r>
              <w:rPr>
                <w:rFonts w:hint="eastAsia"/>
                <w:color w:val="auto"/>
                <w:highlight w:val="none"/>
                <w:lang w:val="en-US" w:eastAsia="zh-CN"/>
              </w:rPr>
              <w:t>622</w:t>
            </w:r>
            <w:r>
              <w:rPr>
                <w:rFonts w:hint="eastAsia"/>
                <w:color w:val="auto"/>
                <w:highlight w:val="none"/>
              </w:rPr>
              <w:t>km</w:t>
            </w:r>
            <w:r>
              <w:rPr>
                <w:rFonts w:hint="eastAsia"/>
                <w:color w:val="auto"/>
                <w:highlight w:val="none"/>
                <w:vertAlign w:val="superscript"/>
              </w:rPr>
              <w:t>2</w:t>
            </w:r>
            <w:r>
              <w:rPr>
                <w:rFonts w:hint="eastAsia"/>
                <w:color w:val="auto"/>
                <w:highlight w:val="none"/>
                <w:lang w:val="en-US" w:eastAsia="zh-CN"/>
              </w:rPr>
              <w:t>。调查区面积为1.973</w:t>
            </w:r>
            <w:r>
              <w:rPr>
                <w:rFonts w:hint="eastAsia"/>
                <w:color w:val="auto"/>
                <w:highlight w:val="none"/>
              </w:rPr>
              <w:t>km</w:t>
            </w:r>
            <w:r>
              <w:rPr>
                <w:rFonts w:hint="eastAsia"/>
                <w:color w:val="auto"/>
                <w:highlight w:val="none"/>
                <w:vertAlign w:val="superscript"/>
              </w:rPr>
              <w:t>2</w:t>
            </w:r>
            <w:r>
              <w:rPr>
                <w:rFonts w:hint="eastAsia"/>
                <w:color w:val="auto"/>
                <w:highlight w:val="none"/>
              </w:rPr>
              <w:t>。</w:t>
            </w:r>
          </w:p>
          <w:p>
            <w:pPr>
              <w:pStyle w:val="4"/>
              <w:bidi w:val="0"/>
              <w:rPr>
                <w:rFonts w:hint="default"/>
                <w:lang w:val="en-US" w:eastAsia="zh-CN"/>
              </w:rPr>
            </w:pPr>
            <w:r>
              <w:rPr>
                <w:rFonts w:hint="eastAsia"/>
                <w:lang w:val="en-US" w:eastAsia="zh-CN"/>
              </w:rPr>
              <w:t>2、拟采取的保护与治理措施</w:t>
            </w:r>
          </w:p>
          <w:p>
            <w:pPr>
              <w:bidi w:val="0"/>
              <w:rPr>
                <w:rFonts w:hint="eastAsia"/>
              </w:rPr>
            </w:pPr>
            <w:r>
              <w:rPr>
                <w:rFonts w:hint="eastAsia"/>
              </w:rPr>
              <w:t>为了使工程在运营中能有效地保护矿山地质环境，按照“统一规划、源头控制、防复结合”的原则，依据本矿建设、运营和采矿活动的特点以及矿区地质环境特征，提出以下措施：</w:t>
            </w:r>
          </w:p>
          <w:p>
            <w:pPr>
              <w:bidi w:val="0"/>
              <w:rPr>
                <w:rFonts w:hint="eastAsia"/>
              </w:rPr>
            </w:pPr>
            <w:r>
              <w:rPr>
                <w:rFonts w:hint="eastAsia"/>
              </w:rPr>
              <w:t>（1）含水层破坏</w:t>
            </w:r>
            <w:r>
              <w:rPr>
                <w:rFonts w:hint="eastAsia"/>
                <w:lang w:val="en-US" w:eastAsia="zh-CN"/>
              </w:rPr>
              <w:t>保护</w:t>
            </w:r>
            <w:r>
              <w:rPr>
                <w:rFonts w:hint="eastAsia"/>
              </w:rPr>
              <w:t>措施</w:t>
            </w:r>
          </w:p>
          <w:p>
            <w:pPr>
              <w:bidi w:val="0"/>
              <w:rPr>
                <w:rFonts w:hint="default"/>
              </w:rPr>
            </w:pPr>
            <w:r>
              <w:rPr>
                <w:rFonts w:hint="default"/>
              </w:rPr>
              <w:t>①地热井止水</w:t>
            </w:r>
            <w:r>
              <w:rPr>
                <w:rFonts w:hint="eastAsia"/>
                <w:lang w:eastAsia="zh-CN"/>
              </w:rPr>
              <w:t>：文热</w:t>
            </w:r>
            <w:r>
              <w:rPr>
                <w:rFonts w:hint="eastAsia"/>
                <w:lang w:val="en-US" w:eastAsia="zh-CN"/>
              </w:rPr>
              <w:t>4</w:t>
            </w:r>
            <w:r>
              <w:rPr>
                <w:rFonts w:hint="eastAsia"/>
                <w:lang w:eastAsia="zh-CN"/>
              </w:rPr>
              <w:t>井成井报告显示</w:t>
            </w:r>
            <w:r>
              <w:rPr>
                <w:rFonts w:hint="eastAsia"/>
                <w:lang w:val="en-US" w:eastAsia="zh-CN"/>
              </w:rPr>
              <w:t>1430.90m以浅采用的</w:t>
            </w:r>
            <w:r>
              <w:rPr>
                <w:rFonts w:hint="default"/>
                <w:lang w:eastAsia="zh-CN"/>
              </w:rPr>
              <w:t>总止水为扶正复合式，即先用扶正器扶正，中间加放</w:t>
            </w:r>
            <w:r>
              <w:rPr>
                <w:rFonts w:hint="default" w:ascii="Times New Roman" w:hAnsi="Times New Roman" w:cs="Times New Roman"/>
                <w:lang w:eastAsia="zh-CN"/>
              </w:rPr>
              <w:t>Φ</w:t>
            </w:r>
            <w:r>
              <w:rPr>
                <w:rFonts w:hint="default"/>
                <w:lang w:eastAsia="zh-CN"/>
              </w:rPr>
              <w:t>220mm模式硅胶抗高温、耐腐蚀止水器止水，层间止水根据需要分段下，与多组橡胶伞达到复合止水效果</w:t>
            </w:r>
            <w:r>
              <w:rPr>
                <w:rFonts w:hint="eastAsia"/>
                <w:lang w:eastAsia="zh-CN"/>
              </w:rPr>
              <w:t>，</w:t>
            </w:r>
            <w:r>
              <w:rPr>
                <w:rFonts w:hint="default"/>
                <w:lang w:val="en-US" w:eastAsia="zh-CN"/>
              </w:rPr>
              <w:t>同时一开井段采用水泥封固</w:t>
            </w:r>
            <w:r>
              <w:rPr>
                <w:rFonts w:hint="eastAsia"/>
                <w:lang w:eastAsia="zh-CN"/>
              </w:rPr>
              <w:t>。</w:t>
            </w:r>
            <w:r>
              <w:rPr>
                <w:rFonts w:hint="default"/>
              </w:rPr>
              <w:t>以防地热水上窜污染浅部含水层。</w:t>
            </w:r>
          </w:p>
          <w:p>
            <w:pPr>
              <w:bidi w:val="0"/>
              <w:rPr>
                <w:rFonts w:hint="default"/>
              </w:rPr>
            </w:pPr>
            <w:r>
              <w:rPr>
                <w:rFonts w:hint="default"/>
              </w:rPr>
              <w:t>②</w:t>
            </w:r>
            <w:r>
              <w:rPr>
                <w:rFonts w:hint="eastAsia"/>
                <w:lang w:eastAsia="zh-CN"/>
              </w:rPr>
              <w:t>控</w:t>
            </w:r>
            <w:r>
              <w:rPr>
                <w:rFonts w:hint="default"/>
              </w:rPr>
              <w:t>量开采：以《开发利用方案》设计的开采量开采地热水，严禁使用大泵量、大降深开采，保证地热资源的可持续利用。</w:t>
            </w:r>
          </w:p>
          <w:p>
            <w:pPr>
              <w:bidi w:val="0"/>
              <w:rPr>
                <w:rFonts w:hint="default"/>
              </w:rPr>
            </w:pPr>
            <w:r>
              <w:rPr>
                <w:rFonts w:hint="default"/>
              </w:rPr>
              <w:t>③加强监测：定期监测地热井的水位、水量、水温、水质，掌握热储层的动态变化；定期监测</w:t>
            </w:r>
            <w:r>
              <w:rPr>
                <w:rFonts w:hint="eastAsia"/>
                <w:lang w:val="en-US" w:eastAsia="zh-CN"/>
              </w:rPr>
              <w:t>浅部含水层</w:t>
            </w:r>
            <w:r>
              <w:rPr>
                <w:rFonts w:hint="default"/>
              </w:rPr>
              <w:t>的水位、水量、水温、水质，以防深部地热水污染浅部含水层</w:t>
            </w:r>
            <w:r>
              <w:rPr>
                <w:rFonts w:hint="default"/>
                <w:lang w:eastAsia="zh-CN"/>
              </w:rPr>
              <w:t>；定期监测</w:t>
            </w:r>
            <w:r>
              <w:rPr>
                <w:rFonts w:hint="eastAsia"/>
                <w:lang w:val="en-US" w:eastAsia="zh-CN"/>
              </w:rPr>
              <w:t>回灌井的</w:t>
            </w:r>
            <w:r>
              <w:rPr>
                <w:rFonts w:hint="default"/>
              </w:rPr>
              <w:t>水位、水量、水温、水质</w:t>
            </w:r>
            <w:r>
              <w:rPr>
                <w:rFonts w:hint="eastAsia"/>
                <w:lang w:eastAsia="zh-CN"/>
              </w:rPr>
              <w:t>，</w:t>
            </w:r>
            <w:r>
              <w:rPr>
                <w:rFonts w:hint="eastAsia"/>
                <w:lang w:val="en-US" w:eastAsia="zh-CN"/>
              </w:rPr>
              <w:t>掌握地热井的回灌情况</w:t>
            </w:r>
            <w:r>
              <w:rPr>
                <w:rFonts w:hint="default"/>
              </w:rPr>
              <w:t>。</w:t>
            </w:r>
          </w:p>
          <w:p>
            <w:pPr>
              <w:bidi w:val="0"/>
              <w:rPr>
                <w:rFonts w:hint="default"/>
                <w:lang w:eastAsia="zh-CN"/>
              </w:rPr>
            </w:pPr>
            <w:r>
              <w:rPr>
                <w:rFonts w:hint="default"/>
              </w:rPr>
              <w:t>④</w:t>
            </w:r>
            <w:r>
              <w:rPr>
                <w:rFonts w:hint="default"/>
                <w:lang w:eastAsia="zh-CN"/>
              </w:rPr>
              <w:t>输水管线巡查监测：定期对输水管线进行巡查监测，以防地热水泄露污染浅部含水层。</w:t>
            </w:r>
          </w:p>
          <w:p>
            <w:pPr>
              <w:bidi w:val="0"/>
              <w:rPr>
                <w:rFonts w:hint="default"/>
              </w:rPr>
            </w:pPr>
            <w:r>
              <w:rPr>
                <w:rFonts w:hint="default"/>
                <w:lang w:eastAsia="zh-CN"/>
              </w:rPr>
              <w:t>⑤</w:t>
            </w:r>
            <w:r>
              <w:rPr>
                <w:rFonts w:hint="default"/>
              </w:rPr>
              <w:t>地热水回灌</w:t>
            </w:r>
            <w:r>
              <w:rPr>
                <w:rFonts w:hint="eastAsia"/>
                <w:lang w:eastAsia="zh-CN"/>
              </w:rPr>
              <w:t>：</w:t>
            </w:r>
            <w:r>
              <w:rPr>
                <w:rFonts w:hint="eastAsia"/>
                <w:lang w:val="en-US" w:eastAsia="zh-CN"/>
              </w:rPr>
              <w:t>地热尾水达到全部回灌，以</w:t>
            </w:r>
            <w:r>
              <w:rPr>
                <w:rFonts w:hint="default"/>
              </w:rPr>
              <w:t>保证地热资源</w:t>
            </w:r>
            <w:r>
              <w:rPr>
                <w:rFonts w:hint="eastAsia"/>
                <w:lang w:val="en-US" w:eastAsia="zh-CN"/>
              </w:rPr>
              <w:t>绿色</w:t>
            </w:r>
            <w:r>
              <w:rPr>
                <w:rFonts w:hint="default"/>
              </w:rPr>
              <w:t>可持续开发利用。</w:t>
            </w:r>
          </w:p>
          <w:p>
            <w:pPr>
              <w:bidi w:val="0"/>
              <w:rPr>
                <w:rFonts w:hint="default"/>
              </w:rPr>
            </w:pPr>
            <w:r>
              <w:rPr>
                <w:rFonts w:hint="default"/>
              </w:rPr>
              <w:t>（2）地形地貌景观破坏</w:t>
            </w:r>
            <w:r>
              <w:rPr>
                <w:rFonts w:hint="eastAsia"/>
                <w:lang w:val="en-US" w:eastAsia="zh-CN"/>
              </w:rPr>
              <w:t>保护</w:t>
            </w:r>
            <w:r>
              <w:rPr>
                <w:rFonts w:hint="default"/>
              </w:rPr>
              <w:t>措施</w:t>
            </w:r>
          </w:p>
          <w:p>
            <w:pPr>
              <w:bidi w:val="0"/>
              <w:rPr>
                <w:rFonts w:hint="default"/>
              </w:rPr>
            </w:pPr>
            <w:r>
              <w:rPr>
                <w:rFonts w:hint="default"/>
                <w:lang w:eastAsia="zh-CN"/>
              </w:rPr>
              <w:t>地热井达到</w:t>
            </w:r>
            <w:r>
              <w:rPr>
                <w:rFonts w:hint="default"/>
              </w:rPr>
              <w:t>在矿山使用年限到期后，需</w:t>
            </w:r>
            <w:r>
              <w:rPr>
                <w:rFonts w:hint="eastAsia"/>
                <w:lang w:eastAsia="zh-CN"/>
              </w:rPr>
              <w:t>根据咸阳市城市发展规划</w:t>
            </w:r>
            <w:r>
              <w:rPr>
                <w:rFonts w:hint="default"/>
              </w:rPr>
              <w:t>对地热井</w:t>
            </w:r>
            <w:r>
              <w:rPr>
                <w:rFonts w:hint="default"/>
                <w:lang w:eastAsia="zh-CN"/>
              </w:rPr>
              <w:t>、地热换热站、</w:t>
            </w:r>
            <w:r>
              <w:rPr>
                <w:rFonts w:hint="default"/>
              </w:rPr>
              <w:t>泵房</w:t>
            </w:r>
            <w:r>
              <w:rPr>
                <w:rFonts w:hint="default"/>
                <w:lang w:eastAsia="zh-CN"/>
              </w:rPr>
              <w:t>需</w:t>
            </w:r>
            <w:r>
              <w:rPr>
                <w:rFonts w:hint="default"/>
              </w:rPr>
              <w:t>进行拆除</w:t>
            </w:r>
            <w:r>
              <w:rPr>
                <w:rFonts w:hint="eastAsia"/>
                <w:lang w:eastAsia="zh-CN"/>
              </w:rPr>
              <w:t>或其他处理</w:t>
            </w:r>
            <w:r>
              <w:rPr>
                <w:rFonts w:hint="eastAsia"/>
                <w:lang w:val="en-US" w:eastAsia="zh-CN"/>
              </w:rPr>
              <w:t>，</w:t>
            </w:r>
            <w:r>
              <w:rPr>
                <w:rFonts w:hint="default"/>
              </w:rPr>
              <w:t>以满足项目区地形地貌景观规划的要求</w:t>
            </w:r>
            <w:r>
              <w:rPr>
                <w:rFonts w:hint="default"/>
                <w:lang w:eastAsia="zh-CN"/>
              </w:rPr>
              <w:t>。</w:t>
            </w:r>
          </w:p>
          <w:p>
            <w:pPr>
              <w:bidi w:val="0"/>
              <w:rPr>
                <w:rFonts w:hint="default"/>
              </w:rPr>
            </w:pPr>
            <w:r>
              <w:rPr>
                <w:rFonts w:hint="default"/>
              </w:rPr>
              <w:t>（3）水土环境污染</w:t>
            </w:r>
            <w:r>
              <w:rPr>
                <w:rFonts w:hint="eastAsia"/>
                <w:lang w:val="en-US" w:eastAsia="zh-CN"/>
              </w:rPr>
              <w:t>保护</w:t>
            </w:r>
            <w:r>
              <w:rPr>
                <w:rFonts w:hint="default"/>
              </w:rPr>
              <w:t>措施</w:t>
            </w:r>
          </w:p>
          <w:p>
            <w:pPr>
              <w:bidi w:val="0"/>
              <w:rPr>
                <w:rFonts w:hint="default"/>
              </w:rPr>
            </w:pPr>
            <w:r>
              <w:rPr>
                <w:rFonts w:hint="default"/>
              </w:rPr>
              <w:t>①地热供暖的尾水经物理悬浮固体及化学沉淀物过滤后回灌至回灌井中，为封闭式</w:t>
            </w:r>
            <w:r>
              <w:rPr>
                <w:rFonts w:hint="default"/>
                <w:lang w:eastAsia="zh-CN"/>
              </w:rPr>
              <w:t>管道回灌；</w:t>
            </w:r>
            <w:r>
              <w:rPr>
                <w:rFonts w:hint="default"/>
              </w:rPr>
              <w:t>严禁向水体、土壤排放，以防污染水土环境。</w:t>
            </w:r>
          </w:p>
          <w:p>
            <w:pPr>
              <w:bidi w:val="0"/>
              <w:rPr>
                <w:rFonts w:hint="default"/>
              </w:rPr>
            </w:pPr>
            <w:r>
              <w:rPr>
                <w:rFonts w:hint="default"/>
              </w:rPr>
              <w:t>②应定期对井孔管道进行维护。</w:t>
            </w:r>
          </w:p>
          <w:p>
            <w:pPr>
              <w:bidi w:val="0"/>
              <w:rPr>
                <w:rFonts w:hint="default"/>
              </w:rPr>
            </w:pPr>
            <w:r>
              <w:rPr>
                <w:rFonts w:hint="default"/>
              </w:rPr>
              <w:t>③若地热水直接渗入浅层地下水或地表水体，会对浅部水土环境造成污染</w:t>
            </w:r>
            <w:r>
              <w:rPr>
                <w:rFonts w:hint="default"/>
                <w:lang w:eastAsia="zh-CN"/>
              </w:rPr>
              <w:t>。</w:t>
            </w:r>
            <w:r>
              <w:rPr>
                <w:rFonts w:hint="default"/>
              </w:rPr>
              <w:t>地热井工程开采、运营时，应对地热水供水管道进行巡视</w:t>
            </w:r>
            <w:r>
              <w:rPr>
                <w:rFonts w:hint="default"/>
                <w:lang w:eastAsia="zh-CN"/>
              </w:rPr>
              <w:t>监测</w:t>
            </w:r>
            <w:r>
              <w:rPr>
                <w:rFonts w:hint="default"/>
              </w:rPr>
              <w:t>，并定期进行供水管道的检修工作，以防供水管道发生漏水、爆管现象，污染浅部水土环境；一旦发生供水管道爆管突发事件，应立即采取应急措施，停止地热水的开采活动（关闭潜水电泵），并尽可能地收集爆管泄露的热矿水，以防对浅部水土环境造成污染。</w:t>
            </w:r>
          </w:p>
          <w:p>
            <w:pPr>
              <w:pStyle w:val="3"/>
              <w:bidi w:val="0"/>
              <w:rPr>
                <w:rFonts w:hint="eastAsia"/>
                <w:lang w:val="en-US" w:eastAsia="zh-CN"/>
              </w:rPr>
            </w:pPr>
            <w:bookmarkStart w:id="33" w:name="_Toc2363"/>
            <w:bookmarkStart w:id="34" w:name="_Toc9710"/>
            <w:r>
              <w:rPr>
                <w:rFonts w:hint="eastAsia"/>
                <w:lang w:val="en-US" w:eastAsia="zh-CN"/>
              </w:rPr>
              <w:t>五、工作部署</w:t>
            </w:r>
            <w:bookmarkEnd w:id="33"/>
            <w:bookmarkEnd w:id="34"/>
          </w:p>
          <w:p>
            <w:pPr>
              <w:pStyle w:val="4"/>
              <w:bidi w:val="0"/>
              <w:rPr>
                <w:rFonts w:hint="default"/>
                <w:lang w:val="en-US" w:eastAsia="zh-CN"/>
              </w:rPr>
            </w:pPr>
            <w:r>
              <w:rPr>
                <w:rFonts w:hint="eastAsia"/>
                <w:lang w:val="en-US" w:eastAsia="zh-CN"/>
              </w:rPr>
              <w:t>1、总体工作部署</w:t>
            </w:r>
          </w:p>
          <w:p>
            <w:pPr>
              <w:bidi w:val="0"/>
              <w:rPr>
                <w:rFonts w:hint="default"/>
                <w:lang w:val="en-US" w:eastAsia="zh-CN"/>
              </w:rPr>
            </w:pPr>
            <w:r>
              <w:rPr>
                <w:rFonts w:hint="default"/>
                <w:lang w:val="en-US" w:eastAsia="zh-CN"/>
              </w:rPr>
              <w:t>本次方案不涉及地质灾害治理工程、水土环境污染修复工程方面的内容，方案中不部署此类工作量；仅针对地形地貌景观、含水层、矿山地质环境监测布设工作。</w:t>
            </w:r>
          </w:p>
          <w:p>
            <w:pPr>
              <w:bidi w:val="0"/>
              <w:rPr>
                <w:rFonts w:hint="default"/>
                <w:lang w:val="en-US" w:eastAsia="zh-CN"/>
              </w:rPr>
            </w:pPr>
            <w:r>
              <w:rPr>
                <w:rFonts w:hint="default"/>
                <w:lang w:val="en-US" w:eastAsia="zh-CN"/>
              </w:rPr>
              <w:t>（1）地形地貌景观工作部署：闭坑后对地热井进行填埋，对地热换热站、泵房等建筑物进行拆除。</w:t>
            </w:r>
          </w:p>
          <w:p>
            <w:pPr>
              <w:bidi w:val="0"/>
              <w:rPr>
                <w:rFonts w:hint="default"/>
                <w:lang w:val="en-US" w:eastAsia="zh-CN"/>
              </w:rPr>
            </w:pPr>
            <w:r>
              <w:rPr>
                <w:rFonts w:hint="default"/>
                <w:lang w:val="en-US" w:eastAsia="zh-CN"/>
              </w:rPr>
              <w:t>（2）含水层工作部署：</w:t>
            </w:r>
          </w:p>
          <w:p>
            <w:pPr>
              <w:bidi w:val="0"/>
              <w:rPr>
                <w:rFonts w:hint="default"/>
                <w:lang w:val="en-US" w:eastAsia="zh-CN"/>
              </w:rPr>
            </w:pPr>
            <w:r>
              <w:rPr>
                <w:rFonts w:hint="default"/>
                <w:lang w:val="en-US" w:eastAsia="zh-CN"/>
              </w:rPr>
              <w:t>①地热井动态监测；</w:t>
            </w:r>
          </w:p>
          <w:p>
            <w:pPr>
              <w:bidi w:val="0"/>
              <w:rPr>
                <w:rFonts w:hint="default"/>
                <w:lang w:val="en-US" w:eastAsia="zh-CN"/>
              </w:rPr>
            </w:pPr>
            <w:r>
              <w:rPr>
                <w:rFonts w:hint="default"/>
                <w:lang w:val="en-US" w:eastAsia="zh-CN"/>
              </w:rPr>
              <w:t>②回灌井动态监测</w:t>
            </w:r>
            <w:r>
              <w:rPr>
                <w:rFonts w:hint="eastAsia"/>
                <w:lang w:val="en-US" w:eastAsia="zh-CN"/>
              </w:rPr>
              <w:t>；</w:t>
            </w:r>
          </w:p>
          <w:p>
            <w:pPr>
              <w:bidi w:val="0"/>
              <w:rPr>
                <w:rFonts w:hint="default"/>
                <w:lang w:val="en-US" w:eastAsia="zh-CN"/>
              </w:rPr>
            </w:pPr>
            <w:r>
              <w:rPr>
                <w:rFonts w:hint="default"/>
                <w:lang w:val="en-US" w:eastAsia="zh-CN"/>
              </w:rPr>
              <w:t>③输水管线巡查监测</w:t>
            </w:r>
            <w:r>
              <w:rPr>
                <w:rFonts w:hint="eastAsia"/>
                <w:lang w:val="en-US" w:eastAsia="zh-CN"/>
              </w:rPr>
              <w:t>。</w:t>
            </w:r>
          </w:p>
          <w:p>
            <w:pPr>
              <w:bidi w:val="0"/>
              <w:rPr>
                <w:rFonts w:hint="default"/>
                <w:lang w:val="en-US" w:eastAsia="zh-CN"/>
              </w:rPr>
            </w:pPr>
            <w:r>
              <w:rPr>
                <w:rFonts w:hint="default"/>
                <w:lang w:val="en-US" w:eastAsia="zh-CN"/>
              </w:rPr>
              <w:t>（3）矿山地质环境监测</w:t>
            </w:r>
          </w:p>
          <w:p>
            <w:pPr>
              <w:bidi w:val="0"/>
              <w:rPr>
                <w:rFonts w:hint="default"/>
                <w:lang w:val="en-US" w:eastAsia="zh-CN"/>
              </w:rPr>
            </w:pPr>
            <w:r>
              <w:rPr>
                <w:rFonts w:hint="default"/>
                <w:lang w:val="en-US" w:eastAsia="zh-CN"/>
              </w:rPr>
              <w:t>矿山地质环境监测包括含水层监测工作</w:t>
            </w:r>
            <w:r>
              <w:rPr>
                <w:rFonts w:hint="eastAsia"/>
                <w:lang w:val="en-US" w:eastAsia="zh-CN"/>
              </w:rPr>
              <w:t>、</w:t>
            </w:r>
            <w:r>
              <w:rPr>
                <w:rFonts w:hint="default"/>
                <w:lang w:val="en-US" w:eastAsia="zh-CN"/>
              </w:rPr>
              <w:t>地面沉降监测</w:t>
            </w:r>
            <w:r>
              <w:rPr>
                <w:rFonts w:hint="eastAsia"/>
                <w:lang w:val="en-US" w:eastAsia="zh-CN"/>
              </w:rPr>
              <w:t>及土壤监测，由于西咸新区潜水井已全部封闭，且不允许新建，故潜水含水层监测工作暂时无法实施，具体工作量见表5</w:t>
            </w:r>
            <w:r>
              <w:rPr>
                <w:rFonts w:hint="default"/>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lang w:val="en-US" w:eastAsia="zh-CN"/>
              </w:rPr>
            </w:pPr>
            <w:r>
              <w:rPr>
                <w:rFonts w:hint="eastAsia" w:ascii="仿宋" w:hAnsi="仿宋" w:eastAsia="仿宋" w:cs="仿宋"/>
                <w:b/>
                <w:bCs/>
                <w:lang w:val="en-US" w:eastAsia="zh-CN"/>
              </w:rPr>
              <w:t>主要</w:t>
            </w:r>
            <w:r>
              <w:rPr>
                <w:rFonts w:hint="eastAsia" w:ascii="仿宋" w:hAnsi="仿宋" w:eastAsia="仿宋" w:cs="仿宋"/>
                <w:b/>
                <w:bCs/>
                <w:lang w:eastAsia="zh-CN"/>
              </w:rPr>
              <w:t>工作量一览表</w:t>
            </w:r>
            <w:r>
              <w:rPr>
                <w:rFonts w:hint="eastAsia" w:ascii="仿宋" w:hAnsi="仿宋" w:eastAsia="仿宋" w:cs="仿宋"/>
                <w:b/>
                <w:bCs/>
                <w:lang w:val="en-US" w:eastAsia="zh-CN"/>
              </w:rPr>
              <w:t xml:space="preserve">   </w:t>
            </w:r>
            <w:r>
              <w:rPr>
                <w:rFonts w:hint="eastAsia" w:ascii="仿宋" w:hAnsi="仿宋" w:eastAsia="仿宋" w:cs="仿宋"/>
                <w:b/>
                <w:bCs/>
                <w:lang w:eastAsia="zh-CN"/>
              </w:rPr>
              <w:t>表</w:t>
            </w:r>
            <w:r>
              <w:rPr>
                <w:rFonts w:hint="eastAsia" w:ascii="仿宋" w:hAnsi="仿宋" w:eastAsia="仿宋" w:cs="仿宋"/>
                <w:b/>
                <w:bCs/>
                <w:lang w:val="en-US" w:eastAsia="zh-CN"/>
              </w:rPr>
              <w:t>5</w:t>
            </w:r>
          </w:p>
          <w:tbl>
            <w:tblPr>
              <w:tblStyle w:val="14"/>
              <w:tblW w:w="825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7"/>
              <w:gridCol w:w="427"/>
              <w:gridCol w:w="1120"/>
              <w:gridCol w:w="2925"/>
              <w:gridCol w:w="663"/>
              <w:gridCol w:w="26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197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对象</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项目工程名称</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单位</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42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lang w:eastAsia="zh-CN"/>
                    </w:rPr>
                  </w:pPr>
                  <w:r>
                    <w:rPr>
                      <w:rFonts w:hint="default"/>
                      <w:lang w:eastAsia="zh-CN"/>
                    </w:rPr>
                    <w:t>矿山地质环境监测</w:t>
                  </w:r>
                </w:p>
              </w:tc>
              <w:tc>
                <w:tcPr>
                  <w:tcW w:w="42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含水层</w:t>
                  </w:r>
                </w:p>
              </w:tc>
              <w:tc>
                <w:tcPr>
                  <w:tcW w:w="112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地热井动态监测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地热井水位、</w:t>
                  </w:r>
                  <w:r>
                    <w:rPr>
                      <w:rFonts w:hint="eastAsia"/>
                      <w:lang w:val="en-US" w:eastAsia="zh-CN"/>
                    </w:rPr>
                    <w:t>用</w:t>
                  </w:r>
                  <w:r>
                    <w:rPr>
                      <w:rFonts w:hint="default"/>
                    </w:rPr>
                    <w:t>水量、水温监测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lang w:val="en-US" w:eastAsia="zh-CN"/>
                    </w:rPr>
                  </w:pPr>
                  <w:r>
                    <w:rPr>
                      <w:rFonts w:hint="eastAsia"/>
                      <w:lang w:val="en-US" w:eastAsia="zh-CN"/>
                    </w:rPr>
                    <w:t>文热4井</w:t>
                  </w:r>
                  <w:r>
                    <w:rPr>
                      <w:rFonts w:hint="default"/>
                    </w:rPr>
                    <w:t>每个经营日观测1次，每年</w:t>
                  </w:r>
                  <w:r>
                    <w:rPr>
                      <w:rFonts w:hint="default"/>
                      <w:lang w:val="en-US" w:eastAsia="zh-CN"/>
                    </w:rPr>
                    <w:t>12</w:t>
                  </w:r>
                  <w:r>
                    <w:rPr>
                      <w:rFonts w:hint="eastAsia"/>
                      <w:lang w:val="en-US" w:eastAsia="zh-CN"/>
                    </w:rPr>
                    <w:t>1</w:t>
                  </w:r>
                  <w:r>
                    <w:rPr>
                      <w:rFonts w:hint="default"/>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11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地热水水质监测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r>
                    <w:rPr>
                      <w:rFonts w:hint="default"/>
                    </w:rPr>
                    <w:t>每年</w:t>
                  </w:r>
                  <w:r>
                    <w:rPr>
                      <w:rFonts w:hint="default"/>
                      <w:lang w:eastAsia="zh-CN"/>
                    </w:rPr>
                    <w:t>监测</w:t>
                  </w:r>
                  <w:r>
                    <w:rPr>
                      <w:rFonts w:hint="eastAsia"/>
                      <w:lang w:val="en-US" w:eastAsia="zh-CN"/>
                    </w:rPr>
                    <w:t>1</w:t>
                  </w:r>
                  <w:r>
                    <w:rPr>
                      <w:rFonts w:hint="default"/>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112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val="en-US" w:eastAsia="zh-CN"/>
                    </w:rPr>
                    <w:t>回灌</w:t>
                  </w:r>
                  <w:r>
                    <w:rPr>
                      <w:rFonts w:hint="default"/>
                    </w:rPr>
                    <w:t>井动态监测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lang w:val="en-US" w:eastAsia="zh-CN"/>
                    </w:rPr>
                    <w:t>回灌</w:t>
                  </w:r>
                  <w:r>
                    <w:rPr>
                      <w:rFonts w:hint="default"/>
                    </w:rPr>
                    <w:t>井水位、</w:t>
                  </w:r>
                  <w:r>
                    <w:rPr>
                      <w:rFonts w:hint="eastAsia"/>
                      <w:lang w:val="en-US" w:eastAsia="zh-CN"/>
                    </w:rPr>
                    <w:t>回灌</w:t>
                  </w:r>
                  <w:r>
                    <w:rPr>
                      <w:rFonts w:hint="default"/>
                    </w:rPr>
                    <w:t>水量、水温监测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r>
                    <w:rPr>
                      <w:rFonts w:hint="eastAsia"/>
                      <w:lang w:val="en-US" w:eastAsia="zh-CN"/>
                    </w:rPr>
                    <w:t>文热4回灌井</w:t>
                  </w:r>
                  <w:r>
                    <w:rPr>
                      <w:rFonts w:hint="default"/>
                    </w:rPr>
                    <w:t>每个经营日观测1次，每年</w:t>
                  </w:r>
                  <w:r>
                    <w:rPr>
                      <w:rFonts w:hint="default"/>
                      <w:lang w:val="en-US" w:eastAsia="zh-CN"/>
                    </w:rPr>
                    <w:t>12</w:t>
                  </w:r>
                  <w:r>
                    <w:rPr>
                      <w:rFonts w:hint="eastAsia"/>
                      <w:lang w:val="en-US" w:eastAsia="zh-CN"/>
                    </w:rPr>
                    <w:t>1</w:t>
                  </w:r>
                  <w:r>
                    <w:rPr>
                      <w:rFonts w:hint="default"/>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79"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11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val="en-US" w:eastAsia="zh-CN"/>
                    </w:rPr>
                    <w:t>回灌井</w:t>
                  </w:r>
                  <w:r>
                    <w:rPr>
                      <w:rFonts w:hint="default"/>
                    </w:rPr>
                    <w:t>水质监测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eastAsia"/>
                      <w:lang w:eastAsia="zh-CN"/>
                    </w:rPr>
                  </w:pPr>
                  <w:r>
                    <w:rPr>
                      <w:rFonts w:hint="default"/>
                    </w:rPr>
                    <w:t>每年</w:t>
                  </w:r>
                  <w:r>
                    <w:rPr>
                      <w:rFonts w:hint="default"/>
                      <w:lang w:eastAsia="zh-CN"/>
                    </w:rPr>
                    <w:t>监测</w:t>
                  </w:r>
                  <w:r>
                    <w:rPr>
                      <w:rFonts w:hint="eastAsia"/>
                      <w:lang w:val="en-US" w:eastAsia="zh-CN"/>
                    </w:rPr>
                    <w:t>1</w:t>
                  </w:r>
                  <w:r>
                    <w:rPr>
                      <w:rFonts w:hint="default"/>
                    </w:rPr>
                    <w:t>次</w:t>
                  </w:r>
                  <w:r>
                    <w:rPr>
                      <w:rFonts w:hint="eastAsia"/>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输水管线巡查监测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lang w:eastAsia="zh-CN"/>
                    </w:rPr>
                    <w:t>输水管线巡查监测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eastAsia"/>
                      <w:lang w:eastAsia="zh-CN"/>
                    </w:rPr>
                  </w:pPr>
                  <w:r>
                    <w:rPr>
                      <w:rFonts w:hint="default"/>
                    </w:rPr>
                    <w:t>每个经营日观测1次，每年</w:t>
                  </w:r>
                  <w:r>
                    <w:rPr>
                      <w:rFonts w:hint="default"/>
                      <w:lang w:val="en-US" w:eastAsia="zh-CN"/>
                    </w:rPr>
                    <w:t>12</w:t>
                  </w:r>
                  <w:r>
                    <w:rPr>
                      <w:rFonts w:hint="eastAsia"/>
                      <w:lang w:val="en-US" w:eastAsia="zh-CN"/>
                    </w:rPr>
                    <w:t>1</w:t>
                  </w:r>
                  <w:r>
                    <w:rPr>
                      <w:rFonts w:hint="default"/>
                    </w:rPr>
                    <w:t>次</w:t>
                  </w:r>
                  <w:r>
                    <w:rPr>
                      <w:rFonts w:hint="eastAsia"/>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154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地面沉降监测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地面沉降监测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lang w:eastAsia="zh-CN"/>
                    </w:rPr>
                  </w:pPr>
                  <w:r>
                    <w:rPr>
                      <w:rFonts w:hint="default"/>
                      <w:lang w:eastAsia="zh-CN"/>
                    </w:rPr>
                    <w:t>监测点</w:t>
                  </w:r>
                  <w:r>
                    <w:rPr>
                      <w:rFonts w:hint="eastAsia"/>
                      <w:lang w:val="en-US" w:eastAsia="zh-CN"/>
                    </w:rPr>
                    <w:t>1</w:t>
                  </w:r>
                  <w:r>
                    <w:rPr>
                      <w:rFonts w:hint="default"/>
                      <w:lang w:val="en-US" w:eastAsia="zh-CN"/>
                    </w:rPr>
                    <w:t>个，</w:t>
                  </w:r>
                  <w:r>
                    <w:rPr>
                      <w:rFonts w:hint="default"/>
                      <w:lang w:eastAsia="zh-CN"/>
                    </w:rPr>
                    <w:t>每年</w:t>
                  </w:r>
                  <w:r>
                    <w:rPr>
                      <w:rFonts w:hint="default"/>
                      <w:lang w:val="en-US" w:eastAsia="zh-CN"/>
                    </w:rPr>
                    <w:t>监测1次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2" w:hRule="atLeast"/>
              </w:trPr>
              <w:tc>
                <w:tcPr>
                  <w:tcW w:w="854"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lang w:val="en-US" w:eastAsia="zh-CN"/>
                    </w:rPr>
                  </w:pPr>
                  <w:r>
                    <w:rPr>
                      <w:rFonts w:hint="default"/>
                      <w:lang w:val="en-US" w:eastAsia="zh-CN"/>
                    </w:rPr>
                    <w:t>地形地貌景观</w:t>
                  </w:r>
                </w:p>
              </w:tc>
              <w:tc>
                <w:tcPr>
                  <w:tcW w:w="11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闭坑</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填埋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lang w:eastAsia="zh-CN"/>
                    </w:rPr>
                    <w:t>对</w:t>
                  </w:r>
                  <w:r>
                    <w:rPr>
                      <w:rFonts w:hint="default"/>
                    </w:rPr>
                    <w:t>地热井、</w:t>
                  </w:r>
                  <w:r>
                    <w:rPr>
                      <w:rFonts w:hint="default"/>
                      <w:lang w:val="en-US" w:eastAsia="zh-CN"/>
                    </w:rPr>
                    <w:t>回灌井</w:t>
                  </w:r>
                  <w:r>
                    <w:rPr>
                      <w:rFonts w:hint="default"/>
                    </w:rPr>
                    <w:t>进行填埋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m</w:t>
                  </w:r>
                  <w:r>
                    <w:rPr>
                      <w:rFonts w:hint="default"/>
                      <w:vertAlign w:val="superscript"/>
                      <w:lang w:val="en-US" w:eastAsia="zh-CN"/>
                    </w:rPr>
                    <w:t>3</w:t>
                  </w:r>
                </w:p>
              </w:tc>
              <w:tc>
                <w:tcPr>
                  <w:tcW w:w="2696" w:type="dxa"/>
                  <w:noWrap w:val="0"/>
                  <w:vAlign w:val="center"/>
                </w:tcPr>
                <w:p>
                  <w:pPr>
                    <w:spacing w:line="280" w:lineRule="exact"/>
                    <w:ind w:firstLine="0" w:firstLineChars="0"/>
                    <w:jc w:val="both"/>
                    <w:rPr>
                      <w:rFonts w:hint="default"/>
                    </w:rPr>
                  </w:pPr>
                  <w:r>
                    <w:rPr>
                      <w:rFonts w:hint="default"/>
                    </w:rPr>
                    <w:t>地热井在矿山使用年限到期后，对地热井、</w:t>
                  </w:r>
                  <w:r>
                    <w:rPr>
                      <w:rFonts w:hint="default"/>
                      <w:lang w:val="en-US" w:eastAsia="zh-CN"/>
                    </w:rPr>
                    <w:t>回灌井</w:t>
                  </w:r>
                  <w:r>
                    <w:rPr>
                      <w:rFonts w:hint="default"/>
                    </w:rPr>
                    <w:t>进行填埋</w:t>
                  </w:r>
                  <w:r>
                    <w:rPr>
                      <w:rFonts w:hint="default"/>
                      <w:lang w:val="en-US" w:eastAsia="zh-CN"/>
                    </w:rPr>
                    <w:t>，填埋体积3381.80m</w:t>
                  </w:r>
                  <w:r>
                    <w:rPr>
                      <w:rFonts w:hint="default"/>
                      <w:vertAlign w:val="superscript"/>
                      <w:lang w:val="en-US" w:eastAsia="zh-CN"/>
                    </w:rPr>
                    <w:t>3</w:t>
                  </w:r>
                  <w:r>
                    <w:rPr>
                      <w:rFonts w:hint="default"/>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7" w:hRule="atLeast"/>
              </w:trPr>
              <w:tc>
                <w:tcPr>
                  <w:tcW w:w="854"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闭坑</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lang w:eastAsia="zh-CN"/>
                    </w:rPr>
                  </w:pPr>
                  <w:r>
                    <w:rPr>
                      <w:rFonts w:hint="default"/>
                      <w:lang w:eastAsia="zh-CN"/>
                    </w:rPr>
                    <w:t>拆除</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lang w:eastAsia="zh-CN"/>
                    </w:rPr>
                    <w:t>对</w:t>
                  </w:r>
                  <w:r>
                    <w:rPr>
                      <w:rFonts w:hint="default"/>
                      <w:lang w:val="en-US" w:eastAsia="zh-CN"/>
                    </w:rPr>
                    <w:t>地热换热站、</w:t>
                  </w:r>
                  <w:r>
                    <w:rPr>
                      <w:rFonts w:hint="default"/>
                    </w:rPr>
                    <w:t>泵房进行拆除</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rPr>
                  </w:pPr>
                  <w:r>
                    <w:rPr>
                      <w:rFonts w:hint="default"/>
                    </w:rPr>
                    <w:t>m</w:t>
                  </w:r>
                  <w:r>
                    <w:rPr>
                      <w:rFonts w:hint="default"/>
                      <w:vertAlign w:val="superscript"/>
                      <w:lang w:val="en-US" w:eastAsia="zh-CN"/>
                    </w:rPr>
                    <w:t>3</w:t>
                  </w:r>
                </w:p>
              </w:tc>
              <w:tc>
                <w:tcPr>
                  <w:tcW w:w="2696" w:type="dxa"/>
                  <w:noWrap w:val="0"/>
                  <w:vAlign w:val="center"/>
                </w:tcPr>
                <w:p>
                  <w:pPr>
                    <w:spacing w:line="280" w:lineRule="exact"/>
                    <w:ind w:firstLine="0" w:firstLineChars="0"/>
                    <w:jc w:val="both"/>
                    <w:rPr>
                      <w:rFonts w:hint="default"/>
                    </w:rPr>
                  </w:pPr>
                  <w:r>
                    <w:rPr>
                      <w:rFonts w:hint="default"/>
                    </w:rPr>
                    <w:t>地热井在矿山使用年限到期后，对</w:t>
                  </w:r>
                  <w:r>
                    <w:rPr>
                      <w:rFonts w:hint="default"/>
                      <w:lang w:val="en-US" w:eastAsia="zh-CN"/>
                    </w:rPr>
                    <w:t>地热换热站、</w:t>
                  </w:r>
                  <w:r>
                    <w:rPr>
                      <w:rFonts w:hint="default"/>
                    </w:rPr>
                    <w:t>泵房进行拆除</w:t>
                  </w:r>
                  <w:r>
                    <w:rPr>
                      <w:rFonts w:hint="default"/>
                      <w:lang w:eastAsia="zh-CN"/>
                    </w:rPr>
                    <w:t>，拆除体积</w:t>
                  </w:r>
                  <w:r>
                    <w:rPr>
                      <w:rFonts w:hint="default"/>
                      <w:lang w:val="en-US" w:eastAsia="zh-CN"/>
                    </w:rPr>
                    <w:t>5816.25m</w:t>
                  </w:r>
                  <w:r>
                    <w:rPr>
                      <w:rFonts w:hint="default"/>
                      <w:vertAlign w:val="superscript"/>
                      <w:lang w:val="en-US" w:eastAsia="zh-CN"/>
                    </w:rPr>
                    <w:t>3</w:t>
                  </w:r>
                  <w:r>
                    <w:rPr>
                      <w:rFonts w:hint="default"/>
                      <w:lang w:val="en-US" w:eastAsia="zh-CN"/>
                    </w:rPr>
                    <w:t>。</w:t>
                  </w:r>
                </w:p>
              </w:tc>
            </w:tr>
          </w:tbl>
          <w:p>
            <w:pPr>
              <w:pStyle w:val="4"/>
              <w:bidi w:val="0"/>
              <w:rPr>
                <w:rFonts w:hint="default"/>
                <w:lang w:val="en-US" w:eastAsia="zh-CN"/>
              </w:rPr>
            </w:pPr>
            <w:r>
              <w:rPr>
                <w:rFonts w:hint="eastAsia"/>
                <w:lang w:val="en-US" w:eastAsia="zh-CN"/>
              </w:rPr>
              <w:t>2、年度工作部署</w:t>
            </w:r>
          </w:p>
          <w:p>
            <w:pPr>
              <w:bidi w:val="0"/>
              <w:rPr>
                <w:rFonts w:hint="default"/>
                <w:color w:val="auto"/>
                <w:highlight w:val="none"/>
              </w:rPr>
            </w:pPr>
            <w:r>
              <w:rPr>
                <w:rFonts w:hint="default"/>
                <w:color w:val="auto"/>
                <w:highlight w:val="none"/>
              </w:rPr>
              <w:t>矿山地质环境治理分为近期（20</w:t>
            </w:r>
            <w:r>
              <w:rPr>
                <w:rFonts w:hint="eastAsia"/>
                <w:color w:val="auto"/>
                <w:highlight w:val="none"/>
                <w:lang w:val="en-US" w:eastAsia="zh-CN"/>
              </w:rPr>
              <w:t>22</w:t>
            </w:r>
            <w:r>
              <w:rPr>
                <w:rFonts w:hint="default"/>
                <w:color w:val="auto"/>
                <w:highlight w:val="none"/>
              </w:rPr>
              <w:t>年</w:t>
            </w:r>
            <w:r>
              <w:rPr>
                <w:rFonts w:hint="eastAsia"/>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27</w:t>
            </w:r>
            <w:r>
              <w:rPr>
                <w:rFonts w:hint="default"/>
                <w:color w:val="auto"/>
                <w:highlight w:val="none"/>
              </w:rPr>
              <w:t>年</w:t>
            </w:r>
            <w:r>
              <w:rPr>
                <w:rFonts w:hint="eastAsia"/>
                <w:color w:val="auto"/>
                <w:highlight w:val="none"/>
                <w:lang w:val="en-US" w:eastAsia="zh-CN"/>
              </w:rPr>
              <w:t>9</w:t>
            </w:r>
            <w:r>
              <w:rPr>
                <w:rFonts w:hint="default"/>
                <w:color w:val="auto"/>
                <w:highlight w:val="none"/>
                <w:lang w:eastAsia="zh-CN"/>
              </w:rPr>
              <w:t>月</w:t>
            </w:r>
            <w:r>
              <w:rPr>
                <w:rFonts w:hint="default"/>
                <w:color w:val="auto"/>
                <w:highlight w:val="none"/>
              </w:rPr>
              <w:t>），中期（20</w:t>
            </w:r>
            <w:r>
              <w:rPr>
                <w:rFonts w:hint="eastAsia"/>
                <w:color w:val="auto"/>
                <w:highlight w:val="none"/>
                <w:lang w:val="en-US" w:eastAsia="zh-CN"/>
              </w:rPr>
              <w:t>27</w:t>
            </w:r>
            <w:r>
              <w:rPr>
                <w:rFonts w:hint="default"/>
                <w:color w:val="auto"/>
                <w:highlight w:val="none"/>
              </w:rPr>
              <w:t>年</w:t>
            </w:r>
            <w:r>
              <w:rPr>
                <w:rFonts w:hint="eastAsia"/>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32</w:t>
            </w:r>
            <w:r>
              <w:rPr>
                <w:rFonts w:hint="default"/>
                <w:color w:val="auto"/>
                <w:highlight w:val="none"/>
              </w:rPr>
              <w:t>年</w:t>
            </w:r>
            <w:r>
              <w:rPr>
                <w:rFonts w:hint="eastAsia"/>
                <w:color w:val="auto"/>
                <w:highlight w:val="none"/>
                <w:lang w:val="en-US" w:eastAsia="zh-CN"/>
              </w:rPr>
              <w:t>9</w:t>
            </w:r>
            <w:r>
              <w:rPr>
                <w:rFonts w:hint="default"/>
                <w:color w:val="auto"/>
                <w:highlight w:val="none"/>
                <w:lang w:eastAsia="zh-CN"/>
              </w:rPr>
              <w:t>月</w:t>
            </w:r>
            <w:r>
              <w:rPr>
                <w:rFonts w:hint="default"/>
                <w:color w:val="auto"/>
                <w:highlight w:val="none"/>
              </w:rPr>
              <w:t>）和远期（20</w:t>
            </w:r>
            <w:r>
              <w:rPr>
                <w:rFonts w:hint="eastAsia"/>
                <w:color w:val="auto"/>
                <w:highlight w:val="none"/>
                <w:lang w:val="en-US" w:eastAsia="zh-CN"/>
              </w:rPr>
              <w:t>32</w:t>
            </w:r>
            <w:r>
              <w:rPr>
                <w:rFonts w:hint="default"/>
                <w:color w:val="auto"/>
                <w:highlight w:val="none"/>
              </w:rPr>
              <w:t>年</w:t>
            </w:r>
            <w:r>
              <w:rPr>
                <w:rFonts w:hint="eastAsia"/>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39</w:t>
            </w:r>
            <w:r>
              <w:rPr>
                <w:rFonts w:hint="default"/>
                <w:color w:val="auto"/>
                <w:highlight w:val="none"/>
              </w:rPr>
              <w:t>年</w:t>
            </w:r>
            <w:r>
              <w:rPr>
                <w:rFonts w:hint="eastAsia"/>
                <w:color w:val="auto"/>
                <w:highlight w:val="none"/>
                <w:lang w:val="en-US" w:eastAsia="zh-CN"/>
              </w:rPr>
              <w:t>9</w:t>
            </w:r>
            <w:r>
              <w:rPr>
                <w:rFonts w:hint="default"/>
                <w:color w:val="auto"/>
                <w:highlight w:val="none"/>
              </w:rPr>
              <w:t>月）三个阶段，采取近细远粗的原则部署治理措施。</w:t>
            </w:r>
          </w:p>
          <w:p>
            <w:pPr>
              <w:bidi w:val="0"/>
              <w:rPr>
                <w:rFonts w:hint="eastAsia"/>
                <w:highlight w:val="none"/>
              </w:rPr>
            </w:pPr>
            <w:r>
              <w:rPr>
                <w:rFonts w:hint="eastAsia"/>
                <w:highlight w:val="none"/>
              </w:rPr>
              <w:t>（</w:t>
            </w:r>
            <w:r>
              <w:rPr>
                <w:rFonts w:hint="eastAsia"/>
                <w:highlight w:val="none"/>
                <w:lang w:val="en-US" w:eastAsia="zh-CN"/>
              </w:rPr>
              <w:t>1</w:t>
            </w:r>
            <w:r>
              <w:rPr>
                <w:rFonts w:hint="eastAsia"/>
                <w:highlight w:val="none"/>
              </w:rPr>
              <w:t>）近期工作安排</w:t>
            </w:r>
          </w:p>
          <w:p>
            <w:pPr>
              <w:spacing w:line="240" w:lineRule="auto"/>
              <w:ind w:firstLine="0" w:firstLineChars="0"/>
              <w:jc w:val="center"/>
              <w:rPr>
                <w:rFonts w:hint="eastAsia" w:ascii="仿宋" w:hAnsi="仿宋" w:eastAsia="仿宋" w:cs="仿宋"/>
                <w:b/>
                <w:bCs/>
                <w:highlight w:val="none"/>
                <w:lang w:val="en-US" w:eastAsia="zh-CN"/>
              </w:rPr>
            </w:pPr>
            <w:r>
              <w:rPr>
                <w:rFonts w:hint="eastAsia" w:ascii="仿宋" w:hAnsi="仿宋" w:eastAsia="仿宋" w:cs="仿宋"/>
                <w:b/>
                <w:bCs/>
                <w:highlight w:val="none"/>
                <w:lang w:val="en-US" w:eastAsia="zh-CN"/>
              </w:rPr>
              <w:t>近期（2022年10月～2027年9月）治理部署计划表  表6</w:t>
            </w:r>
          </w:p>
          <w:tbl>
            <w:tblPr>
              <w:tblStyle w:val="14"/>
              <w:tblW w:w="83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1184"/>
              <w:gridCol w:w="1487"/>
              <w:gridCol w:w="3107"/>
              <w:gridCol w:w="13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9" w:hRule="atLeast"/>
                <w:jc w:val="center"/>
              </w:trPr>
              <w:tc>
                <w:tcPr>
                  <w:tcW w:w="239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rPr>
                    <w:t>矿山地质环境问题</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rPr>
                    <w:t>防治工程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rPr>
                    <w:t>防治时间</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rPr>
                    <w:t>防治等级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21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lang w:eastAsia="zh-CN"/>
                    </w:rPr>
                  </w:pPr>
                  <w:r>
                    <w:rPr>
                      <w:rFonts w:hint="default"/>
                      <w:highlight w:val="none"/>
                    </w:rPr>
                    <w:t>矿山地质环境监测</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rPr>
                    <w:t>含水层</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rPr>
                    <w:t>监测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lang w:val="en-US" w:eastAsia="zh-CN"/>
                    </w:rPr>
                    <w:t>2022年10月—2027年9月</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rPr>
                    <w:t>一般防治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63" w:hRule="atLeast"/>
                <w:jc w:val="center"/>
              </w:trPr>
              <w:tc>
                <w:tcPr>
                  <w:tcW w:w="121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lang w:eastAsia="zh-CN"/>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lang w:eastAsia="zh-CN"/>
                    </w:rPr>
                  </w:pPr>
                  <w:r>
                    <w:rPr>
                      <w:rFonts w:hint="default"/>
                      <w:highlight w:val="none"/>
                      <w:lang w:eastAsia="zh-CN"/>
                    </w:rPr>
                    <w:t>地面沉降</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lang w:eastAsia="zh-CN"/>
                    </w:rPr>
                  </w:pPr>
                  <w:r>
                    <w:rPr>
                      <w:rFonts w:hint="default"/>
                      <w:highlight w:val="none"/>
                      <w:lang w:eastAsia="zh-CN"/>
                    </w:rPr>
                    <w:t>监测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lang w:val="en-US" w:eastAsia="zh-CN"/>
                    </w:rPr>
                    <w:t>2022年10月—2027年9月</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highlight w:val="none"/>
                    </w:rPr>
                  </w:pPr>
                  <w:r>
                    <w:rPr>
                      <w:rFonts w:hint="default"/>
                      <w:highlight w:val="none"/>
                    </w:rPr>
                    <w:t>一般防治</w:t>
                  </w:r>
                </w:p>
              </w:tc>
            </w:tr>
          </w:tbl>
          <w:p>
            <w:pPr>
              <w:bidi w:val="0"/>
              <w:rPr>
                <w:rFonts w:hint="eastAsia"/>
                <w:highlight w:val="none"/>
              </w:rPr>
            </w:pPr>
            <w:r>
              <w:rPr>
                <w:rFonts w:hint="eastAsia"/>
                <w:highlight w:val="none"/>
              </w:rPr>
              <w:t>（</w:t>
            </w:r>
            <w:r>
              <w:rPr>
                <w:rFonts w:hint="eastAsia"/>
                <w:highlight w:val="none"/>
                <w:lang w:val="en-US" w:eastAsia="zh-CN"/>
              </w:rPr>
              <w:t>2</w:t>
            </w:r>
            <w:r>
              <w:rPr>
                <w:rFonts w:hint="eastAsia"/>
                <w:highlight w:val="none"/>
              </w:rPr>
              <w:t>）中、远期工作安排</w:t>
            </w:r>
          </w:p>
          <w:p>
            <w:pPr>
              <w:spacing w:line="240" w:lineRule="auto"/>
              <w:ind w:firstLine="0" w:firstLineChars="0"/>
              <w:jc w:val="center"/>
              <w:rPr>
                <w:rFonts w:hint="eastAsia" w:ascii="仿宋" w:hAnsi="仿宋" w:eastAsia="仿宋" w:cs="仿宋"/>
                <w:b/>
                <w:bCs/>
                <w:highlight w:val="none"/>
                <w:lang w:val="en-US" w:eastAsia="zh-CN"/>
              </w:rPr>
            </w:pPr>
            <w:r>
              <w:rPr>
                <w:rFonts w:hint="eastAsia" w:ascii="仿宋" w:hAnsi="仿宋" w:eastAsia="仿宋" w:cs="仿宋"/>
                <w:b/>
                <w:bCs/>
                <w:highlight w:val="none"/>
                <w:lang w:val="en-US" w:eastAsia="zh-CN"/>
              </w:rPr>
              <w:t>中、远期（2027年10月～2039年9月）治理部署计划表  表7</w:t>
            </w:r>
          </w:p>
          <w:tbl>
            <w:tblPr>
              <w:tblStyle w:val="14"/>
              <w:tblW w:w="841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1232"/>
              <w:gridCol w:w="1432"/>
              <w:gridCol w:w="3114"/>
              <w:gridCol w:w="14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2470" w:type="dxa"/>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highlight w:val="none"/>
                    </w:rPr>
                  </w:pPr>
                  <w:r>
                    <w:rPr>
                      <w:rFonts w:hint="default"/>
                      <w:highlight w:val="none"/>
                    </w:rPr>
                    <w:t>矿山地质环境问题</w:t>
                  </w:r>
                </w:p>
              </w:tc>
              <w:tc>
                <w:tcPr>
                  <w:tcW w:w="14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highlight w:val="none"/>
                    </w:rPr>
                  </w:pPr>
                  <w:r>
                    <w:rPr>
                      <w:rFonts w:hint="default"/>
                      <w:highlight w:val="none"/>
                    </w:rPr>
                    <w:t>防治工程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highlight w:val="none"/>
                    </w:rPr>
                  </w:pPr>
                  <w:r>
                    <w:rPr>
                      <w:rFonts w:hint="default"/>
                      <w:highlight w:val="none"/>
                    </w:rPr>
                    <w:t>防治时间</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highlight w:val="none"/>
                    </w:rPr>
                  </w:pPr>
                  <w:r>
                    <w:rPr>
                      <w:rFonts w:hint="default"/>
                      <w:highlight w:val="none"/>
                    </w:rPr>
                    <w:t>防治等级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1238" w:type="dxa"/>
                  <w:vMerge w:val="restart"/>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highlight w:val="none"/>
                    </w:rPr>
                  </w:pPr>
                  <w:r>
                    <w:rPr>
                      <w:rFonts w:hint="default"/>
                      <w:highlight w:val="none"/>
                    </w:rPr>
                    <w:t>矿山地质环境监测</w:t>
                  </w:r>
                </w:p>
              </w:tc>
              <w:tc>
                <w:tcPr>
                  <w:tcW w:w="12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highlight w:val="none"/>
                    </w:rPr>
                  </w:pPr>
                  <w:r>
                    <w:rPr>
                      <w:rFonts w:hint="default"/>
                      <w:highlight w:val="none"/>
                    </w:rPr>
                    <w:t>含水层</w:t>
                  </w:r>
                </w:p>
              </w:tc>
              <w:tc>
                <w:tcPr>
                  <w:tcW w:w="14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highlight w:val="none"/>
                    </w:rPr>
                  </w:pPr>
                  <w:r>
                    <w:rPr>
                      <w:rFonts w:hint="default"/>
                      <w:highlight w:val="none"/>
                    </w:rPr>
                    <w:t>监测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highlight w:val="none"/>
                    </w:rPr>
                  </w:pPr>
                  <w:r>
                    <w:rPr>
                      <w:rFonts w:hint="default"/>
                      <w:highlight w:val="none"/>
                    </w:rPr>
                    <w:t>20</w:t>
                  </w:r>
                  <w:r>
                    <w:rPr>
                      <w:rFonts w:hint="default"/>
                      <w:highlight w:val="none"/>
                      <w:lang w:val="en-US" w:eastAsia="zh-CN"/>
                    </w:rPr>
                    <w:t>27</w:t>
                  </w:r>
                  <w:r>
                    <w:rPr>
                      <w:rFonts w:hint="default"/>
                      <w:highlight w:val="none"/>
                    </w:rPr>
                    <w:t>年</w:t>
                  </w:r>
                  <w:r>
                    <w:rPr>
                      <w:rFonts w:hint="default"/>
                      <w:highlight w:val="none"/>
                      <w:lang w:val="en-US" w:eastAsia="zh-CN"/>
                    </w:rPr>
                    <w:t>10</w:t>
                  </w:r>
                  <w:r>
                    <w:rPr>
                      <w:rFonts w:hint="default"/>
                      <w:highlight w:val="none"/>
                      <w:lang w:eastAsia="zh-CN"/>
                    </w:rPr>
                    <w:t>月</w:t>
                  </w:r>
                  <w:r>
                    <w:rPr>
                      <w:rFonts w:hint="default"/>
                      <w:highlight w:val="none"/>
                    </w:rPr>
                    <w:t>—20</w:t>
                  </w:r>
                  <w:r>
                    <w:rPr>
                      <w:rFonts w:hint="eastAsia"/>
                      <w:highlight w:val="none"/>
                      <w:lang w:val="en-US" w:eastAsia="zh-CN"/>
                    </w:rPr>
                    <w:t>39</w:t>
                  </w:r>
                  <w:r>
                    <w:rPr>
                      <w:rFonts w:hint="default"/>
                      <w:highlight w:val="none"/>
                    </w:rPr>
                    <w:t>年</w:t>
                  </w:r>
                  <w:r>
                    <w:rPr>
                      <w:rFonts w:hint="default"/>
                      <w:highlight w:val="none"/>
                      <w:lang w:val="en-US" w:eastAsia="zh-CN"/>
                    </w:rPr>
                    <w:t>9</w:t>
                  </w:r>
                  <w:r>
                    <w:rPr>
                      <w:rFonts w:hint="default"/>
                      <w:highlight w:val="none"/>
                    </w:rPr>
                    <w:t>月</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highlight w:val="none"/>
                    </w:rPr>
                  </w:pPr>
                  <w:r>
                    <w:rPr>
                      <w:rFonts w:hint="default"/>
                      <w:highlight w:val="none"/>
                    </w:rPr>
                    <w:t>一般防治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238" w:type="dxa"/>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highlight w:val="none"/>
                    </w:rPr>
                  </w:pPr>
                </w:p>
              </w:tc>
              <w:tc>
                <w:tcPr>
                  <w:tcW w:w="12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highlight w:val="none"/>
                      <w:lang w:eastAsia="zh-CN"/>
                    </w:rPr>
                  </w:pPr>
                  <w:r>
                    <w:rPr>
                      <w:rFonts w:hint="default"/>
                      <w:highlight w:val="none"/>
                      <w:lang w:eastAsia="zh-CN"/>
                    </w:rPr>
                    <w:t>地面沉降</w:t>
                  </w:r>
                </w:p>
              </w:tc>
              <w:tc>
                <w:tcPr>
                  <w:tcW w:w="14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highlight w:val="none"/>
                    </w:rPr>
                  </w:pPr>
                  <w:r>
                    <w:rPr>
                      <w:rFonts w:hint="default"/>
                      <w:highlight w:val="none"/>
                      <w:lang w:eastAsia="zh-CN"/>
                    </w:rPr>
                    <w:t>监测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highlight w:val="none"/>
                    </w:rPr>
                  </w:pPr>
                  <w:r>
                    <w:rPr>
                      <w:rFonts w:hint="default"/>
                      <w:highlight w:val="none"/>
                    </w:rPr>
                    <w:t>20</w:t>
                  </w:r>
                  <w:r>
                    <w:rPr>
                      <w:rFonts w:hint="default"/>
                      <w:highlight w:val="none"/>
                      <w:lang w:val="en-US" w:eastAsia="zh-CN"/>
                    </w:rPr>
                    <w:t>27</w:t>
                  </w:r>
                  <w:r>
                    <w:rPr>
                      <w:rFonts w:hint="default"/>
                      <w:highlight w:val="none"/>
                    </w:rPr>
                    <w:t>年</w:t>
                  </w:r>
                  <w:r>
                    <w:rPr>
                      <w:rFonts w:hint="default"/>
                      <w:highlight w:val="none"/>
                      <w:lang w:val="en-US" w:eastAsia="zh-CN"/>
                    </w:rPr>
                    <w:t>10</w:t>
                  </w:r>
                  <w:r>
                    <w:rPr>
                      <w:rFonts w:hint="default"/>
                      <w:highlight w:val="none"/>
                      <w:lang w:eastAsia="zh-CN"/>
                    </w:rPr>
                    <w:t>月</w:t>
                  </w:r>
                  <w:r>
                    <w:rPr>
                      <w:rFonts w:hint="default"/>
                      <w:highlight w:val="none"/>
                    </w:rPr>
                    <w:t>—20</w:t>
                  </w:r>
                  <w:r>
                    <w:rPr>
                      <w:rFonts w:hint="eastAsia"/>
                      <w:highlight w:val="none"/>
                      <w:lang w:val="en-US" w:eastAsia="zh-CN"/>
                    </w:rPr>
                    <w:t>39</w:t>
                  </w:r>
                  <w:r>
                    <w:rPr>
                      <w:rFonts w:hint="default"/>
                      <w:highlight w:val="none"/>
                    </w:rPr>
                    <w:t>年</w:t>
                  </w:r>
                  <w:r>
                    <w:rPr>
                      <w:rFonts w:hint="default"/>
                      <w:highlight w:val="none"/>
                      <w:lang w:val="en-US" w:eastAsia="zh-CN"/>
                    </w:rPr>
                    <w:t>9</w:t>
                  </w:r>
                  <w:r>
                    <w:rPr>
                      <w:rFonts w:hint="default"/>
                      <w:highlight w:val="none"/>
                    </w:rPr>
                    <w:t>月</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highlight w:val="none"/>
                    </w:rPr>
                  </w:pPr>
                  <w:r>
                    <w:rPr>
                      <w:rFonts w:hint="default"/>
                      <w:highlight w:val="none"/>
                    </w:rPr>
                    <w:t>一般防治</w:t>
                  </w:r>
                </w:p>
              </w:tc>
            </w:tr>
          </w:tbl>
          <w:p>
            <w:pPr>
              <w:bidi w:val="0"/>
              <w:rPr>
                <w:rFonts w:hint="default"/>
                <w:highlight w:val="none"/>
                <w:lang w:val="en-US" w:eastAsia="zh-CN"/>
              </w:rPr>
            </w:pPr>
            <w:r>
              <w:rPr>
                <w:rFonts w:hint="eastAsia"/>
                <w:highlight w:val="none"/>
                <w:lang w:val="en-US" w:eastAsia="zh-CN"/>
              </w:rPr>
              <w:t>（3）近期年度工作安排</w:t>
            </w:r>
          </w:p>
          <w:p>
            <w:pPr>
              <w:spacing w:line="240" w:lineRule="auto"/>
              <w:ind w:firstLine="0" w:firstLineChars="0"/>
              <w:jc w:val="center"/>
              <w:rPr>
                <w:rFonts w:hint="eastAsia" w:ascii="仿宋" w:hAnsi="仿宋" w:eastAsia="仿宋" w:cs="仿宋"/>
                <w:b/>
                <w:bCs/>
                <w:lang w:val="en-US" w:eastAsia="zh-CN"/>
              </w:rPr>
            </w:pPr>
            <w:r>
              <w:rPr>
                <w:rFonts w:hint="eastAsia" w:ascii="仿宋" w:hAnsi="仿宋" w:eastAsia="仿宋" w:cs="仿宋"/>
                <w:b/>
                <w:bCs/>
                <w:highlight w:val="none"/>
                <w:lang w:val="en-US" w:eastAsia="zh-CN"/>
              </w:rPr>
              <w:t xml:space="preserve">适用期年度工作安排（2022年10月-2027年9月）  表8 </w:t>
            </w:r>
          </w:p>
          <w:tbl>
            <w:tblPr>
              <w:tblStyle w:val="14"/>
              <w:tblW w:w="825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3"/>
              <w:gridCol w:w="1676"/>
              <w:gridCol w:w="491"/>
              <w:gridCol w:w="582"/>
              <w:gridCol w:w="1084"/>
              <w:gridCol w:w="1060"/>
              <w:gridCol w:w="1032"/>
              <w:gridCol w:w="1006"/>
              <w:gridCol w:w="9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08" w:hRule="atLeast"/>
              </w:trPr>
              <w:tc>
                <w:tcPr>
                  <w:tcW w:w="353" w:type="dxa"/>
                  <w:noWrap w:val="0"/>
                  <w:vAlign w:val="center"/>
                </w:tcPr>
                <w:p>
                  <w:pPr>
                    <w:spacing w:line="280" w:lineRule="exact"/>
                    <w:ind w:firstLine="0" w:firstLineChars="0"/>
                    <w:jc w:val="center"/>
                    <w:rPr>
                      <w:rFonts w:hint="default"/>
                      <w:sz w:val="24"/>
                      <w:szCs w:val="24"/>
                      <w:highlight w:val="none"/>
                    </w:rPr>
                  </w:pPr>
                  <w:r>
                    <w:rPr>
                      <w:rFonts w:hint="default"/>
                      <w:sz w:val="24"/>
                      <w:szCs w:val="24"/>
                      <w:highlight w:val="none"/>
                    </w:rPr>
                    <w:t>序号</w:t>
                  </w:r>
                </w:p>
              </w:tc>
              <w:tc>
                <w:tcPr>
                  <w:tcW w:w="1676" w:type="dxa"/>
                  <w:noWrap w:val="0"/>
                  <w:vAlign w:val="center"/>
                </w:tcPr>
                <w:p>
                  <w:pPr>
                    <w:spacing w:line="280" w:lineRule="exact"/>
                    <w:ind w:firstLine="0" w:firstLineChars="0"/>
                    <w:jc w:val="center"/>
                    <w:rPr>
                      <w:rFonts w:hint="default"/>
                      <w:sz w:val="24"/>
                      <w:szCs w:val="24"/>
                      <w:highlight w:val="none"/>
                    </w:rPr>
                  </w:pPr>
                  <w:r>
                    <w:rPr>
                      <w:rFonts w:hint="default"/>
                      <w:sz w:val="24"/>
                      <w:szCs w:val="24"/>
                      <w:highlight w:val="none"/>
                    </w:rPr>
                    <w:t>项目工程名称</w:t>
                  </w:r>
                </w:p>
              </w:tc>
              <w:tc>
                <w:tcPr>
                  <w:tcW w:w="491" w:type="dxa"/>
                  <w:noWrap w:val="0"/>
                  <w:vAlign w:val="center"/>
                </w:tcPr>
                <w:p>
                  <w:pPr>
                    <w:spacing w:line="280" w:lineRule="exact"/>
                    <w:ind w:firstLine="0" w:firstLineChars="0"/>
                    <w:jc w:val="center"/>
                    <w:rPr>
                      <w:rFonts w:hint="default"/>
                      <w:sz w:val="24"/>
                      <w:szCs w:val="24"/>
                      <w:highlight w:val="none"/>
                    </w:rPr>
                  </w:pPr>
                  <w:r>
                    <w:rPr>
                      <w:rFonts w:hint="default"/>
                      <w:sz w:val="24"/>
                      <w:szCs w:val="24"/>
                      <w:highlight w:val="none"/>
                    </w:rPr>
                    <w:t>单位</w:t>
                  </w:r>
                </w:p>
              </w:tc>
              <w:tc>
                <w:tcPr>
                  <w:tcW w:w="582" w:type="dxa"/>
                  <w:noWrap w:val="0"/>
                  <w:vAlign w:val="center"/>
                </w:tcPr>
                <w:p>
                  <w:pPr>
                    <w:spacing w:line="280" w:lineRule="exact"/>
                    <w:ind w:firstLine="0" w:firstLineChars="0"/>
                    <w:jc w:val="center"/>
                    <w:rPr>
                      <w:rFonts w:hint="default"/>
                      <w:sz w:val="24"/>
                      <w:szCs w:val="24"/>
                      <w:highlight w:val="none"/>
                    </w:rPr>
                  </w:pPr>
                  <w:r>
                    <w:rPr>
                      <w:rFonts w:hint="default"/>
                      <w:sz w:val="24"/>
                      <w:szCs w:val="24"/>
                      <w:highlight w:val="none"/>
                    </w:rPr>
                    <w:t>数量</w:t>
                  </w:r>
                </w:p>
              </w:tc>
              <w:tc>
                <w:tcPr>
                  <w:tcW w:w="1084" w:type="dxa"/>
                  <w:noWrap w:val="0"/>
                  <w:vAlign w:val="center"/>
                </w:tcPr>
                <w:p>
                  <w:pPr>
                    <w:spacing w:line="280" w:lineRule="exact"/>
                    <w:ind w:firstLine="0" w:firstLineChars="0"/>
                    <w:jc w:val="center"/>
                    <w:rPr>
                      <w:rFonts w:hint="default"/>
                      <w:sz w:val="21"/>
                      <w:szCs w:val="21"/>
                      <w:highlight w:val="none"/>
                    </w:rPr>
                  </w:pPr>
                  <w:r>
                    <w:rPr>
                      <w:rFonts w:hint="default"/>
                      <w:sz w:val="21"/>
                      <w:szCs w:val="21"/>
                      <w:highlight w:val="none"/>
                    </w:rPr>
                    <w:t>20</w:t>
                  </w:r>
                  <w:r>
                    <w:rPr>
                      <w:rFonts w:hint="default"/>
                      <w:sz w:val="21"/>
                      <w:szCs w:val="21"/>
                      <w:highlight w:val="none"/>
                      <w:lang w:val="en-US" w:eastAsia="zh-CN"/>
                    </w:rPr>
                    <w:t>22</w:t>
                  </w:r>
                  <w:r>
                    <w:rPr>
                      <w:rFonts w:hint="default"/>
                      <w:sz w:val="21"/>
                      <w:szCs w:val="21"/>
                      <w:highlight w:val="none"/>
                      <w:lang w:eastAsia="zh-CN"/>
                    </w:rPr>
                    <w:t>.</w:t>
                  </w:r>
                  <w:r>
                    <w:rPr>
                      <w:rFonts w:hint="default"/>
                      <w:sz w:val="21"/>
                      <w:szCs w:val="21"/>
                      <w:highlight w:val="none"/>
                      <w:lang w:val="en-US" w:eastAsia="zh-CN"/>
                    </w:rPr>
                    <w:t>10</w:t>
                  </w:r>
                  <w:r>
                    <w:rPr>
                      <w:rFonts w:hint="default"/>
                      <w:sz w:val="21"/>
                      <w:szCs w:val="21"/>
                      <w:highlight w:val="none"/>
                    </w:rPr>
                    <w:t>-</w:t>
                  </w:r>
                </w:p>
                <w:p>
                  <w:pPr>
                    <w:spacing w:line="280" w:lineRule="exact"/>
                    <w:ind w:firstLine="0" w:firstLineChars="0"/>
                    <w:jc w:val="center"/>
                    <w:rPr>
                      <w:rFonts w:hint="default"/>
                      <w:sz w:val="21"/>
                      <w:szCs w:val="21"/>
                      <w:highlight w:val="none"/>
                    </w:rPr>
                  </w:pPr>
                  <w:r>
                    <w:rPr>
                      <w:rFonts w:hint="default"/>
                      <w:sz w:val="21"/>
                      <w:szCs w:val="21"/>
                      <w:highlight w:val="none"/>
                    </w:rPr>
                    <w:t>20</w:t>
                  </w:r>
                  <w:r>
                    <w:rPr>
                      <w:rFonts w:hint="default"/>
                      <w:sz w:val="21"/>
                      <w:szCs w:val="21"/>
                      <w:highlight w:val="none"/>
                      <w:lang w:val="en-US" w:eastAsia="zh-CN"/>
                    </w:rPr>
                    <w:t>23</w:t>
                  </w:r>
                  <w:r>
                    <w:rPr>
                      <w:rFonts w:hint="default"/>
                      <w:sz w:val="21"/>
                      <w:szCs w:val="21"/>
                      <w:highlight w:val="none"/>
                    </w:rPr>
                    <w:t>.</w:t>
                  </w:r>
                  <w:r>
                    <w:rPr>
                      <w:rFonts w:hint="default"/>
                      <w:sz w:val="21"/>
                      <w:szCs w:val="21"/>
                      <w:highlight w:val="none"/>
                      <w:lang w:val="en-US" w:eastAsia="zh-CN"/>
                    </w:rPr>
                    <w:t>9</w:t>
                  </w:r>
                </w:p>
              </w:tc>
              <w:tc>
                <w:tcPr>
                  <w:tcW w:w="1060" w:type="dxa"/>
                  <w:noWrap w:val="0"/>
                  <w:vAlign w:val="center"/>
                </w:tcPr>
                <w:p>
                  <w:pPr>
                    <w:spacing w:line="280" w:lineRule="exact"/>
                    <w:ind w:firstLine="0" w:firstLineChars="0"/>
                    <w:jc w:val="center"/>
                    <w:rPr>
                      <w:rFonts w:hint="default"/>
                      <w:sz w:val="21"/>
                      <w:szCs w:val="21"/>
                      <w:highlight w:val="none"/>
                    </w:rPr>
                  </w:pPr>
                  <w:r>
                    <w:rPr>
                      <w:rFonts w:hint="default"/>
                      <w:sz w:val="21"/>
                      <w:szCs w:val="21"/>
                      <w:highlight w:val="none"/>
                    </w:rPr>
                    <w:t>20</w:t>
                  </w:r>
                  <w:r>
                    <w:rPr>
                      <w:rFonts w:hint="default"/>
                      <w:sz w:val="21"/>
                      <w:szCs w:val="21"/>
                      <w:highlight w:val="none"/>
                      <w:lang w:val="en-US" w:eastAsia="zh-CN"/>
                    </w:rPr>
                    <w:t>23</w:t>
                  </w:r>
                  <w:r>
                    <w:rPr>
                      <w:rFonts w:hint="default"/>
                      <w:sz w:val="21"/>
                      <w:szCs w:val="21"/>
                      <w:highlight w:val="none"/>
                      <w:lang w:eastAsia="zh-CN"/>
                    </w:rPr>
                    <w:t>.</w:t>
                  </w:r>
                  <w:r>
                    <w:rPr>
                      <w:rFonts w:hint="default"/>
                      <w:sz w:val="21"/>
                      <w:szCs w:val="21"/>
                      <w:highlight w:val="none"/>
                      <w:lang w:val="en-US" w:eastAsia="zh-CN"/>
                    </w:rPr>
                    <w:t>10</w:t>
                  </w:r>
                  <w:r>
                    <w:rPr>
                      <w:rFonts w:hint="default"/>
                      <w:sz w:val="21"/>
                      <w:szCs w:val="21"/>
                      <w:highlight w:val="none"/>
                    </w:rPr>
                    <w:t>-20</w:t>
                  </w:r>
                  <w:r>
                    <w:rPr>
                      <w:rFonts w:hint="default"/>
                      <w:sz w:val="21"/>
                      <w:szCs w:val="21"/>
                      <w:highlight w:val="none"/>
                      <w:lang w:val="en-US" w:eastAsia="zh-CN"/>
                    </w:rPr>
                    <w:t>24</w:t>
                  </w:r>
                  <w:r>
                    <w:rPr>
                      <w:rFonts w:hint="default"/>
                      <w:sz w:val="21"/>
                      <w:szCs w:val="21"/>
                      <w:highlight w:val="none"/>
                    </w:rPr>
                    <w:t>.</w:t>
                  </w:r>
                  <w:r>
                    <w:rPr>
                      <w:rFonts w:hint="default"/>
                      <w:sz w:val="21"/>
                      <w:szCs w:val="21"/>
                      <w:highlight w:val="none"/>
                      <w:lang w:val="en-US" w:eastAsia="zh-CN"/>
                    </w:rPr>
                    <w:t>9</w:t>
                  </w:r>
                </w:p>
              </w:tc>
              <w:tc>
                <w:tcPr>
                  <w:tcW w:w="1032" w:type="dxa"/>
                  <w:noWrap w:val="0"/>
                  <w:vAlign w:val="center"/>
                </w:tcPr>
                <w:p>
                  <w:pPr>
                    <w:spacing w:line="280" w:lineRule="exact"/>
                    <w:ind w:firstLine="0" w:firstLineChars="0"/>
                    <w:jc w:val="center"/>
                    <w:rPr>
                      <w:rFonts w:hint="default"/>
                      <w:sz w:val="21"/>
                      <w:szCs w:val="21"/>
                      <w:highlight w:val="none"/>
                    </w:rPr>
                  </w:pPr>
                  <w:r>
                    <w:rPr>
                      <w:rFonts w:hint="default"/>
                      <w:sz w:val="21"/>
                      <w:szCs w:val="21"/>
                      <w:highlight w:val="none"/>
                    </w:rPr>
                    <w:t>20</w:t>
                  </w:r>
                  <w:r>
                    <w:rPr>
                      <w:rFonts w:hint="default"/>
                      <w:sz w:val="21"/>
                      <w:szCs w:val="21"/>
                      <w:highlight w:val="none"/>
                      <w:lang w:val="en-US" w:eastAsia="zh-CN"/>
                    </w:rPr>
                    <w:t>24</w:t>
                  </w:r>
                  <w:r>
                    <w:rPr>
                      <w:rFonts w:hint="default"/>
                      <w:sz w:val="21"/>
                      <w:szCs w:val="21"/>
                      <w:highlight w:val="none"/>
                      <w:lang w:eastAsia="zh-CN"/>
                    </w:rPr>
                    <w:t>.</w:t>
                  </w:r>
                  <w:r>
                    <w:rPr>
                      <w:rFonts w:hint="default"/>
                      <w:sz w:val="21"/>
                      <w:szCs w:val="21"/>
                      <w:highlight w:val="none"/>
                      <w:lang w:val="en-US" w:eastAsia="zh-CN"/>
                    </w:rPr>
                    <w:t>10</w:t>
                  </w:r>
                  <w:r>
                    <w:rPr>
                      <w:rFonts w:hint="default"/>
                      <w:sz w:val="21"/>
                      <w:szCs w:val="21"/>
                      <w:highlight w:val="none"/>
                    </w:rPr>
                    <w:t>-20</w:t>
                  </w:r>
                  <w:r>
                    <w:rPr>
                      <w:rFonts w:hint="default"/>
                      <w:sz w:val="21"/>
                      <w:szCs w:val="21"/>
                      <w:highlight w:val="none"/>
                      <w:lang w:val="en-US" w:eastAsia="zh-CN"/>
                    </w:rPr>
                    <w:t>25</w:t>
                  </w:r>
                  <w:r>
                    <w:rPr>
                      <w:rFonts w:hint="default"/>
                      <w:sz w:val="21"/>
                      <w:szCs w:val="21"/>
                      <w:highlight w:val="none"/>
                    </w:rPr>
                    <w:t>.</w:t>
                  </w:r>
                  <w:r>
                    <w:rPr>
                      <w:rFonts w:hint="default"/>
                      <w:sz w:val="21"/>
                      <w:szCs w:val="21"/>
                      <w:highlight w:val="none"/>
                      <w:lang w:val="en-US" w:eastAsia="zh-CN"/>
                    </w:rPr>
                    <w:t>9</w:t>
                  </w:r>
                </w:p>
              </w:tc>
              <w:tc>
                <w:tcPr>
                  <w:tcW w:w="1006" w:type="dxa"/>
                  <w:noWrap w:val="0"/>
                  <w:vAlign w:val="center"/>
                </w:tcPr>
                <w:p>
                  <w:pPr>
                    <w:spacing w:line="280" w:lineRule="exact"/>
                    <w:ind w:firstLine="0" w:firstLineChars="0"/>
                    <w:jc w:val="center"/>
                    <w:rPr>
                      <w:rFonts w:hint="default"/>
                      <w:sz w:val="21"/>
                      <w:szCs w:val="21"/>
                      <w:highlight w:val="none"/>
                    </w:rPr>
                  </w:pPr>
                  <w:r>
                    <w:rPr>
                      <w:rFonts w:hint="default"/>
                      <w:sz w:val="21"/>
                      <w:szCs w:val="21"/>
                      <w:highlight w:val="none"/>
                    </w:rPr>
                    <w:t>20</w:t>
                  </w:r>
                  <w:r>
                    <w:rPr>
                      <w:rFonts w:hint="default"/>
                      <w:sz w:val="21"/>
                      <w:szCs w:val="21"/>
                      <w:highlight w:val="none"/>
                      <w:lang w:val="en-US" w:eastAsia="zh-CN"/>
                    </w:rPr>
                    <w:t>25</w:t>
                  </w:r>
                  <w:r>
                    <w:rPr>
                      <w:rFonts w:hint="default"/>
                      <w:sz w:val="21"/>
                      <w:szCs w:val="21"/>
                      <w:highlight w:val="none"/>
                      <w:lang w:eastAsia="zh-CN"/>
                    </w:rPr>
                    <w:t>.</w:t>
                  </w:r>
                  <w:r>
                    <w:rPr>
                      <w:rFonts w:hint="default"/>
                      <w:sz w:val="21"/>
                      <w:szCs w:val="21"/>
                      <w:highlight w:val="none"/>
                      <w:lang w:val="en-US" w:eastAsia="zh-CN"/>
                    </w:rPr>
                    <w:t>10</w:t>
                  </w:r>
                  <w:r>
                    <w:rPr>
                      <w:rFonts w:hint="default"/>
                      <w:sz w:val="21"/>
                      <w:szCs w:val="21"/>
                      <w:highlight w:val="none"/>
                    </w:rPr>
                    <w:t>-20</w:t>
                  </w:r>
                  <w:r>
                    <w:rPr>
                      <w:rFonts w:hint="default"/>
                      <w:sz w:val="21"/>
                      <w:szCs w:val="21"/>
                      <w:highlight w:val="none"/>
                      <w:lang w:val="en-US" w:eastAsia="zh-CN"/>
                    </w:rPr>
                    <w:t>26</w:t>
                  </w:r>
                  <w:r>
                    <w:rPr>
                      <w:rFonts w:hint="default"/>
                      <w:sz w:val="21"/>
                      <w:szCs w:val="21"/>
                      <w:highlight w:val="none"/>
                    </w:rPr>
                    <w:t>.</w:t>
                  </w:r>
                  <w:r>
                    <w:rPr>
                      <w:rFonts w:hint="default"/>
                      <w:sz w:val="21"/>
                      <w:szCs w:val="21"/>
                      <w:highlight w:val="none"/>
                      <w:lang w:val="en-US" w:eastAsia="zh-CN"/>
                    </w:rPr>
                    <w:t>9</w:t>
                  </w:r>
                </w:p>
              </w:tc>
              <w:tc>
                <w:tcPr>
                  <w:tcW w:w="971" w:type="dxa"/>
                  <w:noWrap w:val="0"/>
                  <w:vAlign w:val="center"/>
                </w:tcPr>
                <w:p>
                  <w:pPr>
                    <w:spacing w:line="280" w:lineRule="exact"/>
                    <w:ind w:firstLine="0" w:firstLineChars="0"/>
                    <w:jc w:val="center"/>
                    <w:rPr>
                      <w:rFonts w:hint="default"/>
                      <w:sz w:val="21"/>
                      <w:szCs w:val="21"/>
                      <w:highlight w:val="none"/>
                    </w:rPr>
                  </w:pPr>
                  <w:r>
                    <w:rPr>
                      <w:rFonts w:hint="default"/>
                      <w:sz w:val="21"/>
                      <w:szCs w:val="21"/>
                      <w:highlight w:val="none"/>
                    </w:rPr>
                    <w:t>20</w:t>
                  </w:r>
                  <w:r>
                    <w:rPr>
                      <w:rFonts w:hint="default"/>
                      <w:sz w:val="21"/>
                      <w:szCs w:val="21"/>
                      <w:highlight w:val="none"/>
                      <w:lang w:val="en-US" w:eastAsia="zh-CN"/>
                    </w:rPr>
                    <w:t>26</w:t>
                  </w:r>
                  <w:r>
                    <w:rPr>
                      <w:rFonts w:hint="default"/>
                      <w:sz w:val="21"/>
                      <w:szCs w:val="21"/>
                      <w:highlight w:val="none"/>
                      <w:lang w:eastAsia="zh-CN"/>
                    </w:rPr>
                    <w:t>.</w:t>
                  </w:r>
                  <w:r>
                    <w:rPr>
                      <w:rFonts w:hint="default"/>
                      <w:sz w:val="21"/>
                      <w:szCs w:val="21"/>
                      <w:highlight w:val="none"/>
                      <w:lang w:val="en-US" w:eastAsia="zh-CN"/>
                    </w:rPr>
                    <w:t>10</w:t>
                  </w:r>
                  <w:r>
                    <w:rPr>
                      <w:rFonts w:hint="default"/>
                      <w:sz w:val="21"/>
                      <w:szCs w:val="21"/>
                      <w:highlight w:val="none"/>
                    </w:rPr>
                    <w:t>-20</w:t>
                  </w:r>
                  <w:r>
                    <w:rPr>
                      <w:rFonts w:hint="default"/>
                      <w:sz w:val="21"/>
                      <w:szCs w:val="21"/>
                      <w:highlight w:val="none"/>
                      <w:lang w:val="en-US" w:eastAsia="zh-CN"/>
                    </w:rPr>
                    <w:t>27</w:t>
                  </w:r>
                  <w:r>
                    <w:rPr>
                      <w:rFonts w:hint="default"/>
                      <w:sz w:val="21"/>
                      <w:szCs w:val="21"/>
                      <w:highlight w:val="none"/>
                    </w:rPr>
                    <w:t>.</w:t>
                  </w:r>
                  <w:r>
                    <w:rPr>
                      <w:rFonts w:hint="default"/>
                      <w:sz w:val="21"/>
                      <w:szCs w:val="21"/>
                      <w:highlight w:val="none"/>
                      <w:lang w:val="en-US" w:eastAsia="zh-CN"/>
                    </w:rPr>
                    <w:t>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353" w:type="dxa"/>
                  <w:noWrap w:val="0"/>
                  <w:vAlign w:val="center"/>
                </w:tcPr>
                <w:p>
                  <w:pPr>
                    <w:spacing w:line="280" w:lineRule="exact"/>
                    <w:ind w:firstLine="0" w:firstLineChars="0"/>
                    <w:jc w:val="center"/>
                    <w:rPr>
                      <w:rFonts w:hint="default"/>
                      <w:sz w:val="24"/>
                      <w:szCs w:val="24"/>
                      <w:highlight w:val="none"/>
                      <w:lang w:eastAsia="zh-CN"/>
                    </w:rPr>
                  </w:pPr>
                  <w:r>
                    <w:rPr>
                      <w:rFonts w:hint="default"/>
                      <w:sz w:val="24"/>
                      <w:szCs w:val="24"/>
                      <w:highlight w:val="none"/>
                      <w:lang w:val="en-US" w:eastAsia="zh-CN"/>
                    </w:rPr>
                    <w:t>1</w:t>
                  </w:r>
                </w:p>
              </w:tc>
              <w:tc>
                <w:tcPr>
                  <w:tcW w:w="1676" w:type="dxa"/>
                  <w:noWrap w:val="0"/>
                  <w:vAlign w:val="center"/>
                </w:tcPr>
                <w:p>
                  <w:pPr>
                    <w:spacing w:line="280" w:lineRule="exact"/>
                    <w:ind w:firstLine="0" w:firstLineChars="0"/>
                    <w:jc w:val="center"/>
                    <w:rPr>
                      <w:rFonts w:hint="default"/>
                      <w:sz w:val="24"/>
                      <w:szCs w:val="24"/>
                      <w:highlight w:val="none"/>
                    </w:rPr>
                  </w:pPr>
                  <w:r>
                    <w:rPr>
                      <w:rFonts w:hint="default"/>
                      <w:sz w:val="24"/>
                      <w:szCs w:val="24"/>
                      <w:highlight w:val="none"/>
                    </w:rPr>
                    <w:t>地热井水位、</w:t>
                  </w:r>
                  <w:r>
                    <w:rPr>
                      <w:rFonts w:hint="eastAsia"/>
                      <w:sz w:val="24"/>
                      <w:szCs w:val="24"/>
                      <w:highlight w:val="none"/>
                      <w:lang w:val="en-US" w:eastAsia="zh-CN"/>
                    </w:rPr>
                    <w:t>用</w:t>
                  </w:r>
                  <w:r>
                    <w:rPr>
                      <w:rFonts w:hint="default"/>
                      <w:sz w:val="24"/>
                      <w:szCs w:val="24"/>
                      <w:highlight w:val="none"/>
                    </w:rPr>
                    <w:t>水量、水温监测</w:t>
                  </w:r>
                </w:p>
              </w:tc>
              <w:tc>
                <w:tcPr>
                  <w:tcW w:w="491" w:type="dxa"/>
                  <w:noWrap w:val="0"/>
                  <w:vAlign w:val="center"/>
                </w:tcPr>
                <w:p>
                  <w:pPr>
                    <w:spacing w:line="280" w:lineRule="exact"/>
                    <w:ind w:firstLine="0" w:firstLineChars="0"/>
                    <w:jc w:val="center"/>
                    <w:rPr>
                      <w:rFonts w:hint="default"/>
                      <w:sz w:val="24"/>
                      <w:szCs w:val="24"/>
                      <w:highlight w:val="none"/>
                    </w:rPr>
                  </w:pPr>
                  <w:r>
                    <w:rPr>
                      <w:rFonts w:hint="default"/>
                      <w:sz w:val="24"/>
                      <w:szCs w:val="24"/>
                      <w:highlight w:val="none"/>
                    </w:rPr>
                    <w:t>次</w:t>
                  </w:r>
                </w:p>
              </w:tc>
              <w:tc>
                <w:tcPr>
                  <w:tcW w:w="582"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6</w:t>
                  </w:r>
                  <w:r>
                    <w:rPr>
                      <w:rFonts w:hint="eastAsia"/>
                      <w:sz w:val="24"/>
                      <w:szCs w:val="24"/>
                      <w:highlight w:val="none"/>
                      <w:lang w:val="en-US" w:eastAsia="zh-CN"/>
                    </w:rPr>
                    <w:t>0</w:t>
                  </w:r>
                  <w:r>
                    <w:rPr>
                      <w:rFonts w:hint="default"/>
                      <w:sz w:val="24"/>
                      <w:szCs w:val="24"/>
                      <w:highlight w:val="none"/>
                      <w:lang w:val="en-US" w:eastAsia="zh-CN"/>
                    </w:rPr>
                    <w:t>5</w:t>
                  </w:r>
                </w:p>
              </w:tc>
              <w:tc>
                <w:tcPr>
                  <w:tcW w:w="1084"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1060"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1032"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1006"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971"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13" w:hRule="atLeast"/>
              </w:trPr>
              <w:tc>
                <w:tcPr>
                  <w:tcW w:w="353" w:type="dxa"/>
                  <w:noWrap w:val="0"/>
                  <w:vAlign w:val="center"/>
                </w:tcPr>
                <w:p>
                  <w:pPr>
                    <w:spacing w:line="280" w:lineRule="exact"/>
                    <w:ind w:firstLine="0" w:firstLineChars="0"/>
                    <w:jc w:val="center"/>
                    <w:rPr>
                      <w:rFonts w:hint="default"/>
                      <w:sz w:val="24"/>
                      <w:szCs w:val="24"/>
                      <w:highlight w:val="none"/>
                      <w:lang w:eastAsia="zh-CN"/>
                    </w:rPr>
                  </w:pPr>
                  <w:r>
                    <w:rPr>
                      <w:rFonts w:hint="default"/>
                      <w:sz w:val="24"/>
                      <w:szCs w:val="24"/>
                      <w:highlight w:val="none"/>
                      <w:lang w:val="en-US" w:eastAsia="zh-CN"/>
                    </w:rPr>
                    <w:t>2</w:t>
                  </w:r>
                </w:p>
              </w:tc>
              <w:tc>
                <w:tcPr>
                  <w:tcW w:w="1676" w:type="dxa"/>
                  <w:noWrap w:val="0"/>
                  <w:vAlign w:val="center"/>
                </w:tcPr>
                <w:p>
                  <w:pPr>
                    <w:spacing w:line="280" w:lineRule="exact"/>
                    <w:ind w:firstLine="0" w:firstLineChars="0"/>
                    <w:jc w:val="center"/>
                    <w:rPr>
                      <w:rFonts w:hint="default"/>
                      <w:sz w:val="24"/>
                      <w:szCs w:val="24"/>
                      <w:highlight w:val="none"/>
                    </w:rPr>
                  </w:pPr>
                  <w:r>
                    <w:rPr>
                      <w:rFonts w:hint="default"/>
                      <w:sz w:val="24"/>
                      <w:szCs w:val="24"/>
                      <w:highlight w:val="none"/>
                    </w:rPr>
                    <w:t>地热水水质</w:t>
                  </w:r>
                  <w:r>
                    <w:rPr>
                      <w:rFonts w:hint="default"/>
                      <w:sz w:val="24"/>
                      <w:szCs w:val="24"/>
                      <w:highlight w:val="none"/>
                      <w:lang w:eastAsia="zh-CN"/>
                    </w:rPr>
                    <w:t>监测</w:t>
                  </w:r>
                </w:p>
              </w:tc>
              <w:tc>
                <w:tcPr>
                  <w:tcW w:w="491" w:type="dxa"/>
                  <w:noWrap w:val="0"/>
                  <w:vAlign w:val="center"/>
                </w:tcPr>
                <w:p>
                  <w:pPr>
                    <w:spacing w:line="280" w:lineRule="exact"/>
                    <w:ind w:firstLine="0" w:firstLineChars="0"/>
                    <w:jc w:val="center"/>
                    <w:rPr>
                      <w:rFonts w:hint="default"/>
                      <w:sz w:val="24"/>
                      <w:szCs w:val="24"/>
                      <w:highlight w:val="none"/>
                    </w:rPr>
                  </w:pPr>
                  <w:r>
                    <w:rPr>
                      <w:rFonts w:hint="default"/>
                      <w:sz w:val="24"/>
                      <w:szCs w:val="24"/>
                      <w:highlight w:val="none"/>
                    </w:rPr>
                    <w:t>次</w:t>
                  </w:r>
                </w:p>
              </w:tc>
              <w:tc>
                <w:tcPr>
                  <w:tcW w:w="582" w:type="dxa"/>
                  <w:noWrap w:val="0"/>
                  <w:vAlign w:val="center"/>
                </w:tcPr>
                <w:p>
                  <w:pPr>
                    <w:spacing w:line="280" w:lineRule="exact"/>
                    <w:ind w:firstLine="0" w:firstLineChars="0"/>
                    <w:jc w:val="center"/>
                    <w:rPr>
                      <w:rFonts w:hint="default"/>
                      <w:sz w:val="24"/>
                      <w:szCs w:val="24"/>
                      <w:highlight w:val="none"/>
                      <w:lang w:val="en-US" w:eastAsia="zh-CN"/>
                    </w:rPr>
                  </w:pPr>
                  <w:r>
                    <w:rPr>
                      <w:rFonts w:hint="eastAsia"/>
                      <w:sz w:val="24"/>
                      <w:szCs w:val="24"/>
                      <w:highlight w:val="none"/>
                      <w:lang w:val="en-US" w:eastAsia="zh-CN"/>
                    </w:rPr>
                    <w:t>5</w:t>
                  </w:r>
                </w:p>
              </w:tc>
              <w:tc>
                <w:tcPr>
                  <w:tcW w:w="1084" w:type="dxa"/>
                  <w:noWrap w:val="0"/>
                  <w:vAlign w:val="center"/>
                </w:tcPr>
                <w:p>
                  <w:pPr>
                    <w:spacing w:line="280" w:lineRule="exact"/>
                    <w:ind w:firstLine="0" w:firstLineChars="0"/>
                    <w:jc w:val="center"/>
                    <w:rPr>
                      <w:rFonts w:hint="default"/>
                      <w:sz w:val="24"/>
                      <w:szCs w:val="24"/>
                      <w:highlight w:val="none"/>
                      <w:lang w:eastAsia="zh-CN"/>
                    </w:rPr>
                  </w:pPr>
                  <w:r>
                    <w:rPr>
                      <w:rFonts w:hint="eastAsia"/>
                      <w:sz w:val="24"/>
                      <w:szCs w:val="24"/>
                      <w:highlight w:val="none"/>
                      <w:lang w:val="en-US" w:eastAsia="zh-CN"/>
                    </w:rPr>
                    <w:t>1</w:t>
                  </w:r>
                </w:p>
              </w:tc>
              <w:tc>
                <w:tcPr>
                  <w:tcW w:w="1060" w:type="dxa"/>
                  <w:noWrap w:val="0"/>
                  <w:vAlign w:val="center"/>
                </w:tcPr>
                <w:p>
                  <w:pPr>
                    <w:spacing w:line="280" w:lineRule="exact"/>
                    <w:ind w:firstLine="0" w:firstLineChars="0"/>
                    <w:jc w:val="center"/>
                    <w:rPr>
                      <w:rFonts w:hint="default"/>
                      <w:sz w:val="24"/>
                      <w:szCs w:val="24"/>
                      <w:highlight w:val="none"/>
                      <w:lang w:eastAsia="zh-CN"/>
                    </w:rPr>
                  </w:pPr>
                  <w:r>
                    <w:rPr>
                      <w:rFonts w:hint="eastAsia"/>
                      <w:sz w:val="24"/>
                      <w:szCs w:val="24"/>
                      <w:highlight w:val="none"/>
                      <w:lang w:val="en-US" w:eastAsia="zh-CN"/>
                    </w:rPr>
                    <w:t>1</w:t>
                  </w:r>
                </w:p>
              </w:tc>
              <w:tc>
                <w:tcPr>
                  <w:tcW w:w="1032" w:type="dxa"/>
                  <w:noWrap w:val="0"/>
                  <w:vAlign w:val="center"/>
                </w:tcPr>
                <w:p>
                  <w:pPr>
                    <w:spacing w:line="280" w:lineRule="exact"/>
                    <w:ind w:firstLine="0" w:firstLineChars="0"/>
                    <w:jc w:val="center"/>
                    <w:rPr>
                      <w:rFonts w:hint="default"/>
                      <w:sz w:val="24"/>
                      <w:szCs w:val="24"/>
                      <w:highlight w:val="none"/>
                      <w:lang w:eastAsia="zh-CN"/>
                    </w:rPr>
                  </w:pPr>
                  <w:r>
                    <w:rPr>
                      <w:rFonts w:hint="eastAsia"/>
                      <w:sz w:val="24"/>
                      <w:szCs w:val="24"/>
                      <w:highlight w:val="none"/>
                      <w:lang w:val="en-US" w:eastAsia="zh-CN"/>
                    </w:rPr>
                    <w:t>1</w:t>
                  </w:r>
                </w:p>
              </w:tc>
              <w:tc>
                <w:tcPr>
                  <w:tcW w:w="1006" w:type="dxa"/>
                  <w:noWrap w:val="0"/>
                  <w:vAlign w:val="center"/>
                </w:tcPr>
                <w:p>
                  <w:pPr>
                    <w:spacing w:line="280" w:lineRule="exact"/>
                    <w:ind w:firstLine="0" w:firstLineChars="0"/>
                    <w:jc w:val="center"/>
                    <w:rPr>
                      <w:rFonts w:hint="default"/>
                      <w:sz w:val="24"/>
                      <w:szCs w:val="24"/>
                      <w:highlight w:val="none"/>
                      <w:lang w:eastAsia="zh-CN"/>
                    </w:rPr>
                  </w:pPr>
                  <w:r>
                    <w:rPr>
                      <w:rFonts w:hint="eastAsia"/>
                      <w:sz w:val="24"/>
                      <w:szCs w:val="24"/>
                      <w:highlight w:val="none"/>
                      <w:lang w:val="en-US" w:eastAsia="zh-CN"/>
                    </w:rPr>
                    <w:t>1</w:t>
                  </w:r>
                </w:p>
              </w:tc>
              <w:tc>
                <w:tcPr>
                  <w:tcW w:w="971" w:type="dxa"/>
                  <w:noWrap w:val="0"/>
                  <w:vAlign w:val="center"/>
                </w:tcPr>
                <w:p>
                  <w:pPr>
                    <w:spacing w:line="280" w:lineRule="exact"/>
                    <w:ind w:firstLine="0" w:firstLineChars="0"/>
                    <w:jc w:val="center"/>
                    <w:rPr>
                      <w:rFonts w:hint="default"/>
                      <w:sz w:val="24"/>
                      <w:szCs w:val="24"/>
                      <w:highlight w:val="none"/>
                      <w:lang w:eastAsia="zh-CN"/>
                    </w:rPr>
                  </w:pPr>
                  <w:r>
                    <w:rPr>
                      <w:rFonts w:hint="eastAsia"/>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12" w:hRule="atLeast"/>
              </w:trPr>
              <w:tc>
                <w:tcPr>
                  <w:tcW w:w="353"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5</w:t>
                  </w:r>
                </w:p>
              </w:tc>
              <w:tc>
                <w:tcPr>
                  <w:tcW w:w="1676"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回灌井</w:t>
                  </w:r>
                  <w:r>
                    <w:rPr>
                      <w:rFonts w:hint="default"/>
                      <w:sz w:val="24"/>
                      <w:szCs w:val="24"/>
                      <w:highlight w:val="none"/>
                    </w:rPr>
                    <w:t>水位、</w:t>
                  </w:r>
                  <w:r>
                    <w:rPr>
                      <w:rFonts w:hint="eastAsia"/>
                      <w:sz w:val="24"/>
                      <w:szCs w:val="24"/>
                      <w:highlight w:val="none"/>
                      <w:lang w:val="en-US" w:eastAsia="zh-CN"/>
                    </w:rPr>
                    <w:t>回灌</w:t>
                  </w:r>
                  <w:r>
                    <w:rPr>
                      <w:rFonts w:hint="default"/>
                      <w:sz w:val="24"/>
                      <w:szCs w:val="24"/>
                      <w:highlight w:val="none"/>
                    </w:rPr>
                    <w:t>水量、水温监测</w:t>
                  </w:r>
                </w:p>
              </w:tc>
              <w:tc>
                <w:tcPr>
                  <w:tcW w:w="491"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rPr>
                    <w:t>次</w:t>
                  </w:r>
                </w:p>
              </w:tc>
              <w:tc>
                <w:tcPr>
                  <w:tcW w:w="582"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6</w:t>
                  </w:r>
                  <w:r>
                    <w:rPr>
                      <w:rFonts w:hint="eastAsia"/>
                      <w:sz w:val="24"/>
                      <w:szCs w:val="24"/>
                      <w:highlight w:val="none"/>
                      <w:lang w:val="en-US" w:eastAsia="zh-CN"/>
                    </w:rPr>
                    <w:t>0</w:t>
                  </w:r>
                  <w:r>
                    <w:rPr>
                      <w:rFonts w:hint="default"/>
                      <w:sz w:val="24"/>
                      <w:szCs w:val="24"/>
                      <w:highlight w:val="none"/>
                      <w:lang w:val="en-US" w:eastAsia="zh-CN"/>
                    </w:rPr>
                    <w:t>5</w:t>
                  </w:r>
                </w:p>
              </w:tc>
              <w:tc>
                <w:tcPr>
                  <w:tcW w:w="1084"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1060"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1032"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1006"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971"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78" w:hRule="atLeast"/>
              </w:trPr>
              <w:tc>
                <w:tcPr>
                  <w:tcW w:w="353"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6</w:t>
                  </w:r>
                </w:p>
              </w:tc>
              <w:tc>
                <w:tcPr>
                  <w:tcW w:w="1676"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回灌井水质监测</w:t>
                  </w:r>
                </w:p>
              </w:tc>
              <w:tc>
                <w:tcPr>
                  <w:tcW w:w="491"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次</w:t>
                  </w:r>
                </w:p>
              </w:tc>
              <w:tc>
                <w:tcPr>
                  <w:tcW w:w="582" w:type="dxa"/>
                  <w:noWrap w:val="0"/>
                  <w:vAlign w:val="center"/>
                </w:tcPr>
                <w:p>
                  <w:pPr>
                    <w:spacing w:line="280" w:lineRule="exact"/>
                    <w:ind w:firstLine="0" w:firstLineChars="0"/>
                    <w:jc w:val="center"/>
                    <w:rPr>
                      <w:rFonts w:hint="default"/>
                      <w:sz w:val="24"/>
                      <w:szCs w:val="24"/>
                      <w:highlight w:val="none"/>
                      <w:lang w:val="en-US" w:eastAsia="zh-CN"/>
                    </w:rPr>
                  </w:pPr>
                  <w:r>
                    <w:rPr>
                      <w:rFonts w:hint="eastAsia"/>
                      <w:sz w:val="24"/>
                      <w:szCs w:val="24"/>
                      <w:highlight w:val="none"/>
                      <w:lang w:val="en-US" w:eastAsia="zh-CN"/>
                    </w:rPr>
                    <w:t>5</w:t>
                  </w:r>
                </w:p>
              </w:tc>
              <w:tc>
                <w:tcPr>
                  <w:tcW w:w="1084" w:type="dxa"/>
                  <w:noWrap w:val="0"/>
                  <w:vAlign w:val="center"/>
                </w:tcPr>
                <w:p>
                  <w:pPr>
                    <w:spacing w:line="280" w:lineRule="exact"/>
                    <w:ind w:firstLine="0" w:firstLineChars="0"/>
                    <w:jc w:val="center"/>
                    <w:rPr>
                      <w:rFonts w:hint="default"/>
                      <w:sz w:val="24"/>
                      <w:szCs w:val="24"/>
                      <w:highlight w:val="none"/>
                      <w:lang w:val="en-US" w:eastAsia="zh-CN"/>
                    </w:rPr>
                  </w:pPr>
                  <w:r>
                    <w:rPr>
                      <w:rFonts w:hint="eastAsia"/>
                      <w:sz w:val="24"/>
                      <w:szCs w:val="24"/>
                      <w:highlight w:val="none"/>
                      <w:lang w:val="en-US" w:eastAsia="zh-CN"/>
                    </w:rPr>
                    <w:t>1</w:t>
                  </w:r>
                </w:p>
              </w:tc>
              <w:tc>
                <w:tcPr>
                  <w:tcW w:w="1060" w:type="dxa"/>
                  <w:noWrap w:val="0"/>
                  <w:vAlign w:val="center"/>
                </w:tcPr>
                <w:p>
                  <w:pPr>
                    <w:spacing w:line="280" w:lineRule="exact"/>
                    <w:ind w:firstLine="0" w:firstLineChars="0"/>
                    <w:jc w:val="center"/>
                    <w:rPr>
                      <w:rFonts w:hint="default"/>
                      <w:sz w:val="24"/>
                      <w:szCs w:val="24"/>
                      <w:highlight w:val="none"/>
                      <w:lang w:val="en-US" w:eastAsia="zh-CN"/>
                    </w:rPr>
                  </w:pPr>
                  <w:r>
                    <w:rPr>
                      <w:rFonts w:hint="eastAsia"/>
                      <w:sz w:val="24"/>
                      <w:szCs w:val="24"/>
                      <w:highlight w:val="none"/>
                      <w:lang w:val="en-US" w:eastAsia="zh-CN"/>
                    </w:rPr>
                    <w:t>1</w:t>
                  </w:r>
                </w:p>
              </w:tc>
              <w:tc>
                <w:tcPr>
                  <w:tcW w:w="1032" w:type="dxa"/>
                  <w:noWrap w:val="0"/>
                  <w:vAlign w:val="center"/>
                </w:tcPr>
                <w:p>
                  <w:pPr>
                    <w:spacing w:line="280" w:lineRule="exact"/>
                    <w:ind w:firstLine="0" w:firstLineChars="0"/>
                    <w:jc w:val="center"/>
                    <w:rPr>
                      <w:rFonts w:hint="default"/>
                      <w:sz w:val="24"/>
                      <w:szCs w:val="24"/>
                      <w:highlight w:val="none"/>
                      <w:lang w:val="en-US" w:eastAsia="zh-CN"/>
                    </w:rPr>
                  </w:pPr>
                  <w:r>
                    <w:rPr>
                      <w:rFonts w:hint="eastAsia"/>
                      <w:sz w:val="24"/>
                      <w:szCs w:val="24"/>
                      <w:highlight w:val="none"/>
                      <w:lang w:val="en-US" w:eastAsia="zh-CN"/>
                    </w:rPr>
                    <w:t>1</w:t>
                  </w:r>
                </w:p>
              </w:tc>
              <w:tc>
                <w:tcPr>
                  <w:tcW w:w="1006" w:type="dxa"/>
                  <w:noWrap w:val="0"/>
                  <w:vAlign w:val="center"/>
                </w:tcPr>
                <w:p>
                  <w:pPr>
                    <w:spacing w:line="280" w:lineRule="exact"/>
                    <w:ind w:firstLine="0" w:firstLineChars="0"/>
                    <w:jc w:val="center"/>
                    <w:rPr>
                      <w:rFonts w:hint="default"/>
                      <w:sz w:val="24"/>
                      <w:szCs w:val="24"/>
                      <w:highlight w:val="none"/>
                      <w:lang w:val="en-US" w:eastAsia="zh-CN"/>
                    </w:rPr>
                  </w:pPr>
                  <w:r>
                    <w:rPr>
                      <w:rFonts w:hint="eastAsia"/>
                      <w:sz w:val="24"/>
                      <w:szCs w:val="24"/>
                      <w:highlight w:val="none"/>
                      <w:lang w:val="en-US" w:eastAsia="zh-CN"/>
                    </w:rPr>
                    <w:t>1</w:t>
                  </w:r>
                </w:p>
              </w:tc>
              <w:tc>
                <w:tcPr>
                  <w:tcW w:w="971" w:type="dxa"/>
                  <w:noWrap w:val="0"/>
                  <w:vAlign w:val="center"/>
                </w:tcPr>
                <w:p>
                  <w:pPr>
                    <w:spacing w:line="280" w:lineRule="exact"/>
                    <w:ind w:firstLine="0" w:firstLineChars="0"/>
                    <w:jc w:val="center"/>
                    <w:rPr>
                      <w:rFonts w:hint="default"/>
                      <w:sz w:val="24"/>
                      <w:szCs w:val="24"/>
                      <w:highlight w:val="none"/>
                      <w:lang w:val="en-US" w:eastAsia="zh-CN"/>
                    </w:rPr>
                  </w:pPr>
                  <w:r>
                    <w:rPr>
                      <w:rFonts w:hint="eastAsia"/>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78" w:hRule="atLeast"/>
              </w:trPr>
              <w:tc>
                <w:tcPr>
                  <w:tcW w:w="353"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rPr>
                    <w:t>7</w:t>
                  </w:r>
                </w:p>
              </w:tc>
              <w:tc>
                <w:tcPr>
                  <w:tcW w:w="1676"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eastAsia="zh-CN"/>
                    </w:rPr>
                    <w:t>输水管线巡查监测</w:t>
                  </w:r>
                </w:p>
              </w:tc>
              <w:tc>
                <w:tcPr>
                  <w:tcW w:w="491"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eastAsia="zh-CN"/>
                    </w:rPr>
                    <w:t>次</w:t>
                  </w:r>
                </w:p>
              </w:tc>
              <w:tc>
                <w:tcPr>
                  <w:tcW w:w="582"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6</w:t>
                  </w:r>
                  <w:r>
                    <w:rPr>
                      <w:rFonts w:hint="eastAsia"/>
                      <w:sz w:val="24"/>
                      <w:szCs w:val="24"/>
                      <w:highlight w:val="none"/>
                      <w:lang w:val="en-US" w:eastAsia="zh-CN"/>
                    </w:rPr>
                    <w:t>0</w:t>
                  </w:r>
                  <w:r>
                    <w:rPr>
                      <w:rFonts w:hint="default"/>
                      <w:sz w:val="24"/>
                      <w:szCs w:val="24"/>
                      <w:highlight w:val="none"/>
                      <w:lang w:val="en-US" w:eastAsia="zh-CN"/>
                    </w:rPr>
                    <w:t>5</w:t>
                  </w:r>
                </w:p>
              </w:tc>
              <w:tc>
                <w:tcPr>
                  <w:tcW w:w="1084"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1060"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1032"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1006"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c>
                <w:tcPr>
                  <w:tcW w:w="971"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12</w:t>
                  </w:r>
                  <w:r>
                    <w:rPr>
                      <w:rFonts w:hint="eastAsia"/>
                      <w:sz w:val="24"/>
                      <w:szCs w:val="24"/>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5" w:hRule="atLeast"/>
              </w:trPr>
              <w:tc>
                <w:tcPr>
                  <w:tcW w:w="353"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rPr>
                    <w:t>8</w:t>
                  </w:r>
                </w:p>
              </w:tc>
              <w:tc>
                <w:tcPr>
                  <w:tcW w:w="1676"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eastAsia="zh-CN"/>
                    </w:rPr>
                    <w:t>地面沉降监测</w:t>
                  </w:r>
                </w:p>
              </w:tc>
              <w:tc>
                <w:tcPr>
                  <w:tcW w:w="491"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eastAsia="zh-CN"/>
                    </w:rPr>
                    <w:t>次</w:t>
                  </w:r>
                </w:p>
              </w:tc>
              <w:tc>
                <w:tcPr>
                  <w:tcW w:w="582"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5</w:t>
                  </w:r>
                </w:p>
              </w:tc>
              <w:tc>
                <w:tcPr>
                  <w:tcW w:w="1084"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w:t>
                  </w:r>
                </w:p>
              </w:tc>
              <w:tc>
                <w:tcPr>
                  <w:tcW w:w="1060"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w:t>
                  </w:r>
                </w:p>
              </w:tc>
              <w:tc>
                <w:tcPr>
                  <w:tcW w:w="1032"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w:t>
                  </w:r>
                </w:p>
              </w:tc>
              <w:tc>
                <w:tcPr>
                  <w:tcW w:w="1006"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w:t>
                  </w:r>
                </w:p>
              </w:tc>
              <w:tc>
                <w:tcPr>
                  <w:tcW w:w="971" w:type="dxa"/>
                  <w:noWrap w:val="0"/>
                  <w:vAlign w:val="center"/>
                </w:tcPr>
                <w:p>
                  <w:pPr>
                    <w:spacing w:line="280" w:lineRule="exact"/>
                    <w:ind w:firstLine="0" w:firstLineChars="0"/>
                    <w:jc w:val="center"/>
                    <w:rPr>
                      <w:rFonts w:hint="default"/>
                      <w:sz w:val="24"/>
                      <w:szCs w:val="24"/>
                      <w:highlight w:val="none"/>
                      <w:lang w:val="en-US" w:eastAsia="zh-CN"/>
                    </w:rPr>
                  </w:pPr>
                  <w:r>
                    <w:rPr>
                      <w:rFonts w:hint="default"/>
                      <w:sz w:val="24"/>
                      <w:szCs w:val="24"/>
                      <w:highlight w:val="none"/>
                      <w:lang w:val="en-US" w:eastAsia="zh-CN"/>
                    </w:rPr>
                    <w:t>1</w:t>
                  </w:r>
                </w:p>
              </w:tc>
            </w:tr>
          </w:tbl>
          <w:p>
            <w:pPr>
              <w:pStyle w:val="3"/>
              <w:numPr>
                <w:ilvl w:val="0"/>
                <w:numId w:val="3"/>
              </w:numPr>
              <w:bidi w:val="0"/>
              <w:rPr>
                <w:rFonts w:hint="eastAsia"/>
                <w:highlight w:val="none"/>
                <w:lang w:val="en-US" w:eastAsia="zh-CN"/>
              </w:rPr>
            </w:pPr>
            <w:bookmarkStart w:id="35" w:name="_Toc19907"/>
            <w:bookmarkStart w:id="36" w:name="_Toc4406"/>
            <w:r>
              <w:rPr>
                <w:rFonts w:hint="eastAsia"/>
                <w:highlight w:val="none"/>
                <w:lang w:val="en-US" w:eastAsia="zh-CN"/>
              </w:rPr>
              <w:t>经费估算及资金来源</w:t>
            </w:r>
            <w:bookmarkEnd w:id="35"/>
            <w:bookmarkEnd w:id="36"/>
          </w:p>
          <w:p>
            <w:pPr>
              <w:pStyle w:val="4"/>
              <w:bidi w:val="0"/>
              <w:rPr>
                <w:rFonts w:hint="default"/>
                <w:lang w:val="en-US" w:eastAsia="zh-CN"/>
              </w:rPr>
            </w:pPr>
            <w:r>
              <w:rPr>
                <w:rFonts w:hint="eastAsia"/>
                <w:lang w:val="en-US" w:eastAsia="zh-CN"/>
              </w:rPr>
              <w:t>（一）经费估算</w:t>
            </w:r>
          </w:p>
          <w:p>
            <w:pPr>
              <w:bidi w:val="0"/>
              <w:rPr>
                <w:color w:val="auto"/>
                <w:highlight w:val="none"/>
              </w:rPr>
            </w:pPr>
            <w:r>
              <w:rPr>
                <w:rFonts w:hint="eastAsia"/>
                <w:color w:val="auto"/>
                <w:highlight w:val="none"/>
                <w:lang w:val="en-US" w:eastAsia="zh-CN"/>
              </w:rPr>
              <w:t>1、</w:t>
            </w:r>
            <w:r>
              <w:rPr>
                <w:color w:val="auto"/>
                <w:highlight w:val="none"/>
              </w:rPr>
              <w:t>总工程量</w:t>
            </w:r>
          </w:p>
          <w:p>
            <w:pPr>
              <w:bidi w:val="0"/>
              <w:rPr>
                <w:rFonts w:hint="default"/>
                <w:color w:val="auto"/>
                <w:highlight w:val="none"/>
                <w:lang w:val="en-US" w:eastAsia="zh-CN"/>
              </w:rPr>
            </w:pPr>
            <w:r>
              <w:rPr>
                <w:rFonts w:hint="default"/>
                <w:color w:val="auto"/>
                <w:highlight w:val="none"/>
              </w:rPr>
              <w:t>近期、中期及远期的矿山地质环境治理布置的工程量见表</w:t>
            </w:r>
            <w:r>
              <w:rPr>
                <w:rFonts w:hint="eastAsia"/>
                <w:color w:val="auto"/>
                <w:highlight w:val="none"/>
                <w:lang w:val="en-US" w:eastAsia="zh-CN"/>
              </w:rPr>
              <w:t>9</w:t>
            </w:r>
            <w:r>
              <w:rPr>
                <w:rFonts w:hint="default"/>
                <w:color w:val="auto"/>
                <w:highlight w:val="none"/>
              </w:rPr>
              <w:t>所示。</w:t>
            </w:r>
          </w:p>
          <w:p>
            <w:pPr>
              <w:spacing w:line="240" w:lineRule="auto"/>
              <w:ind w:firstLine="0" w:firstLineChars="0"/>
              <w:jc w:val="center"/>
              <w:rPr>
                <w:rFonts w:hint="default" w:ascii="仿宋" w:hAnsi="仿宋" w:eastAsia="仿宋" w:cs="仿宋"/>
                <w:b/>
                <w:bCs/>
                <w:lang w:val="en-US" w:eastAsia="zh-CN"/>
              </w:rPr>
            </w:pPr>
            <w:r>
              <w:rPr>
                <w:rFonts w:hint="eastAsia" w:ascii="仿宋" w:hAnsi="仿宋" w:eastAsia="仿宋" w:cs="仿宋"/>
                <w:b/>
                <w:bCs/>
                <w:lang w:val="en-US" w:eastAsia="zh-CN"/>
              </w:rPr>
              <w:t>矿山地质环境治理总工程量一览表  表9</w:t>
            </w:r>
          </w:p>
          <w:tbl>
            <w:tblPr>
              <w:tblStyle w:val="14"/>
              <w:tblW w:w="83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16"/>
              <w:gridCol w:w="885"/>
              <w:gridCol w:w="2868"/>
              <w:gridCol w:w="680"/>
              <w:gridCol w:w="654"/>
              <w:gridCol w:w="623"/>
              <w:gridCol w:w="1014"/>
              <w:gridCol w:w="9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25" w:hRule="atLeast"/>
                <w:jc w:val="center"/>
              </w:trPr>
              <w:tc>
                <w:tcPr>
                  <w:tcW w:w="1501" w:type="dxa"/>
                  <w:gridSpan w:val="2"/>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r>
                    <w:rPr>
                      <w:rFonts w:hint="default"/>
                      <w:highlight w:val="none"/>
                    </w:rPr>
                    <w:t>矿山地质环境治理项目</w:t>
                  </w:r>
                </w:p>
              </w:tc>
              <w:tc>
                <w:tcPr>
                  <w:tcW w:w="2868"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r>
                    <w:rPr>
                      <w:rFonts w:hint="default"/>
                      <w:highlight w:val="none"/>
                    </w:rPr>
                    <w:t>工程措施</w:t>
                  </w:r>
                </w:p>
              </w:tc>
              <w:tc>
                <w:tcPr>
                  <w:tcW w:w="680"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r>
                    <w:rPr>
                      <w:rFonts w:hint="default"/>
                      <w:highlight w:val="none"/>
                    </w:rPr>
                    <w:t>单位</w:t>
                  </w:r>
                </w:p>
              </w:tc>
              <w:tc>
                <w:tcPr>
                  <w:tcW w:w="2291" w:type="dxa"/>
                  <w:gridSpan w:val="3"/>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r>
                    <w:rPr>
                      <w:rFonts w:hint="default"/>
                      <w:highlight w:val="none"/>
                    </w:rPr>
                    <w:t>工程量（次）</w:t>
                  </w:r>
                </w:p>
              </w:tc>
              <w:tc>
                <w:tcPr>
                  <w:tcW w:w="99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r>
                    <w:rPr>
                      <w:rFonts w:hint="default"/>
                      <w:highlight w:val="none"/>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501" w:type="dxa"/>
                  <w:gridSpan w:val="2"/>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2868"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680"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654"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r>
                    <w:rPr>
                      <w:rFonts w:hint="default"/>
                      <w:highlight w:val="none"/>
                    </w:rPr>
                    <w:t>近期</w:t>
                  </w:r>
                </w:p>
              </w:tc>
              <w:tc>
                <w:tcPr>
                  <w:tcW w:w="623"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r>
                    <w:rPr>
                      <w:rFonts w:hint="default"/>
                      <w:highlight w:val="none"/>
                    </w:rPr>
                    <w:t>中期</w:t>
                  </w:r>
                </w:p>
              </w:tc>
              <w:tc>
                <w:tcPr>
                  <w:tcW w:w="1014"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r>
                    <w:rPr>
                      <w:rFonts w:hint="default"/>
                      <w:highlight w:val="none"/>
                    </w:rPr>
                    <w:t>远期</w:t>
                  </w:r>
                </w:p>
              </w:tc>
              <w:tc>
                <w:tcPr>
                  <w:tcW w:w="99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34" w:hRule="atLeast"/>
                <w:jc w:val="center"/>
              </w:trPr>
              <w:tc>
                <w:tcPr>
                  <w:tcW w:w="616"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lang w:val="en-US" w:eastAsia="zh-CN"/>
                    </w:rPr>
                  </w:pPr>
                  <w:r>
                    <w:rPr>
                      <w:rFonts w:hint="default"/>
                      <w:highlight w:val="none"/>
                      <w:lang w:val="en-US" w:eastAsia="zh-CN"/>
                    </w:rPr>
                    <w:t>矿山地质环境监测</w:t>
                  </w:r>
                </w:p>
              </w:tc>
              <w:tc>
                <w:tcPr>
                  <w:tcW w:w="885"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lang w:eastAsia="zh-CN"/>
                    </w:rPr>
                  </w:pPr>
                  <w:r>
                    <w:rPr>
                      <w:rFonts w:hint="default"/>
                      <w:highlight w:val="none"/>
                      <w:lang w:eastAsia="zh-CN"/>
                    </w:rPr>
                    <w:t>含</w:t>
                  </w:r>
                </w:p>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lang w:eastAsia="zh-CN"/>
                    </w:rPr>
                  </w:pPr>
                  <w:r>
                    <w:rPr>
                      <w:rFonts w:hint="default"/>
                      <w:highlight w:val="none"/>
                      <w:lang w:eastAsia="zh-CN"/>
                    </w:rPr>
                    <w:t>水</w:t>
                  </w:r>
                </w:p>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lang w:eastAsia="zh-CN"/>
                    </w:rPr>
                  </w:pPr>
                  <w:r>
                    <w:rPr>
                      <w:rFonts w:hint="default"/>
                      <w:highlight w:val="none"/>
                      <w:lang w:eastAsia="zh-CN"/>
                    </w:rPr>
                    <w:t>层</w:t>
                  </w: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rPr>
                  </w:pPr>
                  <w:r>
                    <w:rPr>
                      <w:rFonts w:hint="default"/>
                      <w:highlight w:val="none"/>
                    </w:rPr>
                    <w:t>地热井水位、</w:t>
                  </w:r>
                  <w:r>
                    <w:rPr>
                      <w:rFonts w:hint="eastAsia"/>
                      <w:highlight w:val="none"/>
                      <w:lang w:val="en-US" w:eastAsia="zh-CN"/>
                    </w:rPr>
                    <w:t>用</w:t>
                  </w:r>
                  <w:r>
                    <w:rPr>
                      <w:rFonts w:hint="default"/>
                      <w:highlight w:val="none"/>
                      <w:lang w:eastAsia="zh-CN"/>
                    </w:rPr>
                    <w:t>水量</w:t>
                  </w:r>
                  <w:r>
                    <w:rPr>
                      <w:rFonts w:hint="default"/>
                      <w:highlight w:val="none"/>
                    </w:rPr>
                    <w:t>、水温监测</w:t>
                  </w:r>
                </w:p>
              </w:tc>
              <w:tc>
                <w:tcPr>
                  <w:tcW w:w="680"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highlight w:val="none"/>
                    </w:rPr>
                  </w:pPr>
                  <w:r>
                    <w:rPr>
                      <w:rFonts w:hint="default"/>
                      <w:highlight w:val="none"/>
                      <w:lang w:val="en-US" w:eastAsia="zh-CN"/>
                    </w:rPr>
                    <w:t>次</w:t>
                  </w:r>
                </w:p>
              </w:tc>
              <w:tc>
                <w:tcPr>
                  <w:tcW w:w="65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62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101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847</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2057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31" w:hRule="atLeast"/>
                <w:jc w:val="center"/>
              </w:trPr>
              <w:tc>
                <w:tcPr>
                  <w:tcW w:w="61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885"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rPr>
                  </w:pPr>
                  <w:r>
                    <w:rPr>
                      <w:rFonts w:hint="default"/>
                      <w:highlight w:val="none"/>
                    </w:rPr>
                    <w:t>地热水水质</w:t>
                  </w:r>
                  <w:r>
                    <w:rPr>
                      <w:rFonts w:hint="default"/>
                      <w:highlight w:val="none"/>
                      <w:lang w:eastAsia="zh-CN"/>
                    </w:rPr>
                    <w:t>监测</w:t>
                  </w:r>
                </w:p>
              </w:tc>
              <w:tc>
                <w:tcPr>
                  <w:tcW w:w="680"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highlight w:val="none"/>
                    </w:rPr>
                  </w:pPr>
                  <w:r>
                    <w:rPr>
                      <w:rFonts w:hint="default"/>
                      <w:highlight w:val="none"/>
                      <w:lang w:val="en-US" w:eastAsia="zh-CN"/>
                    </w:rPr>
                    <w:t>次</w:t>
                  </w:r>
                </w:p>
              </w:tc>
              <w:tc>
                <w:tcPr>
                  <w:tcW w:w="65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62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101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7</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34" w:hRule="atLeast"/>
                <w:jc w:val="center"/>
              </w:trPr>
              <w:tc>
                <w:tcPr>
                  <w:tcW w:w="61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885"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rPr>
                  </w:pPr>
                  <w:r>
                    <w:rPr>
                      <w:rFonts w:hint="default"/>
                      <w:highlight w:val="none"/>
                      <w:lang w:val="en-US" w:eastAsia="zh-CN"/>
                    </w:rPr>
                    <w:t>回灌</w:t>
                  </w:r>
                  <w:r>
                    <w:rPr>
                      <w:rFonts w:hint="default"/>
                      <w:highlight w:val="none"/>
                    </w:rPr>
                    <w:t>井水位、</w:t>
                  </w:r>
                  <w:r>
                    <w:rPr>
                      <w:rFonts w:hint="eastAsia"/>
                      <w:highlight w:val="none"/>
                      <w:lang w:val="en-US" w:eastAsia="zh-CN"/>
                    </w:rPr>
                    <w:t>回灌</w:t>
                  </w:r>
                  <w:r>
                    <w:rPr>
                      <w:rFonts w:hint="default"/>
                      <w:highlight w:val="none"/>
                      <w:lang w:eastAsia="zh-CN"/>
                    </w:rPr>
                    <w:t>水量</w:t>
                  </w:r>
                  <w:r>
                    <w:rPr>
                      <w:rFonts w:hint="default"/>
                      <w:highlight w:val="none"/>
                    </w:rPr>
                    <w:t>、水温监测</w:t>
                  </w:r>
                </w:p>
              </w:tc>
              <w:tc>
                <w:tcPr>
                  <w:tcW w:w="680"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highlight w:val="none"/>
                      <w:lang w:val="en-US" w:eastAsia="zh-CN"/>
                    </w:rPr>
                  </w:pPr>
                  <w:r>
                    <w:rPr>
                      <w:rFonts w:hint="eastAsia"/>
                      <w:highlight w:val="none"/>
                      <w:lang w:val="en-US" w:eastAsia="zh-CN"/>
                    </w:rPr>
                    <w:t>次</w:t>
                  </w:r>
                </w:p>
              </w:tc>
              <w:tc>
                <w:tcPr>
                  <w:tcW w:w="65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62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101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847</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2057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75" w:hRule="atLeast"/>
                <w:jc w:val="center"/>
              </w:trPr>
              <w:tc>
                <w:tcPr>
                  <w:tcW w:w="61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885"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rPr>
                  </w:pPr>
                  <w:r>
                    <w:rPr>
                      <w:rFonts w:hint="default"/>
                      <w:highlight w:val="none"/>
                      <w:lang w:val="en-US" w:eastAsia="zh-CN"/>
                    </w:rPr>
                    <w:t>回灌井</w:t>
                  </w:r>
                  <w:r>
                    <w:rPr>
                      <w:rFonts w:hint="default"/>
                      <w:highlight w:val="none"/>
                    </w:rPr>
                    <w:t>水质检测</w:t>
                  </w:r>
                </w:p>
              </w:tc>
              <w:tc>
                <w:tcPr>
                  <w:tcW w:w="680"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highlight w:val="none"/>
                    </w:rPr>
                  </w:pPr>
                  <w:r>
                    <w:rPr>
                      <w:rFonts w:hint="default"/>
                      <w:highlight w:val="none"/>
                      <w:lang w:val="en-US" w:eastAsia="zh-CN"/>
                    </w:rPr>
                    <w:t>次</w:t>
                  </w:r>
                </w:p>
              </w:tc>
              <w:tc>
                <w:tcPr>
                  <w:tcW w:w="65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62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101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7</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74" w:hRule="atLeast"/>
                <w:jc w:val="center"/>
              </w:trPr>
              <w:tc>
                <w:tcPr>
                  <w:tcW w:w="61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885"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rPr>
                  </w:pPr>
                  <w:r>
                    <w:rPr>
                      <w:rFonts w:hint="default"/>
                      <w:highlight w:val="none"/>
                      <w:lang w:eastAsia="zh-CN"/>
                    </w:rPr>
                    <w:t>输水管线巡查监测</w:t>
                  </w:r>
                </w:p>
              </w:tc>
              <w:tc>
                <w:tcPr>
                  <w:tcW w:w="680"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highlight w:val="none"/>
                    </w:rPr>
                  </w:pPr>
                  <w:r>
                    <w:rPr>
                      <w:rFonts w:hint="default"/>
                      <w:highlight w:val="none"/>
                      <w:lang w:val="en-US" w:eastAsia="zh-CN"/>
                    </w:rPr>
                    <w:t>次</w:t>
                  </w:r>
                </w:p>
              </w:tc>
              <w:tc>
                <w:tcPr>
                  <w:tcW w:w="65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62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101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847</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2057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1" w:hRule="atLeast"/>
                <w:jc w:val="center"/>
              </w:trPr>
              <w:tc>
                <w:tcPr>
                  <w:tcW w:w="61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rPr>
                  </w:pPr>
                </w:p>
              </w:tc>
              <w:tc>
                <w:tcPr>
                  <w:tcW w:w="885"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lang w:val="en-US" w:eastAsia="zh-CN"/>
                    </w:rPr>
                  </w:pPr>
                  <w:r>
                    <w:rPr>
                      <w:rFonts w:hint="default"/>
                      <w:highlight w:val="none"/>
                      <w:lang w:eastAsia="zh-CN"/>
                    </w:rPr>
                    <w:t>地面沉降监测</w:t>
                  </w: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lang w:val="en-US" w:eastAsia="zh-CN"/>
                    </w:rPr>
                  </w:pPr>
                  <w:r>
                    <w:rPr>
                      <w:rFonts w:hint="default"/>
                      <w:highlight w:val="none"/>
                      <w:lang w:eastAsia="zh-CN"/>
                    </w:rPr>
                    <w:t>地面沉降监测</w:t>
                  </w:r>
                </w:p>
              </w:tc>
              <w:tc>
                <w:tcPr>
                  <w:tcW w:w="680"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highlight w:val="none"/>
                      <w:lang w:val="en-US" w:eastAsia="zh-CN"/>
                    </w:rPr>
                  </w:pPr>
                  <w:r>
                    <w:rPr>
                      <w:rFonts w:hint="default"/>
                      <w:highlight w:val="none"/>
                      <w:lang w:val="en-US" w:eastAsia="zh-CN"/>
                    </w:rPr>
                    <w:t>次</w:t>
                  </w:r>
                </w:p>
              </w:tc>
              <w:tc>
                <w:tcPr>
                  <w:tcW w:w="65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62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101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7</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8" w:hRule="atLeast"/>
                <w:jc w:val="center"/>
              </w:trPr>
              <w:tc>
                <w:tcPr>
                  <w:tcW w:w="1501" w:type="dxa"/>
                  <w:gridSpan w:val="2"/>
                  <w:vMerge w:val="restart"/>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lang w:val="en-US" w:eastAsia="zh-CN"/>
                    </w:rPr>
                  </w:pPr>
                  <w:r>
                    <w:rPr>
                      <w:rFonts w:hint="default"/>
                      <w:highlight w:val="none"/>
                      <w:lang w:val="en-US" w:eastAsia="zh-CN"/>
                    </w:rPr>
                    <w:t>地形地貌</w:t>
                  </w:r>
                </w:p>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lang w:val="en-US" w:eastAsia="zh-CN"/>
                    </w:rPr>
                  </w:pPr>
                  <w:r>
                    <w:rPr>
                      <w:rFonts w:hint="default"/>
                      <w:highlight w:val="none"/>
                      <w:lang w:val="en-US" w:eastAsia="zh-CN"/>
                    </w:rPr>
                    <w:t>景观</w:t>
                  </w: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rPr>
                  </w:pPr>
                  <w:r>
                    <w:rPr>
                      <w:rFonts w:hint="default"/>
                      <w:highlight w:val="none"/>
                      <w:lang w:eastAsia="zh-CN"/>
                    </w:rPr>
                    <w:t>闭坑回填</w:t>
                  </w:r>
                </w:p>
              </w:tc>
              <w:tc>
                <w:tcPr>
                  <w:tcW w:w="680"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lang w:val="en-US" w:eastAsia="zh-CN"/>
                    </w:rPr>
                  </w:pPr>
                  <w:r>
                    <w:rPr>
                      <w:rFonts w:hint="default"/>
                      <w:highlight w:val="none"/>
                      <w:lang w:val="en-US" w:eastAsia="zh-CN"/>
                    </w:rPr>
                    <w:t>m</w:t>
                  </w:r>
                  <w:r>
                    <w:rPr>
                      <w:rFonts w:hint="default"/>
                      <w:highlight w:val="none"/>
                      <w:vertAlign w:val="superscript"/>
                      <w:lang w:val="en-US" w:eastAsia="zh-CN"/>
                    </w:rPr>
                    <w:t>3</w:t>
                  </w:r>
                </w:p>
              </w:tc>
              <w:tc>
                <w:tcPr>
                  <w:tcW w:w="65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000000" w:themeColor="text1"/>
                      <w:highlight w:val="none"/>
                      <w:lang w:val="en-US" w:eastAsia="zh-CN"/>
                      <w14:textFill>
                        <w14:solidFill>
                          <w14:schemeClr w14:val="tx1"/>
                        </w14:solidFill>
                      </w14:textFill>
                    </w:rPr>
                  </w:pPr>
                </w:p>
              </w:tc>
              <w:tc>
                <w:tcPr>
                  <w:tcW w:w="62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000000" w:themeColor="text1"/>
                      <w:highlight w:val="none"/>
                      <w14:textFill>
                        <w14:solidFill>
                          <w14:schemeClr w14:val="tx1"/>
                        </w14:solidFill>
                      </w14:textFill>
                    </w:rPr>
                  </w:pPr>
                </w:p>
              </w:tc>
              <w:tc>
                <w:tcPr>
                  <w:tcW w:w="101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5816.25</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5816.25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37" w:hRule="atLeast"/>
                <w:jc w:val="center"/>
              </w:trPr>
              <w:tc>
                <w:tcPr>
                  <w:tcW w:w="1501" w:type="dxa"/>
                  <w:gridSpan w:val="2"/>
                  <w:vMerge w:val="continue"/>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highlight w:val="none"/>
                      <w:lang w:eastAsia="zh-CN"/>
                    </w:rPr>
                  </w:pPr>
                  <w:r>
                    <w:rPr>
                      <w:rFonts w:hint="default"/>
                      <w:highlight w:val="none"/>
                      <w:lang w:eastAsia="zh-CN"/>
                    </w:rPr>
                    <w:t>闭坑拆除</w:t>
                  </w:r>
                </w:p>
              </w:tc>
              <w:tc>
                <w:tcPr>
                  <w:tcW w:w="680"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highlight w:val="none"/>
                      <w:lang w:val="en-US" w:eastAsia="zh-CN"/>
                    </w:rPr>
                  </w:pPr>
                  <w:r>
                    <w:rPr>
                      <w:rFonts w:hint="default"/>
                      <w:highlight w:val="none"/>
                      <w:lang w:val="en-US" w:eastAsia="zh-CN"/>
                    </w:rPr>
                    <w:t>m</w:t>
                  </w:r>
                  <w:r>
                    <w:rPr>
                      <w:rFonts w:hint="default"/>
                      <w:highlight w:val="none"/>
                      <w:vertAlign w:val="superscript"/>
                      <w:lang w:val="en-US" w:eastAsia="zh-CN"/>
                    </w:rPr>
                    <w:t>3</w:t>
                  </w:r>
                </w:p>
              </w:tc>
              <w:tc>
                <w:tcPr>
                  <w:tcW w:w="65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000000" w:themeColor="text1"/>
                      <w:highlight w:val="none"/>
                      <w:lang w:val="en-US" w:eastAsia="zh-CN"/>
                      <w14:textFill>
                        <w14:solidFill>
                          <w14:schemeClr w14:val="tx1"/>
                        </w14:solidFill>
                      </w14:textFill>
                    </w:rPr>
                  </w:pPr>
                </w:p>
              </w:tc>
              <w:tc>
                <w:tcPr>
                  <w:tcW w:w="62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color w:val="000000" w:themeColor="text1"/>
                      <w:highlight w:val="none"/>
                      <w14:textFill>
                        <w14:solidFill>
                          <w14:schemeClr w14:val="tx1"/>
                        </w14:solidFill>
                      </w14:textFill>
                    </w:rPr>
                  </w:pPr>
                </w:p>
              </w:tc>
              <w:tc>
                <w:tcPr>
                  <w:tcW w:w="101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3381.8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3381.8</w:t>
                  </w:r>
                </w:p>
              </w:tc>
            </w:tr>
          </w:tbl>
          <w:p>
            <w:pPr>
              <w:bidi w:val="0"/>
              <w:rPr>
                <w:rFonts w:hint="default"/>
                <w:color w:val="auto"/>
                <w:highlight w:val="none"/>
                <w:lang w:val="en-US" w:eastAsia="zh-CN"/>
              </w:rPr>
            </w:pPr>
            <w:r>
              <w:rPr>
                <w:rFonts w:hint="eastAsia"/>
                <w:color w:val="auto"/>
                <w:highlight w:val="none"/>
                <w:lang w:val="en-US" w:eastAsia="zh-CN"/>
              </w:rPr>
              <w:t>2、经费估算</w:t>
            </w:r>
          </w:p>
          <w:p>
            <w:pPr>
              <w:bidi w:val="0"/>
              <w:rPr>
                <w:color w:val="auto"/>
                <w:highlight w:val="none"/>
              </w:rPr>
            </w:pPr>
            <w:r>
              <w:rPr>
                <w:rFonts w:hint="eastAsia"/>
                <w:color w:val="auto"/>
                <w:highlight w:val="none"/>
              </w:rPr>
              <w:t>近期费用、中远期费用估算和总费用估算见表</w:t>
            </w:r>
            <w:r>
              <w:rPr>
                <w:rFonts w:hint="eastAsia"/>
                <w:color w:val="auto"/>
                <w:highlight w:val="none"/>
                <w:lang w:val="en-US" w:eastAsia="zh-CN"/>
              </w:rPr>
              <w:t>10、11</w:t>
            </w:r>
            <w:r>
              <w:rPr>
                <w:color w:val="auto"/>
                <w:highlight w:val="none"/>
              </w:rPr>
              <w:t>。</w:t>
            </w:r>
          </w:p>
          <w:p>
            <w:pPr>
              <w:spacing w:line="240" w:lineRule="auto"/>
              <w:ind w:firstLine="0" w:firstLineChars="0"/>
              <w:jc w:val="center"/>
              <w:rPr>
                <w:rFonts w:hint="eastAsia" w:ascii="仿宋" w:hAnsi="仿宋" w:eastAsia="仿宋" w:cs="仿宋"/>
                <w:b/>
                <w:bCs/>
                <w:lang w:val="en-US" w:eastAsia="zh-CN"/>
              </w:rPr>
            </w:pPr>
            <w:r>
              <w:rPr>
                <w:rFonts w:hint="eastAsia" w:ascii="仿宋" w:hAnsi="仿宋" w:eastAsia="仿宋" w:cs="仿宋"/>
                <w:b/>
                <w:bCs/>
                <w:lang w:val="en-US" w:eastAsia="zh-CN"/>
              </w:rPr>
              <w:t xml:space="preserve">近期（2022年10月～2027年9月）矿山地质环境治理费用  表10 </w:t>
            </w:r>
          </w:p>
          <w:tbl>
            <w:tblPr>
              <w:tblStyle w:val="14"/>
              <w:tblW w:w="829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1"/>
              <w:gridCol w:w="3757"/>
              <w:gridCol w:w="695"/>
              <w:gridCol w:w="696"/>
              <w:gridCol w:w="1240"/>
              <w:gridCol w:w="12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eastAsia="zh-CN"/>
                    </w:rPr>
                  </w:pPr>
                  <w:r>
                    <w:rPr>
                      <w:rFonts w:hint="eastAsia"/>
                      <w:highlight w:val="none"/>
                      <w:lang w:val="en-US" w:eastAsia="zh-CN"/>
                    </w:rPr>
                    <w:t>序号</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eastAsia="zh-CN"/>
                    </w:rPr>
                  </w:pPr>
                  <w:r>
                    <w:rPr>
                      <w:rFonts w:hint="eastAsia"/>
                      <w:highlight w:val="none"/>
                      <w:lang w:val="en-US" w:eastAsia="zh-CN"/>
                    </w:rPr>
                    <w:t>项目工程名称</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eastAsia="zh-CN"/>
                    </w:rPr>
                  </w:pPr>
                  <w:r>
                    <w:rPr>
                      <w:rFonts w:hint="eastAsia"/>
                      <w:highlight w:val="none"/>
                      <w:lang w:val="en-US" w:eastAsia="zh-CN"/>
                    </w:rPr>
                    <w:t>单位</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eastAsia="zh-CN"/>
                    </w:rPr>
                  </w:pPr>
                  <w:r>
                    <w:rPr>
                      <w:rFonts w:hint="eastAsia"/>
                      <w:highlight w:val="none"/>
                      <w:lang w:val="en-US" w:eastAsia="zh-CN"/>
                    </w:rPr>
                    <w:t>数量</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eastAsia="zh-CN"/>
                    </w:rPr>
                  </w:pPr>
                  <w:r>
                    <w:rPr>
                      <w:rFonts w:hint="eastAsia"/>
                      <w:highlight w:val="none"/>
                      <w:lang w:val="en-US" w:eastAsia="zh-CN"/>
                    </w:rPr>
                    <w:t>单价（元）</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eastAsia="zh-CN"/>
                    </w:rPr>
                  </w:pPr>
                  <w:r>
                    <w:rPr>
                      <w:rFonts w:hint="eastAsia"/>
                      <w:highlight w:val="none"/>
                      <w:lang w:val="en-US" w:eastAsia="zh-CN"/>
                    </w:rPr>
                    <w:t>合计（元）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1</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地热井水位、用水量、水温监测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605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80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48400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2</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地热水水质监测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2500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12500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3</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回灌井水位、回灌水量、水温监测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605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80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48400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4</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回灌井水质监测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2500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12500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5</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输水管线巡查监测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605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50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30250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6</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地面沉降监测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1000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039" w:type="dxa"/>
                  <w:gridSpan w:val="5"/>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eastAsia"/>
                      <w:highlight w:val="none"/>
                      <w:lang w:val="en-US" w:eastAsia="zh-CN"/>
                    </w:rPr>
                    <w:t>小  计</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highlight w:val="none"/>
                      <w:lang w:val="en-US" w:eastAsia="zh-CN"/>
                    </w:rPr>
                  </w:pPr>
                  <w:r>
                    <w:rPr>
                      <w:rFonts w:hint="default"/>
                      <w:highlight w:val="none"/>
                      <w:lang w:val="en-US" w:eastAsia="zh-CN"/>
                    </w:rPr>
                    <w:t>157050</w:t>
                  </w:r>
                </w:p>
              </w:tc>
            </w:tr>
          </w:tbl>
          <w:p>
            <w:pPr>
              <w:spacing w:line="240" w:lineRule="auto"/>
              <w:ind w:firstLine="0" w:firstLineChars="0"/>
              <w:jc w:val="center"/>
              <w:rPr>
                <w:rFonts w:hint="eastAsia" w:ascii="仿宋" w:hAnsi="仿宋" w:eastAsia="仿宋" w:cs="仿宋"/>
                <w:b/>
                <w:bCs/>
                <w:lang w:val="en-US" w:eastAsia="zh-CN"/>
              </w:rPr>
            </w:pPr>
            <w:r>
              <w:rPr>
                <w:rFonts w:hint="eastAsia" w:ascii="仿宋" w:hAnsi="仿宋" w:eastAsia="仿宋" w:cs="仿宋"/>
                <w:b/>
                <w:bCs/>
                <w:lang w:val="en-US" w:eastAsia="zh-CN"/>
              </w:rPr>
              <w:t>中、远期（2027年10月～2039年9月）矿山地质环境治理费用  表11</w:t>
            </w:r>
          </w:p>
          <w:tbl>
            <w:tblPr>
              <w:tblStyle w:val="14"/>
              <w:tblW w:w="827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5"/>
              <w:gridCol w:w="3763"/>
              <w:gridCol w:w="613"/>
              <w:gridCol w:w="1011"/>
              <w:gridCol w:w="1007"/>
              <w:gridCol w:w="12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序号</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项目工程名称</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单位</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数量</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单价（元）</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合计（元）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地热井水位、用水量、水温监测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1452</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116160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地热水水质监测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回灌井水位、回灌水量、水温监测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1452</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116160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回灌井水质监测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输水管线巡查监测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1452</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72600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地面沉降监测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闭坑回填</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w:t>
                  </w:r>
                  <w:r>
                    <w:rPr>
                      <w:rFonts w:hint="default" w:ascii="Times New Roman" w:hAnsi="Times New Roman" w:cs="Times New Roman"/>
                      <w:highlight w:val="none"/>
                      <w:vertAlign w:val="superscript"/>
                      <w:lang w:val="en-US" w:eastAsia="zh-CN"/>
                    </w:rPr>
                    <w:t>3</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5816.25</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13.34</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77588.7</w:t>
                  </w:r>
                  <w:r>
                    <w:rPr>
                      <w:rFonts w:hint="eastAsia" w:ascii="Times New Roman" w:hAnsi="Times New Roman" w:cs="Times New Roman"/>
                      <w:highlight w:val="none"/>
                      <w:lang w:val="en-US" w:eastAsia="zh-CN"/>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闭坑拆除</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w:t>
                  </w:r>
                  <w:r>
                    <w:rPr>
                      <w:rFonts w:hint="default" w:ascii="Times New Roman" w:hAnsi="Times New Roman" w:cs="Times New Roman"/>
                      <w:highlight w:val="none"/>
                      <w:vertAlign w:val="superscript"/>
                      <w:lang w:val="en-US" w:eastAsia="zh-CN"/>
                    </w:rPr>
                    <w:t>3</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3381.8</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61.81</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209029.0</w:t>
                  </w:r>
                  <w:r>
                    <w:rPr>
                      <w:rFonts w:hint="eastAsia" w:ascii="Times New Roman" w:hAnsi="Times New Roman" w:cs="Times New Roman"/>
                      <w:highlight w:val="none"/>
                      <w:lang w:val="en-US" w:eastAsia="zh-CN"/>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039" w:type="dxa"/>
                  <w:gridSpan w:val="5"/>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小</w:t>
                  </w:r>
                  <w:r>
                    <w:rPr>
                      <w:rFonts w:hint="default" w:ascii="Times New Roman" w:hAnsi="Times New Roman" w:cs="Times New Roman"/>
                      <w:highlight w:val="none"/>
                      <w:lang w:val="en-US" w:eastAsia="zh-CN"/>
                    </w:rPr>
                    <w:t xml:space="preserve">  </w:t>
                  </w:r>
                  <w:r>
                    <w:rPr>
                      <w:rFonts w:hint="eastAsia" w:ascii="Times New Roman" w:hAnsi="Times New Roman" w:cs="Times New Roman"/>
                      <w:highlight w:val="none"/>
                      <w:lang w:val="en-US" w:eastAsia="zh-CN"/>
                    </w:rPr>
                    <w:t>计</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675537.8</w:t>
                  </w:r>
                  <w:r>
                    <w:rPr>
                      <w:rFonts w:hint="eastAsia" w:ascii="Times New Roman" w:hAnsi="Times New Roman" w:cs="Times New Roman"/>
                      <w:highlight w:val="none"/>
                      <w:lang w:val="en-US" w:eastAsia="zh-CN"/>
                    </w:rPr>
                    <w:t>3</w:t>
                  </w:r>
                </w:p>
              </w:tc>
            </w:tr>
          </w:tbl>
          <w:p>
            <w:pPr>
              <w:pStyle w:val="4"/>
              <w:bidi w:val="0"/>
              <w:rPr>
                <w:rFonts w:hint="default"/>
                <w:lang w:val="en-US" w:eastAsia="zh-CN"/>
              </w:rPr>
            </w:pPr>
            <w:r>
              <w:rPr>
                <w:rFonts w:hint="eastAsia"/>
                <w:lang w:val="en-US" w:eastAsia="zh-CN"/>
              </w:rPr>
              <w:t>（二）资金来源</w:t>
            </w:r>
          </w:p>
          <w:p>
            <w:pPr>
              <w:bidi w:val="0"/>
              <w:rPr>
                <w:rFonts w:hint="default"/>
                <w:color w:val="auto"/>
                <w:highlight w:val="none"/>
              </w:rPr>
            </w:pPr>
            <w:r>
              <w:rPr>
                <w:rFonts w:hint="default"/>
                <w:color w:val="auto"/>
                <w:highlight w:val="none"/>
              </w:rPr>
              <w:t>本方案矿山地质环境治理估算总费用</w:t>
            </w:r>
            <w:r>
              <w:rPr>
                <w:rFonts w:hint="eastAsia"/>
                <w:color w:val="auto"/>
                <w:highlight w:val="none"/>
                <w:lang w:val="en-US" w:eastAsia="zh-CN"/>
              </w:rPr>
              <w:t>83.26</w:t>
            </w:r>
            <w:r>
              <w:rPr>
                <w:rFonts w:hint="default"/>
                <w:color w:val="auto"/>
                <w:highlight w:val="none"/>
              </w:rPr>
              <w:t>万元</w:t>
            </w:r>
            <w:r>
              <w:rPr>
                <w:rFonts w:hint="eastAsia"/>
                <w:color w:val="auto"/>
                <w:highlight w:val="none"/>
                <w:lang w:eastAsia="zh-CN"/>
              </w:rPr>
              <w:t>（包括近期、中期、远期）</w:t>
            </w:r>
            <w:r>
              <w:rPr>
                <w:rFonts w:hint="default"/>
                <w:color w:val="auto"/>
                <w:highlight w:val="none"/>
                <w:lang w:eastAsia="zh-CN"/>
              </w:rPr>
              <w:t>；适用</w:t>
            </w:r>
            <w:r>
              <w:rPr>
                <w:rFonts w:hint="eastAsia"/>
                <w:color w:val="auto"/>
                <w:highlight w:val="none"/>
                <w:lang w:eastAsia="zh-CN"/>
              </w:rPr>
              <w:t>期内</w:t>
            </w:r>
            <w:r>
              <w:rPr>
                <w:rFonts w:hint="default"/>
                <w:color w:val="auto"/>
                <w:highlight w:val="none"/>
              </w:rPr>
              <w:t>地质环境治理估算总费用</w:t>
            </w:r>
            <w:r>
              <w:rPr>
                <w:rFonts w:hint="eastAsia"/>
                <w:color w:val="auto"/>
                <w:highlight w:val="none"/>
                <w:lang w:val="en-US" w:eastAsia="zh-CN"/>
              </w:rPr>
              <w:t>15.71</w:t>
            </w:r>
            <w:r>
              <w:rPr>
                <w:rFonts w:hint="default"/>
                <w:color w:val="auto"/>
                <w:highlight w:val="none"/>
              </w:rPr>
              <w:t>万元</w:t>
            </w:r>
            <w:r>
              <w:rPr>
                <w:rFonts w:hint="eastAsia"/>
                <w:color w:val="auto"/>
                <w:highlight w:val="none"/>
                <w:lang w:eastAsia="zh-CN"/>
              </w:rPr>
              <w:t>，适用期</w:t>
            </w:r>
            <w:r>
              <w:rPr>
                <w:rFonts w:hint="default"/>
                <w:color w:val="auto"/>
                <w:highlight w:val="none"/>
                <w:lang w:eastAsia="zh-CN"/>
              </w:rPr>
              <w:t>年平均费用</w:t>
            </w:r>
            <w:r>
              <w:rPr>
                <w:rFonts w:hint="eastAsia"/>
                <w:color w:val="auto"/>
                <w:highlight w:val="none"/>
                <w:lang w:val="en-US" w:eastAsia="zh-CN"/>
              </w:rPr>
              <w:t>3.141</w:t>
            </w:r>
            <w:r>
              <w:rPr>
                <w:rFonts w:hint="default"/>
                <w:color w:val="auto"/>
                <w:highlight w:val="none"/>
                <w:lang w:val="en-US" w:eastAsia="zh-CN"/>
              </w:rPr>
              <w:t>万元</w:t>
            </w:r>
            <w:r>
              <w:rPr>
                <w:rFonts w:hint="default"/>
                <w:color w:val="auto"/>
                <w:highlight w:val="none"/>
                <w:lang w:eastAsia="zh-CN"/>
              </w:rPr>
              <w:t>。</w:t>
            </w:r>
            <w:r>
              <w:rPr>
                <w:rFonts w:hint="default"/>
                <w:color w:val="auto"/>
                <w:highlight w:val="none"/>
              </w:rPr>
              <w:t>据</w:t>
            </w:r>
            <w:r>
              <w:rPr>
                <w:rFonts w:hint="eastAsia"/>
                <w:color w:val="auto"/>
                <w:highlight w:val="none"/>
                <w:lang w:eastAsia="zh-CN"/>
              </w:rPr>
              <w:t>“</w:t>
            </w:r>
            <w:r>
              <w:rPr>
                <w:rFonts w:hint="default"/>
                <w:color w:val="auto"/>
                <w:highlight w:val="none"/>
              </w:rPr>
              <w:t>陕西省矿山地质环境治理恢复与土地复垦基金实施办法</w:t>
            </w:r>
            <w:r>
              <w:rPr>
                <w:rFonts w:hint="eastAsia"/>
                <w:color w:val="auto"/>
                <w:highlight w:val="none"/>
                <w:lang w:eastAsia="zh-CN"/>
              </w:rPr>
              <w:t>”</w:t>
            </w:r>
            <w:r>
              <w:rPr>
                <w:rFonts w:hint="default"/>
                <w:color w:val="auto"/>
                <w:highlight w:val="none"/>
              </w:rPr>
              <w:t>，地热</w:t>
            </w:r>
            <w:r>
              <w:rPr>
                <w:rFonts w:hint="default"/>
                <w:color w:val="auto"/>
                <w:highlight w:val="none"/>
                <w:lang w:eastAsia="zh-CN"/>
              </w:rPr>
              <w:t>月</w:t>
            </w:r>
            <w:r>
              <w:rPr>
                <w:rFonts w:hint="default"/>
                <w:color w:val="auto"/>
                <w:highlight w:val="none"/>
              </w:rPr>
              <w:t>基金计提数额：原矿</w:t>
            </w:r>
            <w:r>
              <w:rPr>
                <w:rFonts w:hint="default"/>
                <w:color w:val="auto"/>
                <w:highlight w:val="none"/>
                <w:lang w:eastAsia="zh-CN"/>
              </w:rPr>
              <w:t>月</w:t>
            </w:r>
            <w:r>
              <w:rPr>
                <w:rFonts w:hint="default"/>
                <w:color w:val="auto"/>
                <w:highlight w:val="none"/>
              </w:rPr>
              <w:t>销售收入×矿种系数×开采系数×地区系数=</w:t>
            </w:r>
            <w:r>
              <w:rPr>
                <w:rFonts w:hint="eastAsia"/>
                <w:color w:val="auto"/>
                <w:highlight w:val="none"/>
                <w:lang w:val="en-US" w:eastAsia="zh-CN"/>
              </w:rPr>
              <w:t>913140</w:t>
            </w:r>
            <w:r>
              <w:rPr>
                <w:rFonts w:hint="default"/>
                <w:color w:val="auto"/>
                <w:highlight w:val="none"/>
              </w:rPr>
              <w:t>元/</w:t>
            </w:r>
            <w:r>
              <w:rPr>
                <w:rFonts w:hint="default"/>
                <w:color w:val="auto"/>
                <w:highlight w:val="none"/>
                <w:lang w:eastAsia="zh-CN"/>
              </w:rPr>
              <w:t>月</w:t>
            </w:r>
            <w:r>
              <w:rPr>
                <w:rFonts w:hint="default"/>
                <w:color w:val="auto"/>
                <w:highlight w:val="none"/>
              </w:rPr>
              <w:t>×0.2%×1.0×1.1=</w:t>
            </w:r>
            <w:r>
              <w:rPr>
                <w:rFonts w:hint="eastAsia"/>
                <w:color w:val="auto"/>
                <w:highlight w:val="none"/>
                <w:lang w:val="en-US" w:eastAsia="zh-CN"/>
              </w:rPr>
              <w:t>2008.91</w:t>
            </w:r>
            <w:r>
              <w:rPr>
                <w:rFonts w:hint="default"/>
                <w:color w:val="auto"/>
                <w:highlight w:val="none"/>
              </w:rPr>
              <w:t>元/</w:t>
            </w:r>
            <w:r>
              <w:rPr>
                <w:rFonts w:hint="default"/>
                <w:color w:val="auto"/>
                <w:highlight w:val="none"/>
                <w:lang w:eastAsia="zh-CN"/>
              </w:rPr>
              <w:t>月，累计年计提基金数</w:t>
            </w:r>
            <w:r>
              <w:rPr>
                <w:rFonts w:hint="eastAsia"/>
                <w:color w:val="auto"/>
                <w:highlight w:val="none"/>
                <w:lang w:val="en-US" w:eastAsia="zh-CN"/>
              </w:rPr>
              <w:t>24106.92</w:t>
            </w:r>
            <w:r>
              <w:rPr>
                <w:rFonts w:hint="default"/>
                <w:color w:val="auto"/>
                <w:highlight w:val="none"/>
                <w:lang w:val="en-US" w:eastAsia="zh-CN"/>
              </w:rPr>
              <w:t>元</w:t>
            </w:r>
            <w:r>
              <w:rPr>
                <w:rFonts w:hint="default"/>
                <w:color w:val="auto"/>
                <w:highlight w:val="none"/>
              </w:rPr>
              <w:t>；由于本方案估算的所需费用大于计提基金数，按照本方案估算的所需费用计提。矿山地质环境治理经费均由矿山单位自筹。</w:t>
            </w:r>
          </w:p>
          <w:p>
            <w:pPr>
              <w:pStyle w:val="3"/>
              <w:bidi w:val="0"/>
              <w:rPr>
                <w:rFonts w:hint="eastAsia"/>
              </w:rPr>
            </w:pPr>
            <w:bookmarkStart w:id="37" w:name="_Toc11803"/>
            <w:bookmarkStart w:id="38" w:name="_Toc609"/>
            <w:bookmarkStart w:id="39" w:name="_Toc25783"/>
            <w:r>
              <w:rPr>
                <w:rFonts w:hint="eastAsia"/>
                <w:lang w:eastAsia="zh-CN"/>
              </w:rPr>
              <w:t>七、保证措施及</w:t>
            </w:r>
            <w:r>
              <w:rPr>
                <w:rFonts w:hint="eastAsia"/>
              </w:rPr>
              <w:t>效益分析</w:t>
            </w:r>
            <w:bookmarkEnd w:id="37"/>
            <w:bookmarkEnd w:id="38"/>
            <w:bookmarkEnd w:id="39"/>
          </w:p>
          <w:p>
            <w:pPr>
              <w:pStyle w:val="4"/>
              <w:bidi w:val="0"/>
              <w:rPr>
                <w:rFonts w:hint="eastAsia"/>
                <w:lang w:eastAsia="zh-CN"/>
              </w:rPr>
            </w:pPr>
            <w:bookmarkStart w:id="40" w:name="_Toc347090411"/>
            <w:bookmarkStart w:id="41" w:name="_Toc344990010"/>
            <w:bookmarkStart w:id="42" w:name="_Toc360615408"/>
            <w:bookmarkStart w:id="43" w:name="_Toc376602657"/>
            <w:bookmarkStart w:id="44" w:name="_Toc369190161"/>
            <w:bookmarkStart w:id="45" w:name="_Toc376602576"/>
            <w:r>
              <w:rPr>
                <w:rFonts w:hint="eastAsia"/>
                <w:lang w:eastAsia="zh-CN"/>
              </w:rPr>
              <w:t>（一）保证措施</w:t>
            </w:r>
          </w:p>
          <w:p>
            <w:pPr>
              <w:pStyle w:val="5"/>
              <w:bidi w:val="0"/>
              <w:rPr>
                <w:rFonts w:hint="default"/>
                <w:lang w:val="en-US" w:eastAsia="zh-CN"/>
              </w:rPr>
            </w:pPr>
            <w:r>
              <w:rPr>
                <w:rFonts w:hint="eastAsia"/>
                <w:lang w:val="en-US" w:eastAsia="zh-CN"/>
              </w:rPr>
              <w:t>1、组织措施</w:t>
            </w:r>
          </w:p>
          <w:p>
            <w:pPr>
              <w:spacing w:before="211" w:line="359" w:lineRule="auto"/>
              <w:ind w:left="141" w:right="105" w:firstLine="538"/>
              <w:rPr>
                <w:rFonts w:ascii="宋体" w:hAnsi="宋体" w:eastAsia="宋体" w:cs="宋体"/>
                <w:sz w:val="24"/>
                <w:szCs w:val="24"/>
              </w:rPr>
            </w:pPr>
            <w:r>
              <w:rPr>
                <w:rFonts w:ascii="宋体" w:hAnsi="宋体" w:eastAsia="宋体" w:cs="宋体"/>
                <w:spacing w:val="-11"/>
                <w:sz w:val="24"/>
                <w:szCs w:val="24"/>
              </w:rPr>
              <w:t>按照“谁开发，谁保护，谁治理，谁复垦”的原则，明确本方案实施</w:t>
            </w:r>
            <w:r>
              <w:rPr>
                <w:rFonts w:ascii="宋体" w:hAnsi="宋体" w:eastAsia="宋体" w:cs="宋体"/>
                <w:sz w:val="24"/>
                <w:szCs w:val="24"/>
              </w:rPr>
              <w:t xml:space="preserve"> </w:t>
            </w:r>
            <w:r>
              <w:rPr>
                <w:rFonts w:ascii="宋体" w:hAnsi="宋体" w:eastAsia="宋体" w:cs="宋体"/>
                <w:spacing w:val="-9"/>
                <w:sz w:val="24"/>
                <w:szCs w:val="24"/>
              </w:rPr>
              <w:t>的</w:t>
            </w:r>
            <w:r>
              <w:rPr>
                <w:rFonts w:ascii="宋体" w:hAnsi="宋体" w:eastAsia="宋体" w:cs="宋体"/>
                <w:spacing w:val="-5"/>
                <w:sz w:val="24"/>
                <w:szCs w:val="24"/>
              </w:rPr>
              <w:t>组织机构及其职责。</w:t>
            </w:r>
          </w:p>
          <w:p>
            <w:pPr>
              <w:spacing w:line="359" w:lineRule="auto"/>
              <w:ind w:left="120" w:right="106" w:firstLine="577"/>
              <w:rPr>
                <w:rFonts w:ascii="宋体" w:hAnsi="宋体" w:eastAsia="宋体" w:cs="宋体"/>
                <w:sz w:val="24"/>
                <w:szCs w:val="24"/>
              </w:rPr>
            </w:pPr>
            <w:r>
              <w:rPr>
                <w:rFonts w:hint="eastAsia" w:ascii="宋体" w:hAnsi="宋体" w:eastAsia="宋体" w:cs="宋体"/>
                <w:spacing w:val="-6"/>
                <w:sz w:val="24"/>
                <w:szCs w:val="24"/>
                <w:lang w:eastAsia="zh-CN"/>
              </w:rPr>
              <w:t>（</w:t>
            </w:r>
            <w:r>
              <w:rPr>
                <w:rFonts w:hint="eastAsia" w:ascii="宋体" w:hAnsi="宋体" w:eastAsia="宋体" w:cs="宋体"/>
                <w:spacing w:val="-6"/>
                <w:sz w:val="24"/>
                <w:szCs w:val="24"/>
                <w:lang w:val="en-US" w:eastAsia="zh-CN"/>
              </w:rPr>
              <w:t>1</w:t>
            </w:r>
            <w:r>
              <w:rPr>
                <w:rFonts w:hint="eastAsia" w:ascii="宋体" w:hAnsi="宋体" w:eastAsia="宋体" w:cs="宋体"/>
                <w:spacing w:val="-6"/>
                <w:sz w:val="24"/>
                <w:szCs w:val="24"/>
                <w:lang w:eastAsia="zh-CN"/>
              </w:rPr>
              <w:t>）</w:t>
            </w:r>
            <w:r>
              <w:rPr>
                <w:rFonts w:ascii="宋体" w:hAnsi="宋体" w:eastAsia="宋体" w:cs="宋体"/>
                <w:spacing w:val="-6"/>
                <w:sz w:val="24"/>
                <w:szCs w:val="24"/>
              </w:rPr>
              <w:t>把矿</w:t>
            </w:r>
            <w:r>
              <w:rPr>
                <w:rFonts w:ascii="宋体" w:hAnsi="宋体" w:eastAsia="宋体" w:cs="宋体"/>
                <w:spacing w:val="-4"/>
                <w:sz w:val="24"/>
                <w:szCs w:val="24"/>
              </w:rPr>
              <w:t>山</w:t>
            </w:r>
            <w:r>
              <w:rPr>
                <w:rFonts w:ascii="宋体" w:hAnsi="宋体" w:eastAsia="宋体" w:cs="宋体"/>
                <w:spacing w:val="-3"/>
                <w:sz w:val="24"/>
                <w:szCs w:val="24"/>
              </w:rPr>
              <w:t>地质环境保护和土地复垦工作列为矿山管理工作的重点。实</w:t>
            </w:r>
            <w:r>
              <w:rPr>
                <w:rFonts w:ascii="宋体" w:hAnsi="宋体" w:eastAsia="宋体" w:cs="宋体"/>
                <w:sz w:val="24"/>
                <w:szCs w:val="24"/>
              </w:rPr>
              <w:t xml:space="preserve"> </w:t>
            </w:r>
            <w:r>
              <w:rPr>
                <w:rFonts w:ascii="宋体" w:hAnsi="宋体" w:eastAsia="宋体" w:cs="宋体"/>
                <w:spacing w:val="2"/>
                <w:sz w:val="24"/>
                <w:szCs w:val="24"/>
              </w:rPr>
              <w:t>行法人负责制，矿山企业法人是矿山地质环境保护与</w:t>
            </w:r>
            <w:r>
              <w:rPr>
                <w:rFonts w:ascii="宋体" w:hAnsi="宋体" w:eastAsia="宋体" w:cs="宋体"/>
                <w:spacing w:val="1"/>
                <w:sz w:val="24"/>
                <w:szCs w:val="24"/>
              </w:rPr>
              <w:t>土地复垦的第一责任</w:t>
            </w:r>
            <w:r>
              <w:rPr>
                <w:rFonts w:ascii="宋体" w:hAnsi="宋体" w:eastAsia="宋体" w:cs="宋体"/>
                <w:spacing w:val="-13"/>
                <w:sz w:val="24"/>
                <w:szCs w:val="24"/>
              </w:rPr>
              <w:t>人。</w:t>
            </w:r>
          </w:p>
          <w:p>
            <w:pPr>
              <w:spacing w:before="1" w:line="359" w:lineRule="auto"/>
              <w:ind w:left="119" w:right="110" w:firstLine="561"/>
              <w:rPr>
                <w:rFonts w:ascii="宋体" w:hAnsi="宋体" w:eastAsia="宋体" w:cs="宋体"/>
                <w:sz w:val="24"/>
                <w:szCs w:val="24"/>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2</w:t>
            </w:r>
            <w:r>
              <w:rPr>
                <w:rFonts w:hint="eastAsia" w:ascii="宋体" w:hAnsi="宋体" w:eastAsia="宋体" w:cs="宋体"/>
                <w:spacing w:val="-3"/>
                <w:sz w:val="24"/>
                <w:szCs w:val="24"/>
                <w:lang w:eastAsia="zh-CN"/>
              </w:rPr>
              <w:t>）</w:t>
            </w:r>
            <w:r>
              <w:rPr>
                <w:rFonts w:ascii="宋体" w:hAnsi="宋体" w:eastAsia="宋体" w:cs="宋体"/>
                <w:spacing w:val="-3"/>
                <w:sz w:val="24"/>
                <w:szCs w:val="24"/>
              </w:rPr>
              <w:t>成立地质环境保护与土地复垦项目领导机构，负责该矿山地质</w:t>
            </w:r>
            <w:r>
              <w:rPr>
                <w:rFonts w:ascii="宋体" w:hAnsi="宋体" w:eastAsia="宋体" w:cs="宋体"/>
                <w:spacing w:val="-2"/>
                <w:sz w:val="24"/>
                <w:szCs w:val="24"/>
              </w:rPr>
              <w:t>环</w:t>
            </w:r>
            <w:r>
              <w:rPr>
                <w:rFonts w:ascii="宋体" w:hAnsi="宋体" w:eastAsia="宋体" w:cs="宋体"/>
                <w:sz w:val="24"/>
                <w:szCs w:val="24"/>
              </w:rPr>
              <w:t xml:space="preserve">境 </w:t>
            </w:r>
            <w:r>
              <w:rPr>
                <w:rFonts w:ascii="宋体" w:hAnsi="宋体" w:eastAsia="宋体" w:cs="宋体"/>
                <w:spacing w:val="-4"/>
                <w:sz w:val="24"/>
                <w:szCs w:val="24"/>
              </w:rPr>
              <w:t>保护与</w:t>
            </w:r>
            <w:r>
              <w:rPr>
                <w:rFonts w:ascii="宋体" w:hAnsi="宋体" w:eastAsia="宋体" w:cs="宋体"/>
                <w:spacing w:val="-3"/>
                <w:sz w:val="24"/>
                <w:szCs w:val="24"/>
              </w:rPr>
              <w:t>土</w:t>
            </w:r>
            <w:r>
              <w:rPr>
                <w:rFonts w:ascii="宋体" w:hAnsi="宋体" w:eastAsia="宋体" w:cs="宋体"/>
                <w:spacing w:val="-2"/>
                <w:sz w:val="24"/>
                <w:szCs w:val="24"/>
              </w:rPr>
              <w:t>地复垦工作组织和实施。</w:t>
            </w:r>
          </w:p>
          <w:p>
            <w:pPr>
              <w:spacing w:before="1" w:line="359" w:lineRule="auto"/>
              <w:ind w:left="117" w:right="12" w:firstLine="565"/>
              <w:rPr>
                <w:rFonts w:ascii="宋体" w:hAnsi="宋体" w:eastAsia="宋体" w:cs="宋体"/>
                <w:sz w:val="24"/>
                <w:szCs w:val="24"/>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3</w:t>
            </w:r>
            <w:r>
              <w:rPr>
                <w:rFonts w:hint="eastAsia" w:ascii="宋体" w:hAnsi="宋体" w:eastAsia="宋体" w:cs="宋体"/>
                <w:spacing w:val="-3"/>
                <w:sz w:val="24"/>
                <w:szCs w:val="24"/>
                <w:lang w:eastAsia="zh-CN"/>
              </w:rPr>
              <w:t>）</w:t>
            </w:r>
            <w:r>
              <w:rPr>
                <w:rFonts w:ascii="宋体" w:hAnsi="宋体" w:eastAsia="宋体" w:cs="宋体"/>
                <w:spacing w:val="-3"/>
                <w:sz w:val="24"/>
                <w:szCs w:val="24"/>
              </w:rPr>
              <w:t>接受行政主管部门的监督、管理。了解项目所在地国土资源行政</w:t>
            </w:r>
            <w:r>
              <w:rPr>
                <w:rFonts w:ascii="宋体" w:hAnsi="宋体" w:eastAsia="宋体" w:cs="宋体"/>
                <w:spacing w:val="-1"/>
                <w:sz w:val="24"/>
                <w:szCs w:val="24"/>
              </w:rPr>
              <w:t>主</w:t>
            </w:r>
            <w:r>
              <w:rPr>
                <w:rFonts w:ascii="宋体" w:hAnsi="宋体" w:eastAsia="宋体" w:cs="宋体"/>
                <w:sz w:val="24"/>
                <w:szCs w:val="24"/>
              </w:rPr>
              <w:t xml:space="preserve"> </w:t>
            </w:r>
            <w:r>
              <w:rPr>
                <w:rFonts w:ascii="宋体" w:hAnsi="宋体" w:eastAsia="宋体" w:cs="宋体"/>
                <w:spacing w:val="2"/>
                <w:sz w:val="24"/>
                <w:szCs w:val="24"/>
              </w:rPr>
              <w:t>管部门的职责，积极加强国土资源部门的沟通、联系，按计划实施</w:t>
            </w:r>
            <w:r>
              <w:rPr>
                <w:rFonts w:ascii="宋体" w:hAnsi="宋体" w:eastAsia="宋体" w:cs="宋体"/>
                <w:sz w:val="24"/>
                <w:szCs w:val="24"/>
              </w:rPr>
              <w:t>矿山企</w:t>
            </w:r>
            <w:r>
              <w:rPr>
                <w:rFonts w:ascii="宋体" w:hAnsi="宋体" w:eastAsia="宋体" w:cs="宋体"/>
                <w:spacing w:val="-8"/>
                <w:sz w:val="24"/>
                <w:szCs w:val="24"/>
              </w:rPr>
              <w:t>业地质环境保护与土地复垦工作，同时接受</w:t>
            </w:r>
            <w:r>
              <w:rPr>
                <w:rFonts w:hint="eastAsia" w:ascii="宋体" w:hAnsi="宋体" w:eastAsia="宋体" w:cs="宋体"/>
                <w:spacing w:val="-8"/>
                <w:sz w:val="24"/>
                <w:szCs w:val="24"/>
                <w:lang w:eastAsia="zh-CN"/>
              </w:rPr>
              <w:t>自然资源</w:t>
            </w:r>
            <w:r>
              <w:rPr>
                <w:rFonts w:ascii="宋体" w:hAnsi="宋体" w:eastAsia="宋体" w:cs="宋体"/>
                <w:spacing w:val="-8"/>
                <w:sz w:val="24"/>
                <w:szCs w:val="24"/>
              </w:rPr>
              <w:t>资源行政管理部门的管理</w:t>
            </w:r>
            <w:r>
              <w:rPr>
                <w:rFonts w:ascii="宋体" w:hAnsi="宋体" w:eastAsia="宋体" w:cs="宋体"/>
                <w:spacing w:val="-3"/>
                <w:sz w:val="24"/>
                <w:szCs w:val="24"/>
              </w:rPr>
              <w:t>、</w:t>
            </w:r>
            <w:r>
              <w:rPr>
                <w:rFonts w:ascii="宋体" w:hAnsi="宋体" w:eastAsia="宋体" w:cs="宋体"/>
                <w:spacing w:val="-1"/>
                <w:sz w:val="24"/>
                <w:szCs w:val="24"/>
              </w:rPr>
              <w:t>监督、技术指导和审核</w:t>
            </w:r>
            <w:r>
              <w:rPr>
                <w:rFonts w:ascii="宋体" w:hAnsi="宋体" w:eastAsia="宋体" w:cs="宋体"/>
                <w:sz w:val="24"/>
                <w:szCs w:val="24"/>
              </w:rPr>
              <w:t>、验收等工作。</w:t>
            </w:r>
          </w:p>
          <w:p>
            <w:pPr>
              <w:pStyle w:val="5"/>
              <w:bidi w:val="0"/>
              <w:rPr>
                <w:rFonts w:hint="eastAsia" w:ascii="Times New Roman" w:hAnsi="Times New Roman" w:eastAsia="宋体" w:cs="Times New Roman"/>
                <w:b/>
                <w:lang w:val="en-US" w:eastAsia="zh-CN"/>
              </w:rPr>
            </w:pPr>
            <w:r>
              <w:rPr>
                <w:rFonts w:hint="eastAsia" w:ascii="Times New Roman" w:hAnsi="Times New Roman" w:eastAsia="宋体" w:cs="Times New Roman"/>
                <w:b/>
                <w:lang w:val="en-US" w:eastAsia="zh-CN"/>
              </w:rPr>
              <w:t>2、技术保障</w:t>
            </w:r>
          </w:p>
          <w:p>
            <w:pPr>
              <w:spacing w:before="1" w:line="359" w:lineRule="auto"/>
              <w:ind w:left="117" w:right="12" w:firstLine="565"/>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1</w:t>
            </w:r>
            <w:r>
              <w:rPr>
                <w:rFonts w:hint="eastAsia" w:ascii="宋体" w:hAnsi="宋体" w:eastAsia="宋体" w:cs="宋体"/>
                <w:spacing w:val="-3"/>
                <w:sz w:val="24"/>
                <w:szCs w:val="24"/>
                <w:lang w:eastAsia="zh-CN"/>
              </w:rPr>
              <w:t>）方案实施中，应根据矿山地质环境保护与土复垦内容相关力雄厚的技术单位合作，编制阶段计划和年度及时总结性经验的技术单位合作，编制阶段计划和年度及时总结性经验的技术单位合作，编制阶段计划和年度 及时总结性经验修订本方案，并用于后期恢复治理实践中；</w:t>
            </w:r>
          </w:p>
          <w:p>
            <w:pPr>
              <w:spacing w:before="1" w:line="359" w:lineRule="auto"/>
              <w:ind w:left="117" w:right="12" w:firstLine="565"/>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2</w:t>
            </w:r>
            <w:r>
              <w:rPr>
                <w:rFonts w:hint="eastAsia" w:ascii="宋体" w:hAnsi="宋体" w:eastAsia="宋体" w:cs="宋体"/>
                <w:spacing w:val="-3"/>
                <w:sz w:val="24"/>
                <w:szCs w:val="24"/>
                <w:lang w:eastAsia="zh-CN"/>
              </w:rPr>
              <w:t>）加强与相关技术单位的合作，对国内外具有先进复垦治理学习研究，及时吸取经验完善复垦治理措施；</w:t>
            </w:r>
          </w:p>
          <w:p>
            <w:pPr>
              <w:spacing w:before="1" w:line="359" w:lineRule="auto"/>
              <w:ind w:left="117" w:right="12" w:firstLine="565"/>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3</w:t>
            </w:r>
            <w:r>
              <w:rPr>
                <w:rFonts w:hint="eastAsia" w:ascii="宋体" w:hAnsi="宋体" w:eastAsia="宋体" w:cs="宋体"/>
                <w:spacing w:val="-3"/>
                <w:sz w:val="24"/>
                <w:szCs w:val="24"/>
                <w:lang w:eastAsia="zh-CN"/>
              </w:rPr>
              <w:t>）根据实际生产情况，进一步完善地质环境保护与恢复治理方案，拓 展报告编制的深度和广做到所有治理工程遵循地质环境保护与恢复治理方案；</w:t>
            </w:r>
          </w:p>
          <w:p>
            <w:pPr>
              <w:spacing w:before="1" w:line="359" w:lineRule="auto"/>
              <w:ind w:left="117" w:right="12" w:firstLine="565"/>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4</w:t>
            </w:r>
            <w:r>
              <w:rPr>
                <w:rFonts w:hint="eastAsia" w:ascii="宋体" w:hAnsi="宋体" w:eastAsia="宋体" w:cs="宋体"/>
                <w:spacing w:val="-3"/>
                <w:sz w:val="24"/>
                <w:szCs w:val="24"/>
                <w:lang w:eastAsia="zh-CN"/>
              </w:rPr>
              <w:t>）建设、施工等各项工作严格按照有关规定，按年度有序进行。</w:t>
            </w:r>
          </w:p>
          <w:p>
            <w:pPr>
              <w:spacing w:before="1" w:line="359" w:lineRule="auto"/>
              <w:ind w:left="117" w:right="12" w:firstLine="565"/>
              <w:rPr>
                <w:rFonts w:hint="eastAsia" w:ascii="宋体" w:hAnsi="宋体" w:cs="宋体"/>
                <w:spacing w:val="-3"/>
                <w:sz w:val="24"/>
                <w:szCs w:val="24"/>
                <w:lang w:eastAsia="zh-CN"/>
              </w:rPr>
            </w:pPr>
            <w:r>
              <w:rPr>
                <w:rFonts w:hint="eastAsia" w:ascii="宋体" w:hAnsi="宋体" w:cs="宋体"/>
                <w:spacing w:val="-3"/>
                <w:sz w:val="24"/>
                <w:szCs w:val="24"/>
                <w:lang w:eastAsia="zh-CN"/>
              </w:rPr>
              <w:t>（</w:t>
            </w:r>
            <w:r>
              <w:rPr>
                <w:rFonts w:hint="eastAsia" w:ascii="宋体" w:hAnsi="宋体" w:cs="宋体"/>
                <w:spacing w:val="-3"/>
                <w:sz w:val="24"/>
                <w:szCs w:val="24"/>
                <w:lang w:val="en-US" w:eastAsia="zh-CN"/>
              </w:rPr>
              <w:t>5</w:t>
            </w:r>
            <w:r>
              <w:rPr>
                <w:rFonts w:hint="eastAsia" w:ascii="宋体" w:hAnsi="宋体" w:cs="宋体"/>
                <w:spacing w:val="-3"/>
                <w:sz w:val="24"/>
                <w:szCs w:val="24"/>
                <w:lang w:eastAsia="zh-CN"/>
              </w:rPr>
              <w:t>）</w:t>
            </w:r>
            <w:r>
              <w:rPr>
                <w:rFonts w:hint="eastAsia" w:ascii="宋体" w:hAnsi="宋体" w:eastAsia="宋体" w:cs="宋体"/>
                <w:spacing w:val="-3"/>
                <w:sz w:val="24"/>
                <w:szCs w:val="24"/>
                <w:lang w:eastAsia="zh-CN"/>
              </w:rPr>
              <w:t>选择有技术优势和较强社会责任感的监理单位，委派技术人员与</w:t>
            </w:r>
            <w:r>
              <w:rPr>
                <w:rFonts w:hint="eastAsia" w:ascii="宋体" w:hAnsi="宋体" w:cs="宋体"/>
                <w:spacing w:val="-3"/>
                <w:sz w:val="24"/>
                <w:szCs w:val="24"/>
                <w:lang w:eastAsia="zh-CN"/>
              </w:rPr>
              <w:t>矿权单位</w:t>
            </w:r>
            <w:r>
              <w:rPr>
                <w:rFonts w:hint="eastAsia" w:ascii="宋体" w:hAnsi="宋体" w:eastAsia="宋体" w:cs="宋体"/>
                <w:spacing w:val="-3"/>
                <w:sz w:val="24"/>
                <w:szCs w:val="24"/>
                <w:lang w:eastAsia="zh-CN"/>
              </w:rPr>
              <w:t>密切合作，确保质量</w:t>
            </w:r>
            <w:r>
              <w:rPr>
                <w:rFonts w:hint="eastAsia" w:ascii="宋体" w:hAnsi="宋体" w:cs="宋体"/>
                <w:spacing w:val="-3"/>
                <w:sz w:val="24"/>
                <w:szCs w:val="24"/>
                <w:lang w:eastAsia="zh-CN"/>
              </w:rPr>
              <w:t>；</w:t>
            </w:r>
          </w:p>
          <w:p>
            <w:pPr>
              <w:spacing w:before="1" w:line="359" w:lineRule="auto"/>
              <w:ind w:left="117" w:right="12" w:firstLine="565"/>
              <w:rPr>
                <w:rFonts w:hint="eastAsia" w:ascii="宋体" w:hAnsi="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6</w:t>
            </w:r>
            <w:r>
              <w:rPr>
                <w:rFonts w:hint="eastAsia" w:ascii="宋体" w:hAnsi="宋体" w:eastAsia="宋体" w:cs="宋体"/>
                <w:spacing w:val="-3"/>
                <w:sz w:val="24"/>
                <w:szCs w:val="24"/>
                <w:lang w:eastAsia="zh-CN"/>
              </w:rPr>
              <w:t>）定期培训技术人员、咨询相关专家开展科学实验、引进先进技术，以及对地质环境保护与恢复治理情况进行动态监测和评价</w:t>
            </w:r>
            <w:r>
              <w:rPr>
                <w:rFonts w:hint="eastAsia" w:ascii="宋体" w:hAnsi="宋体" w:cs="宋体"/>
                <w:spacing w:val="-3"/>
                <w:sz w:val="24"/>
                <w:szCs w:val="24"/>
                <w:lang w:eastAsia="zh-CN"/>
              </w:rPr>
              <w:t>。</w:t>
            </w:r>
          </w:p>
          <w:p>
            <w:pPr>
              <w:pStyle w:val="4"/>
              <w:bidi w:val="0"/>
              <w:rPr>
                <w:rFonts w:hint="eastAsia"/>
                <w:lang w:eastAsia="zh-CN"/>
              </w:rPr>
            </w:pPr>
            <w:r>
              <w:rPr>
                <w:rFonts w:hint="eastAsia"/>
                <w:lang w:eastAsia="zh-CN"/>
              </w:rPr>
              <w:t>（二）资金保障</w:t>
            </w:r>
          </w:p>
          <w:p>
            <w:pPr>
              <w:pStyle w:val="5"/>
              <w:bidi w:val="0"/>
              <w:rPr>
                <w:rFonts w:hint="eastAsia"/>
                <w:lang w:eastAsia="zh-CN"/>
              </w:rPr>
            </w:pPr>
            <w:r>
              <w:rPr>
                <w:rFonts w:hint="eastAsia"/>
                <w:lang w:eastAsia="zh-CN"/>
              </w:rPr>
              <w:t>1、资金来源</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根据“谁损毁谁复垦”及“谁开发谁保护，谁破坏谁治理，谁投资谁受益"的原则，矿山地质环境保护与土地复垦资金来源为矿山开采企业所提取的治理恢复基金。根据陕西省自然资源厅、财政厅、环境保护厅2018年7月12日印发的《陕西省矿山地质环境治理恢复与土地复垦基金实施办法》的通知(陕国土资发【2018】92号)，矿山企业应在银行设立专用账户，单独设置“矿山地质环境治理恢复与土地复垦基金”会计科目，反映基金的提取与使用情况。</w:t>
            </w:r>
          </w:p>
          <w:p>
            <w:pPr>
              <w:pStyle w:val="5"/>
              <w:bidi w:val="0"/>
              <w:rPr>
                <w:rFonts w:hint="eastAsia"/>
                <w:lang w:eastAsia="zh-CN"/>
              </w:rPr>
            </w:pPr>
            <w:r>
              <w:rPr>
                <w:rFonts w:hint="eastAsia"/>
                <w:lang w:eastAsia="zh-CN"/>
              </w:rPr>
              <w:t>2、资金的管理与使用</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矿山地质环境保护与土地复垦工程涉及资金量较大，要保证资金和项目发挥最佳效益，就必须制定好矿山开采方案，严格规范项目的设计和施工管理，因此，本矿山地质环境保护与恢复治理方案的资金管理与使用必须按下列规定执行：</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（1）资金管理与使用应遵循“企业所有、政府监管、专户存储、专款专用”的原则，任何单位和个人不得截留和挪用项目资金；</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（2）矿山地质环境与土地复垦资金先计划后使用；要建立、健全项目会计核算和内部稽核制度，对项目资金实行全过程的财务管理与监督，要严格项目资金竣工决算；</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（3）国土资源行政主管部门县审核批准矿山地质环境保护与恢复治理计划，然后按照批复的治理计划使用资金；</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（4）矿山地质环境保护与恢复治理资金使用，接受社会和群众监督。</w:t>
            </w:r>
          </w:p>
          <w:p>
            <w:pPr>
              <w:pStyle w:val="4"/>
              <w:bidi w:val="0"/>
              <w:rPr>
                <w:rFonts w:hint="eastAsia"/>
                <w:lang w:eastAsia="zh-CN"/>
              </w:rPr>
            </w:pPr>
            <w:r>
              <w:rPr>
                <w:rFonts w:hint="eastAsia"/>
                <w:lang w:eastAsia="zh-CN"/>
              </w:rPr>
              <w:t>（三）监管保障</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1、建设单位要加强对开发建设活动的监督管理，成立专业的技术监督队伍，预防人为活动造成新的矿山地质环境问题和土地损毁，并及时对开发建设活动造成的矿山地质环境问题和土地损毁进行治理，确保工程质量。</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2、方案经批准后，建设单位应主动与各级国土资源行政主管部门联系，接受地方国土资源行政主管部门的监督检查。</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3、当地国土资源行政主管部门确定专人负责该方案的实施情况监督和检查，采取定期与不定期相结合的办法，检查方案实施进度和施工质量。</w:t>
            </w:r>
          </w:p>
          <w:p>
            <w:pPr>
              <w:spacing w:before="1" w:line="359" w:lineRule="auto"/>
              <w:ind w:left="117" w:right="12" w:firstLine="565"/>
              <w:rPr>
                <w:rFonts w:hint="eastAsia"/>
                <w:lang w:val="en-US" w:eastAsia="zh-CN"/>
              </w:rPr>
            </w:pPr>
            <w:r>
              <w:rPr>
                <w:rFonts w:hint="eastAsia" w:ascii="宋体" w:hAnsi="宋体" w:cs="宋体"/>
                <w:spacing w:val="-3"/>
                <w:sz w:val="24"/>
                <w:szCs w:val="24"/>
                <w:lang w:val="en-US" w:eastAsia="zh-CN"/>
              </w:rPr>
              <w:t>4、建立一整套完善的监督机制，做好矿山地质环境保护的监督，对工程管护质量差，要追究有关单位的责任，并对直接负责人也要予以追究。</w:t>
            </w:r>
          </w:p>
          <w:p>
            <w:pPr>
              <w:pStyle w:val="4"/>
              <w:bidi w:val="0"/>
              <w:rPr>
                <w:rFonts w:hint="eastAsia"/>
                <w:lang w:eastAsia="zh-CN"/>
              </w:rPr>
            </w:pPr>
            <w:r>
              <w:rPr>
                <w:rFonts w:hint="eastAsia"/>
                <w:lang w:eastAsia="zh-CN"/>
              </w:rPr>
              <w:t>（四）经济效益分析</w:t>
            </w:r>
          </w:p>
          <w:p>
            <w:pPr>
              <w:pStyle w:val="5"/>
              <w:bidi w:val="0"/>
              <w:rPr>
                <w:rFonts w:hint="eastAsia"/>
                <w:lang w:val="en-US" w:eastAsia="zh-CN"/>
              </w:rPr>
            </w:pPr>
            <w:r>
              <w:rPr>
                <w:rFonts w:hint="eastAsia"/>
                <w:lang w:val="en-US" w:eastAsia="zh-CN"/>
              </w:rPr>
              <w:t>1、社会效益</w:t>
            </w:r>
            <w:bookmarkEnd w:id="40"/>
            <w:bookmarkEnd w:id="41"/>
            <w:bookmarkEnd w:id="42"/>
            <w:bookmarkEnd w:id="43"/>
            <w:bookmarkEnd w:id="44"/>
            <w:bookmarkEnd w:id="45"/>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本次矿山地质环境治理可以有效保证矿产资源开发利用与生态环境的可持续发展，促进生态文明的建设；可以预防地质环境问题的发生，保护人民生命财产的安全；有利于社会的团结和稳定，促进社会进步。</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eastAsia" w:ascii="Times New Roman" w:hAnsi="Times New Roman" w:eastAsia="宋体" w:cs="Times New Roman"/>
                <w:snapToGrid w:val="0"/>
                <w:color w:val="auto"/>
                <w:sz w:val="24"/>
                <w:szCs w:val="24"/>
                <w:lang w:eastAsia="zh-CN"/>
              </w:rPr>
              <w:t>项目采用采灌井组进行地热供暖，仅利用地热能</w:t>
            </w:r>
            <w:r>
              <w:rPr>
                <w:rFonts w:hint="default" w:ascii="Times New Roman" w:hAnsi="Times New Roman" w:eastAsia="宋体" w:cs="Times New Roman"/>
                <w:snapToGrid w:val="0"/>
                <w:color w:val="auto"/>
                <w:sz w:val="24"/>
                <w:szCs w:val="24"/>
              </w:rPr>
              <w:t>资源</w:t>
            </w:r>
            <w:r>
              <w:rPr>
                <w:rFonts w:hint="eastAsia" w:ascii="Times New Roman" w:hAnsi="Times New Roman" w:eastAsia="宋体" w:cs="Times New Roman"/>
                <w:snapToGrid w:val="0"/>
                <w:color w:val="auto"/>
                <w:sz w:val="24"/>
                <w:szCs w:val="24"/>
                <w:lang w:eastAsia="zh-CN"/>
              </w:rPr>
              <w:t>，“取水不耗水”，</w:t>
            </w:r>
            <w:r>
              <w:rPr>
                <w:rFonts w:hint="default" w:ascii="Times New Roman" w:hAnsi="Times New Roman" w:eastAsia="宋体" w:cs="Times New Roman"/>
                <w:snapToGrid w:val="0"/>
                <w:color w:val="auto"/>
                <w:sz w:val="24"/>
                <w:szCs w:val="24"/>
              </w:rPr>
              <w:t>取用的地热</w:t>
            </w:r>
            <w:r>
              <w:rPr>
                <w:rFonts w:hint="eastAsia" w:ascii="Times New Roman" w:hAnsi="Times New Roman" w:eastAsia="宋体" w:cs="Times New Roman"/>
                <w:snapToGrid w:val="0"/>
                <w:color w:val="auto"/>
                <w:sz w:val="24"/>
                <w:szCs w:val="24"/>
                <w:lang w:eastAsia="zh-CN"/>
              </w:rPr>
              <w:t>能</w:t>
            </w:r>
            <w:r>
              <w:rPr>
                <w:rFonts w:hint="default" w:ascii="Times New Roman" w:hAnsi="Times New Roman" w:eastAsia="宋体" w:cs="Times New Roman"/>
                <w:snapToGrid w:val="0"/>
                <w:color w:val="auto"/>
                <w:sz w:val="24"/>
                <w:szCs w:val="24"/>
              </w:rPr>
              <w:t>资源属新型</w:t>
            </w:r>
            <w:r>
              <w:rPr>
                <w:rFonts w:hint="eastAsia" w:ascii="Times New Roman" w:hAnsi="Times New Roman" w:eastAsia="宋体" w:cs="Times New Roman"/>
                <w:snapToGrid w:val="0"/>
                <w:color w:val="auto"/>
                <w:sz w:val="24"/>
                <w:szCs w:val="24"/>
                <w:lang w:eastAsia="zh-CN"/>
              </w:rPr>
              <w:t>可再生</w:t>
            </w:r>
            <w:r>
              <w:rPr>
                <w:rFonts w:hint="default" w:ascii="Times New Roman" w:hAnsi="Times New Roman" w:eastAsia="宋体" w:cs="Times New Roman"/>
                <w:snapToGrid w:val="0"/>
                <w:color w:val="auto"/>
                <w:sz w:val="24"/>
                <w:szCs w:val="24"/>
              </w:rPr>
              <w:t>能源，与</w:t>
            </w:r>
            <w:r>
              <w:rPr>
                <w:rFonts w:hint="eastAsia" w:ascii="Times New Roman" w:hAnsi="Times New Roman" w:eastAsia="宋体" w:cs="Times New Roman"/>
                <w:snapToGrid w:val="0"/>
                <w:color w:val="auto"/>
                <w:sz w:val="24"/>
                <w:szCs w:val="24"/>
                <w:lang w:val="en-US" w:eastAsia="zh-CN"/>
              </w:rPr>
              <w:t>煤炭</w:t>
            </w:r>
            <w:r>
              <w:rPr>
                <w:rFonts w:hint="default" w:ascii="Times New Roman" w:hAnsi="Times New Roman" w:eastAsia="宋体" w:cs="Times New Roman"/>
                <w:snapToGrid w:val="0"/>
                <w:color w:val="auto"/>
                <w:sz w:val="24"/>
                <w:szCs w:val="24"/>
              </w:rPr>
              <w:t>、石油和天然气等传统能源相比，具有投资少、见效快</w:t>
            </w:r>
            <w:r>
              <w:rPr>
                <w:rFonts w:hint="eastAsia" w:ascii="Times New Roman" w:hAnsi="Times New Roman" w:eastAsia="宋体" w:cs="Times New Roman"/>
                <w:snapToGrid w:val="0"/>
                <w:color w:val="auto"/>
                <w:sz w:val="24"/>
                <w:szCs w:val="24"/>
                <w:lang w:eastAsia="zh-CN"/>
              </w:rPr>
              <w:t>、</w:t>
            </w:r>
            <w:r>
              <w:rPr>
                <w:rFonts w:hint="default" w:ascii="Times New Roman" w:hAnsi="Times New Roman" w:eastAsia="宋体" w:cs="Times New Roman"/>
                <w:snapToGrid w:val="0"/>
                <w:color w:val="auto"/>
                <w:sz w:val="24"/>
                <w:szCs w:val="24"/>
                <w:lang w:val="en-US" w:eastAsia="zh-CN"/>
              </w:rPr>
              <w:t>清洁环保、稳定可靠</w:t>
            </w:r>
            <w:r>
              <w:rPr>
                <w:rFonts w:hint="default" w:ascii="Times New Roman" w:hAnsi="Times New Roman" w:eastAsia="宋体" w:cs="Times New Roman"/>
                <w:snapToGrid w:val="0"/>
                <w:color w:val="auto"/>
                <w:sz w:val="24"/>
                <w:szCs w:val="24"/>
              </w:rPr>
              <w:t>和可持续利用的特点。</w:t>
            </w:r>
          </w:p>
          <w:p>
            <w:pPr>
              <w:pStyle w:val="5"/>
              <w:bidi w:val="0"/>
              <w:rPr>
                <w:rFonts w:hint="eastAsia"/>
              </w:rPr>
            </w:pPr>
            <w:bookmarkStart w:id="46" w:name="_Toc344990011"/>
            <w:bookmarkStart w:id="47" w:name="_Toc347090412"/>
            <w:bookmarkStart w:id="48" w:name="_Toc376602658"/>
            <w:bookmarkStart w:id="49" w:name="_Toc369190162"/>
            <w:bookmarkStart w:id="50" w:name="_Toc360615409"/>
            <w:bookmarkStart w:id="51" w:name="_Toc376602577"/>
            <w:r>
              <w:rPr>
                <w:rFonts w:hint="eastAsia"/>
                <w:lang w:val="en-US" w:eastAsia="zh-CN"/>
              </w:rPr>
              <w:t>2、</w:t>
            </w:r>
            <w:r>
              <w:rPr>
                <w:rFonts w:hint="eastAsia"/>
              </w:rPr>
              <w:t>环境效益</w:t>
            </w:r>
            <w:bookmarkEnd w:id="46"/>
            <w:bookmarkEnd w:id="47"/>
            <w:bookmarkEnd w:id="48"/>
            <w:bookmarkEnd w:id="49"/>
            <w:bookmarkEnd w:id="50"/>
            <w:bookmarkEnd w:id="51"/>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本次矿山地质环境治理可以有效预防地质环境问题的发生，以避免对含水层、地形地貌景观、水土环境等造成不良影响。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本次矿山地质环境治理可以建设生态文明矿区，可以有效促进区域经济与环境的协调发展，</w:t>
            </w:r>
            <w:r>
              <w:rPr>
                <w:rFonts w:hint="eastAsia" w:cs="Times New Roman"/>
                <w:snapToGrid w:val="0"/>
                <w:color w:val="auto"/>
                <w:sz w:val="24"/>
                <w:szCs w:val="24"/>
                <w:lang w:eastAsia="zh-CN"/>
              </w:rPr>
              <w:t>使西咸新区秦汉新城</w:t>
            </w:r>
            <w:r>
              <w:rPr>
                <w:rFonts w:hint="default" w:ascii="Times New Roman" w:hAnsi="Times New Roman" w:eastAsia="宋体" w:cs="Times New Roman"/>
                <w:snapToGrid w:val="0"/>
                <w:color w:val="auto"/>
                <w:sz w:val="24"/>
                <w:szCs w:val="24"/>
              </w:rPr>
              <w:t>整体环境优美、生态文明的有利保障。</w:t>
            </w:r>
          </w:p>
          <w:p>
            <w:pPr>
              <w:pStyle w:val="5"/>
              <w:bidi w:val="0"/>
              <w:rPr>
                <w:rFonts w:hint="eastAsia"/>
              </w:rPr>
            </w:pPr>
            <w:bookmarkStart w:id="52" w:name="_Toc347090413"/>
            <w:bookmarkStart w:id="53" w:name="_Toc376602659"/>
            <w:bookmarkStart w:id="54" w:name="_Toc369190163"/>
            <w:bookmarkStart w:id="55" w:name="_Toc344990012"/>
            <w:bookmarkStart w:id="56" w:name="_Toc376602578"/>
            <w:bookmarkStart w:id="57" w:name="_Toc360615410"/>
            <w:r>
              <w:rPr>
                <w:rFonts w:hint="eastAsia"/>
                <w:lang w:val="en-US" w:eastAsia="zh-CN"/>
              </w:rPr>
              <w:t>3、</w:t>
            </w:r>
            <w:r>
              <w:rPr>
                <w:rFonts w:hint="eastAsia"/>
              </w:rPr>
              <w:t>经济效益</w:t>
            </w:r>
            <w:bookmarkEnd w:id="52"/>
            <w:bookmarkEnd w:id="53"/>
            <w:bookmarkEnd w:id="54"/>
            <w:bookmarkEnd w:id="55"/>
            <w:bookmarkEnd w:id="56"/>
            <w:bookmarkEnd w:id="57"/>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（1）矿山地质环境治理的实施，需要人力、物力，在一定程度上可以增加当地居民就业，增加当地居民的收入。</w:t>
            </w:r>
          </w:p>
          <w:p>
            <w:pPr>
              <w:pStyle w:val="2"/>
              <w:rPr>
                <w:rFonts w:hint="default"/>
                <w:lang w:val="en-US" w:eastAsia="zh-CN"/>
              </w:rPr>
            </w:pPr>
            <w:r>
              <w:rPr>
                <w:rFonts w:hint="default" w:ascii="Times New Roman" w:hAnsi="Times New Roman" w:eastAsia="宋体" w:cs="Times New Roman"/>
                <w:color w:val="auto"/>
                <w:sz w:val="24"/>
                <w:szCs w:val="24"/>
              </w:rPr>
              <w:t>（2）</w:t>
            </w:r>
            <w:r>
              <w:rPr>
                <w:rFonts w:hint="default" w:ascii="Times New Roman" w:hAnsi="Times New Roman" w:eastAsia="宋体" w:cs="Times New Roman"/>
                <w:bCs/>
                <w:color w:val="auto"/>
                <w:sz w:val="24"/>
                <w:szCs w:val="24"/>
              </w:rPr>
              <w:t>本次</w:t>
            </w:r>
            <w:r>
              <w:rPr>
                <w:rFonts w:hint="default" w:ascii="Times New Roman" w:hAnsi="Times New Roman" w:eastAsia="宋体" w:cs="Times New Roman"/>
                <w:bCs/>
                <w:color w:val="auto"/>
                <w:sz w:val="24"/>
                <w:szCs w:val="24"/>
                <w:lang w:eastAsia="zh-CN"/>
              </w:rPr>
              <w:t>地热井工程位于</w:t>
            </w:r>
            <w:r>
              <w:rPr>
                <w:rFonts w:hint="eastAsia" w:cs="Times New Roman"/>
                <w:bCs/>
                <w:color w:val="auto"/>
                <w:sz w:val="24"/>
                <w:szCs w:val="24"/>
                <w:lang w:eastAsia="zh-CN"/>
              </w:rPr>
              <w:t>西咸新区</w:t>
            </w:r>
            <w:r>
              <w:rPr>
                <w:rFonts w:hint="default" w:ascii="Times New Roman" w:hAnsi="Times New Roman" w:eastAsia="宋体" w:cs="Times New Roman"/>
                <w:bCs/>
                <w:color w:val="auto"/>
                <w:sz w:val="24"/>
                <w:szCs w:val="24"/>
                <w:lang w:eastAsia="zh-CN"/>
              </w:rPr>
              <w:t>内，</w:t>
            </w:r>
            <w:r>
              <w:rPr>
                <w:rFonts w:hint="eastAsia" w:cs="Times New Roman"/>
                <w:bCs/>
                <w:color w:val="auto"/>
                <w:sz w:val="24"/>
                <w:szCs w:val="24"/>
                <w:lang w:eastAsia="zh-CN"/>
              </w:rPr>
              <w:t>曾是我国首批旅游城市、全国地热城、全国十佳宜居城市，</w:t>
            </w:r>
            <w:r>
              <w:rPr>
                <w:rFonts w:hint="default" w:ascii="Times New Roman" w:hAnsi="Times New Roman" w:eastAsia="宋体" w:cs="Times New Roman"/>
                <w:color w:val="auto"/>
                <w:sz w:val="24"/>
                <w:szCs w:val="24"/>
              </w:rPr>
              <w:t>是集</w:t>
            </w:r>
            <w:r>
              <w:rPr>
                <w:rFonts w:hint="default" w:ascii="Times New Roman" w:hAnsi="Times New Roman" w:eastAsia="宋体" w:cs="Times New Roman"/>
                <w:bCs/>
                <w:color w:val="auto"/>
                <w:sz w:val="24"/>
                <w:szCs w:val="24"/>
              </w:rPr>
              <w:t>观光、购物、娱乐于一体的综合旅游度假</w:t>
            </w:r>
            <w:r>
              <w:rPr>
                <w:rFonts w:hint="eastAsia" w:cs="Times New Roman"/>
                <w:bCs/>
                <w:color w:val="auto"/>
                <w:sz w:val="24"/>
                <w:szCs w:val="24"/>
                <w:lang w:eastAsia="zh-CN"/>
              </w:rPr>
              <w:t>城市</w:t>
            </w:r>
            <w:r>
              <w:rPr>
                <w:rFonts w:hint="default" w:ascii="Times New Roman" w:hAnsi="Times New Roman" w:eastAsia="宋体" w:cs="Times New Roman"/>
                <w:color w:val="auto"/>
                <w:sz w:val="24"/>
                <w:szCs w:val="24"/>
              </w:rPr>
              <w:t>，对地热水的需求十分强烈</w:t>
            </w:r>
            <w:r>
              <w:rPr>
                <w:rFonts w:hint="default" w:ascii="Times New Roman" w:hAnsi="Times New Roman" w:eastAsia="宋体" w:cs="Times New Roman"/>
                <w:bCs/>
                <w:color w:val="000000" w:themeColor="text1"/>
                <w:sz w:val="24"/>
                <w:szCs w:val="24"/>
                <w14:textFill>
                  <w14:solidFill>
                    <w14:schemeClr w14:val="tx1"/>
                  </w14:solidFill>
                </w14:textFill>
              </w:rPr>
              <w:t>。</w:t>
            </w:r>
          </w:p>
        </w:tc>
      </w:tr>
    </w:tbl>
    <w:p>
      <w:pPr>
        <w:pStyle w:val="2"/>
        <w:ind w:left="0" w:leftChars="0" w:firstLine="0" w:firstLineChars="0"/>
        <w:rPr>
          <w:rFonts w:hint="eastAsia" w:eastAsia="宋体"/>
          <w:lang w:eastAsia="zh-CN"/>
        </w:rPr>
        <w:sectPr>
          <w:footerReference r:id="rId6" w:type="default"/>
          <w:pgSz w:w="11906" w:h="16838"/>
          <w:pgMar w:top="1440" w:right="1800" w:bottom="1440" w:left="1800" w:header="851" w:footer="992" w:gutter="0"/>
          <w:pgNumType w:fmt="decimal"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rPr>
          <w:rFonts w:hint="eastAsia"/>
          <w:lang w:val="en-US" w:eastAsia="zh-CN"/>
        </w:rPr>
        <w:t>附表1 矿山地质环境现状调查表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宋体" w:eastAsia="黑体"/>
          <w:bCs/>
          <w:sz w:val="28"/>
          <w:szCs w:val="28"/>
        </w:rPr>
      </w:pPr>
      <w:r>
        <w:rPr>
          <w:rFonts w:hint="eastAsia" w:ascii="黑体" w:hAnsi="宋体" w:eastAsia="黑体"/>
          <w:bCs/>
          <w:sz w:val="28"/>
          <w:szCs w:val="28"/>
        </w:rPr>
        <w:t>矿山地质环境现状调查表</w:t>
      </w:r>
    </w:p>
    <w:tbl>
      <w:tblPr>
        <w:tblStyle w:val="14"/>
        <w:tblW w:w="1471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0"/>
        <w:gridCol w:w="581"/>
        <w:gridCol w:w="497"/>
        <w:gridCol w:w="662"/>
        <w:gridCol w:w="716"/>
        <w:gridCol w:w="297"/>
        <w:gridCol w:w="589"/>
        <w:gridCol w:w="821"/>
        <w:gridCol w:w="745"/>
        <w:gridCol w:w="80"/>
        <w:gridCol w:w="832"/>
        <w:gridCol w:w="187"/>
        <w:gridCol w:w="240"/>
        <w:gridCol w:w="160"/>
        <w:gridCol w:w="589"/>
        <w:gridCol w:w="589"/>
        <w:gridCol w:w="907"/>
        <w:gridCol w:w="589"/>
        <w:gridCol w:w="319"/>
        <w:gridCol w:w="753"/>
        <w:gridCol w:w="146"/>
        <w:gridCol w:w="707"/>
        <w:gridCol w:w="213"/>
        <w:gridCol w:w="9"/>
        <w:gridCol w:w="602"/>
        <w:gridCol w:w="1239"/>
        <w:gridCol w:w="7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矿山</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概况</w:t>
            </w: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企业名称</w:t>
            </w:r>
          </w:p>
        </w:tc>
        <w:tc>
          <w:tcPr>
            <w:tcW w:w="3830"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中石化绿源地热能（陕西）开发有限公司</w:t>
            </w:r>
          </w:p>
        </w:tc>
        <w:tc>
          <w:tcPr>
            <w:tcW w:w="109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通讯地址</w:t>
            </w:r>
          </w:p>
        </w:tc>
        <w:tc>
          <w:tcPr>
            <w:tcW w:w="4146" w:type="dxa"/>
            <w:gridSpan w:val="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陕西省咸阳市秦都区中华西路4号建设大厦14层</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邮编</w:t>
            </w:r>
          </w:p>
        </w:tc>
        <w:tc>
          <w:tcPr>
            <w:tcW w:w="82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712000</w:t>
            </w:r>
          </w:p>
        </w:tc>
        <w:tc>
          <w:tcPr>
            <w:tcW w:w="12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法人代表</w:t>
            </w:r>
          </w:p>
        </w:tc>
        <w:tc>
          <w:tcPr>
            <w:tcW w:w="7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刘斌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电    话</w:t>
            </w:r>
          </w:p>
        </w:tc>
        <w:tc>
          <w:tcPr>
            <w:tcW w:w="13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029-38037700</w:t>
            </w:r>
          </w:p>
        </w:tc>
        <w:tc>
          <w:tcPr>
            <w:tcW w:w="88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传真</w:t>
            </w:r>
          </w:p>
        </w:tc>
        <w:tc>
          <w:tcPr>
            <w:tcW w:w="8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029-33258003</w:t>
            </w:r>
          </w:p>
        </w:tc>
        <w:tc>
          <w:tcPr>
            <w:tcW w:w="82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坐标</w:t>
            </w:r>
          </w:p>
        </w:tc>
        <w:tc>
          <w:tcPr>
            <w:tcW w:w="5165" w:type="dxa"/>
            <w:gridSpan w:val="10"/>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X</w:t>
            </w:r>
            <w:r>
              <w:rPr>
                <w:rFonts w:hint="default" w:ascii="Times New Roman" w:hAnsi="Times New Roman" w:cs="Times New Roman"/>
                <w:bCs/>
                <w:sz w:val="18"/>
                <w:szCs w:val="18"/>
              </w:rPr>
              <w:t>：</w:t>
            </w:r>
            <w:r>
              <w:rPr>
                <w:rFonts w:hint="eastAsia" w:cs="Times New Roman"/>
                <w:color w:val="000000"/>
                <w:kern w:val="0"/>
                <w:sz w:val="18"/>
                <w:szCs w:val="18"/>
                <w:lang w:val="en-US" w:eastAsia="zh-CN" w:bidi="ar"/>
              </w:rPr>
              <w:t>3806301.24</w:t>
            </w:r>
            <w:r>
              <w:rPr>
                <w:rFonts w:hint="default" w:ascii="Times New Roman" w:hAnsi="Times New Roman" w:cs="Times New Roman"/>
                <w:bCs/>
                <w:sz w:val="18"/>
                <w:szCs w:val="18"/>
              </w:rPr>
              <w:t>～</w:t>
            </w:r>
            <w:r>
              <w:rPr>
                <w:rFonts w:hint="eastAsia" w:cs="Times New Roman"/>
                <w:bCs/>
                <w:sz w:val="18"/>
                <w:szCs w:val="18"/>
                <w:lang w:val="en-US" w:eastAsia="zh-CN"/>
              </w:rPr>
              <w:t>3806701.24</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Y</w:t>
            </w:r>
            <w:r>
              <w:rPr>
                <w:rFonts w:hint="default" w:ascii="Times New Roman" w:hAnsi="Times New Roman" w:cs="Times New Roman"/>
                <w:bCs/>
                <w:sz w:val="18"/>
                <w:szCs w:val="18"/>
              </w:rPr>
              <w:t>：</w:t>
            </w:r>
            <w:r>
              <w:rPr>
                <w:rFonts w:hint="eastAsia" w:cs="Times New Roman"/>
                <w:bCs/>
                <w:sz w:val="18"/>
                <w:szCs w:val="18"/>
                <w:lang w:val="en-US" w:eastAsia="zh-CN"/>
              </w:rPr>
              <w:t>36566354.91</w:t>
            </w:r>
            <w:r>
              <w:rPr>
                <w:rFonts w:hint="default" w:ascii="Times New Roman" w:hAnsi="Times New Roman" w:cs="Times New Roman"/>
                <w:bCs/>
                <w:sz w:val="18"/>
                <w:szCs w:val="18"/>
              </w:rPr>
              <w:t>～</w:t>
            </w:r>
            <w:r>
              <w:rPr>
                <w:rFonts w:hint="eastAsia" w:cs="Times New Roman"/>
                <w:bCs/>
                <w:sz w:val="18"/>
                <w:szCs w:val="18"/>
                <w:lang w:val="en-US" w:eastAsia="zh-CN"/>
              </w:rPr>
              <w:t>36566754.91</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矿类</w:t>
            </w:r>
          </w:p>
        </w:tc>
        <w:tc>
          <w:tcPr>
            <w:tcW w:w="82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液体</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矿产</w:t>
            </w:r>
          </w:p>
        </w:tc>
        <w:tc>
          <w:tcPr>
            <w:tcW w:w="12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    种</w:t>
            </w:r>
          </w:p>
        </w:tc>
        <w:tc>
          <w:tcPr>
            <w:tcW w:w="7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企业规模</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小型</w:t>
            </w:r>
          </w:p>
        </w:tc>
        <w:tc>
          <w:tcPr>
            <w:tcW w:w="2084" w:type="dxa"/>
            <w:gridSpan w:val="5"/>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设计生产能力/10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t/a</w:t>
            </w:r>
          </w:p>
        </w:tc>
        <w:tc>
          <w:tcPr>
            <w:tcW w:w="2245" w:type="dxa"/>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16</w:t>
            </w:r>
          </w:p>
        </w:tc>
        <w:tc>
          <w:tcPr>
            <w:tcW w:w="1661"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设计服务年限</w:t>
            </w:r>
          </w:p>
        </w:tc>
        <w:tc>
          <w:tcPr>
            <w:tcW w:w="3673" w:type="dxa"/>
            <w:gridSpan w:val="7"/>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30</w:t>
            </w:r>
            <w:r>
              <w:rPr>
                <w:rFonts w:hint="default" w:ascii="Times New Roman" w:hAnsi="Times New Roman" w:cs="Times New Roman"/>
                <w:bCs/>
                <w:sz w:val="18"/>
                <w:szCs w:val="18"/>
              </w:rPr>
              <w: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经济类型</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中外</w:t>
            </w:r>
            <w:r>
              <w:rPr>
                <w:rFonts w:hint="default" w:ascii="Times New Roman" w:hAnsi="Times New Roman" w:cs="Times New Roman"/>
                <w:bCs/>
                <w:sz w:val="18"/>
                <w:szCs w:val="18"/>
              </w:rPr>
              <w:t>投资</w:t>
            </w:r>
          </w:p>
        </w:tc>
        <w:tc>
          <w:tcPr>
            <w:tcW w:w="2084" w:type="dxa"/>
            <w:gridSpan w:val="5"/>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245" w:type="dxa"/>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61"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3673" w:type="dxa"/>
            <w:gridSpan w:val="7"/>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矿山面积/Km</w:t>
            </w:r>
            <w:r>
              <w:rPr>
                <w:rFonts w:hint="default" w:ascii="Times New Roman" w:hAnsi="Times New Roman" w:cs="Times New Roman"/>
                <w:bCs/>
                <w:sz w:val="18"/>
                <w:szCs w:val="18"/>
                <w:vertAlign w:val="superscript"/>
              </w:rPr>
              <w:t>2</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default" w:ascii="Times New Roman" w:hAnsi="Times New Roman" w:cs="Times New Roman"/>
                <w:bCs/>
                <w:sz w:val="18"/>
                <w:szCs w:val="18"/>
              </w:rPr>
              <w:t>0.</w:t>
            </w:r>
            <w:r>
              <w:rPr>
                <w:rFonts w:hint="eastAsia" w:cs="Times New Roman"/>
                <w:bCs/>
                <w:sz w:val="18"/>
                <w:szCs w:val="18"/>
                <w:lang w:val="en-US" w:eastAsia="zh-CN"/>
              </w:rPr>
              <w:t>16</w:t>
            </w: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实际生产能力/10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t/a</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16</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已服务年限</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15</w:t>
            </w:r>
            <w:r>
              <w:rPr>
                <w:rFonts w:hint="default" w:ascii="Times New Roman" w:hAnsi="Times New Roman" w:cs="Times New Roman"/>
                <w:bCs/>
                <w:sz w:val="18"/>
                <w:szCs w:val="18"/>
              </w:rPr>
              <w:t>年</w:t>
            </w:r>
          </w:p>
        </w:tc>
        <w:tc>
          <w:tcPr>
            <w:tcW w:w="824" w:type="dxa"/>
            <w:gridSpan w:val="3"/>
            <w:tcBorders>
              <w:righ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开采深度/m</w:t>
            </w:r>
          </w:p>
        </w:tc>
        <w:tc>
          <w:tcPr>
            <w:tcW w:w="1996" w:type="dxa"/>
            <w:gridSpan w:val="2"/>
            <w:tcBorders>
              <w:lef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5"/>
                <w:szCs w:val="15"/>
              </w:rPr>
            </w:pPr>
            <w:r>
              <w:rPr>
                <w:rFonts w:hint="eastAsia" w:cs="Times New Roman"/>
                <w:bCs/>
                <w:sz w:val="18"/>
                <w:szCs w:val="18"/>
                <w:lang w:val="en-US" w:eastAsia="zh-CN"/>
              </w:rPr>
              <w:t>文热4</w:t>
            </w:r>
            <w:r>
              <w:rPr>
                <w:rFonts w:hint="default" w:ascii="Times New Roman" w:hAnsi="Times New Roman" w:cs="Times New Roman"/>
                <w:bCs/>
                <w:sz w:val="18"/>
                <w:szCs w:val="18"/>
              </w:rPr>
              <w:t>井：1430.9-2873.2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2"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建矿时间</w:t>
            </w:r>
          </w:p>
        </w:tc>
        <w:tc>
          <w:tcPr>
            <w:tcW w:w="1707"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2007.11</w:t>
            </w: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生产现状</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正常生产</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FF0000"/>
                <w:sz w:val="18"/>
                <w:szCs w:val="18"/>
              </w:rPr>
            </w:pPr>
            <w:r>
              <w:rPr>
                <w:rFonts w:hint="default" w:ascii="Times New Roman" w:hAnsi="Times New Roman" w:cs="Times New Roman"/>
                <w:bCs/>
                <w:sz w:val="18"/>
                <w:szCs w:val="18"/>
              </w:rPr>
              <w:t>采空区面积/m</w:t>
            </w:r>
            <w:r>
              <w:rPr>
                <w:rFonts w:hint="default" w:ascii="Times New Roman" w:hAnsi="Times New Roman" w:cs="Times New Roman"/>
                <w:bCs/>
                <w:sz w:val="18"/>
                <w:szCs w:val="18"/>
                <w:vertAlign w:val="superscript"/>
              </w:rPr>
              <w:t>2</w:t>
            </w:r>
          </w:p>
        </w:tc>
        <w:tc>
          <w:tcPr>
            <w:tcW w:w="3673"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2"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0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采矿方式</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地下开采</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开采层位</w:t>
            </w:r>
          </w:p>
        </w:tc>
        <w:tc>
          <w:tcPr>
            <w:tcW w:w="3673"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文热4</w:t>
            </w:r>
            <w:r>
              <w:rPr>
                <w:rFonts w:hint="default" w:ascii="Times New Roman" w:hAnsi="Times New Roman" w:cs="Times New Roman"/>
                <w:bCs/>
                <w:sz w:val="18"/>
                <w:szCs w:val="18"/>
              </w:rPr>
              <w:t>井：蓝田灞河组、高陵群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土地</w:t>
            </w: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工业场地</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排土场</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固体废弃物堆</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地面塌陷</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总计</w:t>
            </w:r>
          </w:p>
        </w:tc>
        <w:tc>
          <w:tcPr>
            <w:tcW w:w="1996"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已治理面积/m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67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41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6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17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4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90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81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99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67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41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6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17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4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90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1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FF0000"/>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破坏土地情况/m</w:t>
            </w:r>
            <w:r>
              <w:rPr>
                <w:rFonts w:hint="default" w:ascii="Times New Roman" w:hAnsi="Times New Roman" w:cs="Times New Roman"/>
                <w:bCs/>
                <w:sz w:val="18"/>
                <w:szCs w:val="18"/>
                <w:vertAlign w:val="superscript"/>
              </w:rPr>
              <w:t>2</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采矿固体废弃物排放</w:t>
            </w: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类 型</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年排放量/10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年综合利用量/10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累计积存量/10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主要利用方式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废石（土）</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煤矸石</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宋体" w:eastAsia="黑体"/>
          <w:bCs/>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宋体" w:eastAsia="黑体"/>
          <w:bCs/>
          <w:szCs w:val="21"/>
        </w:rPr>
      </w:pPr>
      <w:r>
        <w:rPr>
          <w:rFonts w:hint="eastAsia" w:ascii="黑体" w:hAnsi="宋体" w:eastAsia="黑体"/>
          <w:bCs/>
          <w:sz w:val="28"/>
          <w:szCs w:val="28"/>
        </w:rPr>
        <w:t>矿山地质环境现状调查表（续）</w:t>
      </w:r>
    </w:p>
    <w:tbl>
      <w:tblPr>
        <w:tblStyle w:val="14"/>
        <w:tblW w:w="145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36"/>
        <w:gridCol w:w="803"/>
        <w:gridCol w:w="630"/>
        <w:gridCol w:w="930"/>
        <w:gridCol w:w="1159"/>
        <w:gridCol w:w="832"/>
        <w:gridCol w:w="789"/>
        <w:gridCol w:w="588"/>
        <w:gridCol w:w="534"/>
        <w:gridCol w:w="920"/>
        <w:gridCol w:w="367"/>
        <w:gridCol w:w="553"/>
        <w:gridCol w:w="37"/>
        <w:gridCol w:w="45"/>
        <w:gridCol w:w="625"/>
        <w:gridCol w:w="266"/>
        <w:gridCol w:w="809"/>
        <w:gridCol w:w="111"/>
        <w:gridCol w:w="336"/>
        <w:gridCol w:w="791"/>
        <w:gridCol w:w="816"/>
        <w:gridCol w:w="880"/>
        <w:gridCol w:w="9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6"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含水层</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  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情  况</w:t>
            </w: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影响含水层的类型</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区域含水层遭受影响或破坏的面积/ km</w:t>
            </w:r>
            <w:r>
              <w:rPr>
                <w:rFonts w:hint="eastAsia" w:ascii="宋体" w:hAnsi="宋体"/>
                <w:bCs/>
                <w:sz w:val="18"/>
                <w:szCs w:val="18"/>
                <w:vertAlign w:val="superscript"/>
              </w:rPr>
              <w:t>2</w:t>
            </w:r>
          </w:p>
        </w:tc>
        <w:tc>
          <w:tcPr>
            <w:tcW w:w="2456"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地下水位最大下降幅度/m</w:t>
            </w:r>
          </w:p>
        </w:tc>
        <w:tc>
          <w:tcPr>
            <w:tcW w:w="214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vertAlign w:val="superscript"/>
              </w:rPr>
            </w:pPr>
            <w:r>
              <w:rPr>
                <w:rFonts w:hint="eastAsia" w:ascii="宋体" w:hAnsi="宋体"/>
                <w:bCs/>
                <w:sz w:val="18"/>
                <w:szCs w:val="18"/>
              </w:rPr>
              <w:t>含水层被疏干的面积/m</w:t>
            </w:r>
            <w:r>
              <w:rPr>
                <w:rFonts w:hint="eastAsia" w:ascii="宋体" w:hAnsi="宋体"/>
                <w:bCs/>
                <w:sz w:val="18"/>
                <w:szCs w:val="18"/>
                <w:vertAlign w:val="superscript"/>
              </w:rPr>
              <w:t>2</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受影响的对象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8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基岩裂隙含水层</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c>
          <w:tcPr>
            <w:tcW w:w="2456"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c>
          <w:tcPr>
            <w:tcW w:w="214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23"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地形地貌景观破  坏</w:t>
            </w: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破坏的地形地貌景观类型</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被破坏的面积/m</w:t>
            </w:r>
            <w:r>
              <w:rPr>
                <w:rFonts w:hint="eastAsia" w:ascii="宋体" w:hAnsi="宋体"/>
                <w:bCs/>
                <w:sz w:val="18"/>
                <w:szCs w:val="18"/>
                <w:vertAlign w:val="superscript"/>
              </w:rPr>
              <w:t>2</w:t>
            </w:r>
          </w:p>
        </w:tc>
        <w:tc>
          <w:tcPr>
            <w:tcW w:w="4603"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破坏程度</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修复的难易程度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无</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0</w:t>
            </w:r>
          </w:p>
        </w:tc>
        <w:tc>
          <w:tcPr>
            <w:tcW w:w="4603"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6"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采矿引起的崩塌、滑坡、泥石流等情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种类</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发生时间</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地点</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规模</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影响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范围/m</w:t>
            </w:r>
            <w:r>
              <w:rPr>
                <w:rFonts w:hint="eastAsia" w:ascii="宋体" w:hAnsi="宋体"/>
                <w:bCs/>
                <w:sz w:val="18"/>
                <w:szCs w:val="18"/>
                <w:vertAlign w:val="superscript"/>
              </w:rPr>
              <w:t>2</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体积</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/m</w:t>
            </w:r>
            <w:r>
              <w:rPr>
                <w:rFonts w:hint="eastAsia" w:ascii="宋体" w:hAnsi="宋体"/>
                <w:bCs/>
                <w:sz w:val="18"/>
                <w:szCs w:val="18"/>
                <w:vertAlign w:val="superscript"/>
              </w:rPr>
              <w:t>3</w:t>
            </w:r>
          </w:p>
        </w:tc>
        <w:tc>
          <w:tcPr>
            <w:tcW w:w="5982" w:type="dxa"/>
            <w:gridSpan w:val="1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治理面积/m</w:t>
            </w:r>
            <w:r>
              <w:rPr>
                <w:rFonts w:hint="eastAsia" w:ascii="宋体" w:hAnsi="宋体"/>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死亡人数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/人</w:t>
            </w: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受伤人数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/人</w:t>
            </w: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破坏房屋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/间</w:t>
            </w: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毁坏土地/m</w:t>
            </w:r>
            <w:r>
              <w:rPr>
                <w:rFonts w:hint="eastAsia" w:ascii="宋体" w:hAnsi="宋体"/>
                <w:bCs/>
                <w:sz w:val="18"/>
                <w:szCs w:val="18"/>
                <w:vertAlign w:val="superscript"/>
              </w:rPr>
              <w:t>2</w:t>
            </w: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24"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94"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50"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采矿引起的地面塌陷情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时间</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发生地点</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规模</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塌陷坑/个</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影响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范围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/m</w:t>
            </w:r>
            <w:r>
              <w:rPr>
                <w:rFonts w:hint="eastAsia" w:ascii="宋体" w:hAnsi="宋体"/>
                <w:bCs/>
                <w:sz w:val="18"/>
                <w:szCs w:val="18"/>
                <w:vertAlign w:val="superscript"/>
              </w:rPr>
              <w:t>2</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最大长度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/m</w:t>
            </w:r>
          </w:p>
        </w:tc>
        <w:tc>
          <w:tcPr>
            <w:tcW w:w="1122"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最大</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深度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/m</w:t>
            </w:r>
          </w:p>
        </w:tc>
        <w:tc>
          <w:tcPr>
            <w:tcW w:w="4860"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治理面积/m</w:t>
            </w:r>
            <w:r>
              <w:rPr>
                <w:rFonts w:hint="eastAsia" w:ascii="宋体" w:hAnsi="宋体"/>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99"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死亡人数/人</w:t>
            </w: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受伤人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数/人</w:t>
            </w: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屋/间</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毁坏土地/m</w:t>
            </w:r>
            <w:r>
              <w:rPr>
                <w:rFonts w:hint="eastAsia" w:ascii="宋体" w:hAnsi="宋体"/>
                <w:bCs/>
                <w:sz w:val="18"/>
                <w:szCs w:val="18"/>
                <w:vertAlign w:val="superscript"/>
              </w:rPr>
              <w:t>2</w:t>
            </w: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2"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采矿引起的地裂  缝</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时间</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发生地点</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数量/个</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最大长度/m</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最大宽度/m</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最大深度/m</w:t>
            </w:r>
          </w:p>
        </w:tc>
        <w:tc>
          <w:tcPr>
            <w:tcW w:w="1122"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走向</w:t>
            </w:r>
          </w:p>
        </w:tc>
        <w:tc>
          <w:tcPr>
            <w:tcW w:w="4860"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治理面积/m</w:t>
            </w:r>
            <w:r>
              <w:rPr>
                <w:rFonts w:hint="eastAsia" w:ascii="宋体" w:hAnsi="宋体"/>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死亡人数/人</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受伤人数/人</w:t>
            </w: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r>
              <w:rPr>
                <w:rFonts w:hint="eastAsia" w:ascii="宋体" w:hAnsi="宋体"/>
                <w:bCs/>
                <w:sz w:val="18"/>
                <w:szCs w:val="18"/>
              </w:rPr>
              <w:t>破坏房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屋/间</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毁坏土地/m</w:t>
            </w:r>
            <w:r>
              <w:rPr>
                <w:rFonts w:hint="eastAsia" w:ascii="宋体" w:hAnsi="宋体"/>
                <w:bCs/>
                <w:sz w:val="18"/>
                <w:szCs w:val="18"/>
                <w:vertAlign w:val="superscript"/>
              </w:rPr>
              <w:t>2</w:t>
            </w: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r>
              <w:rPr>
                <w:rFonts w:hint="eastAsia" w:ascii="宋体" w:hAnsi="宋体"/>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Cs/>
                <w:sz w:val="18"/>
                <w:szCs w:val="18"/>
              </w:rPr>
            </w:pP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sectPr>
          <w:pgSz w:w="16838" w:h="11906" w:orient="landscape"/>
          <w:pgMar w:top="1247" w:right="1134" w:bottom="850" w:left="1134"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宋体" w:hAnsi="宋体"/>
          <w:bCs/>
          <w:sz w:val="18"/>
          <w:szCs w:val="18"/>
        </w:rPr>
        <w:t>矿山企业（盖章）：中石化绿源地热能（陕西）开发有限公司      填表单位（盖章）：陕西工程勘察研究院有限公司      填表人：</w:t>
      </w:r>
      <w:r>
        <w:rPr>
          <w:rFonts w:hint="eastAsia" w:ascii="宋体" w:hAnsi="宋体"/>
          <w:bCs/>
          <w:sz w:val="18"/>
          <w:szCs w:val="18"/>
          <w:lang w:val="en-US" w:eastAsia="zh-CN"/>
        </w:rPr>
        <w:t>刘星</w:t>
      </w:r>
      <w:r>
        <w:rPr>
          <w:rFonts w:hint="eastAsia" w:ascii="宋体" w:hAnsi="宋体"/>
          <w:bCs/>
          <w:sz w:val="18"/>
          <w:szCs w:val="18"/>
        </w:rPr>
        <w:t xml:space="preserve">      填表日期：</w:t>
      </w:r>
      <w:r>
        <w:rPr>
          <w:rFonts w:hint="default" w:ascii="Times New Roman" w:hAnsi="Times New Roman" w:cs="Times New Roman"/>
          <w:bCs/>
          <w:sz w:val="18"/>
          <w:szCs w:val="18"/>
        </w:rPr>
        <w:t>202</w:t>
      </w:r>
      <w:r>
        <w:rPr>
          <w:rFonts w:hint="default" w:ascii="Times New Roman" w:hAnsi="Times New Roman" w:cs="Times New Roman"/>
          <w:bCs/>
          <w:sz w:val="18"/>
          <w:szCs w:val="18"/>
          <w:lang w:val="en-US" w:eastAsia="zh-CN"/>
        </w:rPr>
        <w:t>2</w:t>
      </w:r>
      <w:r>
        <w:rPr>
          <w:rFonts w:hint="default" w:ascii="Times New Roman" w:hAnsi="Times New Roman" w:cs="Times New Roman"/>
          <w:bCs/>
          <w:sz w:val="18"/>
          <w:szCs w:val="18"/>
        </w:rPr>
        <w:t>年</w:t>
      </w:r>
      <w:r>
        <w:rPr>
          <w:rFonts w:hint="default" w:ascii="Times New Roman" w:hAnsi="Times New Roman" w:cs="Times New Roman"/>
          <w:bCs/>
          <w:sz w:val="18"/>
          <w:szCs w:val="18"/>
          <w:lang w:val="en-US" w:eastAsia="zh-CN"/>
        </w:rPr>
        <w:t>7</w:t>
      </w:r>
      <w:r>
        <w:rPr>
          <w:rFonts w:hint="default" w:ascii="Times New Roman" w:hAnsi="Times New Roman" w:cs="Times New Roman"/>
          <w:bCs/>
          <w:sz w:val="18"/>
          <w:szCs w:val="18"/>
        </w:rPr>
        <w:t>月</w:t>
      </w:r>
      <w:r>
        <w:rPr>
          <w:rFonts w:hint="default" w:ascii="Times New Roman" w:hAnsi="Times New Roman" w:cs="Times New Roman"/>
          <w:bCs/>
          <w:sz w:val="18"/>
          <w:szCs w:val="18"/>
          <w:lang w:val="en-US" w:eastAsia="zh-CN"/>
        </w:rPr>
        <w:t>22</w:t>
      </w:r>
      <w:r>
        <w:rPr>
          <w:rFonts w:hint="eastAsia" w:ascii="宋体" w:hAnsi="宋体"/>
          <w:bCs/>
          <w:sz w:val="18"/>
          <w:szCs w:val="18"/>
        </w:rPr>
        <w:t>日</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附件1 委托书</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sectPr>
          <w:pgSz w:w="11906" w:h="16838"/>
          <w:pgMar w:top="1440" w:right="1800" w:bottom="1440" w:left="1800" w:header="851" w:footer="992" w:gutter="0"/>
          <w:pgNumType w:fmt="decimal"/>
          <w:cols w:space="720" w:num="1"/>
          <w:titlePg/>
          <w:docGrid w:type="lines" w:linePitch="312" w:charSpace="0"/>
        </w:sectPr>
      </w:pPr>
      <w:r>
        <w:drawing>
          <wp:inline distT="0" distB="0" distL="114300" distR="114300">
            <wp:extent cx="5982335" cy="8480425"/>
            <wp:effectExtent l="0" t="0" r="18415" b="1587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9"/>
                    <a:stretch>
                      <a:fillRect/>
                    </a:stretch>
                  </pic:blipFill>
                  <pic:spPr>
                    <a:xfrm>
                      <a:off x="0" y="0"/>
                      <a:ext cx="5982335" cy="84804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附件2 矿权人营业执照</w:t>
      </w: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lang w:val="en-US" w:eastAsia="zh-CN"/>
        </w:rPr>
      </w:pPr>
      <w:r>
        <w:rPr>
          <w:color w:val="FF0000"/>
        </w:rPr>
        <w:drawing>
          <wp:inline distT="0" distB="0" distL="114300" distR="114300">
            <wp:extent cx="4922520" cy="6943090"/>
            <wp:effectExtent l="0" t="0" r="10160" b="11430"/>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20"/>
                    <a:srcRect t="2108" r="5900" b="4056"/>
                    <a:stretch>
                      <a:fillRect/>
                    </a:stretch>
                  </pic:blipFill>
                  <pic:spPr>
                    <a:xfrm rot="16200000">
                      <a:off x="0" y="0"/>
                      <a:ext cx="4922520" cy="69430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sectPr>
          <w:pgSz w:w="16838" w:h="11906" w:orient="landscape"/>
          <w:pgMar w:top="1800" w:right="1440" w:bottom="1800" w:left="1440" w:header="851" w:footer="992" w:gutter="0"/>
          <w:pgNumType w:fmt="decimal"/>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附件3 采矿许可证</w:t>
      </w:r>
    </w:p>
    <w:p>
      <w:pPr>
        <w:pStyle w:val="2"/>
        <w:jc w:val="center"/>
        <w:rPr>
          <w:color w:val="FF0000"/>
        </w:rPr>
        <w:sectPr>
          <w:pgSz w:w="16838" w:h="11906" w:orient="landscape"/>
          <w:pgMar w:top="1800" w:right="1440" w:bottom="1800" w:left="1440" w:header="851" w:footer="992" w:gutter="0"/>
          <w:pgNumType w:fmt="decimal"/>
          <w:cols w:space="720" w:num="1"/>
          <w:titlePg/>
          <w:docGrid w:type="lines" w:linePitch="312" w:charSpace="0"/>
        </w:sectPr>
      </w:pPr>
      <w:r>
        <w:rPr>
          <w:color w:val="FF0000"/>
        </w:rPr>
        <w:drawing>
          <wp:inline distT="0" distB="0" distL="114300" distR="114300">
            <wp:extent cx="7078980" cy="4950460"/>
            <wp:effectExtent l="0" t="0" r="7620" b="2540"/>
            <wp:docPr id="27" name="图片 27" descr="文热4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文热4井"/>
                    <pic:cNvPicPr>
                      <a:picLocks noChangeAspect="1"/>
                    </pic:cNvPicPr>
                  </pic:nvPicPr>
                  <pic:blipFill>
                    <a:blip r:embed="rId21"/>
                    <a:srcRect t="4012" r="141"/>
                    <a:stretch>
                      <a:fillRect/>
                    </a:stretch>
                  </pic:blipFill>
                  <pic:spPr>
                    <a:xfrm>
                      <a:off x="0" y="0"/>
                      <a:ext cx="7078980" cy="4950460"/>
                    </a:xfrm>
                    <a:prstGeom prst="rect">
                      <a:avLst/>
                    </a:prstGeom>
                  </pic:spPr>
                </pic:pic>
              </a:graphicData>
            </a:graphic>
          </wp:inline>
        </w:drawing>
      </w:r>
      <w:r>
        <w:rPr>
          <w:color w:val="FF0000"/>
        </w:rPr>
        <w:drawing>
          <wp:inline distT="0" distB="0" distL="114300" distR="114300">
            <wp:extent cx="7689215" cy="5292725"/>
            <wp:effectExtent l="0" t="0" r="6985" b="3175"/>
            <wp:docPr id="23" name="图片 23" descr="W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WR4"/>
                    <pic:cNvPicPr>
                      <a:picLocks noChangeAspect="1"/>
                    </pic:cNvPicPr>
                  </pic:nvPicPr>
                  <pic:blipFill>
                    <a:blip r:embed="rId22"/>
                    <a:srcRect t="2119" b="3191"/>
                    <a:stretch>
                      <a:fillRect/>
                    </a:stretch>
                  </pic:blipFill>
                  <pic:spPr>
                    <a:xfrm>
                      <a:off x="0" y="0"/>
                      <a:ext cx="7689215" cy="5292725"/>
                    </a:xfrm>
                    <a:prstGeom prst="rect">
                      <a:avLst/>
                    </a:prstGeom>
                  </pic:spPr>
                </pic:pic>
              </a:graphicData>
            </a:graphic>
          </wp:inline>
        </w:drawing>
      </w:r>
      <w:r>
        <w:rPr>
          <w:color w:val="FF0000"/>
        </w:rPr>
        <w:drawing>
          <wp:inline distT="0" distB="0" distL="114300" distR="114300">
            <wp:extent cx="7037705" cy="5133340"/>
            <wp:effectExtent l="0" t="0" r="10795" b="1016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3"/>
                    <a:srcRect l="6261" t="4858" r="2677" b="1175"/>
                    <a:stretch>
                      <a:fillRect/>
                    </a:stretch>
                  </pic:blipFill>
                  <pic:spPr>
                    <a:xfrm>
                      <a:off x="0" y="0"/>
                      <a:ext cx="7037705" cy="5133340"/>
                    </a:xfrm>
                    <a:prstGeom prst="rect">
                      <a:avLst/>
                    </a:prstGeom>
                    <a:noFill/>
                    <a:ln>
                      <a:noFill/>
                    </a:ln>
                  </pic:spPr>
                </pic:pic>
              </a:graphicData>
            </a:graphic>
          </wp:inline>
        </w:drawing>
      </w:r>
      <w:r>
        <w:rPr>
          <w:color w:val="FF0000"/>
        </w:rPr>
        <w:drawing>
          <wp:inline distT="0" distB="0" distL="114300" distR="114300">
            <wp:extent cx="7471410" cy="5292090"/>
            <wp:effectExtent l="0" t="0" r="15240" b="381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24"/>
                    <a:stretch>
                      <a:fillRect/>
                    </a:stretch>
                  </pic:blipFill>
                  <pic:spPr>
                    <a:xfrm>
                      <a:off x="0" y="0"/>
                      <a:ext cx="7471410" cy="52920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附件4 开发利用方案审查意见</w:t>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drawing>
          <wp:inline distT="0" distB="0" distL="114300" distR="114300">
            <wp:extent cx="5929630" cy="8380095"/>
            <wp:effectExtent l="0" t="0" r="13970" b="1905"/>
            <wp:docPr id="18" name="图片 18" descr="开发利用方案评审意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开发利用方案评审意见_1"/>
                    <pic:cNvPicPr>
                      <a:picLocks noChangeAspect="1"/>
                    </pic:cNvPicPr>
                  </pic:nvPicPr>
                  <pic:blipFill>
                    <a:blip r:embed="rId25"/>
                    <a:stretch>
                      <a:fillRect/>
                    </a:stretch>
                  </pic:blipFill>
                  <pic:spPr>
                    <a:xfrm>
                      <a:off x="0" y="0"/>
                      <a:ext cx="5929630" cy="8380095"/>
                    </a:xfrm>
                    <a:prstGeom prst="rect">
                      <a:avLst/>
                    </a:prstGeom>
                  </pic:spPr>
                </pic:pic>
              </a:graphicData>
            </a:graphic>
          </wp:inline>
        </w:drawing>
      </w:r>
      <w:r>
        <w:rPr>
          <w:rFonts w:hint="eastAsia"/>
          <w:lang w:val="en-US" w:eastAsia="zh-CN"/>
        </w:rPr>
        <w:drawing>
          <wp:inline distT="0" distB="0" distL="114300" distR="114300">
            <wp:extent cx="5977890" cy="8448675"/>
            <wp:effectExtent l="0" t="0" r="3810" b="9525"/>
            <wp:docPr id="34" name="图片 34" descr="开发利用方案评审意见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开发利用方案评审意见_2"/>
                    <pic:cNvPicPr>
                      <a:picLocks noChangeAspect="1"/>
                    </pic:cNvPicPr>
                  </pic:nvPicPr>
                  <pic:blipFill>
                    <a:blip r:embed="rId26"/>
                    <a:stretch>
                      <a:fillRect/>
                    </a:stretch>
                  </pic:blipFill>
                  <pic:spPr>
                    <a:xfrm>
                      <a:off x="0" y="0"/>
                      <a:ext cx="5977890" cy="8448675"/>
                    </a:xfrm>
                    <a:prstGeom prst="rect">
                      <a:avLst/>
                    </a:prstGeom>
                  </pic:spPr>
                </pic:pic>
              </a:graphicData>
            </a:graphic>
          </wp:inline>
        </w:drawing>
      </w:r>
      <w:r>
        <w:rPr>
          <w:rFonts w:hint="eastAsia"/>
          <w:lang w:val="en-US" w:eastAsia="zh-CN"/>
        </w:rPr>
        <w:drawing>
          <wp:inline distT="0" distB="0" distL="114300" distR="114300">
            <wp:extent cx="5932170" cy="8383905"/>
            <wp:effectExtent l="0" t="0" r="11430" b="17145"/>
            <wp:docPr id="37" name="图片 37" descr="开发利用方案评审意见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开发利用方案评审意见_3"/>
                    <pic:cNvPicPr>
                      <a:picLocks noChangeAspect="1"/>
                    </pic:cNvPicPr>
                  </pic:nvPicPr>
                  <pic:blipFill>
                    <a:blip r:embed="rId27"/>
                    <a:stretch>
                      <a:fillRect/>
                    </a:stretch>
                  </pic:blipFill>
                  <pic:spPr>
                    <a:xfrm>
                      <a:off x="0" y="0"/>
                      <a:ext cx="5932170" cy="838390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p>
    <w:p>
      <w:pPr>
        <w:pStyle w:val="2"/>
        <w:rPr>
          <w:rFonts w:hint="eastAsia"/>
          <w:lang w:val="en-US" w:eastAsia="zh-CN"/>
        </w:rPr>
        <w:sectPr>
          <w:pgSz w:w="11906" w:h="16838"/>
          <w:pgMar w:top="1440" w:right="1800" w:bottom="1440" w:left="1800" w:header="851" w:footer="992" w:gutter="0"/>
          <w:pgNumType w:fmt="decimal"/>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rPr>
          <w:rFonts w:hint="eastAsia"/>
          <w:lang w:val="en-US" w:eastAsia="zh-CN"/>
        </w:rPr>
        <w:t>附件5 矿山地质环境保护与恢复治理方案审查意见</w:t>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drawing>
          <wp:inline distT="0" distB="0" distL="114300" distR="114300">
            <wp:extent cx="5913120" cy="8362950"/>
            <wp:effectExtent l="0" t="0" r="11430" b="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28"/>
                    <a:stretch>
                      <a:fillRect/>
                    </a:stretch>
                  </pic:blipFill>
                  <pic:spPr>
                    <a:xfrm>
                      <a:off x="0" y="0"/>
                      <a:ext cx="5913120" cy="8362950"/>
                    </a:xfrm>
                    <a:prstGeom prst="rect">
                      <a:avLst/>
                    </a:prstGeom>
                    <a:noFill/>
                    <a:ln>
                      <a:noFill/>
                    </a:ln>
                  </pic:spPr>
                </pic:pic>
              </a:graphicData>
            </a:graphic>
          </wp:inline>
        </w:drawing>
      </w:r>
      <w:r>
        <w:drawing>
          <wp:inline distT="0" distB="0" distL="114300" distR="114300">
            <wp:extent cx="5883910" cy="8322310"/>
            <wp:effectExtent l="0" t="0" r="2540" b="254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29"/>
                    <a:stretch>
                      <a:fillRect/>
                    </a:stretch>
                  </pic:blipFill>
                  <pic:spPr>
                    <a:xfrm>
                      <a:off x="0" y="0"/>
                      <a:ext cx="5883910" cy="8322310"/>
                    </a:xfrm>
                    <a:prstGeom prst="rect">
                      <a:avLst/>
                    </a:prstGeom>
                    <a:noFill/>
                    <a:ln>
                      <a:noFill/>
                    </a:ln>
                  </pic:spPr>
                </pic:pic>
              </a:graphicData>
            </a:graphic>
          </wp:inline>
        </w:drawing>
      </w:r>
      <w:r>
        <w:drawing>
          <wp:inline distT="0" distB="0" distL="114300" distR="114300">
            <wp:extent cx="6038215" cy="8540115"/>
            <wp:effectExtent l="0" t="0" r="635" b="1333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30"/>
                    <a:stretch>
                      <a:fillRect/>
                    </a:stretch>
                  </pic:blipFill>
                  <pic:spPr>
                    <a:xfrm>
                      <a:off x="0" y="0"/>
                      <a:ext cx="6038215" cy="8540115"/>
                    </a:xfrm>
                    <a:prstGeom prst="rect">
                      <a:avLst/>
                    </a:prstGeom>
                    <a:noFill/>
                    <a:ln>
                      <a:noFill/>
                    </a:ln>
                  </pic:spPr>
                </pic:pic>
              </a:graphicData>
            </a:graphic>
          </wp:inline>
        </w:drawing>
      </w:r>
    </w:p>
    <w:p>
      <w:pPr>
        <w:pStyle w:val="2"/>
        <w:rPr>
          <w:rFonts w:hint="default"/>
          <w:lang w:val="en-US" w:eastAsia="zh-CN"/>
        </w:rPr>
        <w:sectPr>
          <w:pgSz w:w="11906" w:h="16838"/>
          <w:pgMar w:top="1440" w:right="1800" w:bottom="1440" w:left="1800" w:header="851" w:footer="992" w:gutter="0"/>
          <w:pgNumType w:fmt="decimal"/>
          <w:cols w:space="720" w:num="1"/>
          <w:titlePg/>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rPr>
          <w:rFonts w:hint="eastAsia"/>
          <w:lang w:val="en-US" w:eastAsia="zh-CN"/>
        </w:rPr>
        <w:t>附件6 储量核实报告审查意见</w:t>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drawing>
          <wp:inline distT="0" distB="0" distL="114300" distR="114300">
            <wp:extent cx="5841365" cy="8207375"/>
            <wp:effectExtent l="0" t="0" r="6985"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
                    <a:stretch>
                      <a:fillRect/>
                    </a:stretch>
                  </pic:blipFill>
                  <pic:spPr>
                    <a:xfrm>
                      <a:off x="0" y="0"/>
                      <a:ext cx="5841365" cy="8207375"/>
                    </a:xfrm>
                    <a:prstGeom prst="rect">
                      <a:avLst/>
                    </a:prstGeom>
                    <a:noFill/>
                    <a:ln>
                      <a:noFill/>
                    </a:ln>
                  </pic:spPr>
                </pic:pic>
              </a:graphicData>
            </a:graphic>
          </wp:inline>
        </w:drawing>
      </w:r>
      <w:r>
        <w:drawing>
          <wp:inline distT="0" distB="0" distL="114300" distR="114300">
            <wp:extent cx="6058535" cy="8512810"/>
            <wp:effectExtent l="0" t="0" r="18415" b="254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32"/>
                    <a:stretch>
                      <a:fillRect/>
                    </a:stretch>
                  </pic:blipFill>
                  <pic:spPr>
                    <a:xfrm>
                      <a:off x="0" y="0"/>
                      <a:ext cx="6058535" cy="8512810"/>
                    </a:xfrm>
                    <a:prstGeom prst="rect">
                      <a:avLst/>
                    </a:prstGeom>
                    <a:noFill/>
                    <a:ln>
                      <a:noFill/>
                    </a:ln>
                  </pic:spPr>
                </pic:pic>
              </a:graphicData>
            </a:graphic>
          </wp:inline>
        </w:drawing>
      </w:r>
      <w:r>
        <w:drawing>
          <wp:inline distT="0" distB="0" distL="114300" distR="114300">
            <wp:extent cx="6037580" cy="8482965"/>
            <wp:effectExtent l="0" t="0" r="1270" b="13335"/>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33"/>
                    <a:stretch>
                      <a:fillRect/>
                    </a:stretch>
                  </pic:blipFill>
                  <pic:spPr>
                    <a:xfrm>
                      <a:off x="0" y="0"/>
                      <a:ext cx="6037580" cy="8482965"/>
                    </a:xfrm>
                    <a:prstGeom prst="rect">
                      <a:avLst/>
                    </a:prstGeom>
                    <a:noFill/>
                    <a:ln>
                      <a:noFill/>
                    </a:ln>
                  </pic:spPr>
                </pic:pic>
              </a:graphicData>
            </a:graphic>
          </wp:inline>
        </w:drawing>
      </w:r>
      <w:r>
        <w:drawing>
          <wp:inline distT="0" distB="0" distL="114300" distR="114300">
            <wp:extent cx="5925820" cy="8325485"/>
            <wp:effectExtent l="0" t="0" r="17780" b="18415"/>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34"/>
                    <a:stretch>
                      <a:fillRect/>
                    </a:stretch>
                  </pic:blipFill>
                  <pic:spPr>
                    <a:xfrm>
                      <a:off x="0" y="0"/>
                      <a:ext cx="5925820" cy="8325485"/>
                    </a:xfrm>
                    <a:prstGeom prst="rect">
                      <a:avLst/>
                    </a:prstGeom>
                    <a:noFill/>
                    <a:ln>
                      <a:noFill/>
                    </a:ln>
                  </pic:spPr>
                </pic:pic>
              </a:graphicData>
            </a:graphic>
          </wp:inline>
        </w:drawing>
      </w:r>
      <w:r>
        <w:drawing>
          <wp:inline distT="0" distB="0" distL="114300" distR="114300">
            <wp:extent cx="6029960" cy="8472170"/>
            <wp:effectExtent l="0" t="0" r="8890" b="5080"/>
            <wp:docPr id="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pic:cNvPicPr>
                      <a:picLocks noChangeAspect="1"/>
                    </pic:cNvPicPr>
                  </pic:nvPicPr>
                  <pic:blipFill>
                    <a:blip r:embed="rId35"/>
                    <a:stretch>
                      <a:fillRect/>
                    </a:stretch>
                  </pic:blipFill>
                  <pic:spPr>
                    <a:xfrm>
                      <a:off x="0" y="0"/>
                      <a:ext cx="6029960" cy="8472170"/>
                    </a:xfrm>
                    <a:prstGeom prst="rect">
                      <a:avLst/>
                    </a:prstGeom>
                    <a:noFill/>
                    <a:ln>
                      <a:noFill/>
                    </a:ln>
                  </pic:spPr>
                </pic:pic>
              </a:graphicData>
            </a:graphic>
          </wp:inline>
        </w:drawing>
      </w:r>
      <w:r>
        <w:drawing>
          <wp:inline distT="0" distB="0" distL="114300" distR="114300">
            <wp:extent cx="5833110" cy="8195310"/>
            <wp:effectExtent l="0" t="0" r="15240" b="15240"/>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36"/>
                    <a:stretch>
                      <a:fillRect/>
                    </a:stretch>
                  </pic:blipFill>
                  <pic:spPr>
                    <a:xfrm>
                      <a:off x="0" y="0"/>
                      <a:ext cx="5833110" cy="8195310"/>
                    </a:xfrm>
                    <a:prstGeom prst="rect">
                      <a:avLst/>
                    </a:prstGeom>
                    <a:noFill/>
                    <a:ln>
                      <a:noFill/>
                    </a:ln>
                  </pic:spPr>
                </pic:pic>
              </a:graphicData>
            </a:graphic>
          </wp:inline>
        </w:drawing>
      </w:r>
    </w:p>
    <w:p>
      <w:pPr>
        <w:pStyle w:val="2"/>
        <w:rPr>
          <w:rFonts w:hint="default"/>
          <w:lang w:val="en-US" w:eastAsia="zh-CN"/>
        </w:rPr>
        <w:sectPr>
          <w:pgSz w:w="11906" w:h="16838"/>
          <w:pgMar w:top="1440" w:right="1800" w:bottom="1440" w:left="1800" w:header="851" w:footer="992" w:gutter="0"/>
          <w:pgNumType w:fmt="decimal"/>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附件7 地热井水质检验报告</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color w:val="0D0D0D" w:themeColor="text1" w:themeTint="F2"/>
          <w:sz w:val="28"/>
          <w14:textFill>
            <w14:solidFill>
              <w14:schemeClr w14:val="tx1">
                <w14:lumMod w14:val="95000"/>
                <w14:lumOff w14:val="5000"/>
              </w14:schemeClr>
            </w14:solidFill>
          </w14:textFill>
        </w:rPr>
      </w:pPr>
      <w:r>
        <w:drawing>
          <wp:inline distT="0" distB="0" distL="114300" distR="114300">
            <wp:extent cx="5266055" cy="8132445"/>
            <wp:effectExtent l="0" t="0" r="10795" b="190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37"/>
                    <a:stretch>
                      <a:fillRect/>
                    </a:stretch>
                  </pic:blipFill>
                  <pic:spPr>
                    <a:xfrm>
                      <a:off x="0" y="0"/>
                      <a:ext cx="5266055" cy="8132445"/>
                    </a:xfrm>
                    <a:prstGeom prst="rect">
                      <a:avLst/>
                    </a:prstGeom>
                    <a:noFill/>
                    <a:ln>
                      <a:noFill/>
                    </a:ln>
                  </pic:spPr>
                </pic:pic>
              </a:graphicData>
            </a:graphic>
          </wp:inline>
        </w:drawing>
      </w:r>
      <w:r>
        <w:rPr>
          <w:color w:val="FF0000"/>
        </w:rPr>
        <w:drawing>
          <wp:inline distT="0" distB="0" distL="114300" distR="114300">
            <wp:extent cx="5431155" cy="8178165"/>
            <wp:effectExtent l="0" t="0" r="17145" b="1333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38"/>
                    <a:stretch>
                      <a:fillRect/>
                    </a:stretch>
                  </pic:blipFill>
                  <pic:spPr>
                    <a:xfrm>
                      <a:off x="0" y="0"/>
                      <a:ext cx="5431155" cy="81781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color w:val="FF0000"/>
          <w:sz w:val="28"/>
        </w:rPr>
      </w:pPr>
      <w:r>
        <w:rPr>
          <w:color w:val="FF0000"/>
        </w:rPr>
        <w:drawing>
          <wp:inline distT="0" distB="0" distL="114300" distR="114300">
            <wp:extent cx="5588000" cy="7904480"/>
            <wp:effectExtent l="0" t="0" r="12700" b="127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9"/>
                    <a:stretch>
                      <a:fillRect/>
                    </a:stretch>
                  </pic:blipFill>
                  <pic:spPr>
                    <a:xfrm>
                      <a:off x="0" y="0"/>
                      <a:ext cx="5588000" cy="7904480"/>
                    </a:xfrm>
                    <a:prstGeom prst="rect">
                      <a:avLst/>
                    </a:prstGeom>
                    <a:noFill/>
                    <a:ln>
                      <a:noFill/>
                    </a:ln>
                  </pic:spPr>
                </pic:pic>
              </a:graphicData>
            </a:graphic>
          </wp:inline>
        </w:drawing>
      </w:r>
      <w:r>
        <w:rPr>
          <w:rFonts w:hint="eastAsia"/>
          <w:color w:val="FF0000"/>
          <w:sz w:val="28"/>
        </w:rPr>
        <w:br w:type="page"/>
      </w:r>
    </w:p>
    <w:p>
      <w:pPr>
        <w:keepNext w:val="0"/>
        <w:keepLines w:val="0"/>
        <w:pageBreakBefore w:val="0"/>
        <w:widowControl w:val="0"/>
        <w:kinsoku/>
        <w:wordWrap/>
        <w:overflowPunct/>
        <w:topLinePunct w:val="0"/>
        <w:autoSpaceDE/>
        <w:autoSpaceDN/>
        <w:bidi w:val="0"/>
        <w:adjustRightInd/>
        <w:snapToGrid/>
        <w:ind w:firstLine="0" w:firstLineChars="0"/>
        <w:textAlignment w:val="auto"/>
        <w:rPr>
          <w:color w:val="FF0000"/>
        </w:rPr>
        <w:sectPr>
          <w:pgSz w:w="11906" w:h="16838"/>
          <w:pgMar w:top="1440" w:right="1800" w:bottom="1440" w:left="1800" w:header="851" w:footer="992" w:gutter="0"/>
          <w:pgNumType w:fmt="decimal"/>
          <w:cols w:space="720" w:num="1"/>
          <w:titlePg/>
          <w:docGrid w:type="lines" w:linePitch="312" w:charSpace="0"/>
        </w:sectPr>
      </w:pPr>
      <w:bookmarkStart w:id="58" w:name="_Toc27782"/>
      <w:r>
        <w:rPr>
          <w:color w:val="FF0000"/>
        </w:rPr>
        <w:drawing>
          <wp:inline distT="0" distB="0" distL="114300" distR="114300">
            <wp:extent cx="5934075" cy="8393430"/>
            <wp:effectExtent l="0" t="0" r="9525" b="762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40"/>
                    <a:stretch>
                      <a:fillRect/>
                    </a:stretch>
                  </pic:blipFill>
                  <pic:spPr>
                    <a:xfrm>
                      <a:off x="0" y="0"/>
                      <a:ext cx="5934075" cy="8393430"/>
                    </a:xfrm>
                    <a:prstGeom prst="rect">
                      <a:avLst/>
                    </a:prstGeom>
                    <a:noFill/>
                    <a:ln>
                      <a:noFill/>
                    </a:ln>
                  </pic:spPr>
                </pic:pic>
              </a:graphicData>
            </a:graphic>
          </wp:inline>
        </w:drawing>
      </w:r>
      <w:r>
        <w:rPr>
          <w:color w:val="FF0000"/>
        </w:rPr>
        <w:drawing>
          <wp:inline distT="0" distB="0" distL="114300" distR="114300">
            <wp:extent cx="6050280" cy="8557895"/>
            <wp:effectExtent l="0" t="0" r="7620" b="1460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41"/>
                    <a:stretch>
                      <a:fillRect/>
                    </a:stretch>
                  </pic:blipFill>
                  <pic:spPr>
                    <a:xfrm>
                      <a:off x="0" y="0"/>
                      <a:ext cx="6050280" cy="8557895"/>
                    </a:xfrm>
                    <a:prstGeom prst="rect">
                      <a:avLst/>
                    </a:prstGeom>
                    <a:noFill/>
                    <a:ln>
                      <a:noFill/>
                    </a:ln>
                  </pic:spPr>
                </pic:pic>
              </a:graphicData>
            </a:graphic>
          </wp:inline>
        </w:drawing>
      </w:r>
      <w:bookmarkEnd w:id="58"/>
      <w:r>
        <w:rPr>
          <w:color w:val="FF0000"/>
        </w:rPr>
        <w:drawing>
          <wp:inline distT="0" distB="0" distL="114300" distR="114300">
            <wp:extent cx="5744845" cy="8126095"/>
            <wp:effectExtent l="0" t="0" r="8255" b="825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42"/>
                    <a:stretch>
                      <a:fillRect/>
                    </a:stretch>
                  </pic:blipFill>
                  <pic:spPr>
                    <a:xfrm>
                      <a:off x="0" y="0"/>
                      <a:ext cx="5744845" cy="81260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附件8 公众问卷调查表</w:t>
      </w:r>
    </w:p>
    <w:p>
      <w:pPr>
        <w:keepNext w:val="0"/>
        <w:keepLines w:val="0"/>
        <w:pageBreakBefore w:val="0"/>
        <w:widowControl w:val="0"/>
        <w:kinsoku/>
        <w:wordWrap/>
        <w:overflowPunct/>
        <w:topLinePunct w:val="0"/>
        <w:autoSpaceDE/>
        <w:autoSpaceDN/>
        <w:bidi w:val="0"/>
        <w:adjustRightInd/>
        <w:snapToGrid/>
        <w:ind w:firstLine="0" w:firstLineChars="0"/>
        <w:textAlignment w:val="auto"/>
      </w:pPr>
      <w:r>
        <w:drawing>
          <wp:inline distT="0" distB="0" distL="114300" distR="114300">
            <wp:extent cx="5533390" cy="7774305"/>
            <wp:effectExtent l="0" t="0" r="10160" b="17145"/>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43"/>
                    <a:stretch>
                      <a:fillRect/>
                    </a:stretch>
                  </pic:blipFill>
                  <pic:spPr>
                    <a:xfrm>
                      <a:off x="0" y="0"/>
                      <a:ext cx="5533390" cy="7774305"/>
                    </a:xfrm>
                    <a:prstGeom prst="rect">
                      <a:avLst/>
                    </a:prstGeom>
                    <a:noFill/>
                    <a:ln>
                      <a:noFill/>
                    </a:ln>
                  </pic:spPr>
                </pic:pic>
              </a:graphicData>
            </a:graphic>
          </wp:inline>
        </w:drawing>
      </w:r>
      <w:r>
        <w:drawing>
          <wp:inline distT="0" distB="0" distL="114300" distR="114300">
            <wp:extent cx="5659120" cy="7951470"/>
            <wp:effectExtent l="0" t="0" r="17780" b="11430"/>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44"/>
                    <a:stretch>
                      <a:fillRect/>
                    </a:stretch>
                  </pic:blipFill>
                  <pic:spPr>
                    <a:xfrm>
                      <a:off x="0" y="0"/>
                      <a:ext cx="5659120" cy="7951470"/>
                    </a:xfrm>
                    <a:prstGeom prst="rect">
                      <a:avLst/>
                    </a:prstGeom>
                    <a:noFill/>
                    <a:ln>
                      <a:noFill/>
                    </a:ln>
                  </pic:spPr>
                </pic:pic>
              </a:graphicData>
            </a:graphic>
          </wp:inline>
        </w:drawing>
      </w:r>
      <w:r>
        <w:drawing>
          <wp:inline distT="0" distB="0" distL="114300" distR="114300">
            <wp:extent cx="5609590" cy="7881620"/>
            <wp:effectExtent l="0" t="0" r="10160" b="5080"/>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45"/>
                    <a:stretch>
                      <a:fillRect/>
                    </a:stretch>
                  </pic:blipFill>
                  <pic:spPr>
                    <a:xfrm>
                      <a:off x="0" y="0"/>
                      <a:ext cx="5609590" cy="7881620"/>
                    </a:xfrm>
                    <a:prstGeom prst="rect">
                      <a:avLst/>
                    </a:prstGeom>
                    <a:noFill/>
                    <a:ln>
                      <a:noFill/>
                    </a:ln>
                  </pic:spPr>
                </pic:pic>
              </a:graphicData>
            </a:graphic>
          </wp:inline>
        </w:drawing>
      </w:r>
      <w:r>
        <w:drawing>
          <wp:inline distT="0" distB="0" distL="114300" distR="114300">
            <wp:extent cx="5681980" cy="7983220"/>
            <wp:effectExtent l="0" t="0" r="13970" b="17780"/>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46"/>
                    <a:stretch>
                      <a:fillRect/>
                    </a:stretch>
                  </pic:blipFill>
                  <pic:spPr>
                    <a:xfrm>
                      <a:off x="0" y="0"/>
                      <a:ext cx="5681980" cy="7983220"/>
                    </a:xfrm>
                    <a:prstGeom prst="rect">
                      <a:avLst/>
                    </a:prstGeom>
                    <a:noFill/>
                    <a:ln>
                      <a:noFill/>
                    </a:ln>
                  </pic:spPr>
                </pic:pic>
              </a:graphicData>
            </a:graphic>
          </wp:inline>
        </w:drawing>
      </w:r>
      <w:r>
        <w:drawing>
          <wp:inline distT="0" distB="0" distL="114300" distR="114300">
            <wp:extent cx="5709285" cy="8021955"/>
            <wp:effectExtent l="0" t="0" r="5715" b="17145"/>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47"/>
                    <a:stretch>
                      <a:fillRect/>
                    </a:stretch>
                  </pic:blipFill>
                  <pic:spPr>
                    <a:xfrm>
                      <a:off x="0" y="0"/>
                      <a:ext cx="5709285" cy="8021955"/>
                    </a:xfrm>
                    <a:prstGeom prst="rect">
                      <a:avLst/>
                    </a:prstGeom>
                    <a:noFill/>
                    <a:ln>
                      <a:noFill/>
                    </a:ln>
                  </pic:spPr>
                </pic:pic>
              </a:graphicData>
            </a:graphic>
          </wp:inline>
        </w:drawing>
      </w:r>
      <w:r>
        <w:drawing>
          <wp:inline distT="0" distB="0" distL="114300" distR="114300">
            <wp:extent cx="5636895" cy="7919720"/>
            <wp:effectExtent l="0" t="0" r="1905" b="5080"/>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48"/>
                    <a:stretch>
                      <a:fillRect/>
                    </a:stretch>
                  </pic:blipFill>
                  <pic:spPr>
                    <a:xfrm>
                      <a:off x="0" y="0"/>
                      <a:ext cx="5636895" cy="7919720"/>
                    </a:xfrm>
                    <a:prstGeom prst="rect">
                      <a:avLst/>
                    </a:prstGeom>
                    <a:noFill/>
                    <a:ln>
                      <a:noFill/>
                    </a:ln>
                  </pic:spPr>
                </pic:pic>
              </a:graphicData>
            </a:graphic>
          </wp:inline>
        </w:drawing>
      </w:r>
    </w:p>
    <w:p>
      <w:pPr>
        <w:rPr>
          <w:rFonts w:hint="eastAsia" w:eastAsia="宋体"/>
          <w:lang w:eastAsia="zh-CN"/>
        </w:rPr>
      </w:pPr>
      <w:r>
        <w:rPr>
          <w:rFonts w:hint="eastAsia" w:eastAsia="宋体"/>
          <w:lang w:eastAsia="zh-CN"/>
        </w:rPr>
        <w:br w:type="page"/>
      </w:r>
    </w:p>
    <w:p>
      <w:pPr>
        <w:pStyle w:val="2"/>
        <w:numPr>
          <w:ilvl w:val="0"/>
          <w:numId w:val="0"/>
        </w:numPr>
        <w:ind w:leftChars="0"/>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9、陕西工程勘察研究院有限公司工程文件审核记录</w:t>
      </w:r>
    </w:p>
    <w:p>
      <w:pPr>
        <w:pStyle w:val="2"/>
        <w:numPr>
          <w:ilvl w:val="0"/>
          <w:numId w:val="0"/>
        </w:numPr>
        <w:rPr>
          <w:rFonts w:hint="eastAsia" w:eastAsia="宋体"/>
          <w:lang w:eastAsia="zh-CN"/>
        </w:rPr>
      </w:pPr>
      <w:r>
        <w:rPr>
          <w:rFonts w:hint="eastAsia" w:eastAsia="宋体"/>
          <w:lang w:eastAsia="zh-CN"/>
        </w:rPr>
        <w:drawing>
          <wp:inline distT="0" distB="0" distL="114300" distR="114300">
            <wp:extent cx="5272405" cy="7407910"/>
            <wp:effectExtent l="0" t="0" r="4445" b="2540"/>
            <wp:docPr id="1" name="图片 1" descr="WR审定意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WR审定意见4"/>
                    <pic:cNvPicPr>
                      <a:picLocks noChangeAspect="1"/>
                    </pic:cNvPicPr>
                  </pic:nvPicPr>
                  <pic:blipFill>
                    <a:blip r:embed="rId49"/>
                    <a:stretch>
                      <a:fillRect/>
                    </a:stretch>
                  </pic:blipFill>
                  <pic:spPr>
                    <a:xfrm>
                      <a:off x="0" y="0"/>
                      <a:ext cx="5272405" cy="7407910"/>
                    </a:xfrm>
                    <a:prstGeom prst="rect">
                      <a:avLst/>
                    </a:prstGeom>
                  </pic:spPr>
                </pic:pic>
              </a:graphicData>
            </a:graphic>
          </wp:inline>
        </w:drawing>
      </w:r>
    </w:p>
    <w:p>
      <w:pPr>
        <w:rPr>
          <w:rFonts w:hint="eastAsia" w:eastAsia="宋体"/>
          <w:lang w:eastAsia="zh-CN"/>
        </w:rPr>
      </w:pPr>
      <w:r>
        <w:rPr>
          <w:rFonts w:hint="eastAsia" w:eastAsia="宋体"/>
          <w:lang w:eastAsia="zh-CN"/>
        </w:rPr>
        <w:br w:type="page"/>
      </w:r>
    </w:p>
    <w:p>
      <w:pPr>
        <w:pStyle w:val="2"/>
        <w:numPr>
          <w:ilvl w:val="0"/>
          <w:numId w:val="0"/>
        </w:numP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10、基金监管协议</w:t>
      </w:r>
    </w:p>
    <w:p>
      <w:pPr>
        <w:pStyle w:val="2"/>
        <w:numPr>
          <w:ilvl w:val="0"/>
          <w:numId w:val="0"/>
        </w:numPr>
        <w:rPr>
          <w:rFonts w:hint="eastAsia"/>
          <w:color w:val="000000" w:themeColor="text1"/>
          <w:sz w:val="24"/>
          <w:szCs w:val="24"/>
          <w:lang w:val="en-US" w:eastAsia="zh-CN"/>
          <w14:textFill>
            <w14:solidFill>
              <w14:schemeClr w14:val="tx1"/>
            </w14:solidFill>
          </w14:textFill>
        </w:rPr>
      </w:pPr>
      <w:r>
        <w:drawing>
          <wp:inline distT="0" distB="0" distL="114300" distR="114300">
            <wp:extent cx="5272405" cy="7190740"/>
            <wp:effectExtent l="0" t="0" r="4445" b="1016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50"/>
                    <a:stretch>
                      <a:fillRect/>
                    </a:stretch>
                  </pic:blipFill>
                  <pic:spPr>
                    <a:xfrm>
                      <a:off x="0" y="0"/>
                      <a:ext cx="5272405" cy="7190740"/>
                    </a:xfrm>
                    <a:prstGeom prst="rect">
                      <a:avLst/>
                    </a:prstGeom>
                    <a:noFill/>
                    <a:ln>
                      <a:noFill/>
                    </a:ln>
                  </pic:spPr>
                </pic:pic>
              </a:graphicData>
            </a:graphic>
          </wp:inline>
        </w:drawing>
      </w:r>
      <w:r>
        <w:drawing>
          <wp:inline distT="0" distB="0" distL="114300" distR="114300">
            <wp:extent cx="5273040" cy="7082155"/>
            <wp:effectExtent l="0" t="0" r="3810" b="444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1"/>
                    <a:stretch>
                      <a:fillRect/>
                    </a:stretch>
                  </pic:blipFill>
                  <pic:spPr>
                    <a:xfrm>
                      <a:off x="0" y="0"/>
                      <a:ext cx="5273040" cy="7082155"/>
                    </a:xfrm>
                    <a:prstGeom prst="rect">
                      <a:avLst/>
                    </a:prstGeom>
                    <a:noFill/>
                    <a:ln>
                      <a:noFill/>
                    </a:ln>
                  </pic:spPr>
                </pic:pic>
              </a:graphicData>
            </a:graphic>
          </wp:inline>
        </w:drawing>
      </w:r>
      <w:r>
        <w:drawing>
          <wp:inline distT="0" distB="0" distL="114300" distR="114300">
            <wp:extent cx="5269865" cy="7284720"/>
            <wp:effectExtent l="0" t="0" r="6985" b="1143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52"/>
                    <a:stretch>
                      <a:fillRect/>
                    </a:stretch>
                  </pic:blipFill>
                  <pic:spPr>
                    <a:xfrm>
                      <a:off x="0" y="0"/>
                      <a:ext cx="5269865" cy="7284720"/>
                    </a:xfrm>
                    <a:prstGeom prst="rect">
                      <a:avLst/>
                    </a:prstGeom>
                    <a:noFill/>
                    <a:ln>
                      <a:noFill/>
                    </a:ln>
                  </pic:spPr>
                </pic:pic>
              </a:graphicData>
            </a:graphic>
          </wp:inline>
        </w:drawing>
      </w:r>
    </w:p>
    <w:p>
      <w:pPr>
        <w:pStyle w:val="2"/>
        <w:numPr>
          <w:ilvl w:val="0"/>
          <w:numId w:val="0"/>
        </w:numPr>
        <w:ind w:leftChars="0"/>
        <w:rPr>
          <w:rFonts w:hint="eastAsia"/>
          <w:color w:val="FF0000"/>
          <w:sz w:val="24"/>
          <w:szCs w:val="24"/>
          <w:lang w:val="en-US" w:eastAsia="zh-CN"/>
        </w:rPr>
      </w:pPr>
      <w:r>
        <w:drawing>
          <wp:inline distT="0" distB="0" distL="114300" distR="114300">
            <wp:extent cx="5269865" cy="7473950"/>
            <wp:effectExtent l="0" t="0" r="6985" b="12700"/>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53"/>
                    <a:stretch>
                      <a:fillRect/>
                    </a:stretch>
                  </pic:blipFill>
                  <pic:spPr>
                    <a:xfrm>
                      <a:off x="0" y="0"/>
                      <a:ext cx="5269865" cy="7473950"/>
                    </a:xfrm>
                    <a:prstGeom prst="rect">
                      <a:avLst/>
                    </a:prstGeom>
                    <a:noFill/>
                    <a:ln>
                      <a:noFill/>
                    </a:ln>
                  </pic:spPr>
                </pic:pic>
              </a:graphicData>
            </a:graphic>
          </wp:inline>
        </w:drawing>
      </w:r>
      <w:r>
        <w:drawing>
          <wp:inline distT="0" distB="0" distL="114300" distR="114300">
            <wp:extent cx="5269865" cy="7395210"/>
            <wp:effectExtent l="0" t="0" r="6985" b="1524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54"/>
                    <a:stretch>
                      <a:fillRect/>
                    </a:stretch>
                  </pic:blipFill>
                  <pic:spPr>
                    <a:xfrm>
                      <a:off x="0" y="0"/>
                      <a:ext cx="5269865" cy="7395210"/>
                    </a:xfrm>
                    <a:prstGeom prst="rect">
                      <a:avLst/>
                    </a:prstGeom>
                    <a:noFill/>
                    <a:ln>
                      <a:noFill/>
                    </a:ln>
                  </pic:spPr>
                </pic:pic>
              </a:graphicData>
            </a:graphic>
          </wp:inline>
        </w:drawing>
      </w:r>
      <w:r>
        <w:drawing>
          <wp:inline distT="0" distB="0" distL="114300" distR="114300">
            <wp:extent cx="5272405" cy="7106920"/>
            <wp:effectExtent l="0" t="0" r="4445" b="17780"/>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55"/>
                    <a:stretch>
                      <a:fillRect/>
                    </a:stretch>
                  </pic:blipFill>
                  <pic:spPr>
                    <a:xfrm>
                      <a:off x="0" y="0"/>
                      <a:ext cx="5272405" cy="7106920"/>
                    </a:xfrm>
                    <a:prstGeom prst="rect">
                      <a:avLst/>
                    </a:prstGeom>
                    <a:noFill/>
                    <a:ln>
                      <a:noFill/>
                    </a:ln>
                  </pic:spPr>
                </pic:pic>
              </a:graphicData>
            </a:graphic>
          </wp:inline>
        </w:drawing>
      </w:r>
      <w:r>
        <w:drawing>
          <wp:inline distT="0" distB="0" distL="114300" distR="114300">
            <wp:extent cx="5269865" cy="7422515"/>
            <wp:effectExtent l="0" t="0" r="6985" b="6985"/>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56"/>
                    <a:stretch>
                      <a:fillRect/>
                    </a:stretch>
                  </pic:blipFill>
                  <pic:spPr>
                    <a:xfrm>
                      <a:off x="0" y="0"/>
                      <a:ext cx="5269865" cy="7422515"/>
                    </a:xfrm>
                    <a:prstGeom prst="rect">
                      <a:avLst/>
                    </a:prstGeom>
                    <a:noFill/>
                    <a:ln>
                      <a:noFill/>
                    </a:ln>
                  </pic:spPr>
                </pic:pic>
              </a:graphicData>
            </a:graphic>
          </wp:inline>
        </w:drawing>
      </w:r>
    </w:p>
    <w:p>
      <w:pPr>
        <w:pStyle w:val="2"/>
        <w:ind w:left="0" w:leftChars="0" w:firstLine="0" w:firstLineChars="0"/>
        <w:rPr>
          <w:rFonts w:hint="eastAsia" w:eastAsia="宋体"/>
          <w:lang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5FtZAzAgAAYw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5FtZAzAgAAYw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8F576F"/>
    <w:multiLevelType w:val="singleLevel"/>
    <w:tmpl w:val="888F576F"/>
    <w:lvl w:ilvl="0" w:tentative="0">
      <w:start w:val="2"/>
      <w:numFmt w:val="decimal"/>
      <w:suff w:val="nothing"/>
      <w:lvlText w:val="（%1）"/>
      <w:lvlJc w:val="left"/>
    </w:lvl>
  </w:abstractNum>
  <w:abstractNum w:abstractNumId="1">
    <w:nsid w:val="A393E170"/>
    <w:multiLevelType w:val="singleLevel"/>
    <w:tmpl w:val="A393E170"/>
    <w:lvl w:ilvl="0" w:tentative="0">
      <w:start w:val="6"/>
      <w:numFmt w:val="chineseCounting"/>
      <w:suff w:val="nothing"/>
      <w:lvlText w:val="%1、"/>
      <w:lvlJc w:val="left"/>
      <w:rPr>
        <w:rFonts w:hint="eastAsia"/>
      </w:rPr>
    </w:lvl>
  </w:abstractNum>
  <w:abstractNum w:abstractNumId="2">
    <w:nsid w:val="08B241F0"/>
    <w:multiLevelType w:val="singleLevel"/>
    <w:tmpl w:val="08B241F0"/>
    <w:lvl w:ilvl="0" w:tentative="0">
      <w:start w:val="1"/>
      <w:numFmt w:val="chineseCounting"/>
      <w:suff w:val="nothing"/>
      <w:lvlText w:val="（%1）"/>
      <w:lvlJc w:val="left"/>
      <w:rPr>
        <w:rFonts w:hint="eastAsi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4"/>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ViYTAxMDBmYzhjN2Y3OWUwNmU5MDUwMWEyMWIyMjAifQ=="/>
  </w:docVars>
  <w:rsids>
    <w:rsidRoot w:val="04760095"/>
    <w:rsid w:val="04760095"/>
    <w:rsid w:val="052E1630"/>
    <w:rsid w:val="064109F4"/>
    <w:rsid w:val="073A09D9"/>
    <w:rsid w:val="07927268"/>
    <w:rsid w:val="07BD471B"/>
    <w:rsid w:val="0A6343D0"/>
    <w:rsid w:val="0E2736B3"/>
    <w:rsid w:val="0E643BC1"/>
    <w:rsid w:val="11482069"/>
    <w:rsid w:val="19050128"/>
    <w:rsid w:val="1F941804"/>
    <w:rsid w:val="1FCD57C3"/>
    <w:rsid w:val="21FC6E36"/>
    <w:rsid w:val="223D6144"/>
    <w:rsid w:val="23CB575C"/>
    <w:rsid w:val="23EC04ED"/>
    <w:rsid w:val="255766FF"/>
    <w:rsid w:val="27BF6BD1"/>
    <w:rsid w:val="28E84193"/>
    <w:rsid w:val="2F766F4B"/>
    <w:rsid w:val="36A05DF3"/>
    <w:rsid w:val="38F40140"/>
    <w:rsid w:val="3B293484"/>
    <w:rsid w:val="3D9F7A2D"/>
    <w:rsid w:val="3F3657E7"/>
    <w:rsid w:val="434370AD"/>
    <w:rsid w:val="434D397B"/>
    <w:rsid w:val="4AE01B99"/>
    <w:rsid w:val="542A5405"/>
    <w:rsid w:val="58743086"/>
    <w:rsid w:val="5E40785F"/>
    <w:rsid w:val="5EC8025E"/>
    <w:rsid w:val="620908A7"/>
    <w:rsid w:val="624D36C7"/>
    <w:rsid w:val="693C05BD"/>
    <w:rsid w:val="6A3C4A04"/>
    <w:rsid w:val="6BA912FD"/>
    <w:rsid w:val="6C4B7F67"/>
    <w:rsid w:val="6DB25D5C"/>
    <w:rsid w:val="6FB94949"/>
    <w:rsid w:val="77A430B9"/>
    <w:rsid w:val="78A4106E"/>
    <w:rsid w:val="78FA189A"/>
    <w:rsid w:val="79A6481F"/>
    <w:rsid w:val="7BAE32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562"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qFormat/>
    <w:uiPriority w:val="0"/>
    <w:pPr>
      <w:keepNext/>
      <w:keepLines/>
      <w:spacing w:beforeLines="0" w:beforeAutospacing="0" w:afterLines="0" w:afterAutospacing="0" w:line="576" w:lineRule="auto"/>
      <w:ind w:firstLine="0" w:firstLineChars="0"/>
      <w:outlineLvl w:val="0"/>
    </w:pPr>
    <w:rPr>
      <w:rFonts w:ascii="Times New Roman" w:hAnsi="Times New Roman" w:eastAsia="宋体"/>
      <w:b/>
      <w:kern w:val="44"/>
      <w:sz w:val="28"/>
    </w:rPr>
  </w:style>
  <w:style w:type="paragraph" w:styleId="4">
    <w:name w:val="heading 2"/>
    <w:basedOn w:val="1"/>
    <w:next w:val="1"/>
    <w:unhideWhenUsed/>
    <w:qFormat/>
    <w:uiPriority w:val="0"/>
    <w:pPr>
      <w:keepNext/>
      <w:keepLines/>
      <w:spacing w:beforeLines="0" w:beforeAutospacing="0" w:afterLines="0" w:afterAutospacing="0" w:line="413" w:lineRule="auto"/>
      <w:ind w:firstLine="562" w:firstLineChars="200"/>
      <w:outlineLvl w:val="1"/>
    </w:pPr>
    <w:rPr>
      <w:rFonts w:ascii="Times New Roman" w:hAnsi="Times New Roman" w:eastAsia="宋体"/>
      <w:b/>
    </w:rPr>
  </w:style>
  <w:style w:type="paragraph" w:styleId="5">
    <w:name w:val="heading 3"/>
    <w:basedOn w:val="1"/>
    <w:next w:val="1"/>
    <w:unhideWhenUsed/>
    <w:qFormat/>
    <w:uiPriority w:val="0"/>
    <w:pPr>
      <w:keepNext/>
      <w:keepLines/>
      <w:spacing w:beforeLines="0" w:beforeAutospacing="0" w:afterLines="0" w:afterAutospacing="0" w:line="360" w:lineRule="auto"/>
      <w:outlineLvl w:val="2"/>
    </w:pPr>
    <w:rPr>
      <w:rFonts w:ascii="Times New Roman" w:hAnsi="Times New Roman" w:eastAsia="宋体"/>
      <w:b/>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2">
    <w:name w:val="Plain Text"/>
    <w:basedOn w:val="1"/>
    <w:qFormat/>
    <w:uiPriority w:val="0"/>
    <w:rPr>
      <w:rFonts w:ascii="宋体" w:hAnsi="Courier New" w:cs="Courier New"/>
      <w:color w:val="auto"/>
      <w:szCs w:val="21"/>
    </w:rPr>
  </w:style>
  <w:style w:type="paragraph" w:styleId="6">
    <w:name w:val="Body Text"/>
    <w:basedOn w:val="1"/>
    <w:qFormat/>
    <w:uiPriority w:val="0"/>
    <w:pPr>
      <w:ind w:right="-260" w:rightChars="-93"/>
      <w:jc w:val="left"/>
    </w:pPr>
    <w:rPr>
      <w:rFonts w:ascii="宋体" w:hAnsi="宋体"/>
    </w:rPr>
  </w:style>
  <w:style w:type="paragraph" w:styleId="7">
    <w:name w:val="Body Text Indent"/>
    <w:basedOn w:val="1"/>
    <w:qFormat/>
    <w:uiPriority w:val="0"/>
    <w:pPr>
      <w:spacing w:after="120" w:afterLines="0" w:afterAutospacing="0"/>
      <w:ind w:left="420" w:leftChars="2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Body Text 2"/>
    <w:basedOn w:val="1"/>
    <w:qFormat/>
    <w:uiPriority w:val="0"/>
    <w:pPr>
      <w:jc w:val="left"/>
    </w:pPr>
  </w:style>
  <w:style w:type="paragraph" w:styleId="12">
    <w:name w:val="Body Text First Indent"/>
    <w:basedOn w:val="6"/>
    <w:qFormat/>
    <w:uiPriority w:val="0"/>
    <w:pPr>
      <w:spacing w:after="120"/>
      <w:ind w:right="0" w:rightChars="0" w:firstLine="420" w:firstLineChars="100"/>
      <w:jc w:val="both"/>
    </w:pPr>
    <w:rPr>
      <w:rFonts w:ascii="Times New Roman" w:hAnsi="Times New Roman"/>
    </w:rPr>
  </w:style>
  <w:style w:type="paragraph" w:styleId="13">
    <w:name w:val="Body Text First Indent 2"/>
    <w:basedOn w:val="7"/>
    <w:next w:val="12"/>
    <w:qFormat/>
    <w:uiPriority w:val="0"/>
    <w:pPr>
      <w:ind w:firstLine="420" w:firstLineChars="200"/>
    </w:p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
    <w:name w:val="Table Normal"/>
    <w:semiHidden/>
    <w:unhideWhenUsed/>
    <w:qFormat/>
    <w:uiPriority w:val="0"/>
    <w:tblPr>
      <w:tblCellMar>
        <w:top w:w="0" w:type="dxa"/>
        <w:left w:w="0" w:type="dxa"/>
        <w:bottom w:w="0" w:type="dxa"/>
        <w:right w:w="0" w:type="dxa"/>
      </w:tblCellMar>
    </w:tblPr>
  </w:style>
  <w:style w:type="paragraph" w:customStyle="1" w:styleId="18">
    <w:name w:val="样式 首行缩进:  2 字符"/>
    <w:basedOn w:val="1"/>
    <w:qFormat/>
    <w:uiPriority w:val="0"/>
    <w:pPr>
      <w:wordWrap w:val="0"/>
      <w:spacing w:line="360" w:lineRule="auto"/>
      <w:jc w:val="left"/>
    </w:pPr>
    <w:rPr>
      <w:rFonts w:ascii="宋体" w:hAnsi="宋体"/>
      <w:bCs/>
      <w:kern w:val="24"/>
      <w:sz w:val="24"/>
    </w:rPr>
  </w:style>
  <w:style w:type="paragraph" w:customStyle="1" w:styleId="19">
    <w:name w:val="WPSOffice手动目录 1"/>
    <w:qFormat/>
    <w:uiPriority w:val="0"/>
    <w:pPr>
      <w:ind w:leftChars="0"/>
    </w:pPr>
    <w:rPr>
      <w:rFonts w:asciiTheme="minorHAnsi" w:hAnsiTheme="minorHAnsi" w:eastAsiaTheme="minorEastAsia" w:cstheme="minorBidi"/>
      <w:sz w:val="20"/>
      <w:szCs w:val="20"/>
    </w:rPr>
  </w:style>
  <w:style w:type="character" w:customStyle="1" w:styleId="20">
    <w:name w:val="font21"/>
    <w:basedOn w:val="16"/>
    <w:qFormat/>
    <w:uiPriority w:val="0"/>
    <w:rPr>
      <w:rFonts w:hint="eastAsia" w:ascii="宋体" w:hAnsi="宋体" w:eastAsia="宋体" w:cs="宋体"/>
      <w:color w:val="000000"/>
      <w:sz w:val="24"/>
      <w:szCs w:val="24"/>
      <w:u w:val="none"/>
    </w:rPr>
  </w:style>
  <w:style w:type="character" w:customStyle="1" w:styleId="21">
    <w:name w:val="font01"/>
    <w:basedOn w:val="16"/>
    <w:qFormat/>
    <w:uiPriority w:val="0"/>
    <w:rPr>
      <w:rFonts w:hint="default" w:ascii="Times New Roman" w:hAnsi="Times New Roman" w:cs="Times New Roman"/>
      <w:color w:val="000000"/>
      <w:sz w:val="24"/>
      <w:szCs w:val="24"/>
      <w:u w:val="none"/>
    </w:rPr>
  </w:style>
  <w:style w:type="paragraph" w:customStyle="1" w:styleId="22">
    <w:name w:val="表名和图名"/>
    <w:basedOn w:val="1"/>
    <w:qFormat/>
    <w:uiPriority w:val="0"/>
    <w:pPr>
      <w:ind w:firstLine="0" w:firstLineChars="0"/>
      <w:jc w:val="center"/>
    </w:pPr>
    <w:rPr>
      <w:rFonts w:eastAsia="黑体" w:cs="宋体"/>
      <w:sz w:val="21"/>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1.xml"/><Relationship Id="rId49" Type="http://schemas.openxmlformats.org/officeDocument/2006/relationships/image" Target="media/image41.jpe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jpe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emf"/><Relationship Id="rId11" Type="http://schemas.openxmlformats.org/officeDocument/2006/relationships/oleObject" Target="embeddings/oleObject1.bin"/><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72</Pages>
  <Words>17525</Words>
  <Characters>20298</Characters>
  <Lines>0</Lines>
  <Paragraphs>0</Paragraphs>
  <TotalTime>0</TotalTime>
  <ScaleCrop>false</ScaleCrop>
  <LinksUpToDate>false</LinksUpToDate>
  <CharactersWithSpaces>20510</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2023-04-03T07:44:00Z</dcterms:created>
  <dc:creator>大宝</dc:creator>
  <cp:lastModifiedBy>大宝</cp:lastModifiedBy>
  <cp:lastPrinted>2023-04-13T06:52:00Z</cp:lastPrinted>
  <dcterms:modified xsi:type="dcterms:W3CDTF">2023-04-29T15:38:15Z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B1783D35FDE2496EA5A2986EED1F9759</vt:lpwstr>
  </property>
</Properties>
</file>