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宋体" w:hAnsi="宋体"/>
          <w:b/>
          <w:sz w:val="28"/>
          <w:szCs w:val="28"/>
        </w:rPr>
      </w:pPr>
    </w:p>
    <w:p>
      <w:pPr>
        <w:spacing w:line="360" w:lineRule="auto"/>
        <w:jc w:val="center"/>
        <w:rPr>
          <w:rFonts w:hint="eastAsia" w:ascii="宋体" w:hAnsi="宋体" w:eastAsia="宋体"/>
          <w:b/>
          <w:sz w:val="28"/>
          <w:szCs w:val="28"/>
          <w:lang w:eastAsia="zh-CN"/>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outlineLvl w:val="0"/>
        <w:rPr>
          <w:rFonts w:hint="eastAsia" w:ascii="仿宋" w:hAnsi="仿宋" w:eastAsia="仿宋" w:cs="仿宋"/>
          <w:b/>
          <w:w w:val="80"/>
          <w:sz w:val="48"/>
          <w:szCs w:val="48"/>
          <w:lang w:eastAsia="zh-CN"/>
        </w:rPr>
      </w:pPr>
      <w:bookmarkStart w:id="0" w:name="_Toc5619"/>
      <w:bookmarkStart w:id="1" w:name="_Toc7675"/>
      <w:bookmarkStart w:id="2" w:name="_Toc18376"/>
      <w:bookmarkStart w:id="3" w:name="_Toc15361"/>
      <w:bookmarkStart w:id="4" w:name="_Toc10626"/>
      <w:r>
        <w:rPr>
          <w:rFonts w:hint="eastAsia" w:ascii="仿宋" w:hAnsi="仿宋" w:eastAsia="仿宋" w:cs="仿宋"/>
          <w:b/>
          <w:w w:val="80"/>
          <w:sz w:val="48"/>
          <w:szCs w:val="48"/>
          <w:lang w:eastAsia="zh-CN"/>
        </w:rPr>
        <w:t>中石化绿源地热能（陕西）开发有限公司</w:t>
      </w:r>
      <w:bookmarkEnd w:id="0"/>
      <w:bookmarkEnd w:id="1"/>
      <w:bookmarkEnd w:id="2"/>
      <w:bookmarkEnd w:id="3"/>
      <w:bookmarkEnd w:id="4"/>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rPr>
          <w:rFonts w:hint="eastAsia" w:ascii="宋体" w:hAnsi="宋体" w:cs="宋体"/>
          <w:b/>
          <w:w w:val="80"/>
          <w:sz w:val="36"/>
          <w:szCs w:val="36"/>
        </w:rPr>
      </w:pPr>
      <w:r>
        <w:rPr>
          <w:rFonts w:hint="eastAsia" w:ascii="仿宋" w:hAnsi="仿宋" w:eastAsia="仿宋" w:cs="仿宋"/>
          <w:b/>
          <w:color w:val="000000" w:themeColor="text1"/>
          <w:w w:val="80"/>
          <w:sz w:val="48"/>
          <w:szCs w:val="48"/>
          <w:lang w:eastAsia="zh-CN"/>
          <w14:textFill>
            <w14:solidFill>
              <w14:schemeClr w14:val="tx1"/>
            </w14:solidFill>
          </w14:textFill>
        </w:rPr>
        <w:t>咸阳职院</w:t>
      </w:r>
      <w:r>
        <w:rPr>
          <w:rFonts w:hint="eastAsia" w:ascii="仿宋" w:hAnsi="仿宋" w:eastAsia="仿宋" w:cs="仿宋"/>
          <w:b/>
          <w:w w:val="80"/>
          <w:sz w:val="48"/>
          <w:szCs w:val="48"/>
        </w:rPr>
        <w:t>地热区块</w:t>
      </w: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outlineLvl w:val="0"/>
        <w:rPr>
          <w:rFonts w:hint="eastAsia" w:ascii="楷体" w:hAnsi="楷体" w:eastAsia="楷体" w:cs="楷体"/>
          <w:b/>
          <w:sz w:val="44"/>
          <w:szCs w:val="44"/>
          <w:lang w:eastAsia="zh-CN"/>
        </w:rPr>
      </w:pPr>
      <w:bookmarkStart w:id="5" w:name="_Toc9628"/>
      <w:bookmarkStart w:id="6" w:name="_Toc8814"/>
      <w:r>
        <w:rPr>
          <w:rFonts w:hint="eastAsia" w:ascii="黑体" w:hAnsi="黑体" w:eastAsia="黑体" w:cs="黑体"/>
          <w:b/>
          <w:spacing w:val="0"/>
          <w:w w:val="83"/>
          <w:kern w:val="0"/>
          <w:sz w:val="52"/>
          <w:szCs w:val="52"/>
          <w:fitText w:val="7779" w:id="1372090308"/>
        </w:rPr>
        <w:t>矿山地质环境保护与恢复治理方案报告</w:t>
      </w:r>
      <w:r>
        <w:rPr>
          <w:rFonts w:hint="eastAsia" w:ascii="黑体" w:hAnsi="黑体" w:eastAsia="黑体" w:cs="黑体"/>
          <w:b/>
          <w:spacing w:val="-12"/>
          <w:w w:val="83"/>
          <w:kern w:val="0"/>
          <w:sz w:val="52"/>
          <w:szCs w:val="52"/>
          <w:fitText w:val="7779" w:id="1372090308"/>
        </w:rPr>
        <w:t>表</w:t>
      </w:r>
      <w:r>
        <w:rPr>
          <w:rFonts w:hint="eastAsia" w:ascii="楷体" w:hAnsi="楷体" w:eastAsia="楷体" w:cs="楷体"/>
          <w:b/>
          <w:sz w:val="44"/>
          <w:szCs w:val="44"/>
          <w:lang w:eastAsia="zh-CN"/>
        </w:rPr>
        <w:t>（续</w:t>
      </w:r>
      <w:r>
        <w:rPr>
          <w:rFonts w:hint="eastAsia" w:ascii="楷体" w:hAnsi="楷体" w:eastAsia="楷体" w:cs="楷体"/>
          <w:b/>
          <w:sz w:val="44"/>
          <w:szCs w:val="44"/>
          <w:lang w:val="en-US" w:eastAsia="zh-CN"/>
        </w:rPr>
        <w:t xml:space="preserve"> </w:t>
      </w:r>
      <w:r>
        <w:rPr>
          <w:rFonts w:hint="eastAsia" w:ascii="楷体" w:hAnsi="楷体" w:eastAsia="楷体" w:cs="楷体"/>
          <w:b/>
          <w:sz w:val="44"/>
          <w:szCs w:val="44"/>
          <w:lang w:eastAsia="zh-CN"/>
        </w:rPr>
        <w:t>编）</w:t>
      </w:r>
      <w:bookmarkEnd w:id="5"/>
      <w:bookmarkEnd w:id="6"/>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32"/>
          <w:szCs w:val="32"/>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pStyle w:val="2"/>
        <w:rPr>
          <w:rFonts w:hint="eastAsia"/>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pStyle w:val="2"/>
        <w:rPr>
          <w:rFonts w:hint="eastAsia" w:ascii="宋体" w:hAnsi="宋体" w:cs="宋体"/>
          <w:b/>
          <w:sz w:val="44"/>
          <w:szCs w:val="44"/>
        </w:rPr>
      </w:pPr>
    </w:p>
    <w:p>
      <w:pPr>
        <w:pStyle w:val="2"/>
        <w:rPr>
          <w:rFonts w:hint="eastAsia" w:ascii="宋体" w:hAnsi="宋体" w:cs="宋体"/>
          <w:b/>
          <w:sz w:val="44"/>
          <w:szCs w:val="44"/>
        </w:rPr>
      </w:pPr>
    </w:p>
    <w:p>
      <w:pPr>
        <w:pStyle w:val="2"/>
        <w:rPr>
          <w:rFonts w:hint="eastAsia" w:ascii="宋体" w:hAnsi="宋体" w:cs="宋体"/>
          <w:b/>
          <w:sz w:val="44"/>
          <w:szCs w:val="44"/>
        </w:rPr>
      </w:pPr>
    </w:p>
    <w:p>
      <w:pPr>
        <w:pStyle w:val="2"/>
        <w:rPr>
          <w:rFonts w:hint="eastAsia" w:ascii="宋体" w:hAnsi="宋体" w:cs="宋体"/>
          <w:b/>
          <w:sz w:val="44"/>
          <w:szCs w:val="44"/>
        </w:rPr>
      </w:pPr>
    </w:p>
    <w:p>
      <w:pPr>
        <w:pStyle w:val="13"/>
        <w:keepNext w:val="0"/>
        <w:keepLines w:val="0"/>
        <w:pageBreakBefore w:val="0"/>
        <w:widowControl w:val="0"/>
        <w:kinsoku/>
        <w:wordWrap/>
        <w:overflowPunct/>
        <w:topLinePunct w:val="0"/>
        <w:autoSpaceDE/>
        <w:autoSpaceDN/>
        <w:bidi w:val="0"/>
        <w:adjustRightInd/>
        <w:snapToGrid/>
        <w:spacing w:after="0" w:afterLines="0" w:line="480" w:lineRule="auto"/>
        <w:ind w:left="0" w:leftChars="0" w:firstLine="0" w:firstLineChars="0"/>
        <w:textAlignment w:val="auto"/>
        <w:rPr>
          <w:rFonts w:hint="eastAsia" w:ascii="宋体" w:hAnsi="宋体" w:cs="宋体"/>
          <w:b/>
          <w:sz w:val="44"/>
          <w:szCs w:val="44"/>
        </w:rPr>
      </w:pPr>
    </w:p>
    <w:p>
      <w:pPr>
        <w:pStyle w:val="13"/>
        <w:keepNext w:val="0"/>
        <w:keepLines w:val="0"/>
        <w:pageBreakBefore w:val="0"/>
        <w:widowControl w:val="0"/>
        <w:kinsoku/>
        <w:wordWrap/>
        <w:overflowPunct/>
        <w:topLinePunct w:val="0"/>
        <w:autoSpaceDE/>
        <w:autoSpaceDN/>
        <w:bidi w:val="0"/>
        <w:adjustRightInd/>
        <w:snapToGrid/>
        <w:spacing w:after="0" w:afterLines="0" w:line="480" w:lineRule="auto"/>
        <w:ind w:left="0" w:leftChars="0" w:firstLine="0" w:firstLineChars="0"/>
        <w:textAlignment w:val="auto"/>
        <w:rPr>
          <w:rFonts w:hint="eastAsia" w:ascii="宋体" w:hAnsi="宋体" w:cs="宋体"/>
          <w:b/>
          <w:sz w:val="44"/>
          <w:szCs w:val="44"/>
        </w:rPr>
      </w:pPr>
    </w:p>
    <w:p>
      <w:pPr>
        <w:pStyle w:val="12"/>
        <w:rPr>
          <w:rFonts w:hint="eastAsia"/>
        </w:rPr>
      </w:pPr>
    </w:p>
    <w:p>
      <w:pPr>
        <w:pStyle w:val="12"/>
        <w:jc w:val="center"/>
        <w:outlineLvl w:val="0"/>
        <w:rPr>
          <w:rFonts w:hint="eastAsia"/>
          <w:b/>
          <w:bCs/>
          <w:sz w:val="32"/>
          <w:szCs w:val="32"/>
          <w:lang w:eastAsia="zh-CN"/>
        </w:rPr>
      </w:pPr>
      <w:bookmarkStart w:id="7" w:name="_Toc8408"/>
      <w:bookmarkStart w:id="8" w:name="_Toc26931"/>
      <w:r>
        <w:rPr>
          <w:rFonts w:hint="eastAsia"/>
          <w:b/>
          <w:bCs/>
          <w:sz w:val="32"/>
          <w:szCs w:val="32"/>
          <w:lang w:eastAsia="zh-CN"/>
        </w:rPr>
        <w:t>中石化绿源地热能（陕西）开发有限公司</w:t>
      </w:r>
      <w:bookmarkEnd w:id="7"/>
      <w:bookmarkEnd w:id="8"/>
    </w:p>
    <w:p>
      <w:pPr>
        <w:pStyle w:val="12"/>
        <w:jc w:val="center"/>
        <w:rPr>
          <w:rFonts w:hint="eastAsia"/>
          <w:b/>
          <w:bCs/>
          <w:sz w:val="32"/>
          <w:szCs w:val="32"/>
          <w:lang w:eastAsia="zh-CN"/>
        </w:rPr>
      </w:pPr>
      <w:r>
        <w:rPr>
          <w:rFonts w:hint="eastAsia"/>
          <w:b/>
          <w:bCs/>
          <w:sz w:val="32"/>
          <w:szCs w:val="32"/>
          <w:lang w:eastAsia="zh-CN"/>
        </w:rPr>
        <w:t>二〇二二年九月</w:t>
      </w:r>
    </w:p>
    <w:p>
      <w:pPr>
        <w:pStyle w:val="12"/>
        <w:ind w:left="0" w:leftChars="0" w:firstLine="0" w:firstLineChars="0"/>
        <w:rPr>
          <w:rFonts w:hint="eastAsia"/>
          <w:lang w:eastAsia="zh-CN"/>
        </w:rPr>
      </w:pPr>
    </w:p>
    <w:p>
      <w:pPr>
        <w:keepNext w:val="0"/>
        <w:keepLines w:val="0"/>
        <w:pageBreakBefore w:val="0"/>
        <w:widowControl w:val="0"/>
        <w:kinsoku/>
        <w:wordWrap/>
        <w:overflowPunct/>
        <w:topLinePunct w:val="0"/>
        <w:autoSpaceDE/>
        <w:autoSpaceDN/>
        <w:bidi w:val="0"/>
        <w:adjustRightInd/>
        <w:snapToGrid/>
        <w:spacing w:line="720" w:lineRule="auto"/>
        <w:ind w:firstLine="0" w:firstLineChars="0"/>
        <w:jc w:val="center"/>
        <w:textAlignment w:val="auto"/>
        <w:rPr>
          <w:rFonts w:hint="eastAsia" w:ascii="仿宋" w:hAnsi="仿宋" w:eastAsia="仿宋" w:cs="仿宋"/>
          <w:b/>
          <w:w w:val="80"/>
          <w:sz w:val="48"/>
          <w:szCs w:val="48"/>
          <w:lang w:eastAsia="zh-CN"/>
        </w:rPr>
      </w:pPr>
    </w:p>
    <w:p>
      <w:pPr>
        <w:pStyle w:val="2"/>
        <w:rPr>
          <w:rFonts w:hint="eastAsia"/>
          <w:lang w:eastAsia="zh-CN"/>
        </w:rPr>
      </w:pPr>
    </w:p>
    <w:p>
      <w:pPr>
        <w:keepNext w:val="0"/>
        <w:keepLines w:val="0"/>
        <w:pageBreakBefore w:val="0"/>
        <w:widowControl w:val="0"/>
        <w:kinsoku/>
        <w:wordWrap/>
        <w:overflowPunct/>
        <w:topLinePunct w:val="0"/>
        <w:autoSpaceDE/>
        <w:autoSpaceDN/>
        <w:bidi w:val="0"/>
        <w:adjustRightInd/>
        <w:snapToGrid/>
        <w:spacing w:line="480" w:lineRule="auto"/>
        <w:ind w:firstLine="0" w:firstLineChars="0"/>
        <w:jc w:val="center"/>
        <w:textAlignment w:val="auto"/>
        <w:outlineLvl w:val="0"/>
        <w:rPr>
          <w:rFonts w:hint="eastAsia" w:ascii="仿宋" w:hAnsi="仿宋" w:eastAsia="仿宋" w:cs="仿宋"/>
          <w:b/>
          <w:w w:val="80"/>
          <w:sz w:val="48"/>
          <w:szCs w:val="48"/>
          <w:lang w:eastAsia="zh-CN"/>
        </w:rPr>
      </w:pPr>
      <w:bookmarkStart w:id="9" w:name="_Toc14996"/>
      <w:bookmarkStart w:id="10" w:name="_Toc6967"/>
      <w:bookmarkStart w:id="11" w:name="_Toc28988"/>
      <w:bookmarkStart w:id="12" w:name="_Toc29485"/>
      <w:bookmarkStart w:id="13" w:name="_Toc28523"/>
      <w:r>
        <w:rPr>
          <w:rFonts w:hint="eastAsia" w:ascii="仿宋" w:hAnsi="仿宋" w:eastAsia="仿宋" w:cs="仿宋"/>
          <w:b/>
          <w:w w:val="80"/>
          <w:sz w:val="48"/>
          <w:szCs w:val="48"/>
          <w:lang w:eastAsia="zh-CN"/>
        </w:rPr>
        <w:t>中石化绿源地热能（陕西）开发有限公司</w:t>
      </w:r>
      <w:bookmarkEnd w:id="9"/>
      <w:bookmarkEnd w:id="10"/>
      <w:bookmarkEnd w:id="11"/>
      <w:bookmarkEnd w:id="12"/>
      <w:bookmarkEnd w:id="13"/>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rPr>
          <w:rFonts w:hint="eastAsia" w:ascii="宋体" w:hAnsi="宋体" w:cs="宋体"/>
          <w:b/>
          <w:w w:val="80"/>
          <w:sz w:val="36"/>
          <w:szCs w:val="36"/>
        </w:rPr>
      </w:pPr>
      <w:r>
        <w:rPr>
          <w:rFonts w:hint="eastAsia" w:ascii="仿宋" w:hAnsi="仿宋" w:eastAsia="仿宋" w:cs="仿宋"/>
          <w:b/>
          <w:color w:val="000000" w:themeColor="text1"/>
          <w:w w:val="80"/>
          <w:sz w:val="48"/>
          <w:szCs w:val="48"/>
          <w:lang w:eastAsia="zh-CN"/>
          <w14:textFill>
            <w14:solidFill>
              <w14:schemeClr w14:val="tx1"/>
            </w14:solidFill>
          </w14:textFill>
        </w:rPr>
        <w:t>咸阳职院</w:t>
      </w:r>
      <w:r>
        <w:rPr>
          <w:rFonts w:hint="eastAsia" w:ascii="仿宋" w:hAnsi="仿宋" w:eastAsia="仿宋" w:cs="仿宋"/>
          <w:b/>
          <w:w w:val="80"/>
          <w:sz w:val="48"/>
          <w:szCs w:val="48"/>
        </w:rPr>
        <w:t>地热区块</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0"/>
        <w:rPr>
          <w:rFonts w:hint="eastAsia"/>
          <w:b/>
          <w:sz w:val="28"/>
          <w:szCs w:val="28"/>
        </w:rPr>
      </w:pPr>
      <w:bookmarkStart w:id="14" w:name="_Toc12611"/>
      <w:bookmarkStart w:id="15" w:name="_Toc11142"/>
      <w:r>
        <w:rPr>
          <w:rFonts w:hint="eastAsia" w:ascii="黑体" w:hAnsi="黑体" w:eastAsia="黑体" w:cs="黑体"/>
          <w:b/>
          <w:spacing w:val="0"/>
          <w:w w:val="83"/>
          <w:kern w:val="0"/>
          <w:sz w:val="52"/>
          <w:szCs w:val="52"/>
          <w:fitText w:val="7779" w:id="933183436"/>
        </w:rPr>
        <w:t>矿山地质环境保护与恢复治理方案报告</w:t>
      </w:r>
      <w:r>
        <w:rPr>
          <w:rFonts w:hint="eastAsia" w:ascii="黑体" w:hAnsi="黑体" w:eastAsia="黑体" w:cs="黑体"/>
          <w:b/>
          <w:spacing w:val="-12"/>
          <w:w w:val="83"/>
          <w:kern w:val="0"/>
          <w:sz w:val="52"/>
          <w:szCs w:val="52"/>
          <w:fitText w:val="7779" w:id="933183436"/>
        </w:rPr>
        <w:t>表</w:t>
      </w:r>
      <w:bookmarkEnd w:id="14"/>
      <w:bookmarkEnd w:id="15"/>
    </w:p>
    <w:p>
      <w:pPr>
        <w:pStyle w:val="13"/>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rPr>
      </w:pPr>
    </w:p>
    <w:p>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rPr>
      </w:pPr>
    </w:p>
    <w:p>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rPr>
      </w:pPr>
    </w:p>
    <w:p>
      <w:pPr>
        <w:keepNext w:val="0"/>
        <w:keepLines w:val="0"/>
        <w:pageBreakBefore w:val="0"/>
        <w:widowControl w:val="0"/>
        <w:kinsoku/>
        <w:wordWrap/>
        <w:overflowPunct/>
        <w:topLinePunct w:val="0"/>
        <w:autoSpaceDE/>
        <w:autoSpaceDN/>
        <w:bidi w:val="0"/>
        <w:adjustRightInd/>
        <w:snapToGrid/>
        <w:spacing w:before="120" w:beforeLines="50" w:after="120" w:afterLines="50"/>
        <w:ind w:left="730" w:leftChars="304" w:firstLine="0" w:firstLineChars="0"/>
        <w:textAlignment w:val="auto"/>
        <w:rPr>
          <w:rFonts w:hint="eastAsia" w:ascii="宋体" w:hAnsi="宋体" w:eastAsia="宋体"/>
          <w:b/>
          <w:bCs/>
          <w:color w:val="FF0000"/>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2" w:firstLineChars="300"/>
        <w:textAlignment w:val="auto"/>
        <w:rPr>
          <w:rFonts w:hint="eastAsia"/>
          <w:b/>
          <w:bCs w:val="0"/>
          <w:sz w:val="32"/>
          <w:szCs w:val="32"/>
          <w:lang w:eastAsia="zh-CN"/>
        </w:rPr>
      </w:pPr>
      <w:r>
        <w:rPr>
          <w:rFonts w:hint="eastAsia" w:ascii="宋体" w:hAnsi="宋体"/>
          <w:b/>
          <w:bCs/>
          <w:color w:val="auto"/>
          <w:spacing w:val="53"/>
          <w:kern w:val="0"/>
          <w:sz w:val="32"/>
          <w:szCs w:val="32"/>
          <w:fitText w:val="1600" w:id="1592656960"/>
          <w:lang w:val="en-US" w:eastAsia="zh-CN"/>
        </w:rPr>
        <w:t>编制单</w:t>
      </w:r>
      <w:r>
        <w:rPr>
          <w:rFonts w:hint="eastAsia" w:ascii="宋体" w:hAnsi="宋体"/>
          <w:b/>
          <w:bCs/>
          <w:color w:val="auto"/>
          <w:spacing w:val="1"/>
          <w:kern w:val="0"/>
          <w:sz w:val="32"/>
          <w:szCs w:val="32"/>
          <w:fitText w:val="1600" w:id="1592656960"/>
          <w:lang w:val="en-US" w:eastAsia="zh-CN"/>
        </w:rPr>
        <w:t>位</w:t>
      </w:r>
      <w:r>
        <w:rPr>
          <w:rFonts w:hint="eastAsia" w:ascii="宋体" w:hAnsi="宋体"/>
          <w:b/>
          <w:bCs/>
          <w:color w:val="auto"/>
          <w:kern w:val="0"/>
          <w:sz w:val="32"/>
          <w:szCs w:val="32"/>
          <w:lang w:val="en-US" w:eastAsia="zh-CN"/>
        </w:rPr>
        <w:t>：</w:t>
      </w:r>
      <w:r>
        <w:rPr>
          <w:rFonts w:hint="eastAsia"/>
          <w:b/>
          <w:bCs w:val="0"/>
          <w:sz w:val="32"/>
          <w:szCs w:val="32"/>
          <w:lang w:eastAsia="zh-CN"/>
        </w:rPr>
        <w:t>陕西工程勘察研究院有限公司</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5" w:firstLineChars="400"/>
        <w:textAlignment w:val="auto"/>
        <w:rPr>
          <w:rFonts w:hint="eastAsia" w:ascii="宋体" w:hAnsi="宋体"/>
          <w:b/>
          <w:bCs/>
          <w:color w:val="auto"/>
          <w:sz w:val="32"/>
          <w:szCs w:val="32"/>
          <w:lang w:eastAsia="zh-CN"/>
        </w:rPr>
      </w:pPr>
      <w:r>
        <w:rPr>
          <w:rFonts w:hint="eastAsia" w:ascii="宋体" w:hAnsi="宋体"/>
          <w:b/>
          <w:bCs/>
          <w:color w:val="auto"/>
          <w:sz w:val="32"/>
          <w:szCs w:val="32"/>
        </w:rPr>
        <w:t>项目负责人：</w:t>
      </w:r>
      <w:r>
        <w:rPr>
          <w:rFonts w:hint="eastAsia" w:ascii="宋体" w:hAnsi="宋体"/>
          <w:b/>
          <w:bCs/>
          <w:color w:val="auto"/>
          <w:sz w:val="32"/>
          <w:szCs w:val="32"/>
          <w:lang w:eastAsia="zh-CN"/>
        </w:rPr>
        <w:t>高</w:t>
      </w:r>
      <w:r>
        <w:rPr>
          <w:rFonts w:hint="eastAsia" w:ascii="宋体" w:hAnsi="宋体"/>
          <w:b/>
          <w:bCs/>
          <w:color w:val="auto"/>
          <w:sz w:val="32"/>
          <w:szCs w:val="32"/>
          <w:lang w:val="en-US" w:eastAsia="zh-CN"/>
        </w:rPr>
        <w:t xml:space="preserve">  </w:t>
      </w:r>
      <w:r>
        <w:rPr>
          <w:rFonts w:hint="eastAsia" w:ascii="宋体" w:hAnsi="宋体"/>
          <w:b/>
          <w:bCs/>
          <w:color w:val="auto"/>
          <w:sz w:val="32"/>
          <w:szCs w:val="32"/>
          <w:lang w:eastAsia="zh-CN"/>
        </w:rPr>
        <w:t>超</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2" w:firstLineChars="300"/>
        <w:textAlignment w:val="auto"/>
        <w:rPr>
          <w:rFonts w:hint="eastAsia" w:ascii="宋体" w:hAnsi="宋体"/>
          <w:b/>
          <w:bCs/>
          <w:color w:val="auto"/>
          <w:sz w:val="32"/>
          <w:szCs w:val="32"/>
          <w:lang w:val="en-US" w:eastAsia="zh-CN"/>
        </w:rPr>
      </w:pPr>
      <w:r>
        <w:rPr>
          <w:rFonts w:hint="eastAsia" w:ascii="宋体" w:hAnsi="宋体"/>
          <w:b/>
          <w:bCs/>
          <w:color w:val="auto"/>
          <w:spacing w:val="53"/>
          <w:kern w:val="0"/>
          <w:sz w:val="32"/>
          <w:szCs w:val="32"/>
          <w:fitText w:val="1600" w:id="179642532"/>
        </w:rPr>
        <w:t>编写人</w:t>
      </w:r>
      <w:r>
        <w:rPr>
          <w:rFonts w:hint="eastAsia" w:ascii="宋体" w:hAnsi="宋体"/>
          <w:b/>
          <w:bCs/>
          <w:color w:val="auto"/>
          <w:spacing w:val="1"/>
          <w:kern w:val="0"/>
          <w:sz w:val="32"/>
          <w:szCs w:val="32"/>
          <w:fitText w:val="1600" w:id="179642532"/>
        </w:rPr>
        <w:t>员</w:t>
      </w:r>
      <w:r>
        <w:rPr>
          <w:rFonts w:hint="eastAsia" w:ascii="宋体" w:hAnsi="宋体"/>
          <w:b/>
          <w:bCs/>
          <w:color w:val="auto"/>
          <w:sz w:val="32"/>
          <w:szCs w:val="32"/>
        </w:rPr>
        <w:t>：</w:t>
      </w:r>
      <w:r>
        <w:rPr>
          <w:rFonts w:hint="eastAsia" w:ascii="宋体" w:hAnsi="宋体"/>
          <w:b/>
          <w:bCs/>
          <w:color w:val="auto"/>
          <w:sz w:val="32"/>
          <w:szCs w:val="32"/>
          <w:lang w:eastAsia="zh-CN"/>
        </w:rPr>
        <w:t>刘</w:t>
      </w:r>
      <w:r>
        <w:rPr>
          <w:rFonts w:hint="eastAsia" w:ascii="宋体" w:hAnsi="宋体"/>
          <w:b/>
          <w:bCs/>
          <w:color w:val="auto"/>
          <w:sz w:val="32"/>
          <w:szCs w:val="32"/>
          <w:lang w:val="en-US" w:eastAsia="zh-CN"/>
        </w:rPr>
        <w:t xml:space="preserve">  </w:t>
      </w:r>
      <w:r>
        <w:rPr>
          <w:rFonts w:hint="eastAsia" w:ascii="宋体" w:hAnsi="宋体"/>
          <w:b/>
          <w:bCs/>
          <w:color w:val="auto"/>
          <w:sz w:val="32"/>
          <w:szCs w:val="32"/>
          <w:lang w:eastAsia="zh-CN"/>
        </w:rPr>
        <w:t>星</w:t>
      </w:r>
      <w:r>
        <w:rPr>
          <w:rFonts w:hint="eastAsia" w:ascii="宋体" w:hAnsi="宋体"/>
          <w:b/>
          <w:bCs/>
          <w:color w:val="auto"/>
          <w:sz w:val="32"/>
          <w:szCs w:val="32"/>
          <w:lang w:val="en-US" w:eastAsia="zh-CN"/>
        </w:rPr>
        <w:t xml:space="preserve">   李哲辉   高  超</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5" w:firstLineChars="400"/>
        <w:textAlignment w:val="auto"/>
        <w:rPr>
          <w:rFonts w:hint="eastAsia" w:ascii="宋体" w:hAnsi="宋体"/>
          <w:b/>
          <w:bCs/>
          <w:color w:val="auto"/>
          <w:sz w:val="32"/>
          <w:szCs w:val="32"/>
          <w:lang w:eastAsia="zh-CN"/>
        </w:rPr>
      </w:pPr>
      <w:r>
        <w:rPr>
          <w:rFonts w:hint="eastAsia" w:ascii="宋体" w:hAnsi="宋体"/>
          <w:b/>
          <w:bCs/>
          <w:color w:val="auto"/>
          <w:sz w:val="32"/>
          <w:szCs w:val="32"/>
        </w:rPr>
        <w:t>副总工程师：</w:t>
      </w:r>
      <w:r>
        <w:rPr>
          <w:rFonts w:hint="eastAsia" w:ascii="宋体" w:hAnsi="宋体"/>
          <w:b/>
          <w:bCs/>
          <w:color w:val="auto"/>
          <w:sz w:val="32"/>
          <w:szCs w:val="32"/>
          <w:lang w:eastAsia="zh-CN"/>
        </w:rPr>
        <w:t>刘卫岗</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5" w:firstLineChars="400"/>
        <w:textAlignment w:val="auto"/>
        <w:rPr>
          <w:rFonts w:hint="eastAsia" w:ascii="宋体" w:hAnsi="宋体" w:eastAsia="宋体"/>
          <w:b/>
          <w:bCs/>
          <w:color w:val="auto"/>
          <w:sz w:val="32"/>
          <w:szCs w:val="32"/>
          <w:lang w:eastAsia="zh-CN"/>
        </w:rPr>
      </w:pPr>
      <w:r>
        <w:rPr>
          <w:rFonts w:hint="eastAsia" w:ascii="宋体" w:hAnsi="宋体"/>
          <w:b/>
          <w:bCs/>
          <w:color w:val="auto"/>
          <w:sz w:val="32"/>
          <w:szCs w:val="32"/>
          <w:lang w:eastAsia="zh-CN"/>
        </w:rPr>
        <w:t>法定代表人</w:t>
      </w:r>
      <w:r>
        <w:rPr>
          <w:rFonts w:hint="eastAsia" w:ascii="宋体" w:hAnsi="宋体"/>
          <w:b/>
          <w:bCs/>
          <w:color w:val="auto"/>
          <w:sz w:val="32"/>
          <w:szCs w:val="32"/>
        </w:rPr>
        <w:t>：</w:t>
      </w:r>
      <w:r>
        <w:rPr>
          <w:rFonts w:hint="eastAsia" w:ascii="宋体" w:hAnsi="宋体"/>
          <w:b/>
          <w:bCs/>
          <w:color w:val="auto"/>
          <w:sz w:val="32"/>
          <w:szCs w:val="32"/>
          <w:lang w:eastAsia="zh-CN"/>
        </w:rPr>
        <w:t>黄立新</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730" w:leftChars="304" w:firstLine="0" w:firstLineChars="0"/>
        <w:textAlignment w:val="auto"/>
        <w:rPr>
          <w:rFonts w:hint="eastAsia" w:ascii="宋体" w:hAnsi="宋体"/>
          <w:b/>
          <w:bCs/>
          <w:color w:val="auto"/>
          <w:spacing w:val="480"/>
          <w:kern w:val="0"/>
          <w:sz w:val="32"/>
          <w:szCs w:val="32"/>
          <w:fitText w:val="800" w:id="948967905"/>
          <w:lang w:eastAsia="zh-CN"/>
        </w:rPr>
      </w:pP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0" w:firstLineChars="0"/>
        <w:textAlignment w:val="auto"/>
        <w:rPr>
          <w:rFonts w:hint="eastAsia" w:ascii="宋体" w:hAnsi="宋体"/>
          <w:b/>
          <w:bCs/>
          <w:color w:val="auto"/>
          <w:kern w:val="0"/>
          <w:sz w:val="32"/>
          <w:szCs w:val="32"/>
          <w:lang w:eastAsia="zh-CN"/>
        </w:rPr>
      </w:pPr>
    </w:p>
    <w:p>
      <w:pPr>
        <w:pStyle w:val="12"/>
        <w:jc w:val="center"/>
        <w:rPr>
          <w:rFonts w:hint="default" w:ascii="宋体" w:hAnsi="宋体"/>
          <w:b/>
          <w:bCs/>
          <w:color w:val="auto"/>
          <w:kern w:val="0"/>
          <w:sz w:val="32"/>
          <w:szCs w:val="32"/>
          <w:lang w:val="en-US" w:eastAsia="zh-CN"/>
        </w:rPr>
      </w:pPr>
      <w:bookmarkStart w:id="16" w:name="_Toc16931"/>
      <w:bookmarkStart w:id="17" w:name="_Toc24885"/>
      <w:r>
        <w:rPr>
          <w:rFonts w:hint="eastAsia" w:ascii="宋体" w:hAnsi="宋体"/>
          <w:b/>
          <w:bCs/>
          <w:color w:val="auto"/>
          <w:kern w:val="0"/>
          <w:sz w:val="32"/>
          <w:szCs w:val="32"/>
          <w:lang w:val="en-US" w:eastAsia="zh-CN"/>
        </w:rPr>
        <w:t>提交单位：</w:t>
      </w:r>
      <w:bookmarkEnd w:id="16"/>
      <w:bookmarkEnd w:id="17"/>
      <w:r>
        <w:rPr>
          <w:rFonts w:hint="eastAsia"/>
          <w:b/>
          <w:bCs/>
          <w:sz w:val="32"/>
          <w:szCs w:val="32"/>
          <w:lang w:eastAsia="zh-CN"/>
        </w:rPr>
        <w:t>中石化绿源地热能（陕西）开发有限公司</w:t>
      </w:r>
    </w:p>
    <w:p>
      <w:pPr>
        <w:rPr>
          <w:rFonts w:hint="eastAsia" w:ascii="宋体" w:hAnsi="宋体"/>
          <w:b/>
          <w:bCs/>
          <w:color w:val="auto"/>
          <w:sz w:val="32"/>
          <w:szCs w:val="32"/>
          <w:lang w:val="en-US" w:eastAsia="zh-CN"/>
        </w:rPr>
      </w:pPr>
      <w:r>
        <w:rPr>
          <w:rFonts w:hint="eastAsia" w:ascii="宋体" w:hAnsi="宋体" w:eastAsia="宋体"/>
          <w:b/>
          <w:bCs/>
          <w:color w:val="auto"/>
          <w:kern w:val="0"/>
          <w:sz w:val="32"/>
          <w:szCs w:val="32"/>
          <w:lang w:val="en-US" w:eastAsia="zh-CN"/>
        </w:rPr>
        <w:t>编制时间</w:t>
      </w:r>
      <w:r>
        <w:rPr>
          <w:rFonts w:hint="eastAsia" w:ascii="宋体" w:hAnsi="宋体"/>
          <w:b/>
          <w:bCs/>
          <w:color w:val="auto"/>
          <w:sz w:val="32"/>
          <w:szCs w:val="32"/>
          <w:lang w:val="en-US" w:eastAsia="zh-CN"/>
        </w:rPr>
        <w:t>：二〇二二年九月</w:t>
      </w:r>
    </w:p>
    <w:p>
      <w:pPr>
        <w:rPr>
          <w:rFonts w:hint="eastAsia" w:ascii="宋体" w:hAnsi="宋体"/>
          <w:b/>
          <w:bCs/>
          <w:color w:val="auto"/>
          <w:sz w:val="32"/>
          <w:szCs w:val="32"/>
          <w:lang w:val="en-US" w:eastAsia="zh-CN"/>
        </w:rPr>
      </w:pPr>
      <w:r>
        <w:rPr>
          <w:rFonts w:hint="eastAsia" w:ascii="宋体" w:hAnsi="宋体"/>
          <w:b/>
          <w:bCs/>
          <w:color w:val="auto"/>
          <w:sz w:val="32"/>
          <w:szCs w:val="32"/>
          <w:lang w:val="en-US" w:eastAsia="zh-CN"/>
        </w:rPr>
        <w:br w:type="page"/>
      </w:r>
    </w:p>
    <w:p>
      <w:pPr>
        <w:bidi w:val="0"/>
        <w:ind w:left="0" w:leftChars="0" w:firstLine="0" w:firstLineChars="0"/>
        <w:jc w:val="center"/>
        <w:outlineLvl w:val="0"/>
        <w:rPr>
          <w:rFonts w:hint="eastAsia"/>
          <w:b/>
          <w:bCs/>
          <w:sz w:val="28"/>
          <w:szCs w:val="28"/>
          <w:lang w:val="en-US" w:eastAsia="zh-CN"/>
        </w:rPr>
      </w:pPr>
      <w:bookmarkStart w:id="18" w:name="_Toc6276"/>
      <w:bookmarkStart w:id="19" w:name="_Toc12460"/>
      <w:bookmarkStart w:id="20" w:name="_Toc5698"/>
      <w:bookmarkStart w:id="21" w:name="_Toc22525"/>
      <w:r>
        <w:rPr>
          <w:rFonts w:hint="eastAsia"/>
          <w:b/>
          <w:bCs/>
          <w:sz w:val="28"/>
          <w:szCs w:val="28"/>
          <w:lang w:val="en-US" w:eastAsia="zh-CN"/>
        </w:rPr>
        <w:t>矿山地质环境保护与恢复治理方案审查申请登记表</w:t>
      </w:r>
      <w:bookmarkEnd w:id="18"/>
      <w:bookmarkEnd w:id="19"/>
      <w:bookmarkEnd w:id="20"/>
      <w:bookmarkEnd w:id="21"/>
    </w:p>
    <w:tbl>
      <w:tblPr>
        <w:tblStyle w:val="17"/>
        <w:tblW w:w="863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58"/>
        <w:gridCol w:w="1970"/>
        <w:gridCol w:w="1973"/>
        <w:gridCol w:w="30"/>
        <w:gridCol w:w="990"/>
        <w:gridCol w:w="1013"/>
        <w:gridCol w:w="174"/>
        <w:gridCol w:w="183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8" w:hRule="atLeast"/>
        </w:trPr>
        <w:tc>
          <w:tcPr>
            <w:tcW w:w="658" w:type="dxa"/>
            <w:vMerge w:val="restart"/>
            <w:tcBorders>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矿</w:t>
            </w:r>
          </w:p>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山</w:t>
            </w:r>
          </w:p>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企</w:t>
            </w:r>
          </w:p>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业</w:t>
            </w: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矿山企业名称</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中石化绿源地热能（陕西）开发有限公司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5"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法定代表人</w:t>
            </w:r>
          </w:p>
        </w:tc>
        <w:tc>
          <w:tcPr>
            <w:tcW w:w="1973"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刘斌</w:t>
            </w:r>
          </w:p>
        </w:tc>
        <w:tc>
          <w:tcPr>
            <w:tcW w:w="2207" w:type="dxa"/>
            <w:gridSpan w:val="4"/>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联系电话</w:t>
            </w:r>
          </w:p>
        </w:tc>
        <w:tc>
          <w:tcPr>
            <w:tcW w:w="1831"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default" w:ascii="Times New Roman" w:hAnsi="Times New Roman" w:cs="Times New Roman"/>
                <w:color w:val="auto"/>
                <w:lang w:val="en-US" w:eastAsia="zh-CN"/>
              </w:rPr>
              <w:t>029-33258003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6"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单位地址</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default" w:ascii="Times New Roman" w:hAnsi="Times New Roman" w:cs="Times New Roman"/>
                <w:color w:val="auto"/>
                <w:lang w:val="en-US" w:eastAsia="zh-CN"/>
              </w:rPr>
              <w:t>陕西省咸阳市秦都区中华西路4号建设大厦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7"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矿山名称</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中石化绿源地热能（陕西）开发有限公司</w:t>
            </w:r>
          </w:p>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cs="Times New Roman"/>
                <w:color w:val="auto"/>
                <w:lang w:val="en-US" w:eastAsia="zh-CN"/>
              </w:rPr>
              <w:t>咸阳职院</w:t>
            </w:r>
            <w:r>
              <w:rPr>
                <w:rFonts w:hint="eastAsia" w:ascii="Times New Roman" w:hAnsi="Times New Roman" w:cs="Times New Roman"/>
                <w:color w:val="auto"/>
                <w:lang w:val="en-US" w:eastAsia="zh-CN"/>
              </w:rPr>
              <w:t>地热区块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联系人</w:t>
            </w:r>
          </w:p>
        </w:tc>
        <w:tc>
          <w:tcPr>
            <w:tcW w:w="2003"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王仁梅</w:t>
            </w:r>
          </w:p>
        </w:tc>
        <w:tc>
          <w:tcPr>
            <w:tcW w:w="2003"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联系电话</w:t>
            </w:r>
          </w:p>
        </w:tc>
        <w:tc>
          <w:tcPr>
            <w:tcW w:w="2005"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default" w:ascii="Times New Roman" w:hAnsi="Times New Roman" w:cs="Times New Roman"/>
                <w:color w:val="auto"/>
                <w:lang w:val="en-US" w:eastAsia="zh-CN"/>
              </w:rPr>
              <w:t>15592127148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9"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p>
        </w:tc>
        <w:tc>
          <w:tcPr>
            <w:tcW w:w="1970" w:type="dxa"/>
            <w:vMerge w:val="restart"/>
            <w:tcBorders>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p>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采矿许可证</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eastAsia="宋体" w:cs="Times New Roman"/>
                <w:color w:val="auto"/>
                <w:lang w:val="en-US" w:eastAsia="zh-CN"/>
              </w:rPr>
            </w:pPr>
            <w:r>
              <w:rPr>
                <w:color w:val="auto"/>
                <w:sz w:val="24"/>
              </w:rPr>
              <w:fldChar w:fldCharType="begin"/>
            </w:r>
            <w:r>
              <w:rPr>
                <w:color w:val="auto"/>
                <w:sz w:val="24"/>
              </w:rPr>
              <w:instrText xml:space="preserve"> eq \o\ac(</w:instrText>
            </w:r>
            <w:r>
              <w:rPr>
                <w:rFonts w:hint="eastAsia"/>
                <w:color w:val="auto"/>
                <w:position w:val="-5"/>
                <w:sz w:val="24"/>
              </w:rPr>
              <w:instrText xml:space="preserve">□</w:instrText>
            </w:r>
            <w:r>
              <w:rPr>
                <w:color w:val="auto"/>
                <w:sz w:val="24"/>
              </w:rPr>
              <w:instrText xml:space="preserve">)</w:instrText>
            </w:r>
            <w:r>
              <w:rPr>
                <w:color w:val="auto"/>
                <w:sz w:val="24"/>
              </w:rPr>
              <w:fldChar w:fldCharType="end"/>
            </w:r>
            <w:r>
              <w:rPr>
                <w:rFonts w:hint="eastAsia"/>
                <w:color w:val="auto"/>
                <w:sz w:val="24"/>
              </w:rPr>
              <w:t xml:space="preserve">新申请  </w:t>
            </w:r>
            <w:r>
              <w:rPr>
                <w:color w:val="auto"/>
                <w:sz w:val="24"/>
              </w:rPr>
              <w:fldChar w:fldCharType="begin"/>
            </w:r>
            <w:r>
              <w:rPr>
                <w:color w:val="auto"/>
                <w:sz w:val="24"/>
              </w:rPr>
              <w:instrText xml:space="preserve"> eq \o\ac(</w:instrText>
            </w:r>
            <w:r>
              <w:rPr>
                <w:rFonts w:hint="eastAsia"/>
                <w:color w:val="auto"/>
                <w:position w:val="-5"/>
                <w:sz w:val="24"/>
              </w:rPr>
              <w:instrText xml:space="preserve">□</w:instrText>
            </w:r>
            <w:r>
              <w:rPr>
                <w:rFonts w:hint="eastAsia"/>
                <w:color w:val="auto"/>
                <w:position w:val="-5"/>
                <w:sz w:val="24"/>
                <w:lang w:eastAsia="zh-CN"/>
              </w:rPr>
              <w:instrText xml:space="preserve">,</w:instrText>
            </w:r>
            <w:r>
              <w:rPr>
                <w:rFonts w:hint="eastAsia"/>
                <w:color w:val="auto"/>
                <w:position w:val="-2"/>
                <w:sz w:val="16"/>
                <w:lang w:eastAsia="zh-CN"/>
              </w:rPr>
              <w:instrText xml:space="preserve">√</w:instrText>
            </w:r>
            <w:r>
              <w:rPr>
                <w:color w:val="auto"/>
                <w:sz w:val="24"/>
              </w:rPr>
              <w:instrText xml:space="preserve">)</w:instrText>
            </w:r>
            <w:r>
              <w:rPr>
                <w:color w:val="auto"/>
                <w:sz w:val="24"/>
              </w:rPr>
              <w:fldChar w:fldCharType="end"/>
            </w:r>
            <w:r>
              <w:rPr>
                <w:rFonts w:hint="eastAsia"/>
                <w:color w:val="auto"/>
                <w:sz w:val="24"/>
                <w:lang w:eastAsia="zh-CN"/>
              </w:rPr>
              <w:t>持有</w:t>
            </w:r>
            <w:r>
              <w:rPr>
                <w:rFonts w:hint="eastAsia"/>
                <w:color w:val="auto"/>
                <w:sz w:val="24"/>
                <w:lang w:val="en-US" w:eastAsia="zh-CN"/>
              </w:rPr>
              <w:t xml:space="preserve">  </w:t>
            </w:r>
            <w:r>
              <w:rPr>
                <w:color w:val="auto"/>
                <w:sz w:val="24"/>
              </w:rPr>
              <w:fldChar w:fldCharType="begin"/>
            </w:r>
            <w:r>
              <w:rPr>
                <w:color w:val="auto"/>
                <w:sz w:val="24"/>
              </w:rPr>
              <w:instrText xml:space="preserve"> eq \o\ac(</w:instrText>
            </w:r>
            <w:r>
              <w:rPr>
                <w:rFonts w:hint="eastAsia"/>
                <w:color w:val="auto"/>
                <w:position w:val="-5"/>
                <w:sz w:val="24"/>
              </w:rPr>
              <w:instrText xml:space="preserve">□</w:instrText>
            </w:r>
            <w:r>
              <w:rPr>
                <w:color w:val="auto"/>
                <w:sz w:val="24"/>
              </w:rPr>
              <w:instrText xml:space="preserve">)</w:instrText>
            </w:r>
            <w:r>
              <w:rPr>
                <w:color w:val="auto"/>
                <w:sz w:val="24"/>
              </w:rPr>
              <w:fldChar w:fldCharType="end"/>
            </w:r>
            <w:r>
              <w:rPr>
                <w:rFonts w:hint="eastAsia"/>
                <w:color w:val="auto"/>
                <w:sz w:val="24"/>
                <w:lang w:eastAsia="zh-CN"/>
              </w:rPr>
              <w:t>变更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9" w:hRule="atLeast"/>
        </w:trPr>
        <w:tc>
          <w:tcPr>
            <w:tcW w:w="658" w:type="dxa"/>
            <w:vMerge w:val="continue"/>
            <w:tcBorders>
              <w:top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p>
        </w:tc>
        <w:tc>
          <w:tcPr>
            <w:tcW w:w="1970" w:type="dxa"/>
            <w:vMerge w:val="continue"/>
            <w:tcBorders>
              <w:top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以上情况请选择一种并打√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658" w:type="dxa"/>
            <w:vMerge w:val="restart"/>
            <w:tcBorders>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编</w:t>
            </w:r>
          </w:p>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制</w:t>
            </w:r>
          </w:p>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单</w:t>
            </w:r>
          </w:p>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位</w:t>
            </w: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单位名称</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陕西工程勘察研究院有限公司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8"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法定代表人</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黄立新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5"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资质证书名称</w:t>
            </w:r>
          </w:p>
        </w:tc>
        <w:tc>
          <w:tcPr>
            <w:tcW w:w="2993" w:type="dxa"/>
            <w:gridSpan w:val="3"/>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地质灾害评估资质</w:t>
            </w:r>
          </w:p>
        </w:tc>
        <w:tc>
          <w:tcPr>
            <w:tcW w:w="1187"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资质等级</w:t>
            </w:r>
          </w:p>
        </w:tc>
        <w:tc>
          <w:tcPr>
            <w:tcW w:w="1831"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甲级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9"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发证机关</w:t>
            </w:r>
          </w:p>
        </w:tc>
        <w:tc>
          <w:tcPr>
            <w:tcW w:w="2993" w:type="dxa"/>
            <w:gridSpan w:val="3"/>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中华人民共和国自然资源部</w:t>
            </w:r>
          </w:p>
        </w:tc>
        <w:tc>
          <w:tcPr>
            <w:tcW w:w="1187"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资质编号</w:t>
            </w:r>
          </w:p>
        </w:tc>
        <w:tc>
          <w:tcPr>
            <w:tcW w:w="1831" w:type="dxa"/>
            <w:vAlign w:val="center"/>
          </w:tcPr>
          <w:p>
            <w:pPr>
              <w:spacing w:before="14" w:line="307" w:lineRule="exact"/>
              <w:ind w:left="0" w:leftChars="0" w:firstLine="0" w:firstLineChars="0"/>
              <w:jc w:val="center"/>
              <w:textAlignment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612017110207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8" w:hRule="atLeast"/>
        </w:trPr>
        <w:tc>
          <w:tcPr>
            <w:tcW w:w="658" w:type="dxa"/>
            <w:vMerge w:val="continue"/>
            <w:tcBorders>
              <w:top w:val="nil"/>
              <w:bottom w:val="single" w:color="auto" w:sz="4" w:space="0"/>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p>
        </w:tc>
        <w:tc>
          <w:tcPr>
            <w:tcW w:w="1970" w:type="dxa"/>
            <w:tcBorders>
              <w:bottom w:val="single" w:color="auto" w:sz="4" w:space="0"/>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联系人</w:t>
            </w:r>
          </w:p>
        </w:tc>
        <w:tc>
          <w:tcPr>
            <w:tcW w:w="2993" w:type="dxa"/>
            <w:gridSpan w:val="3"/>
            <w:tcBorders>
              <w:bottom w:val="single" w:color="auto" w:sz="4" w:space="0"/>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白玉娟</w:t>
            </w:r>
          </w:p>
        </w:tc>
        <w:tc>
          <w:tcPr>
            <w:tcW w:w="1187" w:type="dxa"/>
            <w:gridSpan w:val="2"/>
            <w:tcBorders>
              <w:bottom w:val="single" w:color="auto" w:sz="4" w:space="0"/>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联系电话</w:t>
            </w:r>
          </w:p>
        </w:tc>
        <w:tc>
          <w:tcPr>
            <w:tcW w:w="1831" w:type="dxa"/>
            <w:tcBorders>
              <w:bottom w:val="single" w:color="auto" w:sz="4" w:space="0"/>
            </w:tcBorders>
            <w:vAlign w:val="center"/>
          </w:tcPr>
          <w:p>
            <w:pPr>
              <w:spacing w:before="14" w:line="307" w:lineRule="exact"/>
              <w:ind w:left="0" w:leftChars="0" w:firstLine="0" w:firstLineChars="0"/>
              <w:jc w:val="center"/>
              <w:textAlignment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13772034752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70" w:hRule="atLeast"/>
        </w:trPr>
        <w:tc>
          <w:tcPr>
            <w:tcW w:w="658" w:type="dxa"/>
            <w:tcBorders>
              <w:top w:val="single" w:color="auto" w:sz="4" w:space="0"/>
              <w:left w:val="single" w:color="auto" w:sz="4" w:space="0"/>
              <w:bottom w:val="single" w:color="auto" w:sz="4" w:space="0"/>
              <w:right w:val="single" w:color="auto" w:sz="4" w:space="0"/>
            </w:tcBorders>
            <w:vAlign w:val="center"/>
          </w:tcPr>
          <w:p>
            <w:pPr>
              <w:spacing w:before="14" w:line="360" w:lineRule="auto"/>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审</w:t>
            </w:r>
          </w:p>
          <w:p>
            <w:pPr>
              <w:spacing w:before="14" w:line="360" w:lineRule="auto"/>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查</w:t>
            </w:r>
          </w:p>
          <w:p>
            <w:pPr>
              <w:spacing w:before="14" w:line="360" w:lineRule="auto"/>
              <w:ind w:left="0" w:leftChars="0" w:firstLine="0" w:firstLineChars="0"/>
              <w:jc w:val="center"/>
              <w:textAlignment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申</w:t>
            </w:r>
          </w:p>
          <w:p>
            <w:pPr>
              <w:spacing w:before="14" w:line="360" w:lineRule="auto"/>
              <w:ind w:left="0" w:leftChars="0" w:firstLine="0" w:firstLineChars="0"/>
              <w:jc w:val="center"/>
              <w:textAlignment w:val="center"/>
              <w:rPr>
                <w:color w:val="auto"/>
              </w:rPr>
            </w:pPr>
            <w:r>
              <w:rPr>
                <w:rFonts w:hint="eastAsia" w:ascii="Times New Roman" w:hAnsi="Times New Roman" w:cs="Times New Roman"/>
                <w:color w:val="auto"/>
                <w:lang w:val="en-US" w:eastAsia="zh-CN"/>
              </w:rPr>
              <w:t>请</w:t>
            </w:r>
          </w:p>
        </w:tc>
        <w:tc>
          <w:tcPr>
            <w:tcW w:w="7981" w:type="dxa"/>
            <w:gridSpan w:val="7"/>
            <w:tcBorders>
              <w:top w:val="single" w:color="auto" w:sz="4" w:space="0"/>
              <w:left w:val="single" w:color="auto" w:sz="4" w:space="0"/>
              <w:bottom w:val="single" w:color="auto" w:sz="4" w:space="0"/>
              <w:right w:val="single" w:color="auto" w:sz="4" w:space="0"/>
            </w:tcBorders>
            <w:vAlign w:val="center"/>
          </w:tcPr>
          <w:p>
            <w:pPr>
              <w:spacing w:before="14" w:line="360" w:lineRule="auto"/>
              <w:jc w:val="both"/>
              <w:textAlignment w:val="center"/>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我单位已按照要求编制矿山地质环境保护与恢复治理方案报告表，并承诺按照批准后的矿山地质环境保护与恢复治理方案做好矿山地质环境保护与恢复治理工作，请予以审查。</w:t>
            </w:r>
          </w:p>
          <w:p>
            <w:pPr>
              <w:spacing w:line="260" w:lineRule="auto"/>
              <w:jc w:val="both"/>
              <w:rPr>
                <w:rFonts w:ascii="Arial"/>
                <w:color w:val="auto"/>
                <w:sz w:val="24"/>
                <w:szCs w:val="24"/>
              </w:rPr>
            </w:pPr>
          </w:p>
          <w:p>
            <w:pPr>
              <w:pStyle w:val="2"/>
              <w:rPr>
                <w:rFonts w:ascii="Arial"/>
                <w:color w:val="auto"/>
                <w:sz w:val="24"/>
                <w:szCs w:val="24"/>
              </w:rPr>
            </w:pPr>
          </w:p>
          <w:p>
            <w:pPr>
              <w:pStyle w:val="2"/>
              <w:ind w:firstLine="3360" w:firstLineChars="14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申请单位（矿山企业）盖章</w:t>
            </w:r>
          </w:p>
          <w:p>
            <w:pPr>
              <w:pStyle w:val="2"/>
              <w:ind w:firstLine="3360" w:firstLineChars="1400"/>
              <w:rPr>
                <w:rFonts w:hint="eastAsia" w:ascii="Times New Roman" w:hAnsi="Times New Roman" w:eastAsia="宋体" w:cs="Times New Roman"/>
                <w:color w:val="auto"/>
                <w:kern w:val="2"/>
                <w:sz w:val="24"/>
                <w:szCs w:val="24"/>
                <w:lang w:val="en-US" w:eastAsia="zh-CN" w:bidi="ar-SA"/>
              </w:rPr>
            </w:pPr>
          </w:p>
          <w:p>
            <w:pPr>
              <w:pStyle w:val="2"/>
              <w:rPr>
                <w:rFonts w:ascii="楷体" w:hAnsi="楷体" w:eastAsia="楷体" w:cs="楷体"/>
                <w:color w:val="auto"/>
                <w:sz w:val="28"/>
                <w:szCs w:val="28"/>
              </w:rPr>
            </w:pPr>
            <w:r>
              <w:rPr>
                <w:rFonts w:hint="eastAsia" w:ascii="Times New Roman" w:hAnsi="Times New Roman" w:eastAsia="宋体" w:cs="Times New Roman"/>
                <w:color w:val="auto"/>
                <w:kern w:val="2"/>
                <w:sz w:val="24"/>
                <w:szCs w:val="24"/>
                <w:lang w:val="en-US" w:eastAsia="zh-CN" w:bidi="ar-SA"/>
              </w:rPr>
              <w:t xml:space="preserve">联系人：王仁梅 </w:t>
            </w:r>
            <w:r>
              <w:rPr>
                <w:rFonts w:hint="eastAsia" w:ascii="Times New Roman" w:hAnsi="Times New Roman" w:cs="Times New Roman"/>
                <w:color w:val="auto"/>
                <w:kern w:val="2"/>
                <w:sz w:val="24"/>
                <w:szCs w:val="24"/>
                <w:lang w:val="en-US" w:eastAsia="zh-CN" w:bidi="ar-SA"/>
              </w:rPr>
              <w:t xml:space="preserve">           </w:t>
            </w:r>
            <w:r>
              <w:rPr>
                <w:rFonts w:hint="eastAsia" w:ascii="Times New Roman" w:hAnsi="Times New Roman" w:eastAsia="宋体" w:cs="Times New Roman"/>
                <w:color w:val="auto"/>
                <w:kern w:val="2"/>
                <w:sz w:val="24"/>
                <w:szCs w:val="24"/>
                <w:lang w:val="en-US" w:eastAsia="zh-CN" w:bidi="ar-SA"/>
              </w:rPr>
              <w:t xml:space="preserve"> </w:t>
            </w:r>
            <w:r>
              <w:rPr>
                <w:rFonts w:hint="eastAsia" w:ascii="Times New Roman" w:hAnsi="Times New Roman" w:cs="Times New Roman"/>
                <w:color w:val="auto"/>
                <w:kern w:val="2"/>
                <w:sz w:val="24"/>
                <w:szCs w:val="24"/>
                <w:lang w:val="en-US" w:eastAsia="zh-CN" w:bidi="ar-SA"/>
              </w:rPr>
              <w:t xml:space="preserve">  </w:t>
            </w:r>
            <w:r>
              <w:rPr>
                <w:rFonts w:hint="eastAsia" w:ascii="Times New Roman" w:hAnsi="Times New Roman" w:eastAsia="宋体" w:cs="Times New Roman"/>
                <w:color w:val="auto"/>
                <w:kern w:val="2"/>
                <w:sz w:val="24"/>
                <w:szCs w:val="24"/>
                <w:lang w:val="en-US" w:eastAsia="zh-CN" w:bidi="ar-SA"/>
              </w:rPr>
              <w:t>联系电话：15592127148</w:t>
            </w:r>
          </w:p>
        </w:tc>
      </w:tr>
    </w:tbl>
    <w:p>
      <w:pPr>
        <w:pStyle w:val="2"/>
        <w:ind w:left="0" w:leftChars="0" w:firstLine="0" w:firstLineChars="0"/>
        <w:rPr>
          <w:rFonts w:hint="eastAsia" w:eastAsia="宋体"/>
          <w:color w:val="FF0000"/>
          <w:lang w:eastAsia="zh-CN"/>
        </w:rPr>
      </w:pPr>
      <w:r>
        <w:rPr>
          <w:rFonts w:hint="eastAsia" w:eastAsia="宋体"/>
          <w:color w:val="FF0000"/>
          <w:lang w:eastAsia="zh-CN"/>
        </w:rPr>
        <w:drawing>
          <wp:inline distT="0" distB="0" distL="114300" distR="114300">
            <wp:extent cx="8185150" cy="5777865"/>
            <wp:effectExtent l="0" t="0" r="13335" b="6350"/>
            <wp:docPr id="43" name="图片 43" descr="评估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评估副本"/>
                    <pic:cNvPicPr>
                      <a:picLocks noChangeAspect="1"/>
                    </pic:cNvPicPr>
                  </pic:nvPicPr>
                  <pic:blipFill>
                    <a:blip r:embed="rId8"/>
                    <a:stretch>
                      <a:fillRect/>
                    </a:stretch>
                  </pic:blipFill>
                  <pic:spPr>
                    <a:xfrm rot="16200000">
                      <a:off x="0" y="0"/>
                      <a:ext cx="8185150" cy="5777865"/>
                    </a:xfrm>
                    <a:prstGeom prst="rect">
                      <a:avLst/>
                    </a:prstGeom>
                  </pic:spPr>
                </pic:pic>
              </a:graphicData>
            </a:graphic>
          </wp:inline>
        </w:drawing>
      </w:r>
    </w:p>
    <w:p>
      <w:pPr>
        <w:pStyle w:val="2"/>
        <w:ind w:left="0" w:leftChars="0" w:firstLine="0" w:firstLineChars="0"/>
        <w:rPr>
          <w:rFonts w:hint="eastAsia" w:eastAsia="宋体"/>
          <w:color w:val="FF0000"/>
          <w:lang w:eastAsia="zh-CN"/>
        </w:rPr>
      </w:pPr>
    </w:p>
    <w:p>
      <w:pPr>
        <w:bidi w:val="0"/>
        <w:ind w:left="0" w:leftChars="0" w:firstLine="0" w:firstLineChars="0"/>
        <w:jc w:val="center"/>
        <w:outlineLvl w:val="0"/>
        <w:rPr>
          <w:rFonts w:hint="eastAsia"/>
          <w:b/>
          <w:bCs/>
          <w:color w:val="auto"/>
          <w:sz w:val="28"/>
          <w:szCs w:val="28"/>
          <w:lang w:val="en-US" w:eastAsia="zh-CN"/>
        </w:rPr>
      </w:pPr>
      <w:bookmarkStart w:id="22" w:name="_Toc7099"/>
      <w:bookmarkStart w:id="23" w:name="_Toc3380"/>
      <w:r>
        <w:rPr>
          <w:rFonts w:hint="eastAsia"/>
          <w:b/>
          <w:bCs/>
          <w:color w:val="auto"/>
          <w:sz w:val="28"/>
          <w:szCs w:val="28"/>
          <w:lang w:val="en-US" w:eastAsia="zh-CN"/>
        </w:rPr>
        <w:t>矿山地质环境保护与恢复治理方案报告表</w:t>
      </w:r>
      <w:bookmarkEnd w:id="22"/>
      <w:bookmarkEnd w:id="23"/>
    </w:p>
    <w:tbl>
      <w:tblPr>
        <w:tblStyle w:val="15"/>
        <w:tblW w:w="85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0"/>
        <w:gridCol w:w="1736"/>
        <w:gridCol w:w="1390"/>
        <w:gridCol w:w="1392"/>
        <w:gridCol w:w="1492"/>
        <w:gridCol w:w="20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restar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矿山企业概况</w:t>
            </w: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矿山名称</w:t>
            </w:r>
          </w:p>
        </w:tc>
        <w:tc>
          <w:tcPr>
            <w:tcW w:w="6293" w:type="dxa"/>
            <w:gridSpan w:val="4"/>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中石化绿源地热能（陕西）开发有限公司咸阳职院地热区块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通讯地址</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vertAlign w:val="baseline"/>
                <w:lang w:val="en-US" w:eastAsia="zh-CN"/>
              </w:rPr>
            </w:pPr>
            <w:r>
              <w:rPr>
                <w:rFonts w:hint="default"/>
                <w:color w:val="auto"/>
                <w:sz w:val="21"/>
                <w:szCs w:val="21"/>
                <w:vertAlign w:val="baseline"/>
                <w:lang w:val="en-US" w:eastAsia="zh-CN"/>
              </w:rPr>
              <w:t>陕西省咸阳市秦都区中华西路4号建设大厦</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邮  编</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712000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法人代表</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刘  斌</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联系人</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王仁梅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联系电话</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default"/>
                <w:color w:val="auto"/>
                <w:sz w:val="21"/>
                <w:szCs w:val="21"/>
                <w:vertAlign w:val="baseline"/>
                <w:lang w:val="en-US" w:eastAsia="zh-CN"/>
              </w:rPr>
              <w:t>15592127148</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传  真</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default"/>
                <w:color w:val="auto"/>
                <w:sz w:val="21"/>
                <w:szCs w:val="21"/>
                <w:vertAlign w:val="baseline"/>
                <w:lang w:val="en-US" w:eastAsia="zh-CN"/>
              </w:rPr>
              <w:t>029-33258003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经济类型</w:t>
            </w:r>
          </w:p>
        </w:tc>
        <w:tc>
          <w:tcPr>
            <w:tcW w:w="2782" w:type="dxa"/>
            <w:gridSpan w:val="2"/>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国有</w:t>
            </w:r>
          </w:p>
        </w:tc>
        <w:tc>
          <w:tcPr>
            <w:tcW w:w="1492"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开采矿种</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地热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vMerge w:val="restart"/>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矿区范围</w:t>
            </w:r>
          </w:p>
        </w:tc>
        <w:tc>
          <w:tcPr>
            <w:tcW w:w="2782" w:type="dxa"/>
            <w:gridSpan w:val="2"/>
            <w:tcBorders>
              <w:top w:val="single" w:color="auto" w:sz="4" w:space="0"/>
              <w:left w:val="single" w:color="auto" w:sz="4" w:space="0"/>
              <w:bottom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18"/>
                <w:szCs w:val="18"/>
                <w:vertAlign w:val="baseline"/>
                <w:lang w:val="en-US" w:eastAsia="zh-CN"/>
              </w:rPr>
              <w:t>拐点坐标（2000国家大地坐标）：</w:t>
            </w:r>
          </w:p>
        </w:tc>
        <w:tc>
          <w:tcPr>
            <w:tcW w:w="1492" w:type="dxa"/>
            <w:vMerge w:val="restart"/>
            <w:tcBorders>
              <w:top w:val="single" w:color="auto" w:sz="4" w:space="0"/>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矿山面积</w:t>
            </w:r>
          </w:p>
        </w:tc>
        <w:tc>
          <w:tcPr>
            <w:tcW w:w="2019" w:type="dxa"/>
            <w:vMerge w:val="restar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0.16</w:t>
            </w:r>
            <w:r>
              <w:rPr>
                <w:rFonts w:hint="eastAsia" w:ascii="仿宋" w:hAnsi="仿宋" w:eastAsia="仿宋" w:cs="仿宋"/>
                <w:color w:val="auto"/>
                <w:kern w:val="0"/>
                <w:sz w:val="24"/>
                <w:szCs w:val="24"/>
                <w:lang w:bidi="ar"/>
              </w:rPr>
              <w:t>km</w:t>
            </w:r>
            <w:r>
              <w:rPr>
                <w:rFonts w:hint="eastAsia" w:ascii="仿宋" w:hAnsi="仿宋" w:eastAsia="仿宋" w:cs="仿宋"/>
                <w:color w:val="auto"/>
                <w:kern w:val="0"/>
                <w:sz w:val="24"/>
                <w:szCs w:val="24"/>
                <w:vertAlign w:val="superscript"/>
                <w:lang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auto"/>
              </w:rPr>
            </w:pPr>
          </w:p>
        </w:tc>
        <w:tc>
          <w:tcPr>
            <w:tcW w:w="1736" w:type="dxa"/>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auto"/>
              </w:rPr>
            </w:pPr>
          </w:p>
        </w:tc>
        <w:tc>
          <w:tcPr>
            <w:tcW w:w="1390" w:type="dxa"/>
            <w:tcBorders>
              <w:top w:val="nil"/>
              <w:left w:val="single" w:color="auto" w:sz="4" w:space="0"/>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zh-CN" w:eastAsia="zh-CN"/>
              </w:rPr>
              <w:t>3796784.03</w:t>
            </w:r>
          </w:p>
        </w:tc>
        <w:tc>
          <w:tcPr>
            <w:tcW w:w="1392" w:type="dxa"/>
            <w:tcBorders>
              <w:top w:val="nil"/>
              <w:left w:val="nil"/>
              <w:bottom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zh-CN" w:eastAsia="zh-CN"/>
              </w:rPr>
              <w:t>36567201.22</w:t>
            </w:r>
          </w:p>
        </w:tc>
        <w:tc>
          <w:tcPr>
            <w:tcW w:w="1492"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auto"/>
              </w:rPr>
            </w:pPr>
          </w:p>
        </w:tc>
        <w:tc>
          <w:tcPr>
            <w:tcW w:w="201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auto"/>
              </w:rPr>
            </w:pPr>
          </w:p>
        </w:tc>
        <w:tc>
          <w:tcPr>
            <w:tcW w:w="1736" w:type="dxa"/>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auto"/>
              </w:rPr>
            </w:pPr>
          </w:p>
        </w:tc>
        <w:tc>
          <w:tcPr>
            <w:tcW w:w="1390" w:type="dxa"/>
            <w:tcBorders>
              <w:top w:val="nil"/>
              <w:left w:val="single" w:color="auto" w:sz="4" w:space="0"/>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zh-CN" w:eastAsia="zh-CN"/>
              </w:rPr>
              <w:t>3796784.03</w:t>
            </w:r>
          </w:p>
        </w:tc>
        <w:tc>
          <w:tcPr>
            <w:tcW w:w="1392" w:type="dxa"/>
            <w:tcBorders>
              <w:top w:val="nil"/>
              <w:left w:val="nil"/>
              <w:bottom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zh-CN" w:eastAsia="zh-CN"/>
              </w:rPr>
              <w:t>36567601.22</w:t>
            </w:r>
          </w:p>
        </w:tc>
        <w:tc>
          <w:tcPr>
            <w:tcW w:w="1492"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auto"/>
              </w:rPr>
            </w:pPr>
          </w:p>
        </w:tc>
        <w:tc>
          <w:tcPr>
            <w:tcW w:w="201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auto"/>
              </w:rPr>
            </w:pPr>
          </w:p>
        </w:tc>
        <w:tc>
          <w:tcPr>
            <w:tcW w:w="1736" w:type="dxa"/>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auto"/>
              </w:rPr>
            </w:pPr>
          </w:p>
        </w:tc>
        <w:tc>
          <w:tcPr>
            <w:tcW w:w="1390" w:type="dxa"/>
            <w:tcBorders>
              <w:top w:val="nil"/>
              <w:left w:val="single" w:color="auto" w:sz="4" w:space="0"/>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zh-CN" w:eastAsia="zh-CN"/>
              </w:rPr>
              <w:t>3796384.04</w:t>
            </w:r>
          </w:p>
        </w:tc>
        <w:tc>
          <w:tcPr>
            <w:tcW w:w="1392" w:type="dxa"/>
            <w:tcBorders>
              <w:top w:val="nil"/>
              <w:left w:val="nil"/>
              <w:bottom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zh-CN" w:eastAsia="zh-CN"/>
              </w:rPr>
              <w:t>36567601.21</w:t>
            </w:r>
          </w:p>
        </w:tc>
        <w:tc>
          <w:tcPr>
            <w:tcW w:w="1492"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auto"/>
              </w:rPr>
            </w:pPr>
          </w:p>
        </w:tc>
        <w:tc>
          <w:tcPr>
            <w:tcW w:w="201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1736" w:type="dxa"/>
            <w:vMerge w:val="continue"/>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1390" w:type="dxa"/>
            <w:tcBorders>
              <w:top w:val="nil"/>
              <w:left w:val="single" w:color="auto" w:sz="4" w:space="0"/>
              <w:bottom w:val="single" w:color="auto" w:sz="4" w:space="0"/>
              <w:right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zh-CN" w:eastAsia="zh-CN"/>
              </w:rPr>
              <w:t>3796384.03</w:t>
            </w:r>
          </w:p>
        </w:tc>
        <w:tc>
          <w:tcPr>
            <w:tcW w:w="1392" w:type="dxa"/>
            <w:tcBorders>
              <w:top w:val="nil"/>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zh-CN" w:eastAsia="zh-CN"/>
              </w:rPr>
              <w:t>36567201.21</w:t>
            </w:r>
          </w:p>
        </w:tc>
        <w:tc>
          <w:tcPr>
            <w:tcW w:w="1492" w:type="dxa"/>
            <w:vMerge w:val="continue"/>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201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FF0000"/>
                <w:sz w:val="21"/>
                <w:szCs w:val="21"/>
                <w:vertAlign w:val="baseline"/>
                <w:lang w:val="en-US" w:eastAsia="zh-CN"/>
              </w:rPr>
            </w:pPr>
          </w:p>
        </w:tc>
        <w:tc>
          <w:tcPr>
            <w:tcW w:w="1736"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建矿时间</w:t>
            </w:r>
          </w:p>
        </w:tc>
        <w:tc>
          <w:tcPr>
            <w:tcW w:w="2782" w:type="dxa"/>
            <w:gridSpan w:val="2"/>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2010年10月</w:t>
            </w:r>
          </w:p>
        </w:tc>
        <w:tc>
          <w:tcPr>
            <w:tcW w:w="1492"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生产现状</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FF0000"/>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可采资源储量</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企业规模</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中型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FF0000"/>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服务年限</w:t>
            </w:r>
          </w:p>
        </w:tc>
        <w:tc>
          <w:tcPr>
            <w:tcW w:w="6293"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lang w:val="en-US" w:eastAsia="zh-CN"/>
              </w:rPr>
            </w:pPr>
            <w:r>
              <w:rPr>
                <w:rFonts w:hint="eastAsia"/>
                <w:color w:val="auto"/>
                <w:lang w:val="en-US" w:eastAsia="zh-CN"/>
              </w:rPr>
              <w:t>2010年10月至2040年10月</w:t>
            </w:r>
          </w:p>
          <w:p>
            <w:pPr>
              <w:pStyle w:val="2"/>
              <w:spacing w:line="240" w:lineRule="auto"/>
              <w:ind w:left="0" w:leftChars="0" w:firstLine="0" w:firstLineChars="0"/>
              <w:jc w:val="center"/>
              <w:rPr>
                <w:rFonts w:hint="default"/>
                <w:color w:val="auto"/>
                <w:lang w:val="en-US" w:eastAsia="zh-CN"/>
              </w:rPr>
            </w:pPr>
            <w:r>
              <w:rPr>
                <w:rFonts w:hint="eastAsia" w:ascii="Times New Roman" w:hAnsi="Times New Roman" w:eastAsia="宋体" w:cs="Times New Roman"/>
                <w:color w:val="auto"/>
                <w:kern w:val="2"/>
                <w:sz w:val="24"/>
                <w:szCs w:val="24"/>
                <w:lang w:val="en-US" w:eastAsia="zh-CN" w:bidi="ar-SA"/>
              </w:rPr>
              <w:t>（以首次取得采矿区可证时间20</w:t>
            </w:r>
            <w:r>
              <w:rPr>
                <w:rFonts w:hint="eastAsia" w:ascii="Times New Roman" w:hAnsi="Times New Roman" w:cs="Times New Roman"/>
                <w:color w:val="auto"/>
                <w:kern w:val="2"/>
                <w:sz w:val="24"/>
                <w:szCs w:val="24"/>
                <w:lang w:val="en-US" w:eastAsia="zh-CN" w:bidi="ar-SA"/>
              </w:rPr>
              <w:t>10</w:t>
            </w:r>
            <w:r>
              <w:rPr>
                <w:rFonts w:hint="eastAsia" w:ascii="Times New Roman" w:hAnsi="Times New Roman" w:eastAsia="宋体" w:cs="Times New Roman"/>
                <w:color w:val="auto"/>
                <w:kern w:val="2"/>
                <w:sz w:val="24"/>
                <w:szCs w:val="24"/>
                <w:lang w:val="en-US" w:eastAsia="zh-CN" w:bidi="ar-SA"/>
              </w:rPr>
              <w:t>年</w:t>
            </w:r>
            <w:r>
              <w:rPr>
                <w:rFonts w:hint="eastAsia" w:ascii="Times New Roman" w:hAnsi="Times New Roman" w:cs="Times New Roman"/>
                <w:color w:val="auto"/>
                <w:kern w:val="2"/>
                <w:sz w:val="24"/>
                <w:szCs w:val="24"/>
                <w:lang w:val="en-US" w:eastAsia="zh-CN" w:bidi="ar-SA"/>
              </w:rPr>
              <w:t>10</w:t>
            </w:r>
            <w:r>
              <w:rPr>
                <w:rFonts w:hint="eastAsia" w:ascii="Times New Roman" w:hAnsi="Times New Roman" w:eastAsia="宋体" w:cs="Times New Roman"/>
                <w:color w:val="auto"/>
                <w:kern w:val="2"/>
                <w:sz w:val="24"/>
                <w:szCs w:val="24"/>
                <w:lang w:val="en-US" w:eastAsia="zh-CN" w:bidi="ar-SA"/>
              </w:rPr>
              <w:t>月为起始）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FF0000"/>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设计生产能力</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bCs/>
                <w:color w:val="auto"/>
                <w:sz w:val="24"/>
              </w:rPr>
              <w:t>20</w:t>
            </w:r>
            <w:r>
              <w:rPr>
                <w:rFonts w:hAnsi="宋体"/>
                <w:bCs/>
                <w:color w:val="auto"/>
                <w:sz w:val="24"/>
              </w:rPr>
              <w:t>万</w:t>
            </w:r>
            <w:r>
              <w:rPr>
                <w:bCs/>
                <w:color w:val="auto"/>
                <w:sz w:val="24"/>
              </w:rPr>
              <w:t>m</w:t>
            </w:r>
            <w:r>
              <w:rPr>
                <w:bCs/>
                <w:color w:val="auto"/>
                <w:sz w:val="24"/>
                <w:vertAlign w:val="superscript"/>
              </w:rPr>
              <w:t>3</w:t>
            </w:r>
            <w:r>
              <w:rPr>
                <w:bCs/>
                <w:color w:val="auto"/>
                <w:sz w:val="24"/>
              </w:rPr>
              <w:t>/a</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实际生产能力</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11.75</w:t>
            </w:r>
            <w:r>
              <w:rPr>
                <w:rFonts w:hAnsi="宋体"/>
                <w:bCs/>
                <w:color w:val="auto"/>
                <w:sz w:val="24"/>
              </w:rPr>
              <w:t>万</w:t>
            </w:r>
            <w:r>
              <w:rPr>
                <w:bCs/>
                <w:color w:val="auto"/>
                <w:sz w:val="24"/>
              </w:rPr>
              <w:t>m</w:t>
            </w:r>
            <w:r>
              <w:rPr>
                <w:bCs/>
                <w:color w:val="auto"/>
                <w:sz w:val="24"/>
                <w:vertAlign w:val="superscript"/>
              </w:rPr>
              <w:t>3</w:t>
            </w:r>
            <w:r>
              <w:rPr>
                <w:bCs/>
                <w:color w:val="auto"/>
                <w:sz w:val="24"/>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restar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方案编制单位</w:t>
            </w: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单位名称</w:t>
            </w:r>
          </w:p>
        </w:tc>
        <w:tc>
          <w:tcPr>
            <w:tcW w:w="6293" w:type="dxa"/>
            <w:gridSpan w:val="4"/>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陕西工程勘察研究院有限公司（签章）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lang w:val="en-US" w:eastAsia="zh-CN"/>
              </w:rPr>
              <w:t>通讯地址</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陕西省西安市碑林区含光路中段19号</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lang w:val="en-US" w:eastAsia="zh-CN"/>
              </w:rPr>
              <w:t>邮编</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710068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lang w:val="en-US" w:eastAsia="zh-CN"/>
              </w:rPr>
              <w:t>法人代表</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黄立新</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lang w:val="en-US" w:eastAsia="zh-CN"/>
              </w:rPr>
              <w:t>联系人</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白玉娟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lang w:val="en-US" w:eastAsia="zh-CN"/>
              </w:rPr>
              <w:t>联系电话</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color w:val="auto"/>
                <w:kern w:val="2"/>
                <w:sz w:val="21"/>
                <w:szCs w:val="21"/>
                <w:vertAlign w:val="baseline"/>
                <w:lang w:val="en-US" w:eastAsia="zh-CN" w:bidi="ar-SA"/>
              </w:rPr>
              <w:t>13772034752</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lang w:val="en-US" w:eastAsia="zh-CN"/>
              </w:rPr>
              <w:t>传真</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029-85221131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资质证书名称</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地质灾害危险性评估</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资质等级</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甲级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发证机关</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中华人民共和国自然资源部</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编号</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612017110207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8029" w:type="dxa"/>
            <w:gridSpan w:val="5"/>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主要编制人员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姓名</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职务</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职称</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lang w:val="en-US" w:eastAsia="zh-CN"/>
              </w:rPr>
              <w:t>高  超</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lang w:val="en-US" w:eastAsia="zh-CN"/>
              </w:rPr>
              <w:t>项目负责</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工程师</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刘  星</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编制人员</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工程师</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李哲辉</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编制人员</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工程师</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p>
        </w:tc>
      </w:tr>
    </w:tbl>
    <w:sdt>
      <w:sdtPr>
        <w:rPr>
          <w:rFonts w:ascii="宋体" w:hAnsi="宋体" w:eastAsia="宋体" w:cs="Times New Roman"/>
          <w:b/>
          <w:bCs/>
          <w:color w:val="auto"/>
          <w:kern w:val="2"/>
          <w:sz w:val="30"/>
          <w:szCs w:val="30"/>
          <w:lang w:val="en-US" w:eastAsia="zh-CN" w:bidi="ar-SA"/>
        </w:rPr>
        <w:id w:val="147462298"/>
        <w15:color w:val="DBDBDB"/>
        <w:docPartObj>
          <w:docPartGallery w:val="Table of Contents"/>
          <w:docPartUnique/>
        </w:docPartObj>
      </w:sdtPr>
      <w:sdtEndPr>
        <w:rPr>
          <w:rFonts w:hint="eastAsia" w:ascii="宋体" w:hAnsi="Courier New" w:eastAsia="宋体" w:cs="Courier New"/>
          <w:b/>
          <w:bCs/>
          <w:color w:val="FF0000"/>
          <w:kern w:val="2"/>
          <w:sz w:val="24"/>
          <w:szCs w:val="21"/>
          <w:lang w:val="en-US" w:eastAsia="zh-CN" w:bidi="ar-SA"/>
        </w:rPr>
      </w:sdtEndPr>
      <w:sdtContent>
        <w:p>
          <w:pPr>
            <w:spacing w:before="0" w:beforeLines="0" w:after="0" w:afterLines="0" w:line="240" w:lineRule="auto"/>
            <w:ind w:left="0" w:leftChars="0" w:right="0" w:rightChars="0" w:firstLine="0" w:firstLineChars="0"/>
            <w:jc w:val="center"/>
            <w:rPr>
              <w:b/>
              <w:bCs/>
              <w:color w:val="auto"/>
              <w:sz w:val="30"/>
              <w:szCs w:val="30"/>
            </w:rPr>
          </w:pPr>
          <w:r>
            <w:rPr>
              <w:rFonts w:ascii="宋体" w:hAnsi="宋体" w:eastAsia="宋体"/>
              <w:b/>
              <w:bCs/>
              <w:color w:val="auto"/>
              <w:sz w:val="30"/>
              <w:szCs w:val="30"/>
            </w:rPr>
            <w:t>目</w:t>
          </w:r>
          <w:r>
            <w:rPr>
              <w:rFonts w:hint="eastAsia" w:ascii="宋体" w:hAnsi="宋体" w:eastAsia="宋体"/>
              <w:b/>
              <w:bCs/>
              <w:color w:val="auto"/>
              <w:sz w:val="30"/>
              <w:szCs w:val="30"/>
              <w:lang w:val="en-US" w:eastAsia="zh-CN"/>
            </w:rPr>
            <w:t xml:space="preserve">  </w:t>
          </w:r>
          <w:r>
            <w:rPr>
              <w:rFonts w:ascii="宋体" w:hAnsi="宋体" w:eastAsia="宋体"/>
              <w:b/>
              <w:bCs/>
              <w:color w:val="auto"/>
              <w:sz w:val="30"/>
              <w:szCs w:val="30"/>
            </w:rPr>
            <w:t>录</w:t>
          </w:r>
        </w:p>
        <w:p>
          <w:pPr>
            <w:pStyle w:val="10"/>
            <w:tabs>
              <w:tab w:val="right" w:leader="dot" w:pos="8306"/>
            </w:tabs>
            <w:rPr>
              <w:b/>
              <w:bCs/>
              <w:color w:val="auto"/>
              <w:sz w:val="24"/>
              <w:szCs w:val="24"/>
              <w:highlight w:val="none"/>
            </w:rPr>
          </w:pPr>
          <w:r>
            <w:rPr>
              <w:rFonts w:hint="eastAsia" w:eastAsia="宋体"/>
              <w:color w:val="auto"/>
              <w:lang w:eastAsia="zh-CN"/>
            </w:rPr>
            <w:fldChar w:fldCharType="begin"/>
          </w:r>
          <w:r>
            <w:rPr>
              <w:rFonts w:hint="eastAsia" w:eastAsia="宋体"/>
              <w:color w:val="auto"/>
              <w:lang w:eastAsia="zh-CN"/>
            </w:rPr>
            <w:instrText xml:space="preserve">TOC \o "1-1" \h \u </w:instrText>
          </w:r>
          <w:r>
            <w:rPr>
              <w:rFonts w:hint="eastAsia" w:eastAsia="宋体"/>
              <w:color w:val="auto"/>
              <w:lang w:eastAsia="zh-CN"/>
            </w:rPr>
            <w:fldChar w:fldCharType="separate"/>
          </w:r>
          <w:r>
            <w:rPr>
              <w:rFonts w:hint="eastAsia" w:eastAsia="宋体"/>
              <w:b/>
              <w:bCs/>
              <w:color w:val="auto"/>
              <w:sz w:val="24"/>
              <w:szCs w:val="24"/>
              <w:highlight w:val="none"/>
              <w:lang w:eastAsia="zh-CN"/>
            </w:rPr>
            <w:fldChar w:fldCharType="begin"/>
          </w:r>
          <w:r>
            <w:rPr>
              <w:rFonts w:hint="eastAsia" w:eastAsia="宋体"/>
              <w:b/>
              <w:bCs/>
              <w:color w:val="auto"/>
              <w:sz w:val="24"/>
              <w:szCs w:val="24"/>
              <w:highlight w:val="none"/>
              <w:lang w:eastAsia="zh-CN"/>
            </w:rPr>
            <w:instrText xml:space="preserve"> HYPERLINK \l _Toc23771 </w:instrText>
          </w:r>
          <w:r>
            <w:rPr>
              <w:rFonts w:hint="eastAsia" w:eastAsia="宋体"/>
              <w:b/>
              <w:bCs/>
              <w:color w:val="auto"/>
              <w:sz w:val="24"/>
              <w:szCs w:val="24"/>
              <w:highlight w:val="none"/>
              <w:lang w:eastAsia="zh-CN"/>
            </w:rPr>
            <w:fldChar w:fldCharType="separate"/>
          </w:r>
          <w:r>
            <w:rPr>
              <w:rFonts w:hint="eastAsia"/>
              <w:b/>
              <w:bCs/>
              <w:color w:val="auto"/>
              <w:sz w:val="24"/>
              <w:szCs w:val="24"/>
              <w:highlight w:val="none"/>
              <w:lang w:val="en-US" w:eastAsia="zh-CN"/>
            </w:rPr>
            <w:t>前言</w:t>
          </w:r>
          <w:r>
            <w:rPr>
              <w:b/>
              <w:bCs/>
              <w:color w:val="auto"/>
              <w:sz w:val="24"/>
              <w:szCs w:val="24"/>
              <w:highlight w:val="none"/>
            </w:rPr>
            <w:tab/>
          </w:r>
          <w:r>
            <w:rPr>
              <w:b/>
              <w:bCs/>
              <w:color w:val="auto"/>
              <w:sz w:val="24"/>
              <w:szCs w:val="24"/>
              <w:highlight w:val="none"/>
            </w:rPr>
            <w:fldChar w:fldCharType="begin"/>
          </w:r>
          <w:r>
            <w:rPr>
              <w:b/>
              <w:bCs/>
              <w:color w:val="auto"/>
              <w:sz w:val="24"/>
              <w:szCs w:val="24"/>
              <w:highlight w:val="none"/>
            </w:rPr>
            <w:instrText xml:space="preserve"> PAGEREF _Toc23771 \h </w:instrText>
          </w:r>
          <w:r>
            <w:rPr>
              <w:b/>
              <w:bCs/>
              <w:color w:val="auto"/>
              <w:sz w:val="24"/>
              <w:szCs w:val="24"/>
              <w:highlight w:val="none"/>
            </w:rPr>
            <w:fldChar w:fldCharType="separate"/>
          </w:r>
          <w:r>
            <w:rPr>
              <w:b/>
              <w:bCs/>
              <w:color w:val="auto"/>
              <w:sz w:val="24"/>
              <w:szCs w:val="24"/>
              <w:highlight w:val="none"/>
            </w:rPr>
            <w:t>1</w:t>
          </w:r>
          <w:r>
            <w:rPr>
              <w:b/>
              <w:bCs/>
              <w:color w:val="auto"/>
              <w:sz w:val="24"/>
              <w:szCs w:val="24"/>
              <w:highlight w:val="none"/>
            </w:rPr>
            <w:fldChar w:fldCharType="end"/>
          </w:r>
          <w:r>
            <w:rPr>
              <w:rFonts w:hint="eastAsia" w:eastAsia="宋体"/>
              <w:b/>
              <w:bCs/>
              <w:color w:val="auto"/>
              <w:sz w:val="24"/>
              <w:szCs w:val="24"/>
              <w:highlight w:val="none"/>
              <w:lang w:eastAsia="zh-CN"/>
            </w:rPr>
            <w:fldChar w:fldCharType="end"/>
          </w:r>
        </w:p>
        <w:p>
          <w:pPr>
            <w:pStyle w:val="10"/>
            <w:tabs>
              <w:tab w:val="right" w:leader="dot" w:pos="8306"/>
            </w:tabs>
            <w:rPr>
              <w:b/>
              <w:bCs/>
              <w:color w:val="auto"/>
              <w:sz w:val="24"/>
              <w:szCs w:val="24"/>
              <w:highlight w:val="none"/>
            </w:rPr>
          </w:pPr>
          <w:r>
            <w:rPr>
              <w:rFonts w:hint="eastAsia" w:eastAsia="宋体"/>
              <w:b/>
              <w:bCs/>
              <w:color w:val="auto"/>
              <w:sz w:val="24"/>
              <w:szCs w:val="24"/>
              <w:highlight w:val="none"/>
              <w:lang w:eastAsia="zh-CN"/>
            </w:rPr>
            <w:fldChar w:fldCharType="begin"/>
          </w:r>
          <w:r>
            <w:rPr>
              <w:rFonts w:hint="eastAsia" w:eastAsia="宋体"/>
              <w:b/>
              <w:bCs/>
              <w:color w:val="auto"/>
              <w:sz w:val="24"/>
              <w:szCs w:val="24"/>
              <w:highlight w:val="none"/>
              <w:lang w:eastAsia="zh-CN"/>
            </w:rPr>
            <w:instrText xml:space="preserve"> HYPERLINK \l _Toc25887 </w:instrText>
          </w:r>
          <w:r>
            <w:rPr>
              <w:rFonts w:hint="eastAsia" w:eastAsia="宋体"/>
              <w:b/>
              <w:bCs/>
              <w:color w:val="auto"/>
              <w:sz w:val="24"/>
              <w:szCs w:val="24"/>
              <w:highlight w:val="none"/>
              <w:lang w:eastAsia="zh-CN"/>
            </w:rPr>
            <w:fldChar w:fldCharType="separate"/>
          </w:r>
          <w:r>
            <w:rPr>
              <w:rFonts w:hint="eastAsia"/>
              <w:b/>
              <w:bCs/>
              <w:color w:val="auto"/>
              <w:sz w:val="24"/>
              <w:szCs w:val="24"/>
              <w:highlight w:val="none"/>
              <w:lang w:val="en-US" w:eastAsia="zh-CN"/>
            </w:rPr>
            <w:t>一、概况</w:t>
          </w:r>
          <w:r>
            <w:rPr>
              <w:b/>
              <w:bCs/>
              <w:color w:val="auto"/>
              <w:sz w:val="24"/>
              <w:szCs w:val="24"/>
              <w:highlight w:val="none"/>
            </w:rPr>
            <w:tab/>
          </w:r>
          <w:r>
            <w:rPr>
              <w:b/>
              <w:bCs/>
              <w:color w:val="auto"/>
              <w:sz w:val="24"/>
              <w:szCs w:val="24"/>
              <w:highlight w:val="none"/>
            </w:rPr>
            <w:fldChar w:fldCharType="begin"/>
          </w:r>
          <w:r>
            <w:rPr>
              <w:b/>
              <w:bCs/>
              <w:color w:val="auto"/>
              <w:sz w:val="24"/>
              <w:szCs w:val="24"/>
              <w:highlight w:val="none"/>
            </w:rPr>
            <w:instrText xml:space="preserve"> PAGEREF _Toc25887 \h </w:instrText>
          </w:r>
          <w:r>
            <w:rPr>
              <w:b/>
              <w:bCs/>
              <w:color w:val="auto"/>
              <w:sz w:val="24"/>
              <w:szCs w:val="24"/>
              <w:highlight w:val="none"/>
            </w:rPr>
            <w:fldChar w:fldCharType="separate"/>
          </w:r>
          <w:r>
            <w:rPr>
              <w:b/>
              <w:bCs/>
              <w:color w:val="auto"/>
              <w:sz w:val="24"/>
              <w:szCs w:val="24"/>
              <w:highlight w:val="none"/>
            </w:rPr>
            <w:t>3</w:t>
          </w:r>
          <w:r>
            <w:rPr>
              <w:b/>
              <w:bCs/>
              <w:color w:val="auto"/>
              <w:sz w:val="24"/>
              <w:szCs w:val="24"/>
              <w:highlight w:val="none"/>
            </w:rPr>
            <w:fldChar w:fldCharType="end"/>
          </w:r>
          <w:r>
            <w:rPr>
              <w:rFonts w:hint="eastAsia" w:eastAsia="宋体"/>
              <w:b/>
              <w:bCs/>
              <w:color w:val="auto"/>
              <w:sz w:val="24"/>
              <w:szCs w:val="24"/>
              <w:highlight w:val="none"/>
              <w:lang w:eastAsia="zh-CN"/>
            </w:rPr>
            <w:fldChar w:fldCharType="end"/>
          </w:r>
        </w:p>
        <w:p>
          <w:pPr>
            <w:pStyle w:val="10"/>
            <w:tabs>
              <w:tab w:val="right" w:leader="dot" w:pos="8306"/>
            </w:tabs>
            <w:rPr>
              <w:b/>
              <w:bCs/>
              <w:color w:val="auto"/>
              <w:sz w:val="24"/>
              <w:szCs w:val="24"/>
              <w:highlight w:val="none"/>
            </w:rPr>
          </w:pPr>
          <w:r>
            <w:rPr>
              <w:rFonts w:hint="eastAsia" w:eastAsia="宋体"/>
              <w:b/>
              <w:bCs/>
              <w:color w:val="auto"/>
              <w:sz w:val="24"/>
              <w:szCs w:val="24"/>
              <w:highlight w:val="none"/>
              <w:lang w:eastAsia="zh-CN"/>
            </w:rPr>
            <w:fldChar w:fldCharType="begin"/>
          </w:r>
          <w:r>
            <w:rPr>
              <w:rFonts w:hint="eastAsia" w:eastAsia="宋体"/>
              <w:b/>
              <w:bCs/>
              <w:color w:val="auto"/>
              <w:sz w:val="24"/>
              <w:szCs w:val="24"/>
              <w:highlight w:val="none"/>
              <w:lang w:eastAsia="zh-CN"/>
            </w:rPr>
            <w:instrText xml:space="preserve"> HYPERLINK \l _Toc26780 </w:instrText>
          </w:r>
          <w:r>
            <w:rPr>
              <w:rFonts w:hint="eastAsia" w:eastAsia="宋体"/>
              <w:b/>
              <w:bCs/>
              <w:color w:val="auto"/>
              <w:sz w:val="24"/>
              <w:szCs w:val="24"/>
              <w:highlight w:val="none"/>
              <w:lang w:eastAsia="zh-CN"/>
            </w:rPr>
            <w:fldChar w:fldCharType="separate"/>
          </w:r>
          <w:r>
            <w:rPr>
              <w:rFonts w:hint="eastAsia"/>
              <w:b/>
              <w:bCs/>
              <w:color w:val="auto"/>
              <w:sz w:val="24"/>
              <w:szCs w:val="24"/>
              <w:highlight w:val="none"/>
              <w:lang w:val="en-US" w:eastAsia="zh-CN"/>
            </w:rPr>
            <w:t>二、矿区地质环境条件</w:t>
          </w:r>
          <w:r>
            <w:rPr>
              <w:b/>
              <w:bCs/>
              <w:color w:val="auto"/>
              <w:sz w:val="24"/>
              <w:szCs w:val="24"/>
              <w:highlight w:val="none"/>
            </w:rPr>
            <w:tab/>
          </w:r>
          <w:r>
            <w:rPr>
              <w:b/>
              <w:bCs/>
              <w:color w:val="auto"/>
              <w:sz w:val="24"/>
              <w:szCs w:val="24"/>
              <w:highlight w:val="none"/>
            </w:rPr>
            <w:fldChar w:fldCharType="begin"/>
          </w:r>
          <w:r>
            <w:rPr>
              <w:b/>
              <w:bCs/>
              <w:color w:val="auto"/>
              <w:sz w:val="24"/>
              <w:szCs w:val="24"/>
              <w:highlight w:val="none"/>
            </w:rPr>
            <w:instrText xml:space="preserve"> PAGEREF _Toc26780 \h </w:instrText>
          </w:r>
          <w:r>
            <w:rPr>
              <w:b/>
              <w:bCs/>
              <w:color w:val="auto"/>
              <w:sz w:val="24"/>
              <w:szCs w:val="24"/>
              <w:highlight w:val="none"/>
            </w:rPr>
            <w:fldChar w:fldCharType="separate"/>
          </w:r>
          <w:r>
            <w:rPr>
              <w:b/>
              <w:bCs/>
              <w:color w:val="auto"/>
              <w:sz w:val="24"/>
              <w:szCs w:val="24"/>
              <w:highlight w:val="none"/>
            </w:rPr>
            <w:t>12</w:t>
          </w:r>
          <w:r>
            <w:rPr>
              <w:b/>
              <w:bCs/>
              <w:color w:val="auto"/>
              <w:sz w:val="24"/>
              <w:szCs w:val="24"/>
              <w:highlight w:val="none"/>
            </w:rPr>
            <w:fldChar w:fldCharType="end"/>
          </w:r>
          <w:r>
            <w:rPr>
              <w:rFonts w:hint="eastAsia" w:eastAsia="宋体"/>
              <w:b/>
              <w:bCs/>
              <w:color w:val="auto"/>
              <w:sz w:val="24"/>
              <w:szCs w:val="24"/>
              <w:highlight w:val="none"/>
              <w:lang w:eastAsia="zh-CN"/>
            </w:rPr>
            <w:fldChar w:fldCharType="end"/>
          </w:r>
        </w:p>
        <w:p>
          <w:pPr>
            <w:pStyle w:val="10"/>
            <w:tabs>
              <w:tab w:val="right" w:leader="dot" w:pos="8306"/>
            </w:tabs>
            <w:rPr>
              <w:b/>
              <w:bCs/>
              <w:color w:val="auto"/>
              <w:sz w:val="24"/>
              <w:szCs w:val="24"/>
              <w:highlight w:val="none"/>
            </w:rPr>
          </w:pPr>
          <w:r>
            <w:rPr>
              <w:rFonts w:hint="eastAsia" w:eastAsia="宋体"/>
              <w:b/>
              <w:bCs/>
              <w:color w:val="auto"/>
              <w:sz w:val="24"/>
              <w:szCs w:val="24"/>
              <w:highlight w:val="none"/>
              <w:lang w:eastAsia="zh-CN"/>
            </w:rPr>
            <w:fldChar w:fldCharType="begin"/>
          </w:r>
          <w:r>
            <w:rPr>
              <w:rFonts w:hint="eastAsia" w:eastAsia="宋体"/>
              <w:b/>
              <w:bCs/>
              <w:color w:val="auto"/>
              <w:sz w:val="24"/>
              <w:szCs w:val="24"/>
              <w:highlight w:val="none"/>
              <w:lang w:eastAsia="zh-CN"/>
            </w:rPr>
            <w:instrText xml:space="preserve"> HYPERLINK \l _Toc17275 </w:instrText>
          </w:r>
          <w:r>
            <w:rPr>
              <w:rFonts w:hint="eastAsia" w:eastAsia="宋体"/>
              <w:b/>
              <w:bCs/>
              <w:color w:val="auto"/>
              <w:sz w:val="24"/>
              <w:szCs w:val="24"/>
              <w:highlight w:val="none"/>
              <w:lang w:eastAsia="zh-CN"/>
            </w:rPr>
            <w:fldChar w:fldCharType="separate"/>
          </w:r>
          <w:r>
            <w:rPr>
              <w:rFonts w:hint="eastAsia"/>
              <w:b/>
              <w:bCs/>
              <w:color w:val="auto"/>
              <w:sz w:val="24"/>
              <w:szCs w:val="24"/>
              <w:highlight w:val="none"/>
              <w:lang w:val="en-US" w:eastAsia="zh-CN"/>
            </w:rPr>
            <w:t>三、矿山地质环境问题</w:t>
          </w:r>
          <w:r>
            <w:rPr>
              <w:b/>
              <w:bCs/>
              <w:color w:val="auto"/>
              <w:sz w:val="24"/>
              <w:szCs w:val="24"/>
              <w:highlight w:val="none"/>
            </w:rPr>
            <w:tab/>
          </w:r>
          <w:r>
            <w:rPr>
              <w:b/>
              <w:bCs/>
              <w:color w:val="auto"/>
              <w:sz w:val="24"/>
              <w:szCs w:val="24"/>
              <w:highlight w:val="none"/>
            </w:rPr>
            <w:fldChar w:fldCharType="begin"/>
          </w:r>
          <w:r>
            <w:rPr>
              <w:b/>
              <w:bCs/>
              <w:color w:val="auto"/>
              <w:sz w:val="24"/>
              <w:szCs w:val="24"/>
              <w:highlight w:val="none"/>
            </w:rPr>
            <w:instrText xml:space="preserve"> PAGEREF _Toc17275 \h </w:instrText>
          </w:r>
          <w:r>
            <w:rPr>
              <w:b/>
              <w:bCs/>
              <w:color w:val="auto"/>
              <w:sz w:val="24"/>
              <w:szCs w:val="24"/>
              <w:highlight w:val="none"/>
            </w:rPr>
            <w:fldChar w:fldCharType="separate"/>
          </w:r>
          <w:r>
            <w:rPr>
              <w:b/>
              <w:bCs/>
              <w:color w:val="auto"/>
              <w:sz w:val="24"/>
              <w:szCs w:val="24"/>
              <w:highlight w:val="none"/>
            </w:rPr>
            <w:t>17</w:t>
          </w:r>
          <w:r>
            <w:rPr>
              <w:b/>
              <w:bCs/>
              <w:color w:val="auto"/>
              <w:sz w:val="24"/>
              <w:szCs w:val="24"/>
              <w:highlight w:val="none"/>
            </w:rPr>
            <w:fldChar w:fldCharType="end"/>
          </w:r>
          <w:r>
            <w:rPr>
              <w:rFonts w:hint="eastAsia" w:eastAsia="宋体"/>
              <w:b/>
              <w:bCs/>
              <w:color w:val="auto"/>
              <w:sz w:val="24"/>
              <w:szCs w:val="24"/>
              <w:highlight w:val="none"/>
              <w:lang w:eastAsia="zh-CN"/>
            </w:rPr>
            <w:fldChar w:fldCharType="end"/>
          </w:r>
        </w:p>
        <w:p>
          <w:pPr>
            <w:pStyle w:val="10"/>
            <w:tabs>
              <w:tab w:val="right" w:leader="dot" w:pos="8306"/>
            </w:tabs>
            <w:rPr>
              <w:b/>
              <w:bCs/>
              <w:color w:val="auto"/>
              <w:sz w:val="24"/>
              <w:szCs w:val="24"/>
              <w:highlight w:val="none"/>
            </w:rPr>
          </w:pPr>
          <w:r>
            <w:rPr>
              <w:rFonts w:hint="eastAsia" w:eastAsia="宋体"/>
              <w:b/>
              <w:bCs/>
              <w:color w:val="auto"/>
              <w:sz w:val="24"/>
              <w:szCs w:val="24"/>
              <w:highlight w:val="none"/>
              <w:lang w:eastAsia="zh-CN"/>
            </w:rPr>
            <w:fldChar w:fldCharType="begin"/>
          </w:r>
          <w:r>
            <w:rPr>
              <w:rFonts w:hint="eastAsia" w:eastAsia="宋体"/>
              <w:b/>
              <w:bCs/>
              <w:color w:val="auto"/>
              <w:sz w:val="24"/>
              <w:szCs w:val="24"/>
              <w:highlight w:val="none"/>
              <w:lang w:eastAsia="zh-CN"/>
            </w:rPr>
            <w:instrText xml:space="preserve"> HYPERLINK \l _Toc5196 </w:instrText>
          </w:r>
          <w:r>
            <w:rPr>
              <w:rFonts w:hint="eastAsia" w:eastAsia="宋体"/>
              <w:b/>
              <w:bCs/>
              <w:color w:val="auto"/>
              <w:sz w:val="24"/>
              <w:szCs w:val="24"/>
              <w:highlight w:val="none"/>
              <w:lang w:eastAsia="zh-CN"/>
            </w:rPr>
            <w:fldChar w:fldCharType="separate"/>
          </w:r>
          <w:r>
            <w:rPr>
              <w:rFonts w:hint="eastAsia"/>
              <w:b/>
              <w:bCs/>
              <w:color w:val="auto"/>
              <w:sz w:val="24"/>
              <w:szCs w:val="24"/>
              <w:highlight w:val="none"/>
              <w:lang w:val="en-US" w:eastAsia="zh-CN"/>
            </w:rPr>
            <w:t>四、拟采取的保护与治理措施</w:t>
          </w:r>
          <w:r>
            <w:rPr>
              <w:b/>
              <w:bCs/>
              <w:color w:val="auto"/>
              <w:sz w:val="24"/>
              <w:szCs w:val="24"/>
              <w:highlight w:val="none"/>
            </w:rPr>
            <w:tab/>
          </w:r>
          <w:r>
            <w:rPr>
              <w:b/>
              <w:bCs/>
              <w:color w:val="auto"/>
              <w:sz w:val="24"/>
              <w:szCs w:val="24"/>
              <w:highlight w:val="none"/>
            </w:rPr>
            <w:fldChar w:fldCharType="begin"/>
          </w:r>
          <w:r>
            <w:rPr>
              <w:b/>
              <w:bCs/>
              <w:color w:val="auto"/>
              <w:sz w:val="24"/>
              <w:szCs w:val="24"/>
              <w:highlight w:val="none"/>
            </w:rPr>
            <w:instrText xml:space="preserve"> PAGEREF _Toc5196 \h </w:instrText>
          </w:r>
          <w:r>
            <w:rPr>
              <w:b/>
              <w:bCs/>
              <w:color w:val="auto"/>
              <w:sz w:val="24"/>
              <w:szCs w:val="24"/>
              <w:highlight w:val="none"/>
            </w:rPr>
            <w:fldChar w:fldCharType="separate"/>
          </w:r>
          <w:r>
            <w:rPr>
              <w:b/>
              <w:bCs/>
              <w:color w:val="auto"/>
              <w:sz w:val="24"/>
              <w:szCs w:val="24"/>
              <w:highlight w:val="none"/>
            </w:rPr>
            <w:t>19</w:t>
          </w:r>
          <w:r>
            <w:rPr>
              <w:b/>
              <w:bCs/>
              <w:color w:val="auto"/>
              <w:sz w:val="24"/>
              <w:szCs w:val="24"/>
              <w:highlight w:val="none"/>
            </w:rPr>
            <w:fldChar w:fldCharType="end"/>
          </w:r>
          <w:r>
            <w:rPr>
              <w:rFonts w:hint="eastAsia" w:eastAsia="宋体"/>
              <w:b/>
              <w:bCs/>
              <w:color w:val="auto"/>
              <w:sz w:val="24"/>
              <w:szCs w:val="24"/>
              <w:highlight w:val="none"/>
              <w:lang w:eastAsia="zh-CN"/>
            </w:rPr>
            <w:fldChar w:fldCharType="end"/>
          </w:r>
        </w:p>
        <w:p>
          <w:pPr>
            <w:pStyle w:val="10"/>
            <w:tabs>
              <w:tab w:val="right" w:leader="dot" w:pos="8306"/>
            </w:tabs>
            <w:rPr>
              <w:b/>
              <w:bCs/>
              <w:color w:val="auto"/>
              <w:sz w:val="24"/>
              <w:szCs w:val="24"/>
              <w:highlight w:val="none"/>
            </w:rPr>
          </w:pPr>
          <w:r>
            <w:rPr>
              <w:rFonts w:hint="eastAsia" w:eastAsia="宋体"/>
              <w:b/>
              <w:bCs/>
              <w:color w:val="auto"/>
              <w:sz w:val="24"/>
              <w:szCs w:val="24"/>
              <w:highlight w:val="none"/>
              <w:lang w:eastAsia="zh-CN"/>
            </w:rPr>
            <w:fldChar w:fldCharType="begin"/>
          </w:r>
          <w:r>
            <w:rPr>
              <w:rFonts w:hint="eastAsia" w:eastAsia="宋体"/>
              <w:b/>
              <w:bCs/>
              <w:color w:val="auto"/>
              <w:sz w:val="24"/>
              <w:szCs w:val="24"/>
              <w:highlight w:val="none"/>
              <w:lang w:eastAsia="zh-CN"/>
            </w:rPr>
            <w:instrText xml:space="preserve"> HYPERLINK \l _Toc2363 </w:instrText>
          </w:r>
          <w:r>
            <w:rPr>
              <w:rFonts w:hint="eastAsia" w:eastAsia="宋体"/>
              <w:b/>
              <w:bCs/>
              <w:color w:val="auto"/>
              <w:sz w:val="24"/>
              <w:szCs w:val="24"/>
              <w:highlight w:val="none"/>
              <w:lang w:eastAsia="zh-CN"/>
            </w:rPr>
            <w:fldChar w:fldCharType="separate"/>
          </w:r>
          <w:r>
            <w:rPr>
              <w:rFonts w:hint="eastAsia"/>
              <w:b/>
              <w:bCs/>
              <w:color w:val="auto"/>
              <w:sz w:val="24"/>
              <w:szCs w:val="24"/>
              <w:highlight w:val="none"/>
              <w:lang w:val="en-US" w:eastAsia="zh-CN"/>
            </w:rPr>
            <w:t>五、工作部署</w:t>
          </w:r>
          <w:r>
            <w:rPr>
              <w:b/>
              <w:bCs/>
              <w:color w:val="auto"/>
              <w:sz w:val="24"/>
              <w:szCs w:val="24"/>
              <w:highlight w:val="none"/>
            </w:rPr>
            <w:tab/>
          </w:r>
          <w:r>
            <w:rPr>
              <w:b/>
              <w:bCs/>
              <w:color w:val="auto"/>
              <w:sz w:val="24"/>
              <w:szCs w:val="24"/>
              <w:highlight w:val="none"/>
            </w:rPr>
            <w:fldChar w:fldCharType="begin"/>
          </w:r>
          <w:r>
            <w:rPr>
              <w:b/>
              <w:bCs/>
              <w:color w:val="auto"/>
              <w:sz w:val="24"/>
              <w:szCs w:val="24"/>
              <w:highlight w:val="none"/>
            </w:rPr>
            <w:instrText xml:space="preserve"> PAGEREF _Toc2363 \h </w:instrText>
          </w:r>
          <w:r>
            <w:rPr>
              <w:b/>
              <w:bCs/>
              <w:color w:val="auto"/>
              <w:sz w:val="24"/>
              <w:szCs w:val="24"/>
              <w:highlight w:val="none"/>
            </w:rPr>
            <w:fldChar w:fldCharType="separate"/>
          </w:r>
          <w:r>
            <w:rPr>
              <w:b/>
              <w:bCs/>
              <w:color w:val="auto"/>
              <w:sz w:val="24"/>
              <w:szCs w:val="24"/>
              <w:highlight w:val="none"/>
            </w:rPr>
            <w:t>21</w:t>
          </w:r>
          <w:r>
            <w:rPr>
              <w:b/>
              <w:bCs/>
              <w:color w:val="auto"/>
              <w:sz w:val="24"/>
              <w:szCs w:val="24"/>
              <w:highlight w:val="none"/>
            </w:rPr>
            <w:fldChar w:fldCharType="end"/>
          </w:r>
          <w:r>
            <w:rPr>
              <w:rFonts w:hint="eastAsia" w:eastAsia="宋体"/>
              <w:b/>
              <w:bCs/>
              <w:color w:val="auto"/>
              <w:sz w:val="24"/>
              <w:szCs w:val="24"/>
              <w:highlight w:val="none"/>
              <w:lang w:eastAsia="zh-CN"/>
            </w:rPr>
            <w:fldChar w:fldCharType="end"/>
          </w:r>
        </w:p>
        <w:p>
          <w:pPr>
            <w:pStyle w:val="10"/>
            <w:tabs>
              <w:tab w:val="right" w:leader="dot" w:pos="8306"/>
            </w:tabs>
            <w:rPr>
              <w:b/>
              <w:bCs/>
              <w:color w:val="auto"/>
              <w:sz w:val="24"/>
              <w:szCs w:val="24"/>
              <w:highlight w:val="none"/>
            </w:rPr>
          </w:pPr>
          <w:r>
            <w:rPr>
              <w:rFonts w:hint="eastAsia" w:eastAsia="宋体"/>
              <w:b/>
              <w:bCs/>
              <w:color w:val="auto"/>
              <w:sz w:val="24"/>
              <w:szCs w:val="24"/>
              <w:highlight w:val="none"/>
              <w:lang w:eastAsia="zh-CN"/>
            </w:rPr>
            <w:fldChar w:fldCharType="begin"/>
          </w:r>
          <w:r>
            <w:rPr>
              <w:rFonts w:hint="eastAsia" w:eastAsia="宋体"/>
              <w:b/>
              <w:bCs/>
              <w:color w:val="auto"/>
              <w:sz w:val="24"/>
              <w:szCs w:val="24"/>
              <w:highlight w:val="none"/>
              <w:lang w:eastAsia="zh-CN"/>
            </w:rPr>
            <w:instrText xml:space="preserve"> HYPERLINK \l _Toc4406 </w:instrText>
          </w:r>
          <w:r>
            <w:rPr>
              <w:rFonts w:hint="eastAsia" w:eastAsia="宋体"/>
              <w:b/>
              <w:bCs/>
              <w:color w:val="auto"/>
              <w:sz w:val="24"/>
              <w:szCs w:val="24"/>
              <w:highlight w:val="none"/>
              <w:lang w:eastAsia="zh-CN"/>
            </w:rPr>
            <w:fldChar w:fldCharType="separate"/>
          </w:r>
          <w:r>
            <w:rPr>
              <w:rFonts w:hint="eastAsia"/>
              <w:b/>
              <w:bCs/>
              <w:color w:val="auto"/>
              <w:sz w:val="24"/>
              <w:szCs w:val="24"/>
              <w:highlight w:val="none"/>
              <w:lang w:val="en-US" w:eastAsia="zh-CN"/>
            </w:rPr>
            <w:t>六、经费估算及资金来源</w:t>
          </w:r>
          <w:r>
            <w:rPr>
              <w:b/>
              <w:bCs/>
              <w:color w:val="auto"/>
              <w:sz w:val="24"/>
              <w:szCs w:val="24"/>
              <w:highlight w:val="none"/>
            </w:rPr>
            <w:tab/>
          </w:r>
          <w:r>
            <w:rPr>
              <w:b/>
              <w:bCs/>
              <w:color w:val="auto"/>
              <w:sz w:val="24"/>
              <w:szCs w:val="24"/>
              <w:highlight w:val="none"/>
            </w:rPr>
            <w:fldChar w:fldCharType="begin"/>
          </w:r>
          <w:r>
            <w:rPr>
              <w:b/>
              <w:bCs/>
              <w:color w:val="auto"/>
              <w:sz w:val="24"/>
              <w:szCs w:val="24"/>
              <w:highlight w:val="none"/>
            </w:rPr>
            <w:instrText xml:space="preserve"> PAGEREF _Toc4406 \h </w:instrText>
          </w:r>
          <w:r>
            <w:rPr>
              <w:b/>
              <w:bCs/>
              <w:color w:val="auto"/>
              <w:sz w:val="24"/>
              <w:szCs w:val="24"/>
              <w:highlight w:val="none"/>
            </w:rPr>
            <w:fldChar w:fldCharType="separate"/>
          </w:r>
          <w:r>
            <w:rPr>
              <w:b/>
              <w:bCs/>
              <w:color w:val="auto"/>
              <w:sz w:val="24"/>
              <w:szCs w:val="24"/>
              <w:highlight w:val="none"/>
            </w:rPr>
            <w:t>23</w:t>
          </w:r>
          <w:r>
            <w:rPr>
              <w:b/>
              <w:bCs/>
              <w:color w:val="auto"/>
              <w:sz w:val="24"/>
              <w:szCs w:val="24"/>
              <w:highlight w:val="none"/>
            </w:rPr>
            <w:fldChar w:fldCharType="end"/>
          </w:r>
          <w:r>
            <w:rPr>
              <w:rFonts w:hint="eastAsia" w:eastAsia="宋体"/>
              <w:b/>
              <w:bCs/>
              <w:color w:val="auto"/>
              <w:sz w:val="24"/>
              <w:szCs w:val="24"/>
              <w:highlight w:val="none"/>
              <w:lang w:eastAsia="zh-CN"/>
            </w:rPr>
            <w:fldChar w:fldCharType="end"/>
          </w:r>
        </w:p>
        <w:p>
          <w:pPr>
            <w:pStyle w:val="10"/>
            <w:tabs>
              <w:tab w:val="right" w:leader="dot" w:pos="8306"/>
            </w:tabs>
            <w:rPr>
              <w:color w:val="auto"/>
            </w:rPr>
          </w:pPr>
          <w:r>
            <w:rPr>
              <w:rFonts w:hint="eastAsia" w:eastAsia="宋体"/>
              <w:b/>
              <w:bCs/>
              <w:color w:val="auto"/>
              <w:sz w:val="24"/>
              <w:szCs w:val="24"/>
              <w:highlight w:val="none"/>
              <w:lang w:eastAsia="zh-CN"/>
            </w:rPr>
            <w:fldChar w:fldCharType="begin"/>
          </w:r>
          <w:r>
            <w:rPr>
              <w:rFonts w:hint="eastAsia" w:eastAsia="宋体"/>
              <w:b/>
              <w:bCs/>
              <w:color w:val="auto"/>
              <w:sz w:val="24"/>
              <w:szCs w:val="24"/>
              <w:highlight w:val="none"/>
              <w:lang w:eastAsia="zh-CN"/>
            </w:rPr>
            <w:instrText xml:space="preserve"> HYPERLINK \l _Toc11803 </w:instrText>
          </w:r>
          <w:r>
            <w:rPr>
              <w:rFonts w:hint="eastAsia" w:eastAsia="宋体"/>
              <w:b/>
              <w:bCs/>
              <w:color w:val="auto"/>
              <w:sz w:val="24"/>
              <w:szCs w:val="24"/>
              <w:highlight w:val="none"/>
              <w:lang w:eastAsia="zh-CN"/>
            </w:rPr>
            <w:fldChar w:fldCharType="separate"/>
          </w:r>
          <w:r>
            <w:rPr>
              <w:rFonts w:hint="eastAsia"/>
              <w:b/>
              <w:bCs/>
              <w:color w:val="auto"/>
              <w:sz w:val="24"/>
              <w:szCs w:val="24"/>
              <w:highlight w:val="none"/>
              <w:lang w:eastAsia="zh-CN"/>
            </w:rPr>
            <w:t>七、保证措施及</w:t>
          </w:r>
          <w:r>
            <w:rPr>
              <w:rFonts w:hint="eastAsia"/>
              <w:b/>
              <w:bCs/>
              <w:color w:val="auto"/>
              <w:sz w:val="24"/>
              <w:szCs w:val="24"/>
              <w:highlight w:val="none"/>
            </w:rPr>
            <w:t>效益分析</w:t>
          </w:r>
          <w:r>
            <w:rPr>
              <w:b/>
              <w:bCs/>
              <w:color w:val="auto"/>
              <w:sz w:val="24"/>
              <w:szCs w:val="24"/>
              <w:highlight w:val="none"/>
            </w:rPr>
            <w:tab/>
          </w:r>
          <w:r>
            <w:rPr>
              <w:b/>
              <w:bCs/>
              <w:color w:val="auto"/>
              <w:sz w:val="24"/>
              <w:szCs w:val="24"/>
              <w:highlight w:val="none"/>
            </w:rPr>
            <w:fldChar w:fldCharType="begin"/>
          </w:r>
          <w:r>
            <w:rPr>
              <w:b/>
              <w:bCs/>
              <w:color w:val="auto"/>
              <w:sz w:val="24"/>
              <w:szCs w:val="24"/>
              <w:highlight w:val="none"/>
            </w:rPr>
            <w:instrText xml:space="preserve"> PAGEREF _Toc11803 \h </w:instrText>
          </w:r>
          <w:r>
            <w:rPr>
              <w:b/>
              <w:bCs/>
              <w:color w:val="auto"/>
              <w:sz w:val="24"/>
              <w:szCs w:val="24"/>
              <w:highlight w:val="none"/>
            </w:rPr>
            <w:fldChar w:fldCharType="separate"/>
          </w:r>
          <w:r>
            <w:rPr>
              <w:b/>
              <w:bCs/>
              <w:color w:val="auto"/>
              <w:sz w:val="24"/>
              <w:szCs w:val="24"/>
              <w:highlight w:val="none"/>
            </w:rPr>
            <w:t>24</w:t>
          </w:r>
          <w:r>
            <w:rPr>
              <w:b/>
              <w:bCs/>
              <w:color w:val="auto"/>
              <w:sz w:val="24"/>
              <w:szCs w:val="24"/>
              <w:highlight w:val="none"/>
            </w:rPr>
            <w:fldChar w:fldCharType="end"/>
          </w:r>
          <w:r>
            <w:rPr>
              <w:rFonts w:hint="eastAsia" w:eastAsia="宋体"/>
              <w:b/>
              <w:bCs/>
              <w:color w:val="auto"/>
              <w:sz w:val="24"/>
              <w:szCs w:val="24"/>
              <w:highlight w:val="none"/>
              <w:lang w:eastAsia="zh-CN"/>
            </w:rPr>
            <w:fldChar w:fldCharType="end"/>
          </w:r>
        </w:p>
        <w:p>
          <w:pPr>
            <w:pStyle w:val="2"/>
            <w:ind w:left="0" w:leftChars="0" w:firstLine="0" w:firstLineChars="0"/>
            <w:rPr>
              <w:rFonts w:hint="eastAsia" w:eastAsia="宋体"/>
              <w:color w:val="FF0000"/>
              <w:lang w:eastAsia="zh-CN"/>
            </w:rPr>
          </w:pPr>
          <w:r>
            <w:rPr>
              <w:rFonts w:hint="eastAsia" w:eastAsia="宋体"/>
              <w:color w:val="auto"/>
              <w:lang w:eastAsia="zh-CN"/>
            </w:rPr>
            <w:fldChar w:fldCharType="end"/>
          </w:r>
        </w:p>
      </w:sdtContent>
    </w:sdt>
    <w:p>
      <w:pPr>
        <w:pStyle w:val="10"/>
        <w:tabs>
          <w:tab w:val="right" w:leader="dot" w:pos="9298"/>
        </w:tabs>
        <w:spacing w:line="336" w:lineRule="auto"/>
        <w:ind w:firstLine="482"/>
        <w:rPr>
          <w:rFonts w:hint="eastAsia" w:ascii="宋体" w:hAnsi="宋体" w:cs="仿宋_GB2312"/>
          <w:b/>
          <w:bCs/>
          <w:color w:val="auto"/>
          <w:sz w:val="24"/>
          <w:szCs w:val="24"/>
          <w:lang w:val="zh-CN"/>
        </w:rPr>
      </w:pPr>
      <w:r>
        <w:rPr>
          <w:rFonts w:hint="eastAsia" w:ascii="宋体" w:hAnsi="宋体" w:cs="仿宋_GB2312"/>
          <w:b/>
          <w:bCs/>
          <w:color w:val="auto"/>
          <w:sz w:val="24"/>
          <w:szCs w:val="24"/>
          <w:lang w:val="zh-CN"/>
        </w:rPr>
        <w:t>附 图：</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default"/>
          <w:color w:val="auto"/>
          <w:sz w:val="24"/>
          <w:szCs w:val="24"/>
          <w:lang w:val="en-US" w:eastAsia="zh-CN"/>
        </w:rPr>
      </w:pPr>
      <w:r>
        <w:rPr>
          <w:rFonts w:hint="default"/>
          <w:color w:val="auto"/>
          <w:sz w:val="24"/>
          <w:szCs w:val="24"/>
        </w:rPr>
        <w:t>1、</w:t>
      </w:r>
      <w:r>
        <w:rPr>
          <w:rFonts w:hint="default"/>
          <w:color w:val="auto"/>
          <w:sz w:val="24"/>
          <w:szCs w:val="24"/>
          <w:lang w:val="en-US" w:eastAsia="zh-CN"/>
        </w:rPr>
        <w:t>中石化绿源地热能（陕西）开发有限公司</w:t>
      </w:r>
      <w:r>
        <w:rPr>
          <w:rFonts w:hint="eastAsia"/>
          <w:color w:val="auto"/>
          <w:sz w:val="24"/>
          <w:szCs w:val="24"/>
          <w:lang w:val="en-US" w:eastAsia="zh-CN"/>
        </w:rPr>
        <w:t>咸阳职院</w:t>
      </w:r>
      <w:r>
        <w:rPr>
          <w:rFonts w:hint="default"/>
          <w:color w:val="auto"/>
          <w:sz w:val="24"/>
          <w:szCs w:val="24"/>
          <w:lang w:val="en-US" w:eastAsia="zh-CN"/>
        </w:rPr>
        <w:t>地热区块</w:t>
      </w:r>
      <w:r>
        <w:rPr>
          <w:rFonts w:hint="default"/>
          <w:color w:val="auto"/>
          <w:sz w:val="24"/>
          <w:szCs w:val="24"/>
        </w:rPr>
        <w:t>矿山地质环境保护与恢复治理部署图</w:t>
      </w:r>
      <w:r>
        <w:rPr>
          <w:rFonts w:hint="default"/>
          <w:color w:val="auto"/>
          <w:sz w:val="24"/>
          <w:szCs w:val="24"/>
          <w:lang w:val="en-US" w:eastAsia="zh-CN"/>
        </w:rPr>
        <w:t xml:space="preserve">  1:10000</w:t>
      </w:r>
    </w:p>
    <w:p>
      <w:pPr>
        <w:pStyle w:val="10"/>
        <w:tabs>
          <w:tab w:val="right" w:leader="dot" w:pos="9298"/>
        </w:tabs>
        <w:spacing w:line="336" w:lineRule="auto"/>
        <w:ind w:firstLine="482"/>
        <w:rPr>
          <w:color w:val="auto"/>
          <w:sz w:val="24"/>
          <w:szCs w:val="24"/>
        </w:rPr>
      </w:pPr>
      <w:r>
        <w:rPr>
          <w:b/>
          <w:bCs/>
          <w:color w:val="auto"/>
          <w:sz w:val="24"/>
          <w:szCs w:val="24"/>
        </w:rPr>
        <w:t>附</w:t>
      </w:r>
      <w:r>
        <w:rPr>
          <w:rFonts w:hint="eastAsia"/>
          <w:b/>
          <w:bCs/>
          <w:color w:val="auto"/>
          <w:sz w:val="24"/>
          <w:szCs w:val="24"/>
          <w:lang w:val="en-US" w:eastAsia="zh-CN"/>
        </w:rPr>
        <w:t xml:space="preserve"> </w:t>
      </w:r>
      <w:r>
        <w:rPr>
          <w:b/>
          <w:bCs/>
          <w:color w:val="auto"/>
          <w:sz w:val="24"/>
          <w:szCs w:val="24"/>
        </w:rPr>
        <w:t>表</w:t>
      </w:r>
      <w:r>
        <w:rPr>
          <w:color w:val="auto"/>
          <w:sz w:val="24"/>
          <w:szCs w:val="24"/>
        </w:rPr>
        <w:t>：</w:t>
      </w:r>
    </w:p>
    <w:p>
      <w:pPr>
        <w:pStyle w:val="10"/>
        <w:tabs>
          <w:tab w:val="right" w:leader="dot" w:pos="9298"/>
        </w:tabs>
        <w:spacing w:line="336" w:lineRule="auto"/>
        <w:ind w:firstLine="482"/>
        <w:rPr>
          <w:color w:val="auto"/>
        </w:rPr>
      </w:pPr>
      <w:r>
        <w:rPr>
          <w:rFonts w:hint="eastAsia"/>
          <w:color w:val="auto"/>
          <w:sz w:val="24"/>
          <w:szCs w:val="24"/>
          <w:lang w:val="en-US" w:eastAsia="zh-CN"/>
        </w:rPr>
        <w:t>1、</w:t>
      </w:r>
      <w:r>
        <w:rPr>
          <w:b w:val="0"/>
          <w:bCs w:val="0"/>
          <w:color w:val="auto"/>
          <w:sz w:val="24"/>
          <w:szCs w:val="24"/>
        </w:rPr>
        <w:t>矿山地质环境现状调查表</w:t>
      </w:r>
    </w:p>
    <w:p>
      <w:pPr>
        <w:pStyle w:val="10"/>
        <w:tabs>
          <w:tab w:val="right" w:leader="dot" w:pos="9298"/>
        </w:tabs>
        <w:spacing w:line="336" w:lineRule="auto"/>
        <w:ind w:firstLine="482"/>
        <w:rPr>
          <w:rFonts w:hint="eastAsia"/>
          <w:color w:val="auto"/>
          <w:sz w:val="24"/>
          <w:szCs w:val="24"/>
        </w:rPr>
      </w:pPr>
      <w:r>
        <w:rPr>
          <w:rFonts w:hint="eastAsia"/>
          <w:b/>
          <w:bCs/>
          <w:color w:val="auto"/>
          <w:sz w:val="24"/>
          <w:szCs w:val="24"/>
        </w:rPr>
        <w:t>附</w:t>
      </w:r>
      <w:r>
        <w:rPr>
          <w:rFonts w:hint="eastAsia"/>
          <w:b/>
          <w:bCs/>
          <w:color w:val="auto"/>
          <w:sz w:val="24"/>
          <w:szCs w:val="24"/>
          <w:lang w:val="en-US" w:eastAsia="zh-CN"/>
        </w:rPr>
        <w:t xml:space="preserve"> </w:t>
      </w:r>
      <w:r>
        <w:rPr>
          <w:rFonts w:hint="eastAsia"/>
          <w:b/>
          <w:bCs/>
          <w:color w:val="auto"/>
          <w:sz w:val="24"/>
          <w:szCs w:val="24"/>
          <w:lang w:eastAsia="zh-CN"/>
        </w:rPr>
        <w:t>件</w:t>
      </w:r>
      <w:r>
        <w:rPr>
          <w:rFonts w:hint="eastAsia"/>
          <w:color w:val="auto"/>
          <w:sz w:val="24"/>
          <w:szCs w:val="24"/>
        </w:rPr>
        <w:t>：</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bCs/>
          <w:color w:val="auto"/>
          <w:sz w:val="24"/>
          <w:szCs w:val="24"/>
        </w:rPr>
      </w:pPr>
      <w:r>
        <w:rPr>
          <w:color w:val="auto"/>
          <w:sz w:val="24"/>
          <w:szCs w:val="24"/>
        </w:rPr>
        <w:t>1、委托书</w:t>
      </w:r>
      <w:r>
        <w:rPr>
          <w:rFonts w:hint="eastAsia"/>
          <w:bCs/>
          <w:color w:val="auto"/>
          <w:sz w:val="24"/>
          <w:szCs w:val="24"/>
        </w:rPr>
        <w:t>；</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eastAsia="宋体"/>
          <w:bCs/>
          <w:color w:val="auto"/>
          <w:sz w:val="24"/>
          <w:szCs w:val="24"/>
          <w:lang w:eastAsia="zh-CN"/>
        </w:rPr>
      </w:pPr>
      <w:r>
        <w:rPr>
          <w:rFonts w:hint="eastAsia"/>
          <w:bCs/>
          <w:color w:val="auto"/>
          <w:sz w:val="24"/>
          <w:szCs w:val="24"/>
        </w:rPr>
        <w:t>2、</w:t>
      </w:r>
      <w:r>
        <w:rPr>
          <w:rFonts w:hint="eastAsia"/>
          <w:bCs/>
          <w:color w:val="auto"/>
          <w:sz w:val="24"/>
          <w:szCs w:val="24"/>
          <w:lang w:eastAsia="zh-CN"/>
        </w:rPr>
        <w:t>矿权人营业执照；</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rPr>
      </w:pPr>
      <w:r>
        <w:rPr>
          <w:rFonts w:hint="eastAsia"/>
          <w:color w:val="auto"/>
          <w:sz w:val="24"/>
          <w:szCs w:val="24"/>
          <w:lang w:val="en-US" w:eastAsia="zh-CN"/>
        </w:rPr>
        <w:t>3、</w:t>
      </w:r>
      <w:r>
        <w:rPr>
          <w:rFonts w:hint="eastAsia"/>
          <w:color w:val="auto"/>
          <w:sz w:val="24"/>
          <w:szCs w:val="24"/>
        </w:rPr>
        <w:t>采矿许可证；</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rPr>
      </w:pPr>
      <w:r>
        <w:rPr>
          <w:rFonts w:hint="eastAsia"/>
          <w:color w:val="auto"/>
          <w:sz w:val="24"/>
          <w:szCs w:val="24"/>
          <w:lang w:val="en-US" w:eastAsia="zh-CN"/>
        </w:rPr>
        <w:t>4</w:t>
      </w:r>
      <w:r>
        <w:rPr>
          <w:color w:val="auto"/>
          <w:sz w:val="24"/>
          <w:szCs w:val="24"/>
        </w:rPr>
        <w:t>、《关于&lt;</w:t>
      </w:r>
      <w:r>
        <w:rPr>
          <w:rFonts w:hint="eastAsia"/>
          <w:color w:val="auto"/>
          <w:sz w:val="24"/>
          <w:szCs w:val="24"/>
          <w:lang w:eastAsia="zh-CN"/>
        </w:rPr>
        <w:t>开发利用方案</w:t>
      </w:r>
      <w:r>
        <w:rPr>
          <w:color w:val="auto"/>
          <w:sz w:val="24"/>
          <w:szCs w:val="24"/>
        </w:rPr>
        <w:t>&gt;审查意见的报告》</w:t>
      </w:r>
      <w:r>
        <w:rPr>
          <w:rFonts w:hint="eastAsia"/>
          <w:color w:val="auto"/>
          <w:sz w:val="24"/>
          <w:szCs w:val="24"/>
        </w:rPr>
        <w:t>；</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lang w:eastAsia="zh-CN"/>
        </w:rPr>
      </w:pPr>
      <w:r>
        <w:rPr>
          <w:rFonts w:hint="eastAsia"/>
          <w:color w:val="auto"/>
          <w:sz w:val="24"/>
          <w:szCs w:val="24"/>
          <w:lang w:val="en-US" w:eastAsia="zh-CN"/>
        </w:rPr>
        <w:t>5</w:t>
      </w:r>
      <w:r>
        <w:rPr>
          <w:rFonts w:hint="eastAsia"/>
          <w:color w:val="auto"/>
          <w:sz w:val="24"/>
          <w:szCs w:val="24"/>
        </w:rPr>
        <w:t>、</w:t>
      </w:r>
      <w:r>
        <w:rPr>
          <w:rFonts w:hint="eastAsia"/>
          <w:color w:val="auto"/>
          <w:sz w:val="24"/>
          <w:szCs w:val="24"/>
          <w:lang w:eastAsia="zh-CN"/>
        </w:rPr>
        <w:t>《关于</w:t>
      </w:r>
      <w:r>
        <w:rPr>
          <w:color w:val="auto"/>
          <w:sz w:val="24"/>
          <w:szCs w:val="24"/>
        </w:rPr>
        <w:t>&lt;</w:t>
      </w:r>
      <w:r>
        <w:rPr>
          <w:rFonts w:hint="eastAsia"/>
          <w:color w:val="auto"/>
          <w:sz w:val="24"/>
          <w:szCs w:val="24"/>
          <w:lang w:eastAsia="zh-CN"/>
        </w:rPr>
        <w:t>储量核实报告</w:t>
      </w:r>
      <w:r>
        <w:rPr>
          <w:color w:val="auto"/>
          <w:sz w:val="24"/>
          <w:szCs w:val="24"/>
        </w:rPr>
        <w:t>&gt;</w:t>
      </w:r>
      <w:r>
        <w:rPr>
          <w:rFonts w:hint="eastAsia"/>
          <w:color w:val="auto"/>
          <w:sz w:val="24"/>
          <w:szCs w:val="24"/>
          <w:lang w:eastAsia="zh-CN"/>
        </w:rPr>
        <w:t>的审查意见》；</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rPr>
      </w:pPr>
      <w:r>
        <w:rPr>
          <w:rFonts w:hint="eastAsia"/>
          <w:color w:val="auto"/>
          <w:sz w:val="24"/>
          <w:szCs w:val="24"/>
          <w:lang w:val="en-US" w:eastAsia="zh-CN"/>
        </w:rPr>
        <w:t>6、</w:t>
      </w:r>
      <w:r>
        <w:rPr>
          <w:rFonts w:hint="eastAsia"/>
          <w:color w:val="auto"/>
          <w:sz w:val="24"/>
          <w:szCs w:val="24"/>
        </w:rPr>
        <w:t>地热</w:t>
      </w:r>
      <w:r>
        <w:rPr>
          <w:rFonts w:hint="eastAsia"/>
          <w:color w:val="auto"/>
          <w:sz w:val="24"/>
          <w:szCs w:val="24"/>
          <w:lang w:eastAsia="zh-CN"/>
        </w:rPr>
        <w:t>井</w:t>
      </w:r>
      <w:r>
        <w:rPr>
          <w:rFonts w:hint="eastAsia"/>
          <w:color w:val="auto"/>
          <w:sz w:val="24"/>
          <w:szCs w:val="24"/>
        </w:rPr>
        <w:t>水质检验报告；</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lang w:val="en-US" w:eastAsia="zh-CN"/>
        </w:rPr>
      </w:pPr>
      <w:r>
        <w:rPr>
          <w:rFonts w:hint="eastAsia"/>
          <w:color w:val="auto"/>
          <w:sz w:val="24"/>
          <w:szCs w:val="24"/>
          <w:lang w:val="en-US" w:eastAsia="zh-CN"/>
        </w:rPr>
        <w:t>7</w:t>
      </w:r>
      <w:r>
        <w:rPr>
          <w:rFonts w:hint="eastAsia"/>
          <w:color w:val="auto"/>
          <w:sz w:val="24"/>
          <w:szCs w:val="24"/>
        </w:rPr>
        <w:t>、</w:t>
      </w:r>
      <w:r>
        <w:rPr>
          <w:rFonts w:hint="eastAsia"/>
          <w:color w:val="auto"/>
          <w:sz w:val="24"/>
          <w:szCs w:val="24"/>
          <w:lang w:val="en-US" w:eastAsia="zh-CN"/>
        </w:rPr>
        <w:t>公众参与调查表；</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lang w:eastAsia="zh-CN"/>
        </w:rPr>
      </w:pPr>
      <w:r>
        <w:rPr>
          <w:rFonts w:hint="eastAsia"/>
          <w:color w:val="auto"/>
          <w:sz w:val="24"/>
          <w:szCs w:val="24"/>
          <w:lang w:val="en-US" w:eastAsia="zh-CN"/>
        </w:rPr>
        <w:t>8、编制单位内审意见</w:t>
      </w:r>
      <w:r>
        <w:rPr>
          <w:rFonts w:hint="eastAsia"/>
          <w:color w:val="auto"/>
          <w:sz w:val="24"/>
          <w:szCs w:val="24"/>
          <w:lang w:eastAsia="zh-CN"/>
        </w:rPr>
        <w:t>；</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default"/>
          <w:color w:val="auto"/>
          <w:sz w:val="24"/>
          <w:szCs w:val="24"/>
          <w:lang w:val="en-US" w:eastAsia="zh-CN"/>
        </w:rPr>
      </w:pPr>
      <w:r>
        <w:rPr>
          <w:rFonts w:hint="eastAsia"/>
          <w:color w:val="auto"/>
          <w:sz w:val="24"/>
          <w:szCs w:val="24"/>
          <w:lang w:val="en-US" w:eastAsia="zh-CN"/>
        </w:rPr>
        <w:t>9、基金监管协议。</w:t>
      </w:r>
    </w:p>
    <w:p>
      <w:pPr>
        <w:pStyle w:val="2"/>
        <w:ind w:left="0" w:leftChars="0" w:firstLine="0" w:firstLineChars="0"/>
        <w:rPr>
          <w:rFonts w:hint="eastAsia"/>
          <w:b w:val="0"/>
          <w:bCs/>
          <w:color w:val="FF0000"/>
          <w:sz w:val="24"/>
          <w:szCs w:val="24"/>
          <w:lang w:val="en-US" w:eastAsia="zh-CN"/>
        </w:rPr>
      </w:pPr>
    </w:p>
    <w:p>
      <w:pPr>
        <w:pStyle w:val="3"/>
        <w:bidi w:val="0"/>
        <w:outlineLvl w:val="9"/>
        <w:rPr>
          <w:rFonts w:hint="eastAsia"/>
          <w:color w:val="FF0000"/>
          <w:lang w:val="en-US" w:eastAsia="zh-CN"/>
        </w:rPr>
        <w:sectPr>
          <w:footerReference r:id="rId5" w:type="default"/>
          <w:pgSz w:w="11906" w:h="16838"/>
          <w:pgMar w:top="1440" w:right="1800" w:bottom="1440" w:left="1800" w:header="851" w:footer="992" w:gutter="0"/>
          <w:cols w:space="425" w:num="1"/>
          <w:docGrid w:type="lines" w:linePitch="312" w:charSpace="0"/>
        </w:sect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4" w:hRule="atLeast"/>
        </w:trPr>
        <w:tc>
          <w:tcPr>
            <w:tcW w:w="8522" w:type="dxa"/>
          </w:tcPr>
          <w:p>
            <w:pPr>
              <w:pStyle w:val="3"/>
              <w:numPr>
                <w:ilvl w:val="0"/>
                <w:numId w:val="0"/>
              </w:numPr>
              <w:bidi w:val="0"/>
              <w:rPr>
                <w:rFonts w:hint="eastAsia"/>
                <w:color w:val="auto"/>
                <w:lang w:val="en-US" w:eastAsia="zh-CN"/>
              </w:rPr>
            </w:pPr>
            <w:bookmarkStart w:id="24" w:name="_Toc23771"/>
            <w:r>
              <w:rPr>
                <w:rFonts w:hint="eastAsia"/>
                <w:color w:val="auto"/>
                <w:lang w:val="en-US" w:eastAsia="zh-CN"/>
              </w:rPr>
              <w:t>前言</w:t>
            </w:r>
            <w:bookmarkEnd w:id="24"/>
          </w:p>
          <w:p>
            <w:pPr>
              <w:pStyle w:val="4"/>
              <w:keepNext/>
              <w:keepLines/>
              <w:pageBreakBefore w:val="0"/>
              <w:widowControl w:val="0"/>
              <w:numPr>
                <w:ilvl w:val="0"/>
                <w:numId w:val="0"/>
              </w:numPr>
              <w:kinsoku/>
              <w:wordWrap/>
              <w:overflowPunct/>
              <w:topLinePunct w:val="0"/>
              <w:autoSpaceDE/>
              <w:autoSpaceDN/>
              <w:bidi w:val="0"/>
              <w:adjustRightInd/>
              <w:snapToGrid/>
              <w:spacing w:line="413" w:lineRule="auto"/>
              <w:ind w:firstLine="482" w:firstLineChars="200"/>
              <w:textAlignment w:val="auto"/>
              <w:rPr>
                <w:rFonts w:hint="eastAsia"/>
                <w:color w:val="auto"/>
                <w:lang w:val="en-US" w:eastAsia="zh-CN"/>
              </w:rPr>
            </w:pPr>
            <w:r>
              <w:rPr>
                <w:rFonts w:hint="eastAsia"/>
                <w:color w:val="auto"/>
                <w:lang w:val="en-US" w:eastAsia="zh-CN"/>
              </w:rPr>
              <w:t>（一）任务由来</w:t>
            </w:r>
          </w:p>
          <w:p>
            <w:pPr>
              <w:spacing w:line="360" w:lineRule="auto"/>
              <w:ind w:firstLine="480" w:firstLineChars="200"/>
              <w:rPr>
                <w:color w:val="FF0000"/>
                <w:sz w:val="24"/>
                <w:szCs w:val="24"/>
              </w:rPr>
            </w:pPr>
            <w:r>
              <w:rPr>
                <w:color w:val="000000" w:themeColor="text1"/>
                <w:sz w:val="24"/>
                <w:szCs w:val="24"/>
                <w:lang w:val="zh-TW"/>
                <w14:textFill>
                  <w14:solidFill>
                    <w14:schemeClr w14:val="tx1"/>
                  </w14:solidFill>
                </w14:textFill>
              </w:rPr>
              <w:t>中石化绿源地热能（陕西）开发有限公司</w:t>
            </w:r>
            <w:r>
              <w:rPr>
                <w:color w:val="000000" w:themeColor="text1"/>
                <w:sz w:val="24"/>
                <w:szCs w:val="24"/>
                <w14:textFill>
                  <w14:solidFill>
                    <w14:schemeClr w14:val="tx1"/>
                  </w14:solidFill>
                </w14:textFill>
              </w:rPr>
              <w:t>是中国石化集团新星石油公司与极地绿色能源集团共同投资组建的中外合资企业</w:t>
            </w:r>
            <w:r>
              <w:rPr>
                <w:rFonts w:hint="eastAsia"/>
                <w:color w:val="000000" w:themeColor="text1"/>
                <w:sz w:val="24"/>
                <w:szCs w:val="24"/>
                <w:lang w:eastAsia="zh-CN"/>
                <w14:textFill>
                  <w14:solidFill>
                    <w14:schemeClr w14:val="tx1"/>
                  </w14:solidFill>
                </w14:textFill>
              </w:rPr>
              <w:t>，是</w:t>
            </w:r>
            <w:r>
              <w:rPr>
                <w:color w:val="000000" w:themeColor="text1"/>
                <w:sz w:val="24"/>
                <w:szCs w:val="24"/>
                <w14:textFill>
                  <w14:solidFill>
                    <w14:schemeClr w14:val="tx1"/>
                  </w14:solidFill>
                </w14:textFill>
              </w:rPr>
              <w:t>中石化绿源地热能开发有限公司在陕全资子公司，主要经营地热资源的开发利用</w:t>
            </w:r>
            <w:r>
              <w:rPr>
                <w:rFonts w:hint="eastAsia"/>
                <w:color w:val="000000" w:themeColor="text1"/>
                <w:sz w:val="24"/>
                <w:szCs w:val="24"/>
                <w:lang w:eastAsia="zh-CN"/>
                <w14:textFill>
                  <w14:solidFill>
                    <w14:schemeClr w14:val="tx1"/>
                  </w14:solidFill>
                </w14:textFill>
              </w:rPr>
              <w:t>。</w:t>
            </w:r>
            <w:r>
              <w:rPr>
                <w:rFonts w:hint="eastAsia"/>
                <w:caps/>
                <w:color w:val="000000" w:themeColor="text1"/>
                <w:sz w:val="24"/>
                <w:szCs w:val="24"/>
                <w:lang w:eastAsia="zh-CN"/>
                <w14:textFill>
                  <w14:solidFill>
                    <w14:schemeClr w14:val="tx1"/>
                  </w14:solidFill>
                </w14:textFill>
              </w:rPr>
              <w:t>咸阳职院地热区块</w:t>
            </w:r>
            <w:r>
              <w:rPr>
                <w:rFonts w:hint="eastAsia"/>
                <w:caps/>
                <w:color w:val="000000" w:themeColor="text1"/>
                <w:sz w:val="24"/>
                <w:szCs w:val="24"/>
                <w:lang w:val="en-US" w:eastAsia="zh-CN"/>
                <w14:textFill>
                  <w14:solidFill>
                    <w14:schemeClr w14:val="tx1"/>
                  </w14:solidFill>
                </w14:textFill>
              </w:rPr>
              <w:t>采矿权人为中石化绿源地热能（陕西）开发有限公司，</w:t>
            </w:r>
            <w:r>
              <w:rPr>
                <w:rFonts w:hint="eastAsia"/>
                <w:caps/>
                <w:color w:val="000000" w:themeColor="text1"/>
                <w:sz w:val="24"/>
                <w:szCs w:val="24"/>
                <w14:textFill>
                  <w14:solidFill>
                    <w14:schemeClr w14:val="tx1"/>
                  </w14:solidFill>
                </w14:textFill>
              </w:rPr>
              <w:t>为生产矿山，</w:t>
            </w:r>
            <w:r>
              <w:rPr>
                <w:rFonts w:hint="eastAsia"/>
                <w:color w:val="000000" w:themeColor="text1"/>
                <w:sz w:val="24"/>
                <w:szCs w:val="24"/>
                <w14:textFill>
                  <w14:solidFill>
                    <w14:schemeClr w14:val="tx1"/>
                  </w14:solidFill>
                </w14:textFill>
              </w:rPr>
              <w:t>采矿许可证有效期为</w:t>
            </w:r>
            <w:r>
              <w:rPr>
                <w:color w:val="000000" w:themeColor="text1"/>
                <w:sz w:val="24"/>
                <w:szCs w:val="24"/>
                <w14:textFill>
                  <w14:solidFill>
                    <w14:schemeClr w14:val="tx1"/>
                  </w14:solidFill>
                </w14:textFill>
              </w:rPr>
              <w:t>20</w:t>
            </w:r>
            <w:r>
              <w:rPr>
                <w:rFonts w:hint="eastAsia"/>
                <w:color w:val="000000" w:themeColor="text1"/>
                <w:sz w:val="24"/>
                <w:szCs w:val="24"/>
                <w:lang w:val="en-US" w:eastAsia="zh-CN"/>
                <w14:textFill>
                  <w14:solidFill>
                    <w14:schemeClr w14:val="tx1"/>
                  </w14:solidFill>
                </w14:textFill>
              </w:rPr>
              <w:t>21</w:t>
            </w:r>
            <w:r>
              <w:rPr>
                <w:rFonts w:hint="eastAsia"/>
                <w:color w:val="000000" w:themeColor="text1"/>
                <w:sz w:val="24"/>
                <w:szCs w:val="24"/>
                <w14:textFill>
                  <w14:solidFill>
                    <w14:schemeClr w14:val="tx1"/>
                  </w14:solidFill>
                </w14:textFill>
              </w:rPr>
              <w:t>年</w:t>
            </w:r>
            <w:r>
              <w:rPr>
                <w:rFonts w:hint="eastAsia"/>
                <w:color w:val="000000" w:themeColor="text1"/>
                <w:sz w:val="24"/>
                <w:szCs w:val="24"/>
                <w:lang w:val="en-US" w:eastAsia="zh-CN"/>
                <w14:textFill>
                  <w14:solidFill>
                    <w14:schemeClr w14:val="tx1"/>
                  </w14:solidFill>
                </w14:textFill>
              </w:rPr>
              <w:t>10</w:t>
            </w:r>
            <w:r>
              <w:rPr>
                <w:rFonts w:hint="eastAsia"/>
                <w:color w:val="000000" w:themeColor="text1"/>
                <w:sz w:val="24"/>
                <w:szCs w:val="24"/>
                <w14:textFill>
                  <w14:solidFill>
                    <w14:schemeClr w14:val="tx1"/>
                  </w14:solidFill>
                </w14:textFill>
              </w:rPr>
              <w:t>月2</w:t>
            </w:r>
            <w:r>
              <w:rPr>
                <w:rFonts w:hint="eastAsia"/>
                <w:color w:val="000000" w:themeColor="text1"/>
                <w:sz w:val="24"/>
                <w:szCs w:val="24"/>
                <w:lang w:val="en-US" w:eastAsia="zh-CN"/>
                <w14:textFill>
                  <w14:solidFill>
                    <w14:schemeClr w14:val="tx1"/>
                  </w14:solidFill>
                </w14:textFill>
              </w:rPr>
              <w:t>7</w:t>
            </w:r>
            <w:r>
              <w:rPr>
                <w:rFonts w:hint="eastAsia"/>
                <w:color w:val="000000" w:themeColor="text1"/>
                <w:sz w:val="24"/>
                <w:szCs w:val="24"/>
                <w14:textFill>
                  <w14:solidFill>
                    <w14:schemeClr w14:val="tx1"/>
                  </w14:solidFill>
                </w14:textFill>
              </w:rPr>
              <w:t>日至</w:t>
            </w:r>
            <w:r>
              <w:rPr>
                <w:color w:val="000000" w:themeColor="text1"/>
                <w:sz w:val="24"/>
                <w:szCs w:val="24"/>
                <w14:textFill>
                  <w14:solidFill>
                    <w14:schemeClr w14:val="tx1"/>
                  </w14:solidFill>
                </w14:textFill>
              </w:rPr>
              <w:t>20</w:t>
            </w:r>
            <w:r>
              <w:rPr>
                <w:rFonts w:hint="eastAsia"/>
                <w:color w:val="000000" w:themeColor="text1"/>
                <w:sz w:val="24"/>
                <w:szCs w:val="24"/>
                <w14:textFill>
                  <w14:solidFill>
                    <w14:schemeClr w14:val="tx1"/>
                  </w14:solidFill>
                </w14:textFill>
              </w:rPr>
              <w:t>2</w:t>
            </w:r>
            <w:r>
              <w:rPr>
                <w:rFonts w:hint="eastAsia"/>
                <w:color w:val="000000" w:themeColor="text1"/>
                <w:sz w:val="24"/>
                <w:szCs w:val="24"/>
                <w:lang w:val="en-US" w:eastAsia="zh-CN"/>
                <w14:textFill>
                  <w14:solidFill>
                    <w14:schemeClr w14:val="tx1"/>
                  </w14:solidFill>
                </w14:textFill>
              </w:rPr>
              <w:t>2</w:t>
            </w:r>
            <w:r>
              <w:rPr>
                <w:rFonts w:hint="eastAsia"/>
                <w:color w:val="000000" w:themeColor="text1"/>
                <w:sz w:val="24"/>
                <w:szCs w:val="24"/>
                <w14:textFill>
                  <w14:solidFill>
                    <w14:schemeClr w14:val="tx1"/>
                  </w14:solidFill>
                </w14:textFill>
              </w:rPr>
              <w:t>年</w:t>
            </w:r>
            <w:r>
              <w:rPr>
                <w:rFonts w:hint="eastAsia"/>
                <w:color w:val="000000" w:themeColor="text1"/>
                <w:sz w:val="24"/>
                <w:szCs w:val="24"/>
                <w:lang w:val="en-US" w:eastAsia="zh-CN"/>
                <w14:textFill>
                  <w14:solidFill>
                    <w14:schemeClr w14:val="tx1"/>
                  </w14:solidFill>
                </w14:textFill>
              </w:rPr>
              <w:t>10</w:t>
            </w:r>
            <w:r>
              <w:rPr>
                <w:rFonts w:hint="eastAsia"/>
                <w:color w:val="000000" w:themeColor="text1"/>
                <w:sz w:val="24"/>
                <w:szCs w:val="24"/>
                <w14:textFill>
                  <w14:solidFill>
                    <w14:schemeClr w14:val="tx1"/>
                  </w14:solidFill>
                </w14:textFill>
              </w:rPr>
              <w:t>月</w:t>
            </w:r>
            <w:r>
              <w:rPr>
                <w:rFonts w:hint="eastAsia"/>
                <w:color w:val="000000" w:themeColor="text1"/>
                <w:sz w:val="24"/>
                <w:szCs w:val="24"/>
                <w:lang w:val="en-US" w:eastAsia="zh-CN"/>
                <w14:textFill>
                  <w14:solidFill>
                    <w14:schemeClr w14:val="tx1"/>
                  </w14:solidFill>
                </w14:textFill>
              </w:rPr>
              <w:t>27</w:t>
            </w:r>
            <w:r>
              <w:rPr>
                <w:rFonts w:hint="eastAsia"/>
                <w:color w:val="000000" w:themeColor="text1"/>
                <w:sz w:val="24"/>
                <w:szCs w:val="24"/>
                <w14:textFill>
                  <w14:solidFill>
                    <w14:schemeClr w14:val="tx1"/>
                  </w14:solidFill>
                </w14:textFill>
              </w:rPr>
              <w:t>日。开采矿种为</w:t>
            </w:r>
            <w:r>
              <w:rPr>
                <w:rFonts w:hint="eastAsia"/>
                <w:color w:val="000000" w:themeColor="text1"/>
                <w:sz w:val="24"/>
                <w:szCs w:val="24"/>
                <w:lang w:eastAsia="zh-CN"/>
                <w14:textFill>
                  <w14:solidFill>
                    <w14:schemeClr w14:val="tx1"/>
                  </w14:solidFill>
                </w14:textFill>
              </w:rPr>
              <w:t>地热</w:t>
            </w:r>
            <w:r>
              <w:rPr>
                <w:rFonts w:hint="eastAsia"/>
                <w:color w:val="000000" w:themeColor="text1"/>
                <w:sz w:val="24"/>
                <w:szCs w:val="24"/>
                <w14:textFill>
                  <w14:solidFill>
                    <w14:schemeClr w14:val="tx1"/>
                  </w14:solidFill>
                </w14:textFill>
              </w:rPr>
              <w:t>，</w:t>
            </w:r>
            <w:r>
              <w:rPr>
                <w:rFonts w:hint="eastAsia"/>
                <w:color w:val="000000" w:themeColor="text1"/>
                <w:sz w:val="24"/>
                <w:szCs w:val="24"/>
                <w:lang w:eastAsia="zh-CN"/>
                <w14:textFill>
                  <w14:solidFill>
                    <w14:schemeClr w14:val="tx1"/>
                  </w14:solidFill>
                </w14:textFill>
              </w:rPr>
              <w:t>采矿许可证批准的</w:t>
            </w:r>
            <w:r>
              <w:rPr>
                <w:rFonts w:hint="eastAsia"/>
                <w:color w:val="000000" w:themeColor="text1"/>
                <w:sz w:val="24"/>
                <w:szCs w:val="24"/>
                <w14:textFill>
                  <w14:solidFill>
                    <w14:schemeClr w14:val="tx1"/>
                  </w14:solidFill>
                </w14:textFill>
              </w:rPr>
              <w:t>生产规模</w:t>
            </w:r>
            <w:r>
              <w:rPr>
                <w:rFonts w:hint="eastAsia"/>
                <w:color w:val="000000" w:themeColor="text1"/>
                <w:sz w:val="24"/>
                <w:szCs w:val="24"/>
                <w:lang w:val="en-US" w:eastAsia="zh-CN"/>
                <w14:textFill>
                  <w14:solidFill>
                    <w14:schemeClr w14:val="tx1"/>
                  </w14:solidFill>
                </w14:textFill>
              </w:rPr>
              <w:t>20.00</w:t>
            </w:r>
            <w:r>
              <w:rPr>
                <w:rFonts w:hint="eastAsia"/>
                <w:color w:val="000000" w:themeColor="text1"/>
                <w:sz w:val="24"/>
                <w:szCs w:val="24"/>
                <w14:textFill>
                  <w14:solidFill>
                    <w14:schemeClr w14:val="tx1"/>
                  </w14:solidFill>
                </w14:textFill>
              </w:rPr>
              <w:t>万</w:t>
            </w:r>
            <w:r>
              <w:rPr>
                <w:color w:val="000000" w:themeColor="text1"/>
                <w:sz w:val="24"/>
                <w:szCs w:val="24"/>
                <w14:textFill>
                  <w14:solidFill>
                    <w14:schemeClr w14:val="tx1"/>
                  </w14:solidFill>
                </w14:textFill>
              </w:rPr>
              <w:t>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/a</w:t>
            </w:r>
            <w:r>
              <w:rPr>
                <w:rFonts w:hint="eastAsia"/>
                <w:color w:val="000000" w:themeColor="text1"/>
                <w:sz w:val="24"/>
                <w:szCs w:val="24"/>
                <w14:textFill>
                  <w14:solidFill>
                    <w14:schemeClr w14:val="tx1"/>
                  </w14:solidFill>
                </w14:textFill>
              </w:rPr>
              <w:t>，矿区面积</w:t>
            </w:r>
            <w:r>
              <w:rPr>
                <w:rFonts w:hint="eastAsia"/>
                <w:color w:val="000000" w:themeColor="text1"/>
                <w:sz w:val="24"/>
                <w:szCs w:val="24"/>
                <w:lang w:val="en-US" w:eastAsia="zh-CN"/>
                <w14:textFill>
                  <w14:solidFill>
                    <w14:schemeClr w14:val="tx1"/>
                  </w14:solidFill>
                </w14:textFill>
              </w:rPr>
              <w:t>0.16</w:t>
            </w:r>
            <w:r>
              <w:rPr>
                <w:color w:val="000000" w:themeColor="text1"/>
                <w:sz w:val="24"/>
                <w:szCs w:val="24"/>
                <w14:textFill>
                  <w14:solidFill>
                    <w14:schemeClr w14:val="tx1"/>
                  </w14:solidFill>
                </w14:textFill>
              </w:rPr>
              <w:t>km</w:t>
            </w:r>
            <w:r>
              <w:rPr>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w:t>
            </w:r>
          </w:p>
          <w:p>
            <w:pPr>
              <w:spacing w:line="360" w:lineRule="auto"/>
              <w:ind w:firstLine="480" w:firstLineChars="200"/>
              <w:rPr>
                <w:rFonts w:hint="eastAsia"/>
                <w:color w:val="auto"/>
                <w:lang w:val="en-US" w:eastAsia="zh-CN"/>
              </w:rPr>
            </w:pPr>
            <w:r>
              <w:rPr>
                <w:rFonts w:ascii="Times New Roman" w:hAnsi="Times New Roman" w:cs="Times New Roman"/>
                <w:color w:val="000000" w:themeColor="text1"/>
                <w:sz w:val="24"/>
                <w:szCs w:val="24"/>
                <w:lang w:val="zh-TW"/>
                <w14:textFill>
                  <w14:solidFill>
                    <w14:schemeClr w14:val="tx1"/>
                  </w14:solidFill>
                </w14:textFill>
              </w:rPr>
              <w:t>为</w:t>
            </w:r>
            <w:r>
              <w:rPr>
                <w:rFonts w:hint="eastAsia" w:ascii="Times New Roman" w:hAnsi="Times New Roman" w:cs="Times New Roman"/>
                <w:color w:val="000000" w:themeColor="text1"/>
                <w:sz w:val="24"/>
                <w:szCs w:val="24"/>
                <w:lang w:val="zh-TW" w:eastAsia="zh-CN"/>
                <w14:textFill>
                  <w14:solidFill>
                    <w14:schemeClr w14:val="tx1"/>
                  </w14:solidFill>
                </w14:textFill>
              </w:rPr>
              <w:t>进一步</w:t>
            </w:r>
            <w:r>
              <w:rPr>
                <w:rFonts w:ascii="Times New Roman" w:hAnsi="Times New Roman" w:cs="Times New Roman"/>
                <w:color w:val="000000" w:themeColor="text1"/>
                <w:sz w:val="24"/>
                <w:szCs w:val="24"/>
                <w:lang w:val="zh-TW"/>
                <w14:textFill>
                  <w14:solidFill>
                    <w14:schemeClr w14:val="tx1"/>
                  </w14:solidFill>
                </w14:textFill>
              </w:rPr>
              <w:t>落实矿山地质环境保护与</w:t>
            </w:r>
            <w:r>
              <w:rPr>
                <w:rFonts w:hint="eastAsia" w:cs="Times New Roman"/>
                <w:color w:val="000000" w:themeColor="text1"/>
                <w:sz w:val="24"/>
                <w:szCs w:val="24"/>
                <w:lang w:val="zh-TW" w:eastAsia="zh-CN"/>
                <w14:textFill>
                  <w14:solidFill>
                    <w14:schemeClr w14:val="tx1"/>
                  </w14:solidFill>
                </w14:textFill>
              </w:rPr>
              <w:t>恢复治理</w:t>
            </w:r>
            <w:r>
              <w:rPr>
                <w:rFonts w:ascii="Times New Roman" w:hAnsi="Times New Roman" w:cs="Times New Roman"/>
                <w:color w:val="000000" w:themeColor="text1"/>
                <w:sz w:val="24"/>
                <w:szCs w:val="24"/>
                <w:lang w:val="zh-TW"/>
                <w14:textFill>
                  <w14:solidFill>
                    <w14:schemeClr w14:val="tx1"/>
                  </w14:solidFill>
                </w14:textFill>
              </w:rPr>
              <w:t>义务，</w:t>
            </w:r>
            <w:r>
              <w:rPr>
                <w:rFonts w:hint="eastAsia" w:ascii="Times New Roman" w:hAnsi="Times New Roman" w:cs="Times New Roman"/>
                <w:color w:val="000000" w:themeColor="text1"/>
                <w:sz w:val="24"/>
                <w:szCs w:val="24"/>
                <w:lang w:val="en-US" w:eastAsia="zh-CN"/>
                <w14:textFill>
                  <w14:solidFill>
                    <w14:schemeClr w14:val="tx1"/>
                  </w14:solidFill>
                </w14:textFill>
              </w:rPr>
              <w:t>中石化绿源地热能（陕西）开发有限公司</w:t>
            </w:r>
            <w:r>
              <w:rPr>
                <w:rFonts w:ascii="Times New Roman" w:hAnsi="Times New Roman" w:cs="Times New Roman"/>
                <w:color w:val="000000" w:themeColor="text1"/>
                <w:sz w:val="24"/>
                <w:szCs w:val="24"/>
                <w:lang w:val="zh-TW"/>
                <w14:textFill>
                  <w14:solidFill>
                    <w14:schemeClr w14:val="tx1"/>
                  </w14:solidFill>
                </w14:textFill>
              </w:rPr>
              <w:t>按照</w:t>
            </w:r>
            <w:r>
              <w:rPr>
                <w:rFonts w:hint="eastAsia" w:ascii="Times New Roman" w:hAnsi="Times New Roman" w:cs="Times New Roman"/>
                <w:color w:val="000000" w:themeColor="text1"/>
                <w:sz w:val="24"/>
                <w:szCs w:val="24"/>
                <w:lang w:val="zh-TW"/>
                <w14:textFill>
                  <w14:solidFill>
                    <w14:schemeClr w14:val="tx1"/>
                  </w14:solidFill>
                </w14:textFill>
              </w:rPr>
              <w:t>《矿山地质环境保护与恢复治理方案编制规范》（DZ/T0223-2011）</w:t>
            </w:r>
            <w:r>
              <w:rPr>
                <w:rFonts w:hint="eastAsia" w:cs="Times New Roman"/>
                <w:color w:val="000000" w:themeColor="text1"/>
                <w:sz w:val="24"/>
                <w:szCs w:val="24"/>
                <w:lang w:val="zh-TW" w:eastAsia="zh-CN"/>
                <w14:textFill>
                  <w14:solidFill>
                    <w14:schemeClr w14:val="tx1"/>
                  </w14:solidFill>
                </w14:textFill>
              </w:rPr>
              <w:t>、</w:t>
            </w:r>
            <w:r>
              <w:rPr>
                <w:rFonts w:hint="eastAsia" w:ascii="Times New Roman" w:hAnsi="Times New Roman" w:cs="Times New Roman"/>
                <w:color w:val="000000" w:themeColor="text1"/>
                <w:sz w:val="24"/>
                <w:szCs w:val="24"/>
                <w:lang w:val="zh-TW"/>
                <w14:textFill>
                  <w14:solidFill>
                    <w14:schemeClr w14:val="tx1"/>
                  </w14:solidFill>
                </w14:textFill>
              </w:rPr>
              <w:t>自然</w:t>
            </w:r>
            <w:r>
              <w:rPr>
                <w:rFonts w:ascii="Times New Roman" w:hAnsi="Times New Roman" w:cs="Times New Roman"/>
                <w:color w:val="000000" w:themeColor="text1"/>
                <w:sz w:val="24"/>
                <w:szCs w:val="24"/>
                <w:lang w:val="zh-TW"/>
                <w14:textFill>
                  <w14:solidFill>
                    <w14:schemeClr w14:val="tx1"/>
                  </w14:solidFill>
                </w14:textFill>
              </w:rPr>
              <w:t>资源部《矿山地质环境保护规定》等相关法律法规</w:t>
            </w:r>
            <w:r>
              <w:rPr>
                <w:rFonts w:hint="eastAsia" w:cs="Times New Roman"/>
                <w:color w:val="000000" w:themeColor="text1"/>
                <w:sz w:val="24"/>
                <w:szCs w:val="24"/>
                <w:lang w:val="zh-TW" w:eastAsia="zh-CN"/>
                <w14:textFill>
                  <w14:solidFill>
                    <w14:schemeClr w14:val="tx1"/>
                  </w14:solidFill>
                </w14:textFill>
              </w:rPr>
              <w:t>及</w:t>
            </w:r>
            <w:r>
              <w:rPr>
                <w:rFonts w:hint="eastAsia" w:ascii="Times New Roman" w:hAnsi="Times New Roman" w:cs="Times New Roman"/>
                <w:color w:val="000000" w:themeColor="text1"/>
                <w:sz w:val="24"/>
                <w:szCs w:val="24"/>
                <w:lang w:val="zh-TW"/>
                <w14:textFill>
                  <w14:solidFill>
                    <w14:schemeClr w14:val="tx1"/>
                  </w14:solidFill>
                </w14:textFill>
              </w:rPr>
              <w:t>原</w:t>
            </w:r>
            <w:r>
              <w:rPr>
                <w:rFonts w:ascii="Times New Roman" w:hAnsi="Times New Roman" w:cs="Times New Roman"/>
                <w:color w:val="000000" w:themeColor="text1"/>
                <w:sz w:val="24"/>
                <w:szCs w:val="24"/>
                <w:lang w:val="zh-TW"/>
                <w14:textFill>
                  <w14:solidFill>
                    <w14:schemeClr w14:val="tx1"/>
                  </w14:solidFill>
                </w14:textFill>
              </w:rPr>
              <w:t>国土资源部办公厅（国土资规</w:t>
            </w:r>
            <w:r>
              <w:rPr>
                <w:rFonts w:hint="eastAsia" w:ascii="Times New Roman" w:hAnsi="Times New Roman" w:cs="Times New Roman"/>
                <w:color w:val="000000" w:themeColor="text1"/>
                <w:sz w:val="24"/>
                <w:szCs w:val="24"/>
                <w:lang w:val="zh-TW"/>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201</w:t>
            </w:r>
            <w:r>
              <w:rPr>
                <w:rFonts w:hint="eastAsia" w:ascii="Times New Roman" w:hAnsi="Times New Roman" w:cs="Times New Roman"/>
                <w:color w:val="000000" w:themeColor="text1"/>
                <w:sz w:val="24"/>
                <w:szCs w:val="24"/>
                <w:lang w:val="zh-TW"/>
                <w14:textFill>
                  <w14:solidFill>
                    <w14:schemeClr w14:val="tx1"/>
                  </w14:solidFill>
                </w14:textFill>
              </w:rPr>
              <w:t>6]</w:t>
            </w:r>
            <w:r>
              <w:rPr>
                <w:rFonts w:ascii="Times New Roman" w:hAnsi="Times New Roman" w:cs="Times New Roman"/>
                <w:color w:val="000000" w:themeColor="text1"/>
                <w:sz w:val="24"/>
                <w:szCs w:val="24"/>
                <w:lang w:val="zh-TW"/>
                <w14:textFill>
                  <w14:solidFill>
                    <w14:schemeClr w14:val="tx1"/>
                  </w14:solidFill>
                </w14:textFill>
              </w:rPr>
              <w:t>21号）</w:t>
            </w:r>
            <w:r>
              <w:rPr>
                <w:rFonts w:hint="eastAsia" w:cs="Times New Roman"/>
                <w:color w:val="000000" w:themeColor="text1"/>
                <w:sz w:val="24"/>
                <w:szCs w:val="24"/>
                <w:lang w:val="zh-TW" w:eastAsia="zh-CN"/>
                <w14:textFill>
                  <w14:solidFill>
                    <w14:schemeClr w14:val="tx1"/>
                  </w14:solidFill>
                </w14:textFill>
              </w:rPr>
              <w:t>《国土资源部办公厅关于做好矿山地质环境保护与土地复垦方案编报有关工作的通知》、</w:t>
            </w:r>
            <w:r>
              <w:rPr>
                <w:rFonts w:hint="eastAsia" w:ascii="Times New Roman" w:hAnsi="Times New Roman" w:cs="Times New Roman"/>
                <w:color w:val="000000" w:themeColor="text1"/>
                <w:sz w:val="24"/>
                <w:szCs w:val="24"/>
                <w:lang w:val="zh-TW"/>
                <w14:textFill>
                  <w14:solidFill>
                    <w14:schemeClr w14:val="tx1"/>
                  </w14:solidFill>
                </w14:textFill>
              </w:rPr>
              <w:t>原</w:t>
            </w:r>
            <w:r>
              <w:rPr>
                <w:rFonts w:ascii="Times New Roman" w:hAnsi="Times New Roman" w:cs="Times New Roman"/>
                <w:color w:val="000000" w:themeColor="text1"/>
                <w:sz w:val="24"/>
                <w:szCs w:val="24"/>
                <w:lang w:val="zh-TW"/>
                <w14:textFill>
                  <w14:solidFill>
                    <w14:schemeClr w14:val="tx1"/>
                  </w14:solidFill>
                </w14:textFill>
              </w:rPr>
              <w:t>陕西省国土资源厅（陕国资环发</w:t>
            </w:r>
            <w:r>
              <w:rPr>
                <w:rFonts w:hint="eastAsia" w:ascii="Times New Roman" w:hAnsi="Times New Roman" w:cs="Times New Roman"/>
                <w:color w:val="000000" w:themeColor="text1"/>
                <w:sz w:val="24"/>
                <w:szCs w:val="24"/>
                <w:lang w:val="zh-TW"/>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2017</w:t>
            </w:r>
            <w:r>
              <w:rPr>
                <w:rFonts w:hint="eastAsia" w:ascii="Times New Roman" w:hAnsi="Times New Roman" w:cs="Times New Roman"/>
                <w:color w:val="000000" w:themeColor="text1"/>
                <w:sz w:val="24"/>
                <w:szCs w:val="24"/>
                <w:lang w:val="zh-TW"/>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11号）</w:t>
            </w:r>
            <w:r>
              <w:rPr>
                <w:rFonts w:hint="eastAsia" w:cs="Times New Roman"/>
                <w:color w:val="000000" w:themeColor="text1"/>
                <w:sz w:val="24"/>
                <w:szCs w:val="24"/>
                <w:lang w:val="zh-TW" w:eastAsia="zh-CN"/>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关于做好矿山地质环境保护与土地复垦方案编报有关工作的通知</w:t>
            </w:r>
            <w:r>
              <w:rPr>
                <w:rFonts w:hint="eastAsia" w:cs="Times New Roman"/>
                <w:color w:val="000000" w:themeColor="text1"/>
                <w:sz w:val="24"/>
                <w:szCs w:val="24"/>
                <w:lang w:val="zh-TW" w:eastAsia="zh-CN"/>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w:t>
            </w:r>
            <w:r>
              <w:rPr>
                <w:rFonts w:hint="eastAsia"/>
                <w:lang w:val="en-US" w:eastAsia="zh-CN"/>
              </w:rPr>
              <w:t>中石化绿源地热能（陕西）开发有限公司委托陕西工程勘察研究院有限公司编制</w:t>
            </w:r>
            <w:r>
              <w:rPr>
                <w:rFonts w:hint="eastAsia"/>
                <w:color w:val="auto"/>
                <w:lang w:val="en-US" w:eastAsia="zh-CN"/>
              </w:rPr>
              <w:t>《中石化绿源地热能（陕西）开发有限公司咸阳职院地热区块矿山地质环境保护与恢复治理方案报告表》。</w:t>
            </w:r>
          </w:p>
          <w:p>
            <w:pPr>
              <w:pStyle w:val="13"/>
              <w:keepNext w:val="0"/>
              <w:keepLines w:val="0"/>
              <w:pageBreakBefore w:val="0"/>
              <w:widowControl w:val="0"/>
              <w:kinsoku/>
              <w:wordWrap/>
              <w:overflowPunct/>
              <w:topLinePunct w:val="0"/>
              <w:autoSpaceDE/>
              <w:autoSpaceDN/>
              <w:bidi w:val="0"/>
              <w:adjustRightInd/>
              <w:snapToGrid/>
              <w:spacing w:after="0" w:line="360" w:lineRule="auto"/>
              <w:ind w:left="0" w:leftChars="0" w:firstLine="540" w:firstLineChars="225"/>
              <w:textAlignment w:val="auto"/>
              <w:rPr>
                <w:rFonts w:hint="eastAsia"/>
                <w:lang w:val="en-US" w:eastAsia="zh-CN"/>
              </w:rPr>
            </w:pPr>
            <w:r>
              <w:rPr>
                <w:rFonts w:ascii="Times New Roman" w:cs="Times New Roman"/>
                <w:snapToGrid/>
                <w:color w:val="auto"/>
                <w:sz w:val="24"/>
                <w:szCs w:val="24"/>
              </w:rPr>
              <w:t>根据</w:t>
            </w:r>
            <w:r>
              <w:rPr>
                <w:rFonts w:hint="eastAsia" w:ascii="Times New Roman" w:hAnsi="Times New Roman" w:cs="Times New Roman"/>
                <w:color w:val="000000" w:themeColor="text1"/>
                <w:sz w:val="24"/>
                <w:szCs w:val="24"/>
                <w:lang w:val="zh-TW"/>
                <w14:textFill>
                  <w14:solidFill>
                    <w14:schemeClr w14:val="tx1"/>
                  </w14:solidFill>
                </w14:textFill>
              </w:rPr>
              <w:t>《矿山地质环境保护与恢复治理方案编制规范》（DZ/T0223-2011）</w:t>
            </w:r>
            <w:r>
              <w:rPr>
                <w:rFonts w:ascii="Times New Roman" w:cs="Times New Roman"/>
                <w:snapToGrid/>
                <w:color w:val="auto"/>
                <w:sz w:val="24"/>
                <w:szCs w:val="24"/>
              </w:rPr>
              <w:t>相关要求，确定本方案的适用年限为5年。以后每5年修订一次或重新编制方案。但在适用</w:t>
            </w:r>
            <w:r>
              <w:rPr>
                <w:rFonts w:hint="eastAsia" w:ascii="Times New Roman" w:cs="Times New Roman"/>
                <w:snapToGrid/>
                <w:color w:val="auto"/>
                <w:sz w:val="24"/>
                <w:szCs w:val="24"/>
              </w:rPr>
              <w:t>期</w:t>
            </w:r>
            <w:r>
              <w:rPr>
                <w:rFonts w:ascii="Times New Roman" w:cs="Times New Roman"/>
                <w:snapToGrid/>
                <w:color w:val="auto"/>
                <w:sz w:val="24"/>
                <w:szCs w:val="24"/>
              </w:rPr>
              <w:t>年限内，若出现矿山企业变更开采规模、矿区范围或者开采方式等情况时，应当重新编制方案</w:t>
            </w:r>
            <w:r>
              <w:rPr>
                <w:rFonts w:hint="eastAsia" w:cs="Times New Roman"/>
                <w:snapToGrid/>
                <w:color w:val="auto"/>
                <w:sz w:val="24"/>
                <w:szCs w:val="24"/>
                <w:lang w:eastAsia="zh-CN"/>
              </w:rPr>
              <w:t>，</w:t>
            </w:r>
            <w:r>
              <w:rPr>
                <w:rFonts w:ascii="Times New Roman" w:cs="Times New Roman"/>
                <w:snapToGrid/>
                <w:color w:val="auto"/>
                <w:sz w:val="24"/>
                <w:szCs w:val="24"/>
              </w:rPr>
              <w:t>同时本方案不代替相关工程勘察、治理设计。</w:t>
            </w:r>
          </w:p>
          <w:p>
            <w:pPr>
              <w:pStyle w:val="4"/>
              <w:keepNext/>
              <w:keepLines/>
              <w:pageBreakBefore w:val="0"/>
              <w:widowControl w:val="0"/>
              <w:numPr>
                <w:ilvl w:val="0"/>
                <w:numId w:val="0"/>
              </w:numPr>
              <w:kinsoku/>
              <w:wordWrap/>
              <w:overflowPunct/>
              <w:topLinePunct w:val="0"/>
              <w:autoSpaceDE/>
              <w:autoSpaceDN/>
              <w:bidi w:val="0"/>
              <w:adjustRightInd/>
              <w:snapToGrid/>
              <w:spacing w:line="413" w:lineRule="auto"/>
              <w:ind w:firstLine="482" w:firstLineChars="200"/>
              <w:textAlignment w:val="auto"/>
              <w:rPr>
                <w:rFonts w:hint="eastAsia"/>
                <w:color w:val="auto"/>
                <w:lang w:val="en-US" w:eastAsia="zh-CN"/>
              </w:rPr>
            </w:pPr>
            <w:r>
              <w:rPr>
                <w:rFonts w:hint="eastAsia"/>
                <w:color w:val="auto"/>
                <w:lang w:val="en-US" w:eastAsia="zh-CN"/>
              </w:rPr>
              <w:t>（二）编制目的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lang w:val="en-US" w:eastAsia="zh-CN"/>
              </w:rPr>
            </w:pPr>
            <w:r>
              <w:rPr>
                <w:rFonts w:hint="eastAsia"/>
                <w:color w:val="auto"/>
                <w:lang w:val="en-US" w:eastAsia="zh-CN"/>
              </w:rPr>
              <w:t>1、为建设绿色矿山，积极贯彻《矿山地质环境保护规定》。规范地热资源开采，避免资源浪费，有效解决开发过程中的地质环境等问题，保护和改善区域生活环境和生态环境。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lang w:val="en-US" w:eastAsia="zh-CN"/>
              </w:rPr>
            </w:pPr>
            <w:r>
              <w:rPr>
                <w:rFonts w:hint="eastAsia"/>
                <w:color w:val="auto"/>
                <w:lang w:val="en-US" w:eastAsia="zh-CN"/>
              </w:rPr>
              <w:t>2、按照“预防为主、防治结合，谁开发谁保护、谁破坏谁治理、谁投资谁受益”及“谁损毁、谁复垦”的原则，保证中石化绿源地热能（陕西）开发有限公司咸阳职院地热区块地热资源开采中的矿山地质环境保护与恢复治理义务的落实，实现资源开发与环境保护可持续性的协调发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lang w:val="en-US" w:eastAsia="zh-CN"/>
              </w:rPr>
            </w:pPr>
            <w:r>
              <w:rPr>
                <w:rFonts w:hint="eastAsia"/>
                <w:color w:val="auto"/>
                <w:lang w:val="en-US" w:eastAsia="zh-CN"/>
              </w:rPr>
              <w:t>3、通过预测地热资源开采是否对当地生态环境造成的不良影响，合理规划设计，制定针对性的治理措施，最大限度减缓对矿山地质环境的影响、节约利用土地资源，保护耕地资源。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lang w:val="en-US" w:eastAsia="zh-CN"/>
              </w:rPr>
            </w:pPr>
            <w:r>
              <w:rPr>
                <w:rFonts w:hint="eastAsia"/>
                <w:color w:val="auto"/>
                <w:lang w:val="en-US" w:eastAsia="zh-CN"/>
              </w:rPr>
              <w:t>4、为自然资源主管部门监督管理矿山企业矿山地质环境保护与恢复治理工作落实情况提供依据。</w:t>
            </w:r>
          </w:p>
          <w:p>
            <w:pPr>
              <w:pStyle w:val="4"/>
              <w:keepNext/>
              <w:keepLines/>
              <w:pageBreakBefore w:val="0"/>
              <w:widowControl w:val="0"/>
              <w:numPr>
                <w:ilvl w:val="0"/>
                <w:numId w:val="0"/>
              </w:numPr>
              <w:kinsoku/>
              <w:wordWrap/>
              <w:overflowPunct/>
              <w:topLinePunct w:val="0"/>
              <w:autoSpaceDE/>
              <w:autoSpaceDN/>
              <w:bidi w:val="0"/>
              <w:adjustRightInd/>
              <w:snapToGrid/>
              <w:spacing w:line="413" w:lineRule="auto"/>
              <w:ind w:firstLine="482" w:firstLineChars="200"/>
              <w:textAlignment w:val="auto"/>
              <w:rPr>
                <w:rFonts w:hint="eastAsia"/>
                <w:color w:val="auto"/>
                <w:lang w:val="en-US" w:eastAsia="zh-CN"/>
              </w:rPr>
            </w:pPr>
            <w:r>
              <w:rPr>
                <w:rFonts w:hint="eastAsia"/>
                <w:color w:val="auto"/>
                <w:lang w:val="en-US" w:eastAsia="zh-CN"/>
              </w:rPr>
              <w:t>（三）编制依据</w:t>
            </w:r>
          </w:p>
          <w:p>
            <w:pPr>
              <w:spacing w:line="360" w:lineRule="auto"/>
              <w:ind w:firstLine="480"/>
              <w:rPr>
                <w:color w:val="auto"/>
              </w:rPr>
            </w:pPr>
            <w:r>
              <w:rPr>
                <w:rFonts w:hint="eastAsia"/>
                <w:color w:val="auto"/>
                <w:lang w:val="en-US" w:eastAsia="zh-CN"/>
              </w:rPr>
              <w:t>1、</w:t>
            </w:r>
            <w:r>
              <w:rPr>
                <w:rFonts w:hint="eastAsia"/>
                <w:color w:val="auto"/>
              </w:rPr>
              <w:t>《国务院关于加强地质灾害防治工作的决定》，国发[2011]20号；</w:t>
            </w:r>
          </w:p>
          <w:p>
            <w:pPr>
              <w:spacing w:line="360" w:lineRule="auto"/>
              <w:ind w:firstLine="480"/>
              <w:rPr>
                <w:color w:val="auto"/>
              </w:rPr>
            </w:pPr>
            <w:r>
              <w:rPr>
                <w:rFonts w:hint="eastAsia"/>
                <w:color w:val="auto"/>
                <w:lang w:val="en-US" w:eastAsia="zh-CN"/>
              </w:rPr>
              <w:t>2、</w:t>
            </w:r>
            <w:r>
              <w:rPr>
                <w:color w:val="auto"/>
              </w:rPr>
              <w:t>国土资源部办公厅《关于做好矿山地质环境保护与土地复垦方案编制有关工作的通知》及</w:t>
            </w:r>
            <w:r>
              <w:rPr>
                <w:rFonts w:hint="eastAsia"/>
                <w:color w:val="auto"/>
                <w:lang w:eastAsia="zh-CN"/>
              </w:rPr>
              <w:t>《</w:t>
            </w:r>
            <w:r>
              <w:rPr>
                <w:color w:val="auto"/>
              </w:rPr>
              <w:t>矿山地质环境保护与土地复垦方案编制指南</w:t>
            </w:r>
            <w:r>
              <w:rPr>
                <w:rFonts w:hint="eastAsia"/>
                <w:color w:val="auto"/>
                <w:lang w:eastAsia="zh-CN"/>
              </w:rPr>
              <w:t>》</w:t>
            </w:r>
            <w:r>
              <w:rPr>
                <w:color w:val="auto"/>
              </w:rPr>
              <w:t>，</w:t>
            </w:r>
            <w:bookmarkStart w:id="25" w:name="OLE_LINK6"/>
            <w:bookmarkStart w:id="26" w:name="OLE_LINK5"/>
            <w:r>
              <w:rPr>
                <w:color w:val="auto"/>
              </w:rPr>
              <w:t>国土资规[2016]21号，2017年1月3日；</w:t>
            </w:r>
            <w:bookmarkEnd w:id="25"/>
            <w:bookmarkEnd w:id="26"/>
          </w:p>
          <w:p>
            <w:pPr>
              <w:spacing w:line="360" w:lineRule="auto"/>
              <w:ind w:firstLine="480"/>
              <w:rPr>
                <w:color w:val="auto"/>
              </w:rPr>
            </w:pPr>
            <w:r>
              <w:rPr>
                <w:rFonts w:hint="eastAsia"/>
                <w:color w:val="auto"/>
                <w:lang w:val="en-US" w:eastAsia="zh-CN"/>
              </w:rPr>
              <w:t>3、</w:t>
            </w:r>
            <w:r>
              <w:rPr>
                <w:color w:val="auto"/>
              </w:rPr>
              <w:t>陕西省国土资源厅《关于做好矿山地质环境保护与土地复垦方案编制有关工作的通知》，陕国土资环发[2017]11号，2017年2月20日；</w:t>
            </w:r>
          </w:p>
          <w:p>
            <w:pPr>
              <w:spacing w:line="360" w:lineRule="auto"/>
              <w:ind w:firstLine="480"/>
              <w:rPr>
                <w:color w:val="auto"/>
              </w:rPr>
            </w:pPr>
            <w:r>
              <w:rPr>
                <w:rFonts w:hint="eastAsia"/>
                <w:color w:val="auto"/>
                <w:lang w:val="en-US" w:eastAsia="zh-CN"/>
              </w:rPr>
              <w:t>4、</w:t>
            </w:r>
            <w:r>
              <w:rPr>
                <w:color w:val="auto"/>
              </w:rPr>
              <w:t>《关于加快建设绿色矿山的实施意见》，国土资规[2017]4号，国土资源部、财政部、环境保护部、国家质量监督检验检疫总局、中国银行业监督管理委员会、中国证券监督管理委员会，2017年3月22日；</w:t>
            </w:r>
          </w:p>
          <w:p>
            <w:pPr>
              <w:spacing w:line="360" w:lineRule="auto"/>
              <w:ind w:firstLine="480"/>
              <w:rPr>
                <w:color w:val="auto"/>
              </w:rPr>
            </w:pPr>
            <w:r>
              <w:rPr>
                <w:rFonts w:hint="eastAsia"/>
                <w:color w:val="auto"/>
                <w:lang w:val="en-US" w:eastAsia="zh-CN"/>
              </w:rPr>
              <w:t>5、</w:t>
            </w:r>
            <w:r>
              <w:rPr>
                <w:color w:val="auto"/>
              </w:rPr>
              <w:t>《陕西省关于加强矿山地质环境恢复和综合治理的实施方案》，陕国土资发[2017]19号，</w:t>
            </w:r>
            <w:r>
              <w:rPr>
                <w:rFonts w:hint="eastAsia"/>
                <w:color w:val="auto"/>
              </w:rPr>
              <w:t>原</w:t>
            </w:r>
            <w:r>
              <w:rPr>
                <w:color w:val="auto"/>
              </w:rPr>
              <w:t>陕西省国土资源厅、省发展和</w:t>
            </w:r>
            <w:r>
              <w:rPr>
                <w:rFonts w:hint="eastAsia"/>
                <w:color w:val="auto"/>
              </w:rPr>
              <w:t>改革</w:t>
            </w:r>
            <w:r>
              <w:rPr>
                <w:color w:val="auto"/>
              </w:rPr>
              <w:t>委员会、省工业与信息化厅、省财政厅、省环境保护厅，2017年4月；</w:t>
            </w:r>
          </w:p>
          <w:p>
            <w:pPr>
              <w:spacing w:line="360" w:lineRule="auto"/>
              <w:ind w:firstLine="480"/>
              <w:rPr>
                <w:color w:val="auto"/>
              </w:rPr>
            </w:pPr>
            <w:r>
              <w:rPr>
                <w:rFonts w:hint="eastAsia"/>
                <w:color w:val="auto"/>
                <w:lang w:val="en-US" w:eastAsia="zh-CN"/>
              </w:rPr>
              <w:t>6、</w:t>
            </w:r>
            <w:r>
              <w:rPr>
                <w:color w:val="auto"/>
              </w:rPr>
              <w:t>陕西省国土资源厅《关于加快矿山地质环境保护与土地复垦工作的通知》，陕国土资发[2017]39号，2017年9月25日；</w:t>
            </w:r>
          </w:p>
          <w:p>
            <w:pPr>
              <w:spacing w:line="360" w:lineRule="auto"/>
              <w:ind w:firstLine="480"/>
              <w:rPr>
                <w:color w:val="auto"/>
              </w:rPr>
            </w:pPr>
            <w:r>
              <w:rPr>
                <w:rFonts w:hint="eastAsia"/>
                <w:color w:val="auto"/>
                <w:lang w:val="en-US" w:eastAsia="zh-CN"/>
              </w:rPr>
              <w:t>7、</w:t>
            </w:r>
            <w:r>
              <w:rPr>
                <w:color w:val="auto"/>
              </w:rPr>
              <w:t>《关于取消矿山地质环境治理恢复保证金建立矿山地质环境治理恢复基金的指导意见》，财建[2017]638号，财政部、国土资源部、环境保护部，2017年11月6日；</w:t>
            </w:r>
          </w:p>
          <w:p>
            <w:pPr>
              <w:spacing w:line="360" w:lineRule="auto"/>
              <w:ind w:firstLine="480"/>
              <w:rPr>
                <w:color w:val="auto"/>
              </w:rPr>
            </w:pPr>
            <w:r>
              <w:rPr>
                <w:rFonts w:hint="eastAsia"/>
                <w:color w:val="auto"/>
                <w:lang w:val="en-US" w:eastAsia="zh-CN"/>
              </w:rPr>
              <w:t>8、</w:t>
            </w:r>
            <w:r>
              <w:rPr>
                <w:color w:val="auto"/>
              </w:rPr>
              <w:t>陕西省国土资源厅《关于规范矿业权人勘察开采信息公示异常名录管理的通知》，陕国土资矿发[2018]15号，2018年4月11日；</w:t>
            </w:r>
          </w:p>
          <w:p>
            <w:pPr>
              <w:spacing w:line="360" w:lineRule="auto"/>
              <w:ind w:firstLine="480"/>
              <w:rPr>
                <w:color w:val="auto"/>
              </w:rPr>
            </w:pPr>
            <w:r>
              <w:rPr>
                <w:rFonts w:hint="eastAsia"/>
                <w:color w:val="auto"/>
                <w:lang w:val="en-US" w:eastAsia="zh-CN"/>
              </w:rPr>
              <w:t>9、</w:t>
            </w:r>
            <w:r>
              <w:rPr>
                <w:color w:val="auto"/>
              </w:rPr>
              <w:t>《关于印发《陕西省矿山地质环境治理恢复与土地复垦基金实施办法》的通知》，陕国土资发[2018]92号，陕西省国土资源厅、陕西省财政厅、陕西省环境保护厅2018年7月12日；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rPr>
            </w:pPr>
            <w:r>
              <w:rPr>
                <w:rFonts w:hint="eastAsia"/>
                <w:color w:val="auto"/>
                <w:lang w:val="en-US" w:eastAsia="zh-CN"/>
              </w:rPr>
              <w:t>10、</w:t>
            </w:r>
            <w:r>
              <w:rPr>
                <w:color w:val="auto"/>
              </w:rPr>
              <w:t>陕西省国土资源厅《关于进一步落实矿山地质环境治理恢复与土地复垦基金实施办法的通知》，陕国土资发[2018]120号，2018年10月23日</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rPr>
            </w:pPr>
            <w:r>
              <w:rPr>
                <w:rFonts w:hint="eastAsia"/>
                <w:color w:val="auto"/>
                <w:lang w:val="en-US" w:eastAsia="zh-CN"/>
              </w:rPr>
              <w:t>11、</w:t>
            </w:r>
            <w:r>
              <w:rPr>
                <w:rFonts w:hint="default"/>
                <w:color w:val="auto"/>
              </w:rPr>
              <w:t>19</w:t>
            </w:r>
            <w:r>
              <w:rPr>
                <w:rFonts w:hint="default"/>
                <w:color w:val="auto"/>
                <w:lang w:val="en-US" w:eastAsia="zh-CN"/>
              </w:rPr>
              <w:t>83</w:t>
            </w:r>
            <w:r>
              <w:rPr>
                <w:rFonts w:hint="default"/>
                <w:color w:val="auto"/>
              </w:rPr>
              <w:t>年陕西省地勘局第一水文地质工程地质队提交《</w:t>
            </w:r>
            <w:r>
              <w:rPr>
                <w:rFonts w:hint="default"/>
                <w:color w:val="auto"/>
                <w:lang w:eastAsia="zh-CN"/>
              </w:rPr>
              <w:t>咸阳市水文地质工程地质勘察报告</w:t>
            </w:r>
            <w:r>
              <w:rPr>
                <w:rFonts w:hint="default"/>
                <w:color w:val="auto"/>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rPr>
            </w:pPr>
            <w:r>
              <w:rPr>
                <w:rFonts w:hint="eastAsia"/>
                <w:color w:val="auto"/>
                <w:lang w:val="en-US" w:eastAsia="zh-CN"/>
              </w:rPr>
              <w:t>12、</w:t>
            </w:r>
            <w:r>
              <w:rPr>
                <w:rFonts w:hint="default"/>
                <w:color w:val="auto"/>
              </w:rPr>
              <w:t>19</w:t>
            </w:r>
            <w:r>
              <w:rPr>
                <w:rFonts w:hint="default"/>
                <w:color w:val="auto"/>
                <w:lang w:val="en-US" w:eastAsia="zh-CN"/>
              </w:rPr>
              <w:t>98</w:t>
            </w:r>
            <w:r>
              <w:rPr>
                <w:rFonts w:hint="default"/>
                <w:color w:val="auto"/>
              </w:rPr>
              <w:t>年陕西地勘局局域地质矿产研究院提交了《</w:t>
            </w:r>
            <w:r>
              <w:rPr>
                <w:rFonts w:hint="default"/>
                <w:color w:val="auto"/>
                <w:lang w:eastAsia="zh-CN"/>
              </w:rPr>
              <w:t>咸阳市区地热普查报告</w:t>
            </w:r>
            <w:r>
              <w:rPr>
                <w:rFonts w:hint="default"/>
                <w:color w:val="auto"/>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13、200</w:t>
            </w:r>
            <w:r>
              <w:rPr>
                <w:rFonts w:hint="default" w:ascii="Times New Roman" w:hAnsi="Times New Roman" w:cs="Times New Roman"/>
                <w:color w:val="auto"/>
              </w:rPr>
              <w:t>5年12月陕西省地矿局区域地质矿产研究院提交的《</w:t>
            </w:r>
            <w:r>
              <w:rPr>
                <w:rFonts w:hint="default" w:ascii="Times New Roman" w:hAnsi="Times New Roman" w:cs="Times New Roman"/>
                <w:color w:val="auto"/>
                <w:lang w:eastAsia="zh-CN"/>
              </w:rPr>
              <w:t>陕西省咸阳市区地热资源详查报告</w:t>
            </w:r>
            <w:r>
              <w:rPr>
                <w:rFonts w:hint="default" w:ascii="Times New Roman" w:hAnsi="Times New Roman" w:cs="Times New Roman"/>
                <w:color w:val="auto"/>
              </w:rPr>
              <w:t>》</w:t>
            </w:r>
            <w:r>
              <w:rPr>
                <w:rFonts w:hint="default" w:ascii="Times New Roman" w:hAnsi="Times New Roman" w:cs="Times New Roman"/>
                <w:color w:val="auto"/>
                <w:lang w:eastAsia="zh-CN"/>
              </w:rPr>
              <w:t>；</w:t>
            </w:r>
          </w:p>
          <w:p>
            <w:pPr>
              <w:pStyle w:val="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14、2018年</w:t>
            </w:r>
            <w:r>
              <w:rPr>
                <w:rFonts w:hint="eastAsia" w:ascii="Times New Roman" w:hAnsi="Times New Roman" w:cs="Times New Roman"/>
                <w:color w:val="auto"/>
                <w:lang w:val="en-US" w:eastAsia="zh-CN"/>
              </w:rPr>
              <w:t>10</w:t>
            </w:r>
            <w:r>
              <w:rPr>
                <w:rFonts w:hint="default" w:ascii="Times New Roman" w:hAnsi="Times New Roman" w:cs="Times New Roman"/>
                <w:color w:val="auto"/>
                <w:lang w:val="en-US" w:eastAsia="zh-CN"/>
              </w:rPr>
              <w:t>月陕西地矿区研院有限公司编制的《咸阳职业技术学院定向井地热区块矿产资源开发利用方案》；</w:t>
            </w:r>
          </w:p>
          <w:p>
            <w:pPr>
              <w:pStyle w:val="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15、2018年</w:t>
            </w:r>
            <w:r>
              <w:rPr>
                <w:rFonts w:hint="eastAsia" w:ascii="Times New Roman" w:hAnsi="Times New Roman" w:cs="Times New Roman"/>
                <w:color w:val="auto"/>
                <w:lang w:val="en-US" w:eastAsia="zh-CN"/>
              </w:rPr>
              <w:t>10</w:t>
            </w:r>
            <w:r>
              <w:rPr>
                <w:rFonts w:hint="default" w:ascii="Times New Roman" w:hAnsi="Times New Roman" w:cs="Times New Roman"/>
                <w:color w:val="auto"/>
                <w:lang w:val="en-US" w:eastAsia="zh-CN"/>
              </w:rPr>
              <w:t>月陕西地矿区研院有限公司编制的《咸阳职业技术学院定向井地热区块矿山地质环境保护与恢复治理方案报告表》；</w:t>
            </w:r>
          </w:p>
          <w:p>
            <w:pPr>
              <w:pStyle w:val="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16、委托书；</w:t>
            </w:r>
          </w:p>
          <w:p>
            <w:pPr>
              <w:pStyle w:val="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17、委托合同。</w:t>
            </w:r>
          </w:p>
          <w:p>
            <w:pPr>
              <w:pStyle w:val="3"/>
              <w:bidi w:val="0"/>
              <w:rPr>
                <w:rFonts w:hint="eastAsia"/>
                <w:color w:val="auto"/>
                <w:lang w:val="en-US" w:eastAsia="zh-CN"/>
              </w:rPr>
            </w:pPr>
            <w:bookmarkStart w:id="27" w:name="_Toc25887"/>
            <w:r>
              <w:rPr>
                <w:rFonts w:hint="eastAsia"/>
                <w:color w:val="auto"/>
                <w:lang w:val="en-US" w:eastAsia="zh-CN"/>
              </w:rPr>
              <w:t>一、概况</w:t>
            </w:r>
            <w:bookmarkEnd w:id="27"/>
          </w:p>
          <w:p>
            <w:pPr>
              <w:pStyle w:val="4"/>
              <w:bidi w:val="0"/>
              <w:rPr>
                <w:rFonts w:hint="eastAsia"/>
                <w:color w:val="auto"/>
                <w:lang w:val="en-US" w:eastAsia="zh-CN"/>
              </w:rPr>
            </w:pPr>
            <w:r>
              <w:rPr>
                <w:rFonts w:hint="eastAsia"/>
                <w:color w:val="auto"/>
                <w:lang w:val="en-US" w:eastAsia="zh-CN"/>
              </w:rPr>
              <w:t>（一）矿山基本概况</w:t>
            </w:r>
          </w:p>
          <w:p>
            <w:pPr>
              <w:pStyle w:val="5"/>
              <w:bidi w:val="0"/>
              <w:rPr>
                <w:rFonts w:hint="eastAsia"/>
                <w:color w:val="auto"/>
                <w:lang w:val="en-US" w:eastAsia="zh-CN"/>
              </w:rPr>
            </w:pPr>
            <w:r>
              <w:rPr>
                <w:rFonts w:hint="eastAsia"/>
                <w:color w:val="auto"/>
                <w:lang w:val="en-US" w:eastAsia="zh-CN"/>
              </w:rPr>
              <w:t>1、交通位置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FF0000"/>
                <w:sz w:val="24"/>
                <w:szCs w:val="24"/>
              </w:rPr>
            </w:pPr>
            <w:r>
              <w:rPr>
                <w:rFonts w:hint="eastAsia"/>
                <w:color w:val="000000" w:themeColor="text1"/>
                <w:sz w:val="24"/>
                <w:szCs w:val="24"/>
                <w:lang w:eastAsia="zh-CN"/>
                <w14:textFill>
                  <w14:solidFill>
                    <w14:schemeClr w14:val="tx1"/>
                  </w14:solidFill>
                </w14:textFill>
              </w:rPr>
              <w:t>中石化绿源地热能（陕西）开发有限公司咸阳职院地热区块</w:t>
            </w:r>
            <w:r>
              <w:rPr>
                <w:rFonts w:hint="eastAsia"/>
                <w:caps/>
                <w:color w:val="000000" w:themeColor="text1"/>
                <w:sz w:val="24"/>
                <w:szCs w:val="24"/>
                <w14:textFill>
                  <w14:solidFill>
                    <w14:schemeClr w14:val="tx1"/>
                  </w14:solidFill>
                </w14:textFill>
              </w:rPr>
              <w:t>位于</w:t>
            </w:r>
            <w:r>
              <w:rPr>
                <w:rFonts w:hint="eastAsia" w:ascii="Times New Roman" w:hAnsi="Times New Roman" w:cs="Times New Roman"/>
                <w:color w:val="000000" w:themeColor="text1"/>
                <w:sz w:val="24"/>
                <w:szCs w:val="24"/>
                <w:lang w:eastAsia="zh-CN"/>
                <w14:textFill>
                  <w14:solidFill>
                    <w14:schemeClr w14:val="tx1"/>
                  </w14:solidFill>
                </w14:textFill>
              </w:rPr>
              <w:t>咸新区沣西新城白马河路以东，统一西路以南，</w:t>
            </w:r>
            <w:r>
              <w:rPr>
                <w:rFonts w:hint="eastAsia"/>
                <w:color w:val="000000" w:themeColor="text1"/>
                <w:sz w:val="24"/>
                <w:szCs w:val="24"/>
                <w:lang w:eastAsia="zh-CN"/>
                <w14:textFill>
                  <w14:solidFill>
                    <w14:schemeClr w14:val="tx1"/>
                  </w14:solidFill>
                </w14:textFill>
              </w:rPr>
              <w:t>井口坐标：X=3796579.389，Y=36567283.076，井口标高为+381m。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沣西</w:t>
            </w:r>
            <w:r>
              <w:rPr>
                <w:color w:val="000000" w:themeColor="text1"/>
                <w:sz w:val="24"/>
                <w:szCs w:val="24"/>
                <w14:textFill>
                  <w14:solidFill>
                    <w14:schemeClr w14:val="tx1"/>
                  </w14:solidFill>
                </w14:textFill>
              </w:rPr>
              <w:t>新城地处</w:t>
            </w:r>
            <w:r>
              <w:rPr>
                <w:rFonts w:hint="eastAsia"/>
                <w:color w:val="000000" w:themeColor="text1"/>
                <w:sz w:val="24"/>
                <w:szCs w:val="24"/>
                <w14:textFill>
                  <w14:solidFill>
                    <w14:schemeClr w14:val="tx1"/>
                  </w14:solidFill>
                </w14:textFill>
              </w:rPr>
              <w:t>沣河</w:t>
            </w:r>
            <w:r>
              <w:rPr>
                <w:color w:val="000000" w:themeColor="text1"/>
                <w:sz w:val="24"/>
                <w:szCs w:val="24"/>
                <w14:textFill>
                  <w14:solidFill>
                    <w14:schemeClr w14:val="tx1"/>
                  </w14:solidFill>
                </w14:textFill>
              </w:rPr>
              <w:t>与渭河交汇的三角地带，位于西安与咸阳两市之间，东至沣河，南至大王镇及马王街办南端，西至规划中的西咸环线，北至</w:t>
            </w:r>
            <w:r>
              <w:rPr>
                <w:rFonts w:hint="eastAsia"/>
                <w:color w:val="000000" w:themeColor="text1"/>
                <w:sz w:val="24"/>
                <w:szCs w:val="24"/>
                <w14:textFill>
                  <w14:solidFill>
                    <w14:schemeClr w14:val="tx1"/>
                  </w14:solidFill>
                </w14:textFill>
              </w:rPr>
              <w:t>西宝高速。沣西</w:t>
            </w:r>
            <w:r>
              <w:rPr>
                <w:color w:val="000000" w:themeColor="text1"/>
                <w:sz w:val="24"/>
                <w:szCs w:val="24"/>
                <w14:textFill>
                  <w14:solidFill>
                    <w14:schemeClr w14:val="tx1"/>
                  </w14:solidFill>
                </w14:textFill>
              </w:rPr>
              <w:t>新城地势</w:t>
            </w:r>
            <w:r>
              <w:rPr>
                <w:rFonts w:hint="eastAsia"/>
                <w:color w:val="000000" w:themeColor="text1"/>
                <w:sz w:val="24"/>
                <w:szCs w:val="24"/>
                <w14:textFill>
                  <w14:solidFill>
                    <w14:schemeClr w14:val="tx1"/>
                  </w14:solidFill>
                </w14:textFill>
              </w:rPr>
              <w:t>总体西高东低</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区内大部分</w:t>
            </w:r>
            <w:r>
              <w:rPr>
                <w:color w:val="000000" w:themeColor="text1"/>
                <w:sz w:val="24"/>
                <w:szCs w:val="24"/>
                <w14:textFill>
                  <w14:solidFill>
                    <w14:schemeClr w14:val="tx1"/>
                  </w14:solidFill>
                </w14:textFill>
              </w:rPr>
              <w:t>为黄土台塬，位于</w:t>
            </w:r>
            <w:r>
              <w:rPr>
                <w:rFonts w:hint="eastAsia"/>
                <w:color w:val="000000" w:themeColor="text1"/>
                <w:sz w:val="24"/>
                <w:szCs w:val="24"/>
                <w14:textFill>
                  <w14:solidFill>
                    <w14:schemeClr w14:val="tx1"/>
                  </w14:solidFill>
                </w14:textFill>
              </w:rPr>
              <w:t>渭</w:t>
            </w:r>
            <w:r>
              <w:rPr>
                <w:color w:val="000000" w:themeColor="text1"/>
                <w:sz w:val="24"/>
                <w:szCs w:val="24"/>
                <w14:textFill>
                  <w14:solidFill>
                    <w14:schemeClr w14:val="tx1"/>
                  </w14:solidFill>
                </w14:textFill>
              </w:rPr>
              <w:t>河以南，</w:t>
            </w:r>
            <w:r>
              <w:rPr>
                <w:rFonts w:hint="eastAsia"/>
                <w:color w:val="000000" w:themeColor="text1"/>
                <w:sz w:val="24"/>
                <w:szCs w:val="24"/>
                <w14:textFill>
                  <w14:solidFill>
                    <w14:schemeClr w14:val="tx1"/>
                  </w14:solidFill>
                </w14:textFill>
              </w:rPr>
              <w:t>沣河以西，</w:t>
            </w:r>
            <w:r>
              <w:rPr>
                <w:color w:val="000000" w:themeColor="text1"/>
                <w:sz w:val="24"/>
                <w:szCs w:val="24"/>
                <w14:textFill>
                  <w14:solidFill>
                    <w14:schemeClr w14:val="tx1"/>
                  </w14:solidFill>
                </w14:textFill>
              </w:rPr>
              <w:t>塬面开阔，地势平坦，海拔为4</w:t>
            </w:r>
            <w:r>
              <w:rPr>
                <w:rFonts w:hint="eastAsia"/>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0-</w:t>
            </w:r>
            <w:r>
              <w:rPr>
                <w:rFonts w:hint="eastAsia"/>
                <w:color w:val="000000" w:themeColor="text1"/>
                <w:sz w:val="24"/>
                <w:szCs w:val="24"/>
                <w14:textFill>
                  <w14:solidFill>
                    <w14:schemeClr w14:val="tx1"/>
                  </w14:solidFill>
                </w14:textFill>
              </w:rPr>
              <w:t>495m</w:t>
            </w:r>
            <w:r>
              <w:rPr>
                <w:color w:val="000000" w:themeColor="text1"/>
                <w:sz w:val="24"/>
                <w:szCs w:val="24"/>
                <w14:textFill>
                  <w14:solidFill>
                    <w14:schemeClr w14:val="tx1"/>
                  </w14:solidFill>
                </w14:textFill>
              </w:rPr>
              <w:t>，地势平坦</w:t>
            </w:r>
            <w:r>
              <w:rPr>
                <w:rFonts w:hint="eastAsia"/>
                <w:color w:val="000000" w:themeColor="text1"/>
                <w:sz w:val="24"/>
                <w:szCs w:val="24"/>
                <w14:textFill>
                  <w14:solidFill>
                    <w14:schemeClr w14:val="tx1"/>
                  </w14:solidFill>
                </w14:textFill>
              </w:rPr>
              <w:t>，矿区</w:t>
            </w:r>
            <w:r>
              <w:rPr>
                <w:color w:val="000000" w:themeColor="text1"/>
                <w:sz w:val="24"/>
                <w:szCs w:val="24"/>
                <w14:textFill>
                  <w14:solidFill>
                    <w14:schemeClr w14:val="tx1"/>
                  </w14:solidFill>
                </w14:textFill>
              </w:rPr>
              <w:t>位于渭河</w:t>
            </w:r>
            <w:r>
              <w:rPr>
                <w:rFonts w:hint="eastAsia"/>
                <w:color w:val="000000" w:themeColor="text1"/>
                <w:sz w:val="24"/>
                <w:szCs w:val="24"/>
                <w14:textFill>
                  <w14:solidFill>
                    <w14:schemeClr w14:val="tx1"/>
                  </w14:solidFill>
                </w14:textFill>
              </w:rPr>
              <w:t>以南，</w:t>
            </w:r>
            <w:r>
              <w:rPr>
                <w:color w:val="000000" w:themeColor="text1"/>
                <w:sz w:val="24"/>
                <w:szCs w:val="24"/>
                <w14:textFill>
                  <w14:solidFill>
                    <w14:schemeClr w14:val="tx1"/>
                  </w14:solidFill>
                </w14:textFill>
              </w:rPr>
              <w:t>地貌为河谷</w:t>
            </w:r>
            <w:r>
              <w:rPr>
                <w:color w:val="000000" w:themeColor="text1"/>
                <w:sz w:val="24"/>
                <w:szCs w:val="24"/>
                <w:lang w:val="zh-TW"/>
                <w14:textFill>
                  <w14:solidFill>
                    <w14:schemeClr w14:val="tx1"/>
                  </w14:solidFill>
                </w14:textFill>
              </w:rPr>
              <w:t>阶地</w:t>
            </w:r>
            <w:r>
              <w:rPr>
                <w:rFonts w:hint="eastAsia"/>
                <w:color w:val="000000" w:themeColor="text1"/>
                <w:sz w:val="24"/>
                <w:szCs w:val="24"/>
                <w:lang w:val="zh-TW"/>
                <w14:textFill>
                  <w14:solidFill>
                    <w14:schemeClr w14:val="tx1"/>
                  </w14:solidFill>
                </w14:textFill>
              </w:rPr>
              <w:t>及漫滩</w:t>
            </w:r>
            <w:r>
              <w:rPr>
                <w:color w:val="000000" w:themeColor="text1"/>
                <w:sz w:val="24"/>
                <w:szCs w:val="24"/>
                <w:lang w:val="zh-TW"/>
                <w14:textFill>
                  <w14:solidFill>
                    <w14:schemeClr w14:val="tx1"/>
                  </w14:solidFill>
                </w14:textFill>
              </w:rPr>
              <w:t>。</w:t>
            </w:r>
          </w:p>
          <w:p>
            <w:pPr>
              <w:bidi w:val="0"/>
              <w:rPr>
                <w:rFonts w:hint="eastAsia"/>
                <w:color w:val="auto"/>
                <w:lang w:val="en-US" w:eastAsia="zh-CN"/>
              </w:rPr>
            </w:pPr>
            <w:r>
              <w:rPr>
                <w:rFonts w:hint="eastAsia"/>
                <w:color w:val="auto"/>
                <w:sz w:val="24"/>
                <w:szCs w:val="24"/>
                <w:lang w:val="zh-TW" w:eastAsia="zh-CN"/>
              </w:rPr>
              <w:t>沣西</w:t>
            </w:r>
            <w:r>
              <w:rPr>
                <w:rFonts w:hint="eastAsia"/>
                <w:color w:val="auto"/>
                <w:sz w:val="24"/>
                <w:szCs w:val="24"/>
                <w:lang w:val="zh-TW"/>
              </w:rPr>
              <w:t>新城</w:t>
            </w:r>
            <w:r>
              <w:rPr>
                <w:rFonts w:hint="eastAsia" w:hAnsi="宋体"/>
                <w:color w:val="auto"/>
                <w:kern w:val="1"/>
                <w:sz w:val="24"/>
                <w:szCs w:val="24"/>
              </w:rPr>
              <w:t>辖区内由</w:t>
            </w:r>
            <w:r>
              <w:rPr>
                <w:color w:val="auto"/>
                <w:kern w:val="1"/>
                <w:sz w:val="24"/>
                <w:szCs w:val="24"/>
              </w:rPr>
              <w:t>陇海铁路、西（安）兰（州）国道（G310）和西（安）宝（鸡）高速在区块周边形成交通网，西安咸阳国际机场近在咫尺，交通极为便利</w:t>
            </w:r>
            <w:r>
              <w:rPr>
                <w:rFonts w:hint="eastAsia"/>
                <w:color w:val="auto"/>
                <w:kern w:val="1"/>
                <w:sz w:val="24"/>
                <w:szCs w:val="24"/>
                <w:lang w:eastAsia="zh-CN"/>
              </w:rPr>
              <w:t>，</w:t>
            </w:r>
            <w:r>
              <w:rPr>
                <w:rFonts w:hint="eastAsia"/>
                <w:color w:val="auto"/>
                <w:lang w:eastAsia="zh-CN"/>
              </w:rPr>
              <w:t>见图</w:t>
            </w:r>
            <w:r>
              <w:rPr>
                <w:rFonts w:hint="eastAsia"/>
                <w:color w:val="auto"/>
                <w:lang w:val="en-US" w:eastAsia="zh-CN"/>
              </w:rPr>
              <w:t>1。</w:t>
            </w:r>
          </w:p>
          <w:p>
            <w:pPr>
              <w:pStyle w:val="5"/>
              <w:bidi w:val="0"/>
              <w:rPr>
                <w:rFonts w:hint="eastAsia"/>
                <w:color w:val="auto"/>
                <w:lang w:val="en-US" w:eastAsia="zh-CN"/>
              </w:rPr>
            </w:pPr>
            <w:r>
              <w:rPr>
                <w:rFonts w:hint="eastAsia"/>
                <w:color w:val="auto"/>
                <w:lang w:val="en-US" w:eastAsia="zh-CN"/>
              </w:rPr>
              <w:t>2、自然地理及经济概况</w:t>
            </w:r>
          </w:p>
          <w:p>
            <w:pPr>
              <w:pStyle w:val="2"/>
              <w:rPr>
                <w:rFonts w:hint="eastAsia"/>
                <w:color w:val="auto"/>
                <w:lang w:val="en-US" w:eastAsia="zh-CN"/>
              </w:rPr>
            </w:pPr>
            <w:r>
              <w:rPr>
                <w:rFonts w:hint="eastAsia"/>
                <w:color w:val="auto"/>
                <w:lang w:val="en-US" w:eastAsia="zh-CN"/>
              </w:rPr>
              <w:t>（1）地形地貌</w:t>
            </w:r>
          </w:p>
          <w:tbl>
            <w:tblPr>
              <w:tblStyle w:val="15"/>
              <w:tblW w:w="824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2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58" w:hRule="atLeast"/>
              </w:trPr>
              <w:tc>
                <w:tcPr>
                  <w:tcW w:w="8240"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rPr>
                  </w:pPr>
                  <w:r>
                    <w:rPr>
                      <w:rFonts w:hint="eastAsia" w:eastAsia="宋体" w:cs="宋体"/>
                      <w:spacing w:val="-6"/>
                      <w:sz w:val="24"/>
                      <w:szCs w:val="24"/>
                      <w:highlight w:val="none"/>
                      <w:lang w:eastAsia="zh-CN"/>
                    </w:rPr>
                    <w:drawing>
                      <wp:inline distT="0" distB="0" distL="114300" distR="114300">
                        <wp:extent cx="5031105" cy="3654425"/>
                        <wp:effectExtent l="9525" t="9525" r="26670" b="12700"/>
                        <wp:docPr id="34" name="图片 2" descr="163306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descr="1633063983"/>
                                <pic:cNvPicPr>
                                  <a:picLocks noChangeAspect="1"/>
                                </pic:cNvPicPr>
                              </pic:nvPicPr>
                              <pic:blipFill>
                                <a:blip r:embed="rId9"/>
                                <a:stretch>
                                  <a:fillRect/>
                                </a:stretch>
                              </pic:blipFill>
                              <pic:spPr>
                                <a:xfrm>
                                  <a:off x="0" y="0"/>
                                  <a:ext cx="5031105" cy="3654425"/>
                                </a:xfrm>
                                <a:prstGeom prst="rect">
                                  <a:avLst/>
                                </a:prstGeom>
                                <a:noFill/>
                                <a:ln w="9525" cap="flat" cmpd="sng">
                                  <a:solidFill>
                                    <a:srgbClr val="000000"/>
                                  </a:solidFill>
                                  <a:prstDash val="solid"/>
                                  <a:miter/>
                                  <a:headEnd type="none" w="med" len="med"/>
                                  <a:tailEnd type="none" w="med" len="me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 w:hRule="atLeast"/>
              </w:trPr>
              <w:tc>
                <w:tcPr>
                  <w:tcW w:w="82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rPr>
                  </w:pPr>
                  <w:r>
                    <w:rPr>
                      <w:rFonts w:hint="eastAsia" w:ascii="仿宋" w:hAnsi="仿宋" w:eastAsia="仿宋" w:cs="仿宋"/>
                      <w:b/>
                      <w:bCs/>
                      <w:color w:val="auto"/>
                    </w:rPr>
                    <w:t>图</w:t>
                  </w:r>
                  <w:r>
                    <w:rPr>
                      <w:rFonts w:hint="eastAsia" w:ascii="仿宋" w:hAnsi="仿宋" w:eastAsia="仿宋" w:cs="仿宋"/>
                      <w:b/>
                      <w:bCs/>
                      <w:color w:val="auto"/>
                      <w:lang w:val="en-US" w:eastAsia="zh-CN"/>
                    </w:rPr>
                    <w:t>1</w:t>
                  </w:r>
                  <w:r>
                    <w:rPr>
                      <w:rFonts w:hint="eastAsia" w:ascii="仿宋" w:hAnsi="仿宋" w:eastAsia="仿宋" w:cs="仿宋"/>
                      <w:b/>
                      <w:bCs/>
                      <w:color w:val="auto"/>
                    </w:rPr>
                    <w:t xml:space="preserve">  </w:t>
                  </w:r>
                  <w:r>
                    <w:rPr>
                      <w:rFonts w:hint="eastAsia" w:ascii="仿宋" w:hAnsi="仿宋" w:eastAsia="仿宋" w:cs="仿宋"/>
                      <w:b/>
                      <w:bCs/>
                      <w:color w:val="auto"/>
                      <w:lang w:eastAsia="zh-CN"/>
                    </w:rPr>
                    <w:t>沣西</w:t>
                  </w:r>
                  <w:r>
                    <w:rPr>
                      <w:rFonts w:hint="eastAsia" w:ascii="仿宋" w:hAnsi="仿宋" w:eastAsia="仿宋" w:cs="仿宋"/>
                      <w:b/>
                      <w:bCs/>
                      <w:color w:val="auto"/>
                    </w:rPr>
                    <w:t>新城交通位置图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5" w:hRule="atLeast"/>
              </w:trPr>
              <w:tc>
                <w:tcPr>
                  <w:tcW w:w="824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pPr>
                  <w:r>
                    <w:rPr>
                      <w:color w:val="auto"/>
                    </w:rPr>
                    <w:drawing>
                      <wp:inline distT="0" distB="0" distL="114300" distR="114300">
                        <wp:extent cx="4119880" cy="4144010"/>
                        <wp:effectExtent l="0" t="0" r="13970" b="8890"/>
                        <wp:docPr id="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pic:cNvPicPr>
                                  <a:picLocks noChangeAspect="1"/>
                                </pic:cNvPicPr>
                              </pic:nvPicPr>
                              <pic:blipFill>
                                <a:blip r:embed="rId10"/>
                                <a:stretch>
                                  <a:fillRect/>
                                </a:stretch>
                              </pic:blipFill>
                              <pic:spPr>
                                <a:xfrm>
                                  <a:off x="0" y="0"/>
                                  <a:ext cx="4119880" cy="414401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 w:hRule="atLeast"/>
              </w:trPr>
              <w:tc>
                <w:tcPr>
                  <w:tcW w:w="82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rPr>
                  </w:pPr>
                  <w:r>
                    <w:rPr>
                      <w:rFonts w:hint="eastAsia" w:ascii="仿宋" w:hAnsi="仿宋" w:eastAsia="仿宋" w:cs="仿宋"/>
                      <w:b/>
                      <w:bCs/>
                      <w:color w:val="auto"/>
                      <w:lang w:val="en-US" w:eastAsia="zh-CN"/>
                    </w:rPr>
                    <w:t>图2  咸阳职院地热区块地质地貌图</w:t>
                  </w:r>
                </w:p>
              </w:tc>
            </w:tr>
          </w:tbl>
          <w:p>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olor w:val="FF0000"/>
                <w:lang w:val="en-US" w:eastAsia="zh-CN"/>
              </w:rPr>
            </w:pPr>
            <w:r>
              <w:rPr>
                <w:rFonts w:hint="default" w:ascii="Times New Roman" w:hAnsi="Times New Roman" w:eastAsia="宋体" w:cs="Times New Roman"/>
                <w:color w:val="auto"/>
                <w:sz w:val="24"/>
                <w:szCs w:val="24"/>
              </w:rPr>
              <w:t>沣西新城地处沣河与渭河交汇的三角地带，位于西安与咸阳两市之间，东至沣河，南至大王镇及马王街办南端，西至规划中的西咸环线，北至西宝高速。沣西新城地势总体西高东低，区内大部分为黄土台塬，位于渭河以南，沣河以西，塬面开阔，地势平坦，海拔为420-495m，地势平坦，矿区位于渭河以南，</w:t>
            </w:r>
            <w:r>
              <w:rPr>
                <w:rFonts w:hint="eastAsia" w:cs="Times New Roman"/>
                <w:color w:val="auto"/>
                <w:sz w:val="24"/>
                <w:szCs w:val="24"/>
                <w:lang w:eastAsia="zh-CN"/>
              </w:rPr>
              <w:t>沣河以西，</w:t>
            </w:r>
            <w:r>
              <w:rPr>
                <w:rFonts w:hint="default" w:ascii="Times New Roman" w:hAnsi="Times New Roman" w:eastAsia="宋体" w:cs="Times New Roman"/>
                <w:color w:val="auto"/>
                <w:sz w:val="24"/>
                <w:szCs w:val="24"/>
              </w:rPr>
              <w:t>地貌为河谷</w:t>
            </w:r>
            <w:r>
              <w:rPr>
                <w:rFonts w:hint="default" w:ascii="Times New Roman" w:hAnsi="Times New Roman" w:eastAsia="宋体" w:cs="Times New Roman"/>
                <w:color w:val="auto"/>
                <w:sz w:val="24"/>
                <w:szCs w:val="24"/>
                <w:lang w:val="zh-TW"/>
              </w:rPr>
              <w:t>阶地及漫滩</w:t>
            </w:r>
            <w:r>
              <w:rPr>
                <w:rFonts w:hint="eastAsia" w:ascii="Times New Roman" w:hAnsi="Times New Roman" w:cs="Times New Roman"/>
                <w:color w:val="auto"/>
                <w:sz w:val="24"/>
                <w:szCs w:val="24"/>
                <w:lang w:val="zh-TW" w:eastAsia="zh-CN"/>
              </w:rPr>
              <w:t>，</w:t>
            </w:r>
            <w:r>
              <w:rPr>
                <w:rFonts w:hint="eastAsia"/>
                <w:color w:val="auto"/>
                <w:lang w:eastAsia="zh-CN"/>
              </w:rPr>
              <w:t>见图</w:t>
            </w:r>
            <w:r>
              <w:rPr>
                <w:rFonts w:hint="eastAsia"/>
                <w:color w:val="auto"/>
                <w:lang w:val="en-US" w:eastAsia="zh-CN"/>
              </w:rPr>
              <w:t>2</w:t>
            </w:r>
            <w:r>
              <w:rPr>
                <w:rFonts w:hint="eastAsia"/>
                <w:color w:val="auto"/>
                <w:lang w:eastAsia="zh-CN"/>
              </w:rPr>
              <w:t>。</w:t>
            </w:r>
          </w:p>
          <w:p>
            <w:pPr>
              <w:pStyle w:val="2"/>
              <w:numPr>
                <w:ilvl w:val="0"/>
                <w:numId w:val="1"/>
              </w:numPr>
              <w:rPr>
                <w:rFonts w:hint="eastAsia"/>
                <w:color w:val="auto"/>
                <w:lang w:val="en-US" w:eastAsia="zh-CN"/>
              </w:rPr>
            </w:pPr>
            <w:r>
              <w:rPr>
                <w:rFonts w:hint="eastAsia"/>
                <w:color w:val="auto"/>
                <w:lang w:val="en-US" w:eastAsia="zh-CN"/>
              </w:rPr>
              <w:t>气象水文</w:t>
            </w:r>
          </w:p>
          <w:p>
            <w:pPr>
              <w:spacing w:line="520" w:lineRule="exact"/>
              <w:ind w:firstLine="480" w:firstLineChars="200"/>
              <w:rPr>
                <w:rFonts w:hint="default" w:ascii="Times New Roman" w:hAnsi="Times New Roman" w:eastAsia="宋体" w:cs="Times New Roman"/>
                <w:color w:val="auto"/>
                <w:sz w:val="24"/>
                <w:szCs w:val="24"/>
              </w:rPr>
            </w:pPr>
            <w:r>
              <w:rPr>
                <w:rFonts w:hint="eastAsia"/>
                <w:sz w:val="24"/>
                <w:highlight w:val="none"/>
              </w:rPr>
              <w:t>沣西新城位于西咸两市之间，东至沣河，南至大王镇及马王街办南端，西至规划中的西咸环线，北至连霍高速，包括鄠邑区的大王镇，长安区的马王街道、高桥街道，秦都区的钓台、陈杨寨街道，总面积143km</w:t>
            </w:r>
            <w:r>
              <w:rPr>
                <w:rFonts w:hint="eastAsia"/>
                <w:sz w:val="24"/>
                <w:highlight w:val="none"/>
                <w:vertAlign w:val="superscript"/>
              </w:rPr>
              <w:t>2</w:t>
            </w:r>
            <w:r>
              <w:rPr>
                <w:rFonts w:hint="eastAsia"/>
                <w:sz w:val="24"/>
                <w:highlight w:val="none"/>
              </w:rPr>
              <w:t>，其中，西安市占地93km</w:t>
            </w:r>
            <w:r>
              <w:rPr>
                <w:rFonts w:hint="eastAsia"/>
                <w:sz w:val="24"/>
                <w:highlight w:val="none"/>
                <w:vertAlign w:val="superscript"/>
              </w:rPr>
              <w:t>2</w:t>
            </w:r>
            <w:r>
              <w:rPr>
                <w:rFonts w:hint="eastAsia"/>
                <w:sz w:val="24"/>
                <w:highlight w:val="none"/>
              </w:rPr>
              <w:t>，咸阳市占地50km</w:t>
            </w:r>
            <w:r>
              <w:rPr>
                <w:rFonts w:hint="eastAsia"/>
                <w:sz w:val="24"/>
                <w:highlight w:val="none"/>
                <w:vertAlign w:val="superscript"/>
              </w:rPr>
              <w:t>2</w:t>
            </w:r>
            <w:r>
              <w:rPr>
                <w:rFonts w:hint="eastAsia"/>
                <w:sz w:val="24"/>
                <w:highlight w:val="none"/>
              </w:rPr>
              <w:t>；沣西新城遗址保护区面积8.6km</w:t>
            </w:r>
            <w:r>
              <w:rPr>
                <w:rFonts w:hint="eastAsia"/>
                <w:sz w:val="24"/>
                <w:highlight w:val="none"/>
                <w:vertAlign w:val="superscript"/>
              </w:rPr>
              <w:t>2</w:t>
            </w:r>
            <w:r>
              <w:rPr>
                <w:rFonts w:hint="eastAsia"/>
                <w:sz w:val="24"/>
                <w:highlight w:val="none"/>
              </w:rPr>
              <w:t>。</w:t>
            </w:r>
            <w:r>
              <w:rPr>
                <w:rFonts w:hint="eastAsia" w:cs="宋体"/>
                <w:sz w:val="24"/>
                <w:szCs w:val="24"/>
                <w:highlight w:val="none"/>
                <w:lang w:eastAsia="zh-CN"/>
              </w:rPr>
              <w:t>沣西</w:t>
            </w:r>
            <w:r>
              <w:rPr>
                <w:rFonts w:hint="eastAsia" w:cs="宋体"/>
                <w:sz w:val="24"/>
                <w:szCs w:val="24"/>
                <w:highlight w:val="none"/>
              </w:rPr>
              <w:t>新城属暖温带大陆性季风气候，四季分明，具有春暖干旱、夏热多</w:t>
            </w:r>
            <w:r>
              <w:rPr>
                <w:rFonts w:hint="eastAsia" w:cs="宋体"/>
                <w:sz w:val="24"/>
                <w:szCs w:val="24"/>
                <w:highlight w:val="none"/>
                <w:lang w:eastAsia="zh-CN"/>
              </w:rPr>
              <w:t>雨</w:t>
            </w:r>
            <w:r>
              <w:rPr>
                <w:rFonts w:hint="eastAsia" w:cs="宋体"/>
                <w:sz w:val="24"/>
                <w:szCs w:val="24"/>
                <w:highlight w:val="none"/>
              </w:rPr>
              <w:t>、秋凉湿润、冬寒少雨</w:t>
            </w:r>
            <w:r>
              <w:rPr>
                <w:rFonts w:hint="eastAsia" w:cs="宋体"/>
                <w:sz w:val="24"/>
                <w:szCs w:val="24"/>
                <w:highlight w:val="none"/>
                <w:lang w:eastAsia="zh-CN"/>
              </w:rPr>
              <w:t>，区内</w:t>
            </w:r>
            <w:r>
              <w:rPr>
                <w:rFonts w:hint="eastAsia" w:cs="宋体"/>
                <w:sz w:val="24"/>
                <w:szCs w:val="24"/>
                <w:highlight w:val="none"/>
              </w:rPr>
              <w:t>多年</w:t>
            </w:r>
            <w:r>
              <w:rPr>
                <w:rFonts w:hint="eastAsia" w:cs="宋体"/>
                <w:sz w:val="24"/>
                <w:szCs w:val="24"/>
                <w:highlight w:val="none"/>
                <w:lang w:eastAsia="zh-CN"/>
              </w:rPr>
              <w:t>（</w:t>
            </w:r>
            <w:r>
              <w:rPr>
                <w:rFonts w:hint="default" w:ascii="Times New Roman" w:hAnsi="Times New Roman" w:cs="Times New Roman"/>
                <w:spacing w:val="-2"/>
                <w:sz w:val="24"/>
                <w:szCs w:val="24"/>
                <w:highlight w:val="none"/>
                <w:lang w:val="en-US" w:eastAsia="zh-CN"/>
              </w:rPr>
              <w:t>1985-20</w:t>
            </w:r>
            <w:r>
              <w:rPr>
                <w:rFonts w:hint="eastAsia" w:ascii="Times New Roman" w:hAnsi="Times New Roman" w:cs="Times New Roman"/>
                <w:spacing w:val="-2"/>
                <w:sz w:val="24"/>
                <w:szCs w:val="24"/>
                <w:highlight w:val="none"/>
                <w:lang w:val="en-US" w:eastAsia="zh-CN"/>
              </w:rPr>
              <w:t>20）</w:t>
            </w:r>
            <w:r>
              <w:rPr>
                <w:rFonts w:hint="eastAsia" w:cs="宋体"/>
                <w:sz w:val="24"/>
                <w:szCs w:val="24"/>
                <w:highlight w:val="none"/>
              </w:rPr>
              <w:t>平均气温13</w:t>
            </w:r>
            <w:r>
              <w:rPr>
                <w:rFonts w:hint="eastAsia" w:cs="宋体"/>
                <w:sz w:val="24"/>
                <w:szCs w:val="24"/>
                <w:highlight w:val="none"/>
                <w:lang w:val="en-US" w:eastAsia="zh-CN"/>
              </w:rPr>
              <w:t>.4</w:t>
            </w:r>
            <w:r>
              <w:rPr>
                <w:rFonts w:hint="eastAsia" w:cs="宋体"/>
                <w:sz w:val="24"/>
                <w:szCs w:val="24"/>
                <w:highlight w:val="none"/>
              </w:rPr>
              <w:t>℃，一月最冷为-</w:t>
            </w:r>
            <w:r>
              <w:rPr>
                <w:rFonts w:hint="eastAsia" w:cs="宋体"/>
                <w:sz w:val="24"/>
                <w:szCs w:val="24"/>
                <w:highlight w:val="none"/>
                <w:lang w:val="en-US" w:eastAsia="zh-CN"/>
              </w:rPr>
              <w:t>18</w:t>
            </w:r>
            <w:r>
              <w:rPr>
                <w:rFonts w:hint="eastAsia" w:cs="宋体"/>
                <w:sz w:val="24"/>
                <w:szCs w:val="24"/>
                <w:highlight w:val="none"/>
              </w:rPr>
              <w:t>.</w:t>
            </w:r>
            <w:r>
              <w:rPr>
                <w:rFonts w:hint="eastAsia" w:cs="宋体"/>
                <w:sz w:val="24"/>
                <w:szCs w:val="24"/>
                <w:highlight w:val="none"/>
                <w:lang w:val="en-US" w:eastAsia="zh-CN"/>
              </w:rPr>
              <w:t>6</w:t>
            </w:r>
            <w:r>
              <w:rPr>
                <w:rFonts w:hint="eastAsia" w:cs="宋体"/>
                <w:sz w:val="24"/>
                <w:szCs w:val="24"/>
                <w:highlight w:val="none"/>
              </w:rPr>
              <w:t>℃，七月最热为41.</w:t>
            </w:r>
            <w:r>
              <w:rPr>
                <w:rFonts w:hint="eastAsia" w:cs="宋体"/>
                <w:sz w:val="24"/>
                <w:szCs w:val="24"/>
                <w:highlight w:val="none"/>
                <w:lang w:val="en-US" w:eastAsia="zh-CN"/>
              </w:rPr>
              <w:t>7</w:t>
            </w:r>
            <w:r>
              <w:rPr>
                <w:rFonts w:hint="eastAsia" w:cs="宋体"/>
                <w:sz w:val="24"/>
                <w:szCs w:val="24"/>
                <w:highlight w:val="none"/>
              </w:rPr>
              <w:t>℃，多年平均降水量5</w:t>
            </w:r>
            <w:r>
              <w:rPr>
                <w:rFonts w:hint="eastAsia" w:cs="宋体"/>
                <w:sz w:val="24"/>
                <w:szCs w:val="24"/>
                <w:highlight w:val="none"/>
                <w:lang w:val="en-US" w:eastAsia="zh-CN"/>
              </w:rPr>
              <w:t>22.2</w:t>
            </w:r>
            <w:r>
              <w:rPr>
                <w:rFonts w:hint="eastAsia" w:cs="宋体"/>
                <w:sz w:val="24"/>
                <w:szCs w:val="24"/>
                <w:highlight w:val="none"/>
              </w:rPr>
              <w:t>mm</w:t>
            </w:r>
            <w:r>
              <w:rPr>
                <w:rFonts w:hint="eastAsia" w:cs="宋体"/>
                <w:sz w:val="24"/>
                <w:szCs w:val="24"/>
                <w:highlight w:val="none"/>
                <w:lang w:eastAsia="zh-CN"/>
              </w:rPr>
              <w:t>（图</w:t>
            </w:r>
            <w:r>
              <w:rPr>
                <w:rFonts w:hint="eastAsia" w:cs="宋体"/>
                <w:sz w:val="24"/>
                <w:szCs w:val="24"/>
                <w:highlight w:val="none"/>
                <w:lang w:val="en-US" w:eastAsia="zh-CN"/>
              </w:rPr>
              <w:t>3-1）</w:t>
            </w:r>
            <w:r>
              <w:rPr>
                <w:rFonts w:hint="eastAsia" w:cs="宋体"/>
                <w:sz w:val="24"/>
                <w:szCs w:val="24"/>
                <w:highlight w:val="none"/>
              </w:rPr>
              <w:t>，最大降水量</w:t>
            </w:r>
            <w:r>
              <w:rPr>
                <w:rFonts w:hint="eastAsia" w:cs="宋体"/>
                <w:sz w:val="24"/>
                <w:szCs w:val="24"/>
                <w:highlight w:val="none"/>
                <w:lang w:val="en-US" w:eastAsia="zh-CN"/>
              </w:rPr>
              <w:t>802.9</w:t>
            </w:r>
            <w:r>
              <w:rPr>
                <w:rFonts w:hint="eastAsia" w:cs="宋体"/>
                <w:sz w:val="24"/>
                <w:szCs w:val="24"/>
                <w:highlight w:val="none"/>
              </w:rPr>
              <w:t>mm</w:t>
            </w:r>
            <w:r>
              <w:rPr>
                <w:rFonts w:hint="default" w:ascii="Times New Roman" w:hAnsi="Times New Roman" w:cs="Times New Roman"/>
                <w:spacing w:val="-2"/>
                <w:sz w:val="24"/>
                <w:szCs w:val="24"/>
                <w:highlight w:val="none"/>
                <w:lang w:val="en-US" w:eastAsia="zh-CN"/>
              </w:rPr>
              <w:t>（2007年）</w:t>
            </w:r>
            <w:r>
              <w:rPr>
                <w:rFonts w:hint="eastAsia" w:cs="宋体"/>
                <w:sz w:val="24"/>
                <w:szCs w:val="24"/>
                <w:highlight w:val="none"/>
              </w:rPr>
              <w:t>，最小降水量3</w:t>
            </w:r>
            <w:r>
              <w:rPr>
                <w:rFonts w:hint="eastAsia" w:cs="宋体"/>
                <w:sz w:val="24"/>
                <w:szCs w:val="24"/>
                <w:highlight w:val="none"/>
                <w:lang w:val="en-US" w:eastAsia="zh-CN"/>
              </w:rPr>
              <w:t>02.2</w:t>
            </w:r>
            <w:r>
              <w:rPr>
                <w:rFonts w:hint="eastAsia" w:cs="宋体"/>
                <w:sz w:val="24"/>
                <w:szCs w:val="24"/>
                <w:highlight w:val="none"/>
              </w:rPr>
              <w:t>mm</w:t>
            </w:r>
            <w:r>
              <w:rPr>
                <w:rFonts w:hint="default" w:ascii="Times New Roman" w:hAnsi="Times New Roman" w:cs="Times New Roman"/>
                <w:spacing w:val="-2"/>
                <w:sz w:val="24"/>
                <w:szCs w:val="24"/>
                <w:highlight w:val="none"/>
                <w:lang w:val="en-US" w:eastAsia="zh-CN"/>
              </w:rPr>
              <w:t>（1997年）</w:t>
            </w:r>
            <w:r>
              <w:rPr>
                <w:rFonts w:hint="eastAsia" w:cs="宋体"/>
                <w:sz w:val="24"/>
                <w:szCs w:val="24"/>
                <w:highlight w:val="none"/>
                <w:lang w:eastAsia="zh-CN"/>
              </w:rPr>
              <w:t>；</w:t>
            </w:r>
            <w:r>
              <w:rPr>
                <w:rFonts w:hint="eastAsia" w:cs="宋体"/>
                <w:sz w:val="24"/>
                <w:szCs w:val="24"/>
                <w:highlight w:val="none"/>
              </w:rPr>
              <w:t>冬季降水量最少，仅23.62mm，占全年降水量的6.09%，形成冬旱</w:t>
            </w:r>
            <w:r>
              <w:rPr>
                <w:rFonts w:hint="eastAsia" w:cs="宋体"/>
                <w:sz w:val="24"/>
                <w:szCs w:val="24"/>
                <w:highlight w:val="none"/>
                <w:lang w:eastAsia="zh-CN"/>
              </w:rPr>
              <w:t>，</w:t>
            </w:r>
            <w:r>
              <w:rPr>
                <w:rFonts w:hint="eastAsia" w:cs="宋体"/>
                <w:sz w:val="24"/>
                <w:szCs w:val="24"/>
                <w:highlight w:val="none"/>
              </w:rPr>
              <w:t>夏季降水量最多，为297.11mm，占全年46.7%，尤其是7、8、9三个月</w:t>
            </w:r>
            <w:r>
              <w:rPr>
                <w:rFonts w:hint="eastAsia" w:cs="宋体"/>
                <w:sz w:val="24"/>
                <w:szCs w:val="24"/>
                <w:highlight w:val="none"/>
                <w:lang w:eastAsia="zh-CN"/>
              </w:rPr>
              <w:t>水</w:t>
            </w:r>
            <w:r>
              <w:rPr>
                <w:rFonts w:hint="eastAsia" w:cs="宋体"/>
                <w:sz w:val="24"/>
                <w:szCs w:val="24"/>
                <w:highlight w:val="none"/>
              </w:rPr>
              <w:t>量最集中，占全年57.64%</w:t>
            </w:r>
            <w:r>
              <w:rPr>
                <w:rFonts w:hint="eastAsia" w:cs="宋体"/>
                <w:sz w:val="24"/>
                <w:szCs w:val="24"/>
                <w:highlight w:val="none"/>
                <w:lang w:eastAsia="zh-CN"/>
              </w:rPr>
              <w:t>（图</w:t>
            </w:r>
            <w:r>
              <w:rPr>
                <w:rFonts w:hint="eastAsia" w:cs="宋体"/>
                <w:sz w:val="24"/>
                <w:szCs w:val="24"/>
                <w:highlight w:val="none"/>
                <w:lang w:val="en-US" w:eastAsia="zh-CN"/>
              </w:rPr>
              <w:t>3-2）</w:t>
            </w:r>
            <w:r>
              <w:rPr>
                <w:rFonts w:hint="eastAsia" w:cs="宋体"/>
                <w:sz w:val="24"/>
                <w:szCs w:val="24"/>
                <w:highlight w:val="none"/>
              </w:rPr>
              <w:t>，</w:t>
            </w:r>
            <w:r>
              <w:rPr>
                <w:rFonts w:hint="eastAsia" w:cs="宋体"/>
                <w:sz w:val="24"/>
                <w:szCs w:val="24"/>
                <w:highlight w:val="none"/>
                <w:lang w:eastAsia="zh-CN"/>
              </w:rPr>
              <w:t>降水量</w:t>
            </w:r>
            <w:r>
              <w:rPr>
                <w:rFonts w:hint="eastAsia" w:cs="宋体"/>
                <w:sz w:val="24"/>
                <w:szCs w:val="24"/>
                <w:highlight w:val="none"/>
              </w:rPr>
              <w:t>年际、年内变化大；年日照21</w:t>
            </w:r>
            <w:r>
              <w:rPr>
                <w:rFonts w:hint="eastAsia" w:cs="宋体"/>
                <w:sz w:val="24"/>
                <w:szCs w:val="24"/>
                <w:highlight w:val="none"/>
                <w:lang w:val="en-US" w:eastAsia="zh-CN"/>
              </w:rPr>
              <w:t>82h</w:t>
            </w:r>
            <w:r>
              <w:rPr>
                <w:rFonts w:hint="eastAsia" w:cs="宋体"/>
                <w:sz w:val="24"/>
                <w:szCs w:val="24"/>
                <w:highlight w:val="none"/>
              </w:rPr>
              <w:t>，无霜期21</w:t>
            </w:r>
            <w:r>
              <w:rPr>
                <w:rFonts w:hint="eastAsia" w:cs="宋体"/>
                <w:sz w:val="24"/>
                <w:szCs w:val="24"/>
                <w:highlight w:val="none"/>
                <w:lang w:val="en-US" w:eastAsia="zh-CN"/>
              </w:rPr>
              <w:t>8d</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依据</w:t>
            </w:r>
            <w:r>
              <w:rPr>
                <w:rFonts w:hint="eastAsia"/>
                <w:color w:val="auto"/>
                <w:sz w:val="24"/>
                <w:szCs w:val="24"/>
                <w:lang w:val="en-US" w:eastAsia="zh-CN"/>
              </w:rPr>
              <w:t>《西安市</w:t>
            </w:r>
            <w:r>
              <w:rPr>
                <w:rFonts w:hint="default"/>
                <w:color w:val="auto"/>
                <w:sz w:val="24"/>
                <w:szCs w:val="24"/>
                <w:lang w:val="en-US" w:eastAsia="zh-CN"/>
              </w:rPr>
              <w:t>城市集中供热管理条例</w:t>
            </w:r>
            <w:r>
              <w:rPr>
                <w:rFonts w:hint="eastAsia"/>
                <w:color w:val="auto"/>
                <w:sz w:val="24"/>
                <w:szCs w:val="24"/>
                <w:lang w:val="en-US" w:eastAsia="zh-CN"/>
              </w:rPr>
              <w:t>》和《咸阳市</w:t>
            </w:r>
            <w:r>
              <w:rPr>
                <w:rFonts w:hint="default"/>
                <w:color w:val="auto"/>
                <w:sz w:val="24"/>
                <w:szCs w:val="24"/>
                <w:lang w:val="en-US" w:eastAsia="zh-CN"/>
              </w:rPr>
              <w:t>城市集中供热管理条例</w:t>
            </w:r>
            <w:r>
              <w:rPr>
                <w:rFonts w:hint="eastAsia"/>
                <w:color w:val="auto"/>
                <w:sz w:val="24"/>
                <w:szCs w:val="24"/>
                <w:lang w:val="en-US" w:eastAsia="zh-CN"/>
              </w:rPr>
              <w:t>》</w:t>
            </w:r>
            <w:r>
              <w:rPr>
                <w:rFonts w:hint="eastAsia"/>
                <w:color w:val="auto"/>
                <w:sz w:val="24"/>
                <w:szCs w:val="24"/>
                <w:lang w:eastAsia="zh-CN"/>
              </w:rPr>
              <w:t>第十九条的规定，</w:t>
            </w:r>
            <w:r>
              <w:rPr>
                <w:rFonts w:hint="eastAsia"/>
                <w:color w:val="auto"/>
                <w:sz w:val="24"/>
                <w:szCs w:val="24"/>
                <w:lang w:val="en-US" w:eastAsia="zh-CN"/>
              </w:rPr>
              <w:t>城市</w:t>
            </w:r>
            <w:r>
              <w:rPr>
                <w:rFonts w:hint="eastAsia"/>
                <w:color w:val="auto"/>
                <w:sz w:val="24"/>
                <w:szCs w:val="24"/>
                <w:lang w:eastAsia="zh-CN"/>
              </w:rPr>
              <w:t>供暖期为每年</w:t>
            </w:r>
            <w:r>
              <w:rPr>
                <w:rFonts w:hint="eastAsia"/>
                <w:color w:val="auto"/>
                <w:sz w:val="24"/>
                <w:szCs w:val="24"/>
                <w:lang w:val="en-US" w:eastAsia="zh-CN"/>
              </w:rPr>
              <w:t>11月15日—次年3月15日，共计121天。</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480" w:firstLineChars="200"/>
              <w:jc w:val="both"/>
              <w:textAlignment w:val="auto"/>
              <w:rPr>
                <w:rFonts w:hint="eastAsia"/>
                <w:color w:val="FF0000"/>
                <w:lang w:val="en-US" w:eastAsia="zh-CN"/>
              </w:rPr>
            </w:pPr>
            <w:r>
              <w:rPr>
                <w:rFonts w:hint="eastAsia" w:cs="Times New Roman"/>
                <w:color w:val="auto"/>
                <w:sz w:val="24"/>
                <w:szCs w:val="24"/>
                <w:lang w:eastAsia="zh-CN"/>
              </w:rPr>
              <w:t>沣西新城</w:t>
            </w:r>
            <w:r>
              <w:rPr>
                <w:rFonts w:hint="default" w:ascii="Times New Roman" w:hAnsi="Times New Roman" w:eastAsia="宋体" w:cs="Times New Roman"/>
                <w:color w:val="auto"/>
                <w:sz w:val="24"/>
                <w:szCs w:val="24"/>
                <w:lang w:eastAsia="zh-CN"/>
              </w:rPr>
              <w:t>属黄河</w:t>
            </w:r>
            <w:r>
              <w:rPr>
                <w:rFonts w:hint="default" w:ascii="Times New Roman" w:hAnsi="Times New Roman" w:eastAsia="宋体" w:cs="Times New Roman"/>
                <w:color w:val="auto"/>
                <w:sz w:val="24"/>
                <w:szCs w:val="24"/>
              </w:rPr>
              <w:t>流域渭河</w:t>
            </w:r>
            <w:r>
              <w:rPr>
                <w:rFonts w:hint="default" w:ascii="Times New Roman" w:hAnsi="Times New Roman" w:eastAsia="宋体" w:cs="Times New Roman"/>
                <w:color w:val="auto"/>
                <w:sz w:val="24"/>
                <w:szCs w:val="24"/>
                <w:lang w:eastAsia="zh-CN"/>
              </w:rPr>
              <w:t>水系，</w:t>
            </w:r>
            <w:r>
              <w:rPr>
                <w:rFonts w:hint="default" w:ascii="Times New Roman" w:hAnsi="Times New Roman" w:eastAsia="宋体" w:cs="Times New Roman"/>
                <w:color w:val="auto"/>
                <w:sz w:val="24"/>
                <w:szCs w:val="24"/>
              </w:rPr>
              <w:t>主要河流有渭河、</w:t>
            </w:r>
            <w:r>
              <w:rPr>
                <w:rFonts w:hint="eastAsia" w:cs="Times New Roman"/>
                <w:color w:val="auto"/>
                <w:sz w:val="24"/>
                <w:szCs w:val="24"/>
                <w:lang w:eastAsia="zh-CN"/>
              </w:rPr>
              <w:t>沣</w:t>
            </w:r>
            <w:r>
              <w:rPr>
                <w:rFonts w:hint="default" w:ascii="Times New Roman" w:hAnsi="Times New Roman" w:eastAsia="宋体" w:cs="Times New Roman"/>
                <w:color w:val="auto"/>
                <w:sz w:val="24"/>
                <w:szCs w:val="24"/>
              </w:rPr>
              <w:t>河</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条</w:t>
            </w:r>
            <w:r>
              <w:rPr>
                <w:rFonts w:hint="eastAsia" w:cs="Times New Roman"/>
                <w:color w:val="auto"/>
                <w:sz w:val="24"/>
                <w:szCs w:val="24"/>
                <w:lang w:eastAsia="zh-CN"/>
              </w:rPr>
              <w:t>河</w:t>
            </w:r>
            <w:r>
              <w:rPr>
                <w:rFonts w:hint="default" w:ascii="Times New Roman" w:hAnsi="Times New Roman" w:eastAsia="宋体" w:cs="Times New Roman"/>
                <w:color w:val="auto"/>
                <w:sz w:val="24"/>
                <w:szCs w:val="24"/>
              </w:rPr>
              <w:t>流流经本区。</w:t>
            </w:r>
            <w:r>
              <w:rPr>
                <w:rFonts w:hint="default" w:ascii="Times New Roman" w:hAnsi="Times New Roman" w:eastAsia="宋体" w:cs="Times New Roman"/>
                <w:color w:val="auto"/>
                <w:sz w:val="24"/>
                <w:szCs w:val="24"/>
                <w:lang w:eastAsia="zh-CN"/>
              </w:rPr>
              <w:t>渭河</w:t>
            </w:r>
            <w:r>
              <w:rPr>
                <w:rFonts w:hint="default" w:ascii="Times New Roman" w:hAnsi="Times New Roman" w:eastAsia="宋体" w:cs="Times New Roman"/>
                <w:color w:val="auto"/>
                <w:sz w:val="24"/>
                <w:szCs w:val="24"/>
              </w:rPr>
              <w:t>发源于甘肃省渭源县鸟鼠山，自西向东经甘肃省的渭源、陇西、武山、甘谷、天水、宝鸡、杨凌、咸阳、渭南等市（区）后于潼关汇入黄河，全长818km，流域总面积13.5万km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。在本区宽500～1200m，为砂质河床，河床宽窄不等，河床最宽处2</w:t>
            </w:r>
            <w:r>
              <w:rPr>
                <w:rFonts w:hint="default" w:ascii="Times New Roman" w:hAnsi="Times New Roman" w:eastAsia="宋体" w:cs="Times New Roman"/>
                <w:color w:val="auto"/>
                <w:sz w:val="24"/>
                <w:szCs w:val="24"/>
                <w:lang w:val="en-US" w:eastAsia="zh-CN"/>
              </w:rPr>
              <w:t>km</w:t>
            </w:r>
            <w:r>
              <w:rPr>
                <w:rFonts w:hint="default" w:ascii="Times New Roman" w:hAnsi="Times New Roman" w:eastAsia="宋体" w:cs="Times New Roman"/>
                <w:color w:val="auto"/>
                <w:sz w:val="24"/>
                <w:szCs w:val="24"/>
              </w:rPr>
              <w:t>，最窄处700</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rPr>
              <w:t>，坡降平缓（0.5～0.8‰），河岸弯曲，河床不固定，迂回摆动，属典型的游荡性泥沙河床。据咸阳水文站资料，河流水位、流量随季节变化极大，暴涨暴落，河流流量多集中在七、八、九、十四个月，约占总径流量的62%。多年平均流量为43.06×10</w:t>
            </w:r>
            <w:r>
              <w:rPr>
                <w:rFonts w:hint="default" w:ascii="Times New Roman" w:hAnsi="Times New Roman" w:eastAsia="宋体" w:cs="Times New Roman"/>
                <w:color w:val="auto"/>
                <w:sz w:val="24"/>
                <w:szCs w:val="24"/>
                <w:vertAlign w:val="superscript"/>
              </w:rPr>
              <w:t>8</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，平均径流量136.5m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/s，渭河极端最小流量0.61m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/s（1995年），渭河极端最大流量7220m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/s（1954年）。多年平均含沙量31.0kg/m³，输沙量14091.9万吨。</w:t>
            </w:r>
            <w:r>
              <w:rPr>
                <w:rFonts w:hint="default" w:ascii="Times New Roman" w:hAnsi="Times New Roman" w:cs="Times New Roman"/>
                <w:color w:val="auto"/>
                <w:sz w:val="24"/>
                <w:highlight w:val="none"/>
              </w:rPr>
              <w:t>沣河</w:t>
            </w:r>
            <w:r>
              <w:rPr>
                <w:rFonts w:hint="eastAsia" w:ascii="Times New Roman" w:hAnsi="Times New Roman" w:cs="Times New Roman"/>
                <w:color w:val="auto"/>
                <w:sz w:val="24"/>
                <w:highlight w:val="none"/>
                <w:lang w:eastAsia="zh-CN"/>
              </w:rPr>
              <w:t>为</w:t>
            </w:r>
            <w:r>
              <w:rPr>
                <w:rFonts w:hint="default" w:ascii="Times New Roman" w:hAnsi="Times New Roman" w:cs="Times New Roman"/>
                <w:color w:val="auto"/>
                <w:sz w:val="24"/>
                <w:highlight w:val="none"/>
              </w:rPr>
              <w:t>渭河一级支流，发源于西安城区正南秦岭北坡长安区</w:t>
            </w:r>
            <w:r>
              <w:rPr>
                <w:rFonts w:hint="eastAsia" w:ascii="Times New Roman" w:hAnsi="Times New Roman" w:cs="Times New Roman"/>
                <w:color w:val="auto"/>
                <w:sz w:val="24"/>
                <w:highlight w:val="none"/>
                <w:lang w:eastAsia="zh-CN"/>
              </w:rPr>
              <w:t>滦镇街道</w:t>
            </w:r>
            <w:r>
              <w:rPr>
                <w:rFonts w:hint="default" w:ascii="Times New Roman" w:hAnsi="Times New Roman" w:cs="Times New Roman"/>
                <w:color w:val="auto"/>
                <w:sz w:val="24"/>
                <w:highlight w:val="none"/>
              </w:rPr>
              <w:t>鸡窝子。先后有潏河、太平河、高冠河汇入，流经长安、</w:t>
            </w:r>
            <w:r>
              <w:rPr>
                <w:rFonts w:hint="eastAsia" w:ascii="Times New Roman" w:hAnsi="Times New Roman" w:cs="Times New Roman"/>
                <w:color w:val="auto"/>
                <w:sz w:val="24"/>
                <w:highlight w:val="none"/>
                <w:lang w:eastAsia="zh-CN"/>
              </w:rPr>
              <w:t>鄠邑</w:t>
            </w:r>
            <w:r>
              <w:rPr>
                <w:rFonts w:hint="default" w:ascii="Times New Roman" w:hAnsi="Times New Roman" w:cs="Times New Roman"/>
                <w:color w:val="auto"/>
                <w:sz w:val="24"/>
                <w:highlight w:val="none"/>
              </w:rPr>
              <w:t>、咸阳，全长</w:t>
            </w:r>
            <w:r>
              <w:rPr>
                <w:rFonts w:hint="eastAsia" w:ascii="Times New Roman" w:hAnsi="Times New Roman" w:cs="Times New Roman"/>
                <w:color w:val="auto"/>
                <w:sz w:val="24"/>
                <w:highlight w:val="none"/>
                <w:lang w:val="en-US" w:eastAsia="zh-CN"/>
              </w:rPr>
              <w:t>82</w:t>
            </w:r>
            <w:r>
              <w:rPr>
                <w:rFonts w:hint="default" w:ascii="Times New Roman" w:hAnsi="Times New Roman" w:cs="Times New Roman"/>
                <w:color w:val="auto"/>
                <w:sz w:val="24"/>
                <w:highlight w:val="none"/>
              </w:rPr>
              <w:t>km，平均比降8.2‰，流域面积1</w:t>
            </w:r>
            <w:r>
              <w:rPr>
                <w:rFonts w:hint="eastAsia" w:ascii="Times New Roman" w:hAnsi="Times New Roman" w:cs="Times New Roman"/>
                <w:color w:val="auto"/>
                <w:sz w:val="24"/>
                <w:highlight w:val="none"/>
                <w:lang w:val="en-US" w:eastAsia="zh-CN"/>
              </w:rPr>
              <w:t>460</w:t>
            </w:r>
            <w:r>
              <w:rPr>
                <w:rFonts w:hint="default" w:ascii="Times New Roman" w:hAnsi="Times New Roman" w:cs="Times New Roman"/>
                <w:color w:val="auto"/>
                <w:sz w:val="24"/>
                <w:highlight w:val="none"/>
              </w:rPr>
              <w:t>km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，多年平均径流量4.</w:t>
            </w:r>
            <w:r>
              <w:rPr>
                <w:rFonts w:hint="eastAsia"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亿m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p>
          <w:p>
            <w:pPr>
              <w:pStyle w:val="2"/>
              <w:rPr>
                <w:rFonts w:hint="default"/>
                <w:color w:val="auto"/>
                <w:lang w:val="en-US" w:eastAsia="zh-CN"/>
              </w:rPr>
            </w:pPr>
            <w:r>
              <w:rPr>
                <w:rFonts w:hint="eastAsia"/>
                <w:color w:val="auto"/>
                <w:lang w:val="en-US" w:eastAsia="zh-CN"/>
              </w:rPr>
              <w:t>（3）社会经济</w:t>
            </w:r>
          </w:p>
          <w:p>
            <w:pPr>
              <w:keepNext w:val="0"/>
              <w:keepLines w:val="0"/>
              <w:pageBreakBefore w:val="0"/>
              <w:widowControl w:val="0"/>
              <w:kinsoku/>
              <w:wordWrap/>
              <w:overflowPunct/>
              <w:topLinePunct w:val="0"/>
              <w:autoSpaceDE/>
              <w:autoSpaceDN/>
              <w:bidi w:val="0"/>
              <w:adjustRightInd/>
              <w:snapToGrid/>
              <w:spacing w:line="360" w:lineRule="auto"/>
              <w:ind w:firstLine="460" w:firstLineChars="192"/>
              <w:textAlignment w:val="auto"/>
              <w:rPr>
                <w:rFonts w:hint="default" w:ascii="Times New Roman" w:hAnsi="Times New Roman" w:eastAsia="宋体" w:cs="Times New Roman"/>
                <w:b w:val="0"/>
                <w:bCs w:val="0"/>
                <w:color w:val="auto"/>
                <w:sz w:val="24"/>
                <w:szCs w:val="24"/>
              </w:rPr>
            </w:pPr>
            <w:r>
              <w:rPr>
                <w:rFonts w:hint="eastAsia" w:cs="Times New Roman"/>
                <w:b w:val="0"/>
                <w:bCs w:val="0"/>
                <w:color w:val="auto"/>
                <w:sz w:val="24"/>
                <w:szCs w:val="24"/>
                <w:lang w:eastAsia="zh-CN"/>
              </w:rPr>
              <w:t>沣西新城</w:t>
            </w:r>
            <w:r>
              <w:rPr>
                <w:rFonts w:hint="eastAsia" w:ascii="Times New Roman" w:hAnsi="Times New Roman" w:cs="Times New Roman"/>
                <w:b w:val="0"/>
                <w:bCs w:val="0"/>
                <w:color w:val="auto"/>
                <w:sz w:val="24"/>
                <w:szCs w:val="24"/>
                <w:lang w:val="en-US" w:eastAsia="zh-CN"/>
              </w:rPr>
              <w:t>地处</w:t>
            </w:r>
            <w:r>
              <w:rPr>
                <w:rFonts w:hint="default" w:ascii="Times New Roman" w:hAnsi="Times New Roman" w:cs="Times New Roman"/>
                <w:b w:val="0"/>
                <w:bCs w:val="0"/>
                <w:color w:val="auto"/>
                <w:sz w:val="24"/>
                <w:szCs w:val="24"/>
                <w:lang w:val="en-US" w:eastAsia="zh-CN"/>
              </w:rPr>
              <w:t>陕西省关中平原中部，隶属于</w:t>
            </w:r>
            <w:r>
              <w:rPr>
                <w:rFonts w:hint="eastAsia" w:ascii="Times New Roman" w:hAnsi="Times New Roman" w:cs="Times New Roman"/>
                <w:b w:val="0"/>
                <w:bCs w:val="0"/>
                <w:color w:val="auto"/>
                <w:sz w:val="24"/>
                <w:szCs w:val="24"/>
                <w:lang w:val="en-US" w:eastAsia="zh-CN"/>
              </w:rPr>
              <w:t>西咸新区</w:t>
            </w:r>
            <w:r>
              <w:rPr>
                <w:rFonts w:hint="default" w:ascii="Times New Roman" w:hAnsi="Times New Roman" w:cs="Times New Roman"/>
                <w:b w:val="0"/>
                <w:bCs w:val="0"/>
                <w:color w:val="auto"/>
                <w:sz w:val="24"/>
                <w:szCs w:val="24"/>
                <w:lang w:val="en-US" w:eastAsia="zh-CN"/>
              </w:rPr>
              <w:t>管辖范围</w:t>
            </w:r>
            <w:r>
              <w:rPr>
                <w:rFonts w:hint="eastAsia" w:ascii="Times New Roman" w:hAnsi="Times New Roman" w:cs="Times New Roman"/>
                <w:b w:val="0"/>
                <w:bCs w:val="0"/>
                <w:color w:val="auto"/>
                <w:sz w:val="24"/>
                <w:szCs w:val="24"/>
                <w:lang w:val="en-US" w:eastAsia="zh-CN"/>
              </w:rPr>
              <w:t>，</w:t>
            </w:r>
            <w:r>
              <w:rPr>
                <w:rFonts w:hint="default" w:ascii="Times New Roman" w:hAnsi="Times New Roman" w:cs="Times New Roman"/>
                <w:b w:val="0"/>
                <w:bCs w:val="0"/>
                <w:color w:val="auto"/>
                <w:sz w:val="24"/>
                <w:szCs w:val="24"/>
                <w:lang w:val="en-US" w:eastAsia="zh-CN"/>
              </w:rPr>
              <w:t>位于</w:t>
            </w:r>
            <w:r>
              <w:rPr>
                <w:rFonts w:hint="default" w:ascii="Times New Roman" w:hAnsi="Times New Roman" w:cs="Times New Roman"/>
                <w:b w:val="0"/>
                <w:bCs w:val="0"/>
                <w:color w:val="auto"/>
                <w:sz w:val="24"/>
                <w:szCs w:val="24"/>
                <w:lang w:val="en-US" w:eastAsia="zh-CN"/>
              </w:rPr>
              <w:fldChar w:fldCharType="begin"/>
            </w:r>
            <w:r>
              <w:rPr>
                <w:rFonts w:hint="default" w:ascii="Times New Roman" w:hAnsi="Times New Roman" w:cs="Times New Roman"/>
                <w:b w:val="0"/>
                <w:bCs w:val="0"/>
                <w:color w:val="auto"/>
                <w:sz w:val="24"/>
                <w:szCs w:val="24"/>
                <w:lang w:val="en-US" w:eastAsia="zh-CN"/>
              </w:rPr>
              <w:instrText xml:space="preserve"> HYPERLINK "https://baike.baidu.com/item/%E8%A5%BF%E5%92%B8%E6%96%B0%E5%8C%BA/8134358" \t "https://baike.baidu.com/item/%E7%A7%A6%E6%B1%89%E6%96%B0%E5%9F%8E/_blank" </w:instrText>
            </w:r>
            <w:r>
              <w:rPr>
                <w:rFonts w:hint="default" w:ascii="Times New Roman" w:hAnsi="Times New Roman" w:cs="Times New Roman"/>
                <w:b w:val="0"/>
                <w:bCs w:val="0"/>
                <w:color w:val="auto"/>
                <w:sz w:val="24"/>
                <w:szCs w:val="24"/>
                <w:lang w:val="en-US" w:eastAsia="zh-CN"/>
              </w:rPr>
              <w:fldChar w:fldCharType="separate"/>
            </w:r>
            <w:r>
              <w:rPr>
                <w:rFonts w:hint="default" w:ascii="Times New Roman" w:hAnsi="Times New Roman" w:cs="Times New Roman"/>
                <w:b w:val="0"/>
                <w:bCs w:val="0"/>
                <w:color w:val="auto"/>
                <w:sz w:val="24"/>
                <w:szCs w:val="24"/>
                <w:lang w:val="en-US" w:eastAsia="zh-CN"/>
              </w:rPr>
              <w:t>西咸新区</w:t>
            </w:r>
            <w:r>
              <w:rPr>
                <w:rFonts w:hint="default" w:ascii="Times New Roman" w:hAnsi="Times New Roman" w:cs="Times New Roman"/>
                <w:b w:val="0"/>
                <w:bCs w:val="0"/>
                <w:color w:val="auto"/>
                <w:sz w:val="24"/>
                <w:szCs w:val="24"/>
                <w:lang w:val="en-US" w:eastAsia="zh-CN"/>
              </w:rPr>
              <w:fldChar w:fldCharType="end"/>
            </w:r>
            <w:r>
              <w:rPr>
                <w:rFonts w:hint="default" w:ascii="Times New Roman" w:hAnsi="Times New Roman" w:cs="Times New Roman"/>
                <w:b w:val="0"/>
                <w:bCs w:val="0"/>
                <w:color w:val="auto"/>
                <w:sz w:val="24"/>
                <w:szCs w:val="24"/>
                <w:lang w:val="en-US" w:eastAsia="zh-CN"/>
              </w:rPr>
              <w:t>的几何中心，</w:t>
            </w:r>
            <w:r>
              <w:rPr>
                <w:rFonts w:hint="eastAsia" w:cs="Times New Roman"/>
                <w:b w:val="0"/>
                <w:bCs w:val="0"/>
                <w:color w:val="auto"/>
                <w:sz w:val="24"/>
                <w:szCs w:val="24"/>
                <w:lang w:val="en-US" w:eastAsia="zh-CN"/>
              </w:rPr>
              <w:t>北</w:t>
            </w:r>
            <w:r>
              <w:rPr>
                <w:rFonts w:hint="default" w:ascii="Times New Roman" w:hAnsi="Times New Roman" w:cs="Times New Roman"/>
                <w:b w:val="0"/>
                <w:bCs w:val="0"/>
                <w:color w:val="auto"/>
                <w:sz w:val="24"/>
                <w:szCs w:val="24"/>
                <w:lang w:val="en-US" w:eastAsia="zh-CN"/>
              </w:rPr>
              <w:t>接咸阳主城区，南与西安相联</w:t>
            </w:r>
            <w:r>
              <w:rPr>
                <w:rFonts w:hint="eastAsia" w:cs="Times New Roman"/>
                <w:b w:val="0"/>
                <w:bCs w:val="0"/>
                <w:color w:val="auto"/>
                <w:sz w:val="24"/>
                <w:szCs w:val="24"/>
                <w:lang w:val="en-US" w:eastAsia="zh-CN"/>
              </w:rPr>
              <w:t>，东跨渭河与沣东新城相连</w:t>
            </w:r>
            <w:r>
              <w:rPr>
                <w:rFonts w:hint="default" w:ascii="Times New Roman" w:hAnsi="Times New Roman" w:cs="Times New Roman"/>
                <w:b w:val="0"/>
                <w:bCs w:val="0"/>
                <w:color w:val="auto"/>
                <w:sz w:val="24"/>
                <w:szCs w:val="24"/>
                <w:lang w:val="en-US" w:eastAsia="zh-CN"/>
              </w:rPr>
              <w:t>，是西咸新区五大功能组团的核心载体。</w:t>
            </w:r>
          </w:p>
          <w:p>
            <w:pPr>
              <w:spacing w:line="520" w:lineRule="exact"/>
              <w:ind w:firstLine="480" w:firstLineChars="200"/>
              <w:rPr>
                <w:rFonts w:hint="eastAsia"/>
                <w:sz w:val="24"/>
                <w:highlight w:val="none"/>
                <w:lang w:eastAsia="zh-CN"/>
              </w:rPr>
            </w:pPr>
            <w:r>
              <w:rPr>
                <w:rFonts w:hint="eastAsia"/>
                <w:sz w:val="24"/>
                <w:highlight w:val="none"/>
              </w:rPr>
              <w:t>沣西新城行政划属西咸新区。沣西新城地处沣河与渭河交汇的三角地带，位于西安与咸阳两市之间，东至沣河，南至大王镇及马王街办南端，西至规划中的西咸环线，北至渭河，规划总面积143km</w:t>
            </w:r>
            <w:r>
              <w:rPr>
                <w:rFonts w:hint="eastAsia"/>
                <w:sz w:val="24"/>
                <w:highlight w:val="none"/>
                <w:vertAlign w:val="superscript"/>
              </w:rPr>
              <w:t>2</w:t>
            </w:r>
            <w:r>
              <w:rPr>
                <w:rFonts w:hint="eastAsia"/>
                <w:sz w:val="24"/>
                <w:highlight w:val="none"/>
                <w:lang w:eastAsia="zh-CN"/>
              </w:rPr>
              <w:t>。</w:t>
            </w:r>
          </w:p>
          <w:p>
            <w:pPr>
              <w:spacing w:line="520" w:lineRule="exact"/>
              <w:ind w:firstLine="480" w:firstLineChars="200"/>
              <w:rPr>
                <w:rFonts w:cs="宋体"/>
                <w:sz w:val="24"/>
                <w:szCs w:val="24"/>
                <w:highlight w:val="none"/>
              </w:rPr>
            </w:pPr>
            <w:r>
              <w:rPr>
                <w:rFonts w:hint="eastAsia"/>
                <w:sz w:val="24"/>
                <w:highlight w:val="none"/>
                <w:lang w:eastAsia="zh-CN"/>
              </w:rPr>
              <w:t>沣西新城位于渭河以南，沣河以西，地势总体西高东低，海拔为420-495m，区内大部分为黄土台塬，</w:t>
            </w:r>
            <w:r>
              <w:rPr>
                <w:rFonts w:hint="eastAsia"/>
                <w:sz w:val="24"/>
                <w:highlight w:val="none"/>
              </w:rPr>
              <w:t>东部为河流冲积平原河谷阶地。沣西新城位于西咸两市之间，东至沣河，南至大王镇及马王街办南端，西至规划中的西咸环线，北至连霍高速，包括鄠邑区的大王镇，长安区的马王街道、高桥街道，秦都区的钓台、陈杨寨街道，总面积143km</w:t>
            </w:r>
            <w:r>
              <w:rPr>
                <w:rFonts w:hint="eastAsia"/>
                <w:sz w:val="24"/>
                <w:highlight w:val="none"/>
                <w:vertAlign w:val="superscript"/>
              </w:rPr>
              <w:t>2</w:t>
            </w:r>
            <w:r>
              <w:rPr>
                <w:rFonts w:hint="eastAsia"/>
                <w:sz w:val="24"/>
                <w:highlight w:val="none"/>
              </w:rPr>
              <w:t>，其中，西安市占地93km</w:t>
            </w:r>
            <w:r>
              <w:rPr>
                <w:rFonts w:hint="eastAsia"/>
                <w:sz w:val="24"/>
                <w:highlight w:val="none"/>
                <w:vertAlign w:val="superscript"/>
              </w:rPr>
              <w:t>2</w:t>
            </w:r>
            <w:r>
              <w:rPr>
                <w:rFonts w:hint="eastAsia"/>
                <w:sz w:val="24"/>
                <w:highlight w:val="none"/>
              </w:rPr>
              <w:t>，咸阳市占地50km</w:t>
            </w:r>
            <w:r>
              <w:rPr>
                <w:rFonts w:hint="eastAsia"/>
                <w:sz w:val="24"/>
                <w:highlight w:val="none"/>
                <w:vertAlign w:val="superscript"/>
              </w:rPr>
              <w:t>2</w:t>
            </w:r>
            <w:r>
              <w:rPr>
                <w:rFonts w:hint="eastAsia"/>
                <w:sz w:val="24"/>
                <w:highlight w:val="none"/>
              </w:rPr>
              <w:t>；沣西新城遗址保护区面积8.6km</w:t>
            </w:r>
            <w:r>
              <w:rPr>
                <w:rFonts w:hint="eastAsia"/>
                <w:sz w:val="24"/>
                <w:highlight w:val="none"/>
                <w:vertAlign w:val="superscript"/>
              </w:rPr>
              <w:t>2</w:t>
            </w:r>
            <w:r>
              <w:rPr>
                <w:rFonts w:hint="eastAsia"/>
                <w:sz w:val="24"/>
                <w:highlight w:val="none"/>
              </w:rPr>
              <w:t>。主体功能是建设西安国际化大都市的新兴产业基地和综合服务副中心，重点发展信息技术、物联网、新材料、生物医药等战略性新兴产业，以及行政商务、都市农业等产业。</w:t>
            </w:r>
          </w:p>
          <w:p>
            <w:pPr>
              <w:pStyle w:val="5"/>
              <w:bidi w:val="0"/>
              <w:rPr>
                <w:rFonts w:hint="default"/>
                <w:color w:val="auto"/>
                <w:lang w:val="en-US" w:eastAsia="zh-CN"/>
              </w:rPr>
            </w:pPr>
            <w:r>
              <w:rPr>
                <w:rFonts w:hint="eastAsia"/>
                <w:color w:val="auto"/>
                <w:lang w:val="en-US" w:eastAsia="zh-CN"/>
              </w:rPr>
              <w:t>3、矿权基本情况</w:t>
            </w:r>
          </w:p>
          <w:p>
            <w:pPr>
              <w:spacing w:line="360" w:lineRule="auto"/>
              <w:ind w:firstLine="480" w:firstLineChars="200"/>
              <w:jc w:val="both"/>
              <w:rPr>
                <w:rFonts w:hint="eastAsia"/>
                <w:color w:val="FF0000"/>
                <w:lang w:eastAsia="zh-CN"/>
              </w:rPr>
            </w:pPr>
            <w:r>
              <w:rPr>
                <w:rFonts w:hint="eastAsia"/>
                <w:color w:val="auto"/>
                <w:kern w:val="1"/>
                <w:sz w:val="24"/>
                <w:szCs w:val="24"/>
                <w:lang w:eastAsia="zh-CN"/>
              </w:rPr>
              <w:t>咸阳职院</w:t>
            </w:r>
            <w:r>
              <w:rPr>
                <w:rFonts w:hint="eastAsia"/>
                <w:color w:val="auto"/>
                <w:kern w:val="1"/>
                <w:sz w:val="24"/>
                <w:szCs w:val="24"/>
                <w:lang w:val="en-US" w:eastAsia="zh-CN"/>
              </w:rPr>
              <w:t>地热区块采矿许可证最初是2010年由咸阳市国土资源局颁发，最初矿权面积为1km</w:t>
            </w:r>
            <w:r>
              <w:rPr>
                <w:rFonts w:hint="eastAsia"/>
                <w:color w:val="auto"/>
                <w:kern w:val="1"/>
                <w:sz w:val="24"/>
                <w:szCs w:val="24"/>
                <w:vertAlign w:val="superscript"/>
                <w:lang w:val="en-US" w:eastAsia="zh-CN"/>
              </w:rPr>
              <w:t>2</w:t>
            </w:r>
            <w:r>
              <w:rPr>
                <w:rFonts w:hint="eastAsia"/>
                <w:color w:val="auto"/>
                <w:kern w:val="1"/>
                <w:sz w:val="24"/>
                <w:szCs w:val="24"/>
                <w:vertAlign w:val="baseline"/>
                <w:lang w:val="en-US" w:eastAsia="zh-CN"/>
              </w:rPr>
              <w:t>，</w:t>
            </w:r>
            <w:r>
              <w:rPr>
                <w:rFonts w:hint="eastAsia"/>
                <w:color w:val="000000" w:themeColor="text1"/>
                <w:kern w:val="1"/>
                <w:sz w:val="24"/>
                <w:szCs w:val="24"/>
                <w:vertAlign w:val="baseline"/>
                <w:lang w:val="en-US" w:eastAsia="zh-CN"/>
                <w14:textFill>
                  <w14:solidFill>
                    <w14:schemeClr w14:val="tx1"/>
                  </w14:solidFill>
                </w14:textFill>
              </w:rPr>
              <w:t>批准生产规模为20.00万立方米/年，</w:t>
            </w:r>
            <w:r>
              <w:rPr>
                <w:rFonts w:hint="eastAsia"/>
                <w:color w:val="auto"/>
                <w:kern w:val="1"/>
                <w:sz w:val="24"/>
                <w:szCs w:val="24"/>
                <w:lang w:val="en-US" w:eastAsia="zh-CN"/>
              </w:rPr>
              <w:t>之后2013年10月进行延续，延续期限为3年，2016年10月到期后由于行政规划隶属变更尚未明确，矿权延续未能按期进行</w:t>
            </w:r>
            <w:r>
              <w:rPr>
                <w:rFonts w:hint="eastAsia"/>
                <w:color w:val="000000" w:themeColor="text1"/>
                <w:kern w:val="1"/>
                <w:sz w:val="24"/>
                <w:szCs w:val="24"/>
                <w:vertAlign w:val="baseline"/>
                <w:lang w:val="en-US" w:eastAsia="zh-CN"/>
                <w14:textFill>
                  <w14:solidFill>
                    <w14:schemeClr w14:val="tx1"/>
                  </w14:solidFill>
                </w14:textFill>
              </w:rPr>
              <w:t>；</w:t>
            </w:r>
            <w:r>
              <w:rPr>
                <w:rFonts w:hint="eastAsia"/>
                <w:color w:val="auto"/>
                <w:kern w:val="1"/>
                <w:sz w:val="24"/>
                <w:szCs w:val="24"/>
                <w:lang w:val="en-US" w:eastAsia="zh-CN"/>
              </w:rPr>
              <w:t>直至2021年由陕西省西咸新区自然资源和规划局接管，同时为该矿区颁发了采矿权许可证，矿权面积变更为0.16km</w:t>
            </w:r>
            <w:r>
              <w:rPr>
                <w:rFonts w:hint="eastAsia"/>
                <w:color w:val="auto"/>
                <w:kern w:val="1"/>
                <w:sz w:val="24"/>
                <w:szCs w:val="24"/>
                <w:vertAlign w:val="superscript"/>
                <w:lang w:val="en-US" w:eastAsia="zh-CN"/>
              </w:rPr>
              <w:t>2</w:t>
            </w:r>
            <w:r>
              <w:rPr>
                <w:rFonts w:hint="eastAsia"/>
                <w:color w:val="auto"/>
                <w:kern w:val="1"/>
                <w:sz w:val="24"/>
                <w:szCs w:val="24"/>
                <w:vertAlign w:val="baseline"/>
                <w:lang w:val="en-US" w:eastAsia="zh-CN"/>
              </w:rPr>
              <w:t>，</w:t>
            </w:r>
            <w:r>
              <w:rPr>
                <w:rFonts w:hint="eastAsia"/>
                <w:color w:val="000000" w:themeColor="text1"/>
                <w:kern w:val="1"/>
                <w:sz w:val="24"/>
                <w:szCs w:val="24"/>
                <w:vertAlign w:val="baseline"/>
                <w:lang w:val="en-US" w:eastAsia="zh-CN"/>
                <w14:textFill>
                  <w14:solidFill>
                    <w14:schemeClr w14:val="tx1"/>
                  </w14:solidFill>
                </w14:textFill>
              </w:rPr>
              <w:t>生产规模仍为20.00万立方米/年，</w:t>
            </w:r>
            <w:r>
              <w:rPr>
                <w:rFonts w:hint="eastAsia"/>
                <w:color w:val="000000" w:themeColor="text1"/>
                <w:sz w:val="24"/>
                <w:szCs w:val="24"/>
                <w14:textFill>
                  <w14:solidFill>
                    <w14:schemeClr w14:val="tx1"/>
                  </w14:solidFill>
                </w14:textFill>
              </w:rPr>
              <w:t>采矿许可证有效期为</w:t>
            </w:r>
            <w:r>
              <w:rPr>
                <w:rFonts w:hint="eastAsia"/>
                <w:color w:val="000000" w:themeColor="text1"/>
                <w:sz w:val="24"/>
                <w:szCs w:val="24"/>
                <w:lang w:val="en-US" w:eastAsia="zh-CN"/>
                <w14:textFill>
                  <w14:solidFill>
                    <w14:schemeClr w14:val="tx1"/>
                  </w14:solidFill>
                </w14:textFill>
              </w:rPr>
              <w:t>1年（</w:t>
            </w:r>
            <w:r>
              <w:rPr>
                <w:color w:val="000000" w:themeColor="text1"/>
                <w:sz w:val="24"/>
                <w:szCs w:val="24"/>
                <w14:textFill>
                  <w14:solidFill>
                    <w14:schemeClr w14:val="tx1"/>
                  </w14:solidFill>
                </w14:textFill>
              </w:rPr>
              <w:t>20</w:t>
            </w:r>
            <w:r>
              <w:rPr>
                <w:rFonts w:hint="eastAsia"/>
                <w:color w:val="000000" w:themeColor="text1"/>
                <w:sz w:val="24"/>
                <w:szCs w:val="24"/>
                <w:lang w:val="en-US" w:eastAsia="zh-CN"/>
                <w14:textFill>
                  <w14:solidFill>
                    <w14:schemeClr w14:val="tx1"/>
                  </w14:solidFill>
                </w14:textFill>
              </w:rPr>
              <w:t>21</w:t>
            </w:r>
            <w:r>
              <w:rPr>
                <w:rFonts w:hint="eastAsia"/>
                <w:color w:val="000000" w:themeColor="text1"/>
                <w:sz w:val="24"/>
                <w:szCs w:val="24"/>
                <w14:textFill>
                  <w14:solidFill>
                    <w14:schemeClr w14:val="tx1"/>
                  </w14:solidFill>
                </w14:textFill>
              </w:rPr>
              <w:t>年</w:t>
            </w:r>
            <w:r>
              <w:rPr>
                <w:rFonts w:hint="eastAsia"/>
                <w:color w:val="000000" w:themeColor="text1"/>
                <w:sz w:val="24"/>
                <w:szCs w:val="24"/>
                <w:lang w:val="en-US" w:eastAsia="zh-CN"/>
                <w14:textFill>
                  <w14:solidFill>
                    <w14:schemeClr w14:val="tx1"/>
                  </w14:solidFill>
                </w14:textFill>
              </w:rPr>
              <w:t>10</w:t>
            </w:r>
            <w:r>
              <w:rPr>
                <w:rFonts w:hint="eastAsia"/>
                <w:color w:val="000000" w:themeColor="text1"/>
                <w:sz w:val="24"/>
                <w:szCs w:val="24"/>
                <w14:textFill>
                  <w14:solidFill>
                    <w14:schemeClr w14:val="tx1"/>
                  </w14:solidFill>
                </w14:textFill>
              </w:rPr>
              <w:t>月2</w:t>
            </w:r>
            <w:r>
              <w:rPr>
                <w:rFonts w:hint="eastAsia"/>
                <w:color w:val="000000" w:themeColor="text1"/>
                <w:sz w:val="24"/>
                <w:szCs w:val="24"/>
                <w:lang w:val="en-US" w:eastAsia="zh-CN"/>
                <w14:textFill>
                  <w14:solidFill>
                    <w14:schemeClr w14:val="tx1"/>
                  </w14:solidFill>
                </w14:textFill>
              </w:rPr>
              <w:t>7</w:t>
            </w:r>
            <w:r>
              <w:rPr>
                <w:rFonts w:hint="eastAsia"/>
                <w:color w:val="000000" w:themeColor="text1"/>
                <w:sz w:val="24"/>
                <w:szCs w:val="24"/>
                <w14:textFill>
                  <w14:solidFill>
                    <w14:schemeClr w14:val="tx1"/>
                  </w14:solidFill>
                </w14:textFill>
              </w:rPr>
              <w:t>日至</w:t>
            </w:r>
            <w:r>
              <w:rPr>
                <w:color w:val="000000" w:themeColor="text1"/>
                <w:sz w:val="24"/>
                <w:szCs w:val="24"/>
                <w14:textFill>
                  <w14:solidFill>
                    <w14:schemeClr w14:val="tx1"/>
                  </w14:solidFill>
                </w14:textFill>
              </w:rPr>
              <w:t>20</w:t>
            </w:r>
            <w:r>
              <w:rPr>
                <w:rFonts w:hint="eastAsia"/>
                <w:color w:val="000000" w:themeColor="text1"/>
                <w:sz w:val="24"/>
                <w:szCs w:val="24"/>
                <w14:textFill>
                  <w14:solidFill>
                    <w14:schemeClr w14:val="tx1"/>
                  </w14:solidFill>
                </w14:textFill>
              </w:rPr>
              <w:t>2</w:t>
            </w:r>
            <w:r>
              <w:rPr>
                <w:rFonts w:hint="eastAsia"/>
                <w:color w:val="000000" w:themeColor="text1"/>
                <w:sz w:val="24"/>
                <w:szCs w:val="24"/>
                <w:lang w:val="en-US" w:eastAsia="zh-CN"/>
                <w14:textFill>
                  <w14:solidFill>
                    <w14:schemeClr w14:val="tx1"/>
                  </w14:solidFill>
                </w14:textFill>
              </w:rPr>
              <w:t>2</w:t>
            </w:r>
            <w:r>
              <w:rPr>
                <w:rFonts w:hint="eastAsia"/>
                <w:color w:val="000000" w:themeColor="text1"/>
                <w:sz w:val="24"/>
                <w:szCs w:val="24"/>
                <w14:textFill>
                  <w14:solidFill>
                    <w14:schemeClr w14:val="tx1"/>
                  </w14:solidFill>
                </w14:textFill>
              </w:rPr>
              <w:t>年</w:t>
            </w:r>
            <w:r>
              <w:rPr>
                <w:rFonts w:hint="eastAsia"/>
                <w:color w:val="000000" w:themeColor="text1"/>
                <w:sz w:val="24"/>
                <w:szCs w:val="24"/>
                <w:lang w:val="en-US" w:eastAsia="zh-CN"/>
                <w14:textFill>
                  <w14:solidFill>
                    <w14:schemeClr w14:val="tx1"/>
                  </w14:solidFill>
                </w14:textFill>
              </w:rPr>
              <w:t>10</w:t>
            </w:r>
            <w:r>
              <w:rPr>
                <w:rFonts w:hint="eastAsia"/>
                <w:color w:val="000000" w:themeColor="text1"/>
                <w:sz w:val="24"/>
                <w:szCs w:val="24"/>
                <w14:textFill>
                  <w14:solidFill>
                    <w14:schemeClr w14:val="tx1"/>
                  </w14:solidFill>
                </w14:textFill>
              </w:rPr>
              <w:t>月</w:t>
            </w:r>
            <w:r>
              <w:rPr>
                <w:rFonts w:hint="eastAsia"/>
                <w:color w:val="000000" w:themeColor="text1"/>
                <w:sz w:val="24"/>
                <w:szCs w:val="24"/>
                <w:lang w:val="en-US" w:eastAsia="zh-CN"/>
                <w14:textFill>
                  <w14:solidFill>
                    <w14:schemeClr w14:val="tx1"/>
                  </w14:solidFill>
                </w14:textFill>
              </w:rPr>
              <w:t>2</w:t>
            </w:r>
            <w:r>
              <w:rPr>
                <w:rFonts w:hint="eastAsia"/>
                <w:color w:val="auto"/>
                <w:sz w:val="24"/>
                <w:szCs w:val="24"/>
                <w:lang w:val="en-US" w:eastAsia="zh-CN"/>
              </w:rPr>
              <w:t>7</w:t>
            </w:r>
            <w:r>
              <w:rPr>
                <w:rFonts w:hint="eastAsia"/>
                <w:color w:val="auto"/>
                <w:sz w:val="24"/>
                <w:szCs w:val="24"/>
              </w:rPr>
              <w:t>日</w:t>
            </w:r>
            <w:r>
              <w:rPr>
                <w:rFonts w:hint="eastAsia"/>
                <w:color w:val="auto"/>
                <w:sz w:val="24"/>
                <w:szCs w:val="24"/>
                <w:lang w:val="en-US" w:eastAsia="zh-CN"/>
              </w:rPr>
              <w:t>）</w:t>
            </w:r>
            <w:r>
              <w:rPr>
                <w:rFonts w:hint="eastAsia"/>
                <w:color w:val="auto"/>
                <w:lang w:val="en-US" w:eastAsia="zh-CN"/>
              </w:rPr>
              <w:t>采矿许可证</w:t>
            </w:r>
            <w:r>
              <w:rPr>
                <w:color w:val="auto"/>
              </w:rPr>
              <w:t>证号为：</w:t>
            </w:r>
            <w:r>
              <w:rPr>
                <w:color w:val="auto"/>
                <w:sz w:val="24"/>
                <w:szCs w:val="24"/>
              </w:rPr>
              <w:t>C6100002010081130072906</w:t>
            </w:r>
            <w:r>
              <w:rPr>
                <w:rFonts w:hint="eastAsia"/>
                <w:color w:val="auto"/>
                <w:lang w:val="zh-TW" w:eastAsia="zh-CN"/>
              </w:rPr>
              <w:t>，</w:t>
            </w:r>
            <w:r>
              <w:rPr>
                <w:rFonts w:hint="eastAsia"/>
                <w:color w:val="auto"/>
                <w:lang w:eastAsia="zh-CN"/>
              </w:rPr>
              <w:t>采矿许可证内容如下：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（1）矿山名称：</w:t>
            </w:r>
            <w:r>
              <w:rPr>
                <w:rFonts w:hint="eastAsia"/>
                <w:color w:val="000000" w:themeColor="text1"/>
                <w:sz w:val="24"/>
                <w:szCs w:val="24"/>
                <w:lang w:eastAsia="zh-CN"/>
                <w14:textFill>
                  <w14:solidFill>
                    <w14:schemeClr w14:val="tx1"/>
                  </w14:solidFill>
                </w14:textFill>
              </w:rPr>
              <w:t>中石化绿源地热能（陕西）开发有限公司咸阳职院地热区块</w:t>
            </w:r>
            <w:r>
              <w:rPr>
                <w:color w:val="000000" w:themeColor="text1"/>
                <w:sz w:val="24"/>
                <w:szCs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（2）矿山地点：</w:t>
            </w:r>
            <w:r>
              <w:rPr>
                <w:rFonts w:hint="eastAsia"/>
                <w:color w:val="000000" w:themeColor="text1"/>
                <w:sz w:val="24"/>
                <w:szCs w:val="24"/>
                <w:lang w:eastAsia="zh-CN"/>
                <w14:textFill>
                  <w14:solidFill>
                    <w14:schemeClr w14:val="tx1"/>
                  </w14:solidFill>
                </w14:textFill>
              </w:rPr>
              <w:t>陕西省</w:t>
            </w:r>
            <w:r>
              <w:rPr>
                <w:rFonts w:hint="eastAsia" w:ascii="Times New Roman" w:hAnsi="Times New Roman" w:cs="Times New Roman"/>
                <w:color w:val="000000" w:themeColor="text1"/>
                <w:sz w:val="24"/>
                <w:szCs w:val="24"/>
                <w:lang w:eastAsia="zh-CN"/>
                <w14:textFill>
                  <w14:solidFill>
                    <w14:schemeClr w14:val="tx1"/>
                  </w14:solidFill>
                </w14:textFill>
              </w:rPr>
              <w:t>西咸新区沣西新城白马河路以东，统一西路以南（咸阳职业技术学院内）；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（3）矿区面积：</w:t>
            </w:r>
            <w:r>
              <w:rPr>
                <w:rFonts w:hint="eastAsia"/>
                <w:color w:val="000000" w:themeColor="text1"/>
                <w:sz w:val="24"/>
                <w:szCs w:val="24"/>
                <w:lang w:val="en-US" w:eastAsia="zh-CN"/>
                <w14:textFill>
                  <w14:solidFill>
                    <w14:schemeClr w14:val="tx1"/>
                  </w14:solidFill>
                </w14:textFill>
              </w:rPr>
              <w:t>0.16</w:t>
            </w:r>
            <w:r>
              <w:rPr>
                <w:color w:val="000000" w:themeColor="text1"/>
                <w:sz w:val="24"/>
                <w:szCs w:val="24"/>
                <w14:textFill>
                  <w14:solidFill>
                    <w14:schemeClr w14:val="tx1"/>
                  </w14:solidFill>
                </w14:textFill>
              </w:rPr>
              <w:t>km</w:t>
            </w:r>
            <w:r>
              <w:rPr>
                <w:color w:val="000000" w:themeColor="text1"/>
                <w:sz w:val="24"/>
                <w:szCs w:val="24"/>
                <w:vertAlign w:val="superscript"/>
                <w14:textFill>
                  <w14:solidFill>
                    <w14:schemeClr w14:val="tx1"/>
                  </w14:solidFill>
                </w14:textFill>
              </w:rPr>
              <w:t>2</w:t>
            </w:r>
            <w:r>
              <w:rPr>
                <w:color w:val="000000" w:themeColor="text1"/>
                <w:sz w:val="24"/>
                <w:szCs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（4）开采矿种：</w:t>
            </w:r>
            <w:r>
              <w:rPr>
                <w:rFonts w:hint="eastAsia"/>
                <w:color w:val="000000" w:themeColor="text1"/>
                <w:sz w:val="24"/>
                <w:szCs w:val="24"/>
                <w:lang w:eastAsia="zh-CN"/>
                <w14:textFill>
                  <w14:solidFill>
                    <w14:schemeClr w14:val="tx1"/>
                  </w14:solidFill>
                </w14:textFill>
              </w:rPr>
              <w:t>地热</w:t>
            </w:r>
            <w:r>
              <w:rPr>
                <w:color w:val="000000" w:themeColor="text1"/>
                <w:sz w:val="24"/>
                <w:szCs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（5）建设性质：生产矿山；</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（6）建设规模：生产规模</w:t>
            </w:r>
            <w:r>
              <w:rPr>
                <w:rFonts w:hint="eastAsia"/>
                <w:color w:val="000000" w:themeColor="text1"/>
                <w:sz w:val="24"/>
                <w:szCs w:val="24"/>
                <w:lang w:val="en-US" w:eastAsia="zh-CN"/>
                <w14:textFill>
                  <w14:solidFill>
                    <w14:schemeClr w14:val="tx1"/>
                  </w14:solidFill>
                </w14:textFill>
              </w:rPr>
              <w:t>8.0</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（7）</w:t>
            </w:r>
            <w:r>
              <w:rPr>
                <w:rFonts w:hint="eastAsia"/>
                <w:color w:val="000000" w:themeColor="text1"/>
                <w:sz w:val="24"/>
                <w:szCs w:val="24"/>
                <w14:textFill>
                  <w14:solidFill>
                    <w14:schemeClr w14:val="tx1"/>
                  </w14:solidFill>
                </w14:textFill>
              </w:rPr>
              <w:t>开采方式</w:t>
            </w:r>
            <w:r>
              <w:rPr>
                <w:rFonts w:hint="eastAsia"/>
                <w:color w:val="000000" w:themeColor="text1"/>
                <w:sz w:val="24"/>
                <w:szCs w:val="24"/>
                <w:lang w:eastAsia="zh-CN"/>
                <w14:textFill>
                  <w14:solidFill>
                    <w14:schemeClr w14:val="tx1"/>
                  </w14:solidFill>
                </w14:textFill>
              </w:rPr>
              <w:t>及用途</w:t>
            </w:r>
            <w:r>
              <w:rPr>
                <w:rFonts w:hint="eastAsia"/>
                <w:color w:val="000000" w:themeColor="text1"/>
                <w:sz w:val="24"/>
                <w:szCs w:val="24"/>
                <w14:textFill>
                  <w14:solidFill>
                    <w14:schemeClr w14:val="tx1"/>
                  </w14:solidFill>
                </w14:textFill>
              </w:rPr>
              <w:t>：地热井泵抽的方式</w:t>
            </w:r>
            <w:r>
              <w:rPr>
                <w:rFonts w:hint="eastAsia"/>
                <w:color w:val="000000" w:themeColor="text1"/>
                <w:sz w:val="24"/>
                <w:szCs w:val="24"/>
                <w:lang w:eastAsia="zh-CN"/>
                <w14:textFill>
                  <w14:solidFill>
                    <w14:schemeClr w14:val="tx1"/>
                  </w14:solidFill>
                </w14:textFill>
              </w:rPr>
              <w:t>，主要用于地热供暖</w:t>
            </w:r>
            <w:r>
              <w:rPr>
                <w:rFonts w:hint="eastAsia"/>
                <w:color w:val="000000" w:themeColor="text1"/>
                <w:sz w:val="24"/>
                <w:szCs w:val="24"/>
                <w14:textFill>
                  <w14:solidFill>
                    <w14:schemeClr w14:val="tx1"/>
                  </w14:solidFill>
                </w14:textFill>
              </w:rPr>
              <w:t>；</w:t>
            </w:r>
          </w:p>
          <w:p>
            <w:pPr>
              <w:bidi w:val="0"/>
              <w:rPr>
                <w:rFonts w:hint="default"/>
                <w:color w:val="FF0000"/>
                <w:lang w:val="en-US" w:eastAsia="zh-CN"/>
              </w:rPr>
            </w:pPr>
            <w:r>
              <w:rPr>
                <w:rFonts w:hint="eastAsia"/>
                <w:color w:val="auto"/>
                <w:sz w:val="24"/>
                <w:szCs w:val="24"/>
                <w:lang w:eastAsia="zh-CN"/>
              </w:rPr>
              <w:t>咸阳职院地热区块以</w:t>
            </w:r>
            <w:r>
              <w:rPr>
                <w:color w:val="auto"/>
                <w:sz w:val="24"/>
                <w:szCs w:val="24"/>
              </w:rPr>
              <w:t>泵抽的形式</w:t>
            </w:r>
            <w:r>
              <w:rPr>
                <w:rFonts w:hint="eastAsia"/>
                <w:color w:val="auto"/>
                <w:sz w:val="24"/>
                <w:szCs w:val="24"/>
                <w:lang w:eastAsia="zh-CN"/>
              </w:rPr>
              <w:t>将地下热水从职院定向井中抽出，</w:t>
            </w:r>
            <w:r>
              <w:rPr>
                <w:color w:val="auto"/>
                <w:sz w:val="24"/>
                <w:szCs w:val="24"/>
              </w:rPr>
              <w:t>输至地热原水经一级板换换热后温度为47℃，之后进行二次板换提取热量，最终</w:t>
            </w:r>
            <w:r>
              <w:rPr>
                <w:rFonts w:hint="eastAsia"/>
                <w:color w:val="auto"/>
                <w:sz w:val="24"/>
                <w:szCs w:val="24"/>
              </w:rPr>
              <w:t>尾水排放至1-2回灌井，</w:t>
            </w:r>
            <w:r>
              <w:rPr>
                <w:color w:val="auto"/>
                <w:sz w:val="24"/>
                <w:szCs w:val="24"/>
              </w:rPr>
              <w:t>排放尾水温度为20℃，</w:t>
            </w:r>
            <w:r>
              <w:rPr>
                <w:rFonts w:hint="eastAsia"/>
                <w:color w:val="auto"/>
                <w:sz w:val="24"/>
                <w:szCs w:val="24"/>
              </w:rPr>
              <w:t>项目取用地热资源用于市政供暖</w:t>
            </w:r>
            <w:r>
              <w:rPr>
                <w:color w:val="auto"/>
                <w:sz w:val="24"/>
                <w:szCs w:val="24"/>
              </w:rPr>
              <w:t>。</w:t>
            </w:r>
          </w:p>
          <w:p>
            <w:pPr>
              <w:pStyle w:val="5"/>
              <w:bidi w:val="0"/>
              <w:rPr>
                <w:rFonts w:hint="default"/>
                <w:color w:val="auto"/>
                <w:lang w:val="en-US" w:eastAsia="zh-CN"/>
              </w:rPr>
            </w:pPr>
            <w:r>
              <w:rPr>
                <w:rFonts w:hint="eastAsia"/>
                <w:color w:val="auto"/>
                <w:lang w:val="en-US" w:eastAsia="zh-CN"/>
              </w:rPr>
              <w:t>4、地热区块开发现状</w:t>
            </w:r>
          </w:p>
          <w:p>
            <w:pPr>
              <w:spacing w:line="360" w:lineRule="auto"/>
              <w:ind w:firstLine="480" w:firstLineChars="200"/>
              <w:rPr>
                <w:rFonts w:hAnsi="宋体"/>
                <w:color w:val="auto"/>
                <w:sz w:val="28"/>
                <w:szCs w:val="28"/>
              </w:rPr>
            </w:pPr>
            <w:r>
              <w:rPr>
                <w:rFonts w:hint="default"/>
                <w:color w:val="auto"/>
                <w:lang w:val="en-US" w:eastAsia="zh-CN"/>
              </w:rPr>
              <w:t>开发利用方案：矿区地热资源开采方式为管井（地热井）抽汲式，矿区目前有地热</w:t>
            </w:r>
            <w:r>
              <w:rPr>
                <w:rFonts w:hint="eastAsia"/>
                <w:color w:val="auto"/>
                <w:lang w:val="en-US" w:eastAsia="zh-CN"/>
              </w:rPr>
              <w:t>开采</w:t>
            </w:r>
            <w:r>
              <w:rPr>
                <w:rFonts w:hint="default"/>
                <w:color w:val="auto"/>
                <w:lang w:val="en-US" w:eastAsia="zh-CN"/>
              </w:rPr>
              <w:t>井</w:t>
            </w:r>
            <w:r>
              <w:rPr>
                <w:rFonts w:hint="eastAsia"/>
                <w:color w:val="auto"/>
                <w:lang w:val="en-US" w:eastAsia="zh-CN"/>
              </w:rPr>
              <w:t>1</w:t>
            </w:r>
            <w:r>
              <w:rPr>
                <w:rFonts w:hint="default"/>
                <w:color w:val="auto"/>
                <w:lang w:val="en-US" w:eastAsia="zh-CN"/>
              </w:rPr>
              <w:t>眼</w:t>
            </w:r>
            <w:r>
              <w:rPr>
                <w:rFonts w:hint="eastAsia"/>
                <w:color w:val="auto"/>
                <w:lang w:val="en-US" w:eastAsia="zh-CN"/>
              </w:rPr>
              <w:t>（职院定向井）</w:t>
            </w:r>
            <w:r>
              <w:rPr>
                <w:rFonts w:hint="default"/>
                <w:color w:val="auto"/>
                <w:lang w:val="en-US" w:eastAsia="zh-CN"/>
              </w:rPr>
              <w:t>，</w:t>
            </w:r>
            <w:r>
              <w:rPr>
                <w:rFonts w:hint="eastAsia"/>
                <w:color w:val="auto"/>
                <w:lang w:val="en-US" w:eastAsia="zh-CN"/>
              </w:rPr>
              <w:t>与其配套的回灌井1眼（职院1-2回灌井），2眼地热井均在咸阳职院地热区块内。</w:t>
            </w:r>
            <w:r>
              <w:rPr>
                <w:rFonts w:hint="eastAsia"/>
                <w:color w:val="auto"/>
                <w:kern w:val="1"/>
                <w:sz w:val="24"/>
                <w:szCs w:val="24"/>
              </w:rPr>
              <w:t>咸职院定向井</w:t>
            </w:r>
            <w:r>
              <w:rPr>
                <w:color w:val="auto"/>
                <w:sz w:val="24"/>
                <w:szCs w:val="24"/>
              </w:rPr>
              <w:t>井口坐标：X=3796579</w:t>
            </w:r>
            <w:r>
              <w:rPr>
                <w:rFonts w:hint="eastAsia"/>
                <w:color w:val="auto"/>
                <w:sz w:val="24"/>
                <w:szCs w:val="24"/>
              </w:rPr>
              <w:t>.</w:t>
            </w:r>
            <w:r>
              <w:rPr>
                <w:color w:val="auto"/>
                <w:sz w:val="24"/>
                <w:szCs w:val="24"/>
              </w:rPr>
              <w:t>389，Y=</w:t>
            </w:r>
            <w:r>
              <w:rPr>
                <w:rFonts w:hint="eastAsia"/>
                <w:color w:val="auto"/>
                <w:sz w:val="24"/>
                <w:szCs w:val="24"/>
              </w:rPr>
              <w:t>36</w:t>
            </w:r>
            <w:r>
              <w:rPr>
                <w:color w:val="auto"/>
                <w:sz w:val="24"/>
                <w:szCs w:val="24"/>
              </w:rPr>
              <w:t>567283.076</w:t>
            </w:r>
            <w:r>
              <w:rPr>
                <w:rFonts w:hint="eastAsia"/>
                <w:color w:val="auto"/>
                <w:sz w:val="24"/>
                <w:szCs w:val="24"/>
              </w:rPr>
              <w:t>，</w:t>
            </w:r>
            <w:r>
              <w:rPr>
                <w:rFonts w:hint="eastAsia"/>
                <w:color w:val="auto"/>
                <w:kern w:val="1"/>
                <w:sz w:val="24"/>
                <w:szCs w:val="24"/>
              </w:rPr>
              <w:t>井口标高为+381m，井深3600.00m（垂深3481.38m），</w:t>
            </w:r>
            <w:r>
              <w:rPr>
                <w:rFonts w:hint="eastAsia"/>
                <w:color w:val="auto"/>
                <w:sz w:val="24"/>
                <w:szCs w:val="24"/>
              </w:rPr>
              <w:t>井底闭合方位81.98°，井底水平位移591.13m，</w:t>
            </w:r>
            <w:r>
              <w:rPr>
                <w:rFonts w:hint="eastAsia"/>
                <w:color w:val="auto"/>
                <w:kern w:val="1"/>
                <w:sz w:val="24"/>
                <w:szCs w:val="24"/>
              </w:rPr>
              <w:t>开采层段为蓝田灞河组中下部和高陵群上部热储，取水段垂深2583.1-3481.38（斜深2598.7-3600m），</w:t>
            </w:r>
            <w:r>
              <w:rPr>
                <w:color w:val="auto"/>
                <w:sz w:val="24"/>
                <w:szCs w:val="24"/>
              </w:rPr>
              <w:t>地热井开采高程-2202.1m～-3100.38m</w:t>
            </w:r>
            <w:r>
              <w:rPr>
                <w:rFonts w:hint="eastAsia"/>
                <w:color w:val="auto"/>
                <w:kern w:val="1"/>
                <w:sz w:val="24"/>
                <w:szCs w:val="24"/>
              </w:rPr>
              <w:t>。成井时，水头标高为+413m，初始静水头为+32m，抽水试验最大降深64.1m时，井口出水量174.95m</w:t>
            </w:r>
            <w:r>
              <w:rPr>
                <w:rFonts w:hint="eastAsia"/>
                <w:color w:val="auto"/>
                <w:kern w:val="1"/>
                <w:sz w:val="24"/>
                <w:szCs w:val="24"/>
                <w:vertAlign w:val="superscript"/>
              </w:rPr>
              <w:t>3</w:t>
            </w:r>
            <w:r>
              <w:rPr>
                <w:rFonts w:hint="eastAsia"/>
                <w:color w:val="auto"/>
                <w:kern w:val="1"/>
                <w:sz w:val="24"/>
                <w:szCs w:val="24"/>
              </w:rPr>
              <w:t>/h，水温118℃。目前，</w:t>
            </w:r>
            <w:r>
              <w:rPr>
                <w:rFonts w:hint="eastAsia"/>
                <w:color w:val="auto"/>
                <w:sz w:val="24"/>
                <w:szCs w:val="24"/>
              </w:rPr>
              <w:t>该井静水位-73.91m，出水量为80m</w:t>
            </w:r>
            <w:r>
              <w:rPr>
                <w:rFonts w:hint="eastAsia"/>
                <w:color w:val="auto"/>
                <w:sz w:val="24"/>
                <w:szCs w:val="24"/>
                <w:vertAlign w:val="superscript"/>
              </w:rPr>
              <w:t>3</w:t>
            </w:r>
            <w:r>
              <w:rPr>
                <w:rFonts w:hint="eastAsia"/>
                <w:color w:val="auto"/>
                <w:sz w:val="24"/>
                <w:szCs w:val="24"/>
              </w:rPr>
              <w:t>/h，降深21.5m，水温94℃。咸阳职院1-2回灌井</w:t>
            </w:r>
            <w:r>
              <w:rPr>
                <w:color w:val="auto"/>
                <w:sz w:val="24"/>
                <w:szCs w:val="24"/>
              </w:rPr>
              <w:t>井口坐标：</w:t>
            </w:r>
            <w:r>
              <w:rPr>
                <w:rFonts w:hint="eastAsia"/>
                <w:color w:val="auto"/>
                <w:kern w:val="1"/>
                <w:sz w:val="24"/>
                <w:szCs w:val="24"/>
              </w:rPr>
              <w:t>X=3796480.182，Y=36567170.715，井口标高为+385m，</w:t>
            </w:r>
            <w:r>
              <w:rPr>
                <w:rFonts w:hint="eastAsia"/>
                <w:color w:val="auto"/>
                <w:sz w:val="24"/>
                <w:szCs w:val="24"/>
              </w:rPr>
              <w:t>井深3573m，回灌层段</w:t>
            </w:r>
            <w:r>
              <w:rPr>
                <w:color w:val="auto"/>
                <w:sz w:val="24"/>
                <w:szCs w:val="24"/>
              </w:rPr>
              <w:t>为蓝田灞河组</w:t>
            </w:r>
            <w:r>
              <w:rPr>
                <w:rFonts w:hint="eastAsia"/>
                <w:color w:val="auto"/>
                <w:sz w:val="24"/>
                <w:szCs w:val="24"/>
              </w:rPr>
              <w:t>和高陵群热储</w:t>
            </w:r>
            <w:r>
              <w:rPr>
                <w:color w:val="auto"/>
                <w:sz w:val="24"/>
                <w:szCs w:val="24"/>
              </w:rPr>
              <w:t>，</w:t>
            </w:r>
            <w:r>
              <w:rPr>
                <w:rFonts w:hint="eastAsia"/>
                <w:color w:val="auto"/>
                <w:sz w:val="24"/>
                <w:szCs w:val="24"/>
              </w:rPr>
              <w:t>回灌段深度为2440-3573</w:t>
            </w:r>
            <w:r>
              <w:rPr>
                <w:color w:val="auto"/>
                <w:sz w:val="24"/>
                <w:szCs w:val="24"/>
              </w:rPr>
              <w:t>m</w:t>
            </w:r>
            <w:r>
              <w:rPr>
                <w:rFonts w:hint="eastAsia"/>
                <w:color w:val="auto"/>
                <w:sz w:val="24"/>
                <w:szCs w:val="24"/>
                <w:lang w:eastAsia="zh-CN"/>
              </w:rPr>
              <w:t>（井深结构见表</w:t>
            </w:r>
            <w:r>
              <w:rPr>
                <w:rFonts w:hint="eastAsia"/>
                <w:color w:val="auto"/>
                <w:sz w:val="24"/>
                <w:szCs w:val="24"/>
                <w:lang w:val="en-US" w:eastAsia="zh-CN"/>
              </w:rPr>
              <w:t>3-1</w:t>
            </w:r>
            <w:r>
              <w:rPr>
                <w:rFonts w:hint="eastAsia"/>
                <w:color w:val="auto"/>
                <w:sz w:val="24"/>
                <w:szCs w:val="24"/>
                <w:lang w:eastAsia="zh-CN"/>
              </w:rPr>
              <w:t>）</w:t>
            </w:r>
            <w:r>
              <w:rPr>
                <w:color w:val="auto"/>
                <w:sz w:val="24"/>
                <w:szCs w:val="24"/>
              </w:rPr>
              <w:t>。</w:t>
            </w:r>
            <w:r>
              <w:rPr>
                <w:rFonts w:hint="eastAsia"/>
                <w:color w:val="auto"/>
                <w:kern w:val="1"/>
                <w:sz w:val="24"/>
                <w:szCs w:val="24"/>
              </w:rPr>
              <w:t>成井时初始静水位为-66m，抽水试验最大降深26m时，井口抽水量108.27m</w:t>
            </w:r>
            <w:r>
              <w:rPr>
                <w:rFonts w:hint="eastAsia"/>
                <w:color w:val="auto"/>
                <w:kern w:val="1"/>
                <w:sz w:val="24"/>
                <w:szCs w:val="24"/>
                <w:vertAlign w:val="superscript"/>
              </w:rPr>
              <w:t>3</w:t>
            </w:r>
            <w:r>
              <w:rPr>
                <w:rFonts w:hint="eastAsia"/>
                <w:color w:val="auto"/>
                <w:kern w:val="1"/>
                <w:sz w:val="24"/>
                <w:szCs w:val="24"/>
              </w:rPr>
              <w:t>/h，水温99℃，在2017年开始进行地热尾水回灌，回灌效果良好。</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仿宋_GB2312" w:hAnsi="仿宋_GB2312" w:cs="仿宋_GB2312"/>
                <w:color w:val="auto"/>
                <w:sz w:val="24"/>
                <w:szCs w:val="24"/>
              </w:rPr>
            </w:pPr>
            <w:r>
              <w:rPr>
                <w:rFonts w:hint="default" w:ascii="Times New Roman" w:hAnsi="Times New Roman" w:eastAsia="宋体" w:cs="Times New Roman"/>
                <w:sz w:val="24"/>
                <w:szCs w:val="24"/>
              </w:rPr>
              <w:t>咸职院定向井成井后即投入使用，为咸阳职业技术学院供暖，</w:t>
            </w:r>
            <w:r>
              <w:rPr>
                <w:rFonts w:hint="eastAsia" w:ascii="Times New Roman" w:hAnsi="Times New Roman" w:cs="Times New Roman"/>
                <w:sz w:val="24"/>
                <w:szCs w:val="24"/>
                <w:lang w:eastAsia="zh-CN"/>
              </w:rPr>
              <w:t>设计</w:t>
            </w:r>
            <w:r>
              <w:rPr>
                <w:rFonts w:hint="default" w:ascii="Times New Roman" w:hAnsi="Times New Roman" w:eastAsia="宋体" w:cs="Times New Roman"/>
                <w:sz w:val="24"/>
                <w:szCs w:val="24"/>
              </w:rPr>
              <w:t>供暖面积18.87</w:t>
            </w:r>
            <w:r>
              <w:rPr>
                <w:rFonts w:hint="eastAsia" w:ascii="Times New Roman" w:hAnsi="Times New Roman" w:cs="Times New Roman"/>
                <w:sz w:val="24"/>
                <w:szCs w:val="24"/>
                <w:lang w:eastAsia="zh-CN"/>
              </w:rPr>
              <w:t>万</w:t>
            </w: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，供暖方式为暖气片，该井热水经板换换热至47℃，47℃的尾水二次换热</w:t>
            </w:r>
            <w:r>
              <w:rPr>
                <w:rFonts w:hint="eastAsia" w:ascii="Times New Roman" w:hAnsi="Times New Roman" w:cs="Times New Roman"/>
                <w:sz w:val="24"/>
                <w:szCs w:val="24"/>
                <w:lang w:eastAsia="zh-CN"/>
              </w:rPr>
              <w:t>降</w:t>
            </w:r>
            <w:r>
              <w:rPr>
                <w:rFonts w:hint="default" w:ascii="Times New Roman" w:hAnsi="Times New Roman" w:eastAsia="宋体" w:cs="Times New Roman"/>
                <w:sz w:val="24"/>
                <w:szCs w:val="24"/>
              </w:rPr>
              <w:t>至</w:t>
            </w:r>
            <w:r>
              <w:rPr>
                <w:rFonts w:hint="eastAsia" w:cs="Times New Roman"/>
                <w:sz w:val="24"/>
                <w:szCs w:val="24"/>
                <w:lang w:val="en-US" w:eastAsia="zh-CN"/>
              </w:rPr>
              <w:t>20</w:t>
            </w:r>
            <w:r>
              <w:rPr>
                <w:rFonts w:hint="default" w:ascii="Times New Roman" w:hAnsi="Times New Roman" w:eastAsia="宋体" w:cs="Times New Roman"/>
                <w:sz w:val="24"/>
                <w:szCs w:val="24"/>
              </w:rPr>
              <w:t>℃</w:t>
            </w:r>
            <w:r>
              <w:rPr>
                <w:rFonts w:hint="default" w:ascii="Times New Roman" w:hAnsi="Times New Roman" w:eastAsia="宋体" w:cs="Times New Roman"/>
                <w:kern w:val="1"/>
                <w:sz w:val="24"/>
                <w:szCs w:val="24"/>
              </w:rPr>
              <w:t>，</w:t>
            </w:r>
            <w:r>
              <w:rPr>
                <w:rFonts w:hint="default" w:ascii="Times New Roman" w:hAnsi="Times New Roman" w:eastAsia="宋体" w:cs="Times New Roman"/>
                <w:sz w:val="24"/>
                <w:szCs w:val="24"/>
              </w:rPr>
              <w:t>采用地热井+天然气锅炉集成供暖完全满足咸阳职业技术学院冬季</w:t>
            </w:r>
            <w:r>
              <w:rPr>
                <w:rFonts w:hint="eastAsia" w:cs="Times New Roman"/>
                <w:sz w:val="24"/>
                <w:szCs w:val="24"/>
                <w:lang w:eastAsia="zh-CN"/>
              </w:rPr>
              <w:t>供</w:t>
            </w:r>
            <w:r>
              <w:rPr>
                <w:rFonts w:hint="default" w:ascii="Times New Roman" w:hAnsi="Times New Roman" w:eastAsia="宋体" w:cs="Times New Roman"/>
                <w:sz w:val="24"/>
                <w:szCs w:val="24"/>
              </w:rPr>
              <w:t>暖需求。咸阳职院1-2回灌井于2017年12月成井，并于当年投入使用，咸职院定向井地热水供暖后的</w:t>
            </w:r>
            <w:r>
              <w:rPr>
                <w:rFonts w:hint="eastAsia" w:cs="Times New Roman"/>
                <w:sz w:val="24"/>
                <w:szCs w:val="24"/>
                <w:lang w:val="en-US" w:eastAsia="zh-CN"/>
              </w:rPr>
              <w:t>20</w:t>
            </w:r>
            <w:r>
              <w:rPr>
                <w:rFonts w:hint="default" w:ascii="Times New Roman" w:hAnsi="Times New Roman" w:eastAsia="宋体" w:cs="Times New Roman"/>
                <w:sz w:val="24"/>
                <w:szCs w:val="24"/>
              </w:rPr>
              <w:t>℃的尾水全部回灌至咸阳职院1-2回灌井中。</w:t>
            </w:r>
            <w:r>
              <w:rPr>
                <w:rFonts w:hint="eastAsia" w:ascii="仿宋_GB2312" w:hAnsi="仿宋_GB2312" w:cs="仿宋_GB2312"/>
                <w:color w:val="auto"/>
                <w:sz w:val="24"/>
                <w:szCs w:val="24"/>
                <w:lang w:eastAsia="zh-CN"/>
              </w:rPr>
              <w:t>该地热区块</w:t>
            </w:r>
            <w:r>
              <w:rPr>
                <w:rFonts w:hint="eastAsia" w:ascii="仿宋_GB2312" w:hAnsi="仿宋_GB2312" w:cs="仿宋_GB2312"/>
                <w:color w:val="auto"/>
                <w:sz w:val="24"/>
                <w:szCs w:val="24"/>
              </w:rPr>
              <w:t>的地热</w:t>
            </w:r>
            <w:r>
              <w:rPr>
                <w:rFonts w:hint="eastAsia" w:ascii="仿宋_GB2312" w:hAnsi="仿宋_GB2312" w:cs="仿宋_GB2312"/>
                <w:color w:val="auto"/>
                <w:sz w:val="24"/>
                <w:szCs w:val="24"/>
                <w:lang w:eastAsia="zh-CN"/>
              </w:rPr>
              <w:t>资源开发全部</w:t>
            </w:r>
            <w:r>
              <w:rPr>
                <w:rFonts w:hint="eastAsia" w:ascii="仿宋_GB2312" w:hAnsi="仿宋_GB2312" w:cs="仿宋_GB2312"/>
                <w:color w:val="auto"/>
                <w:sz w:val="24"/>
                <w:szCs w:val="24"/>
              </w:rPr>
              <w:t>用于</w:t>
            </w:r>
            <w:r>
              <w:rPr>
                <w:rFonts w:hint="eastAsia" w:ascii="仿宋_GB2312" w:hAnsi="仿宋_GB2312" w:cs="仿宋_GB2312"/>
                <w:color w:val="auto"/>
                <w:sz w:val="24"/>
                <w:szCs w:val="24"/>
                <w:lang w:eastAsia="zh-CN"/>
              </w:rPr>
              <w:t>咸阳职院的市政</w:t>
            </w:r>
            <w:r>
              <w:rPr>
                <w:rFonts w:hint="eastAsia" w:ascii="仿宋_GB2312" w:hAnsi="仿宋_GB2312" w:cs="仿宋_GB2312"/>
                <w:color w:val="auto"/>
                <w:sz w:val="24"/>
                <w:szCs w:val="24"/>
              </w:rPr>
              <w:t>供暖。</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color w:val="FF0000"/>
              </w:rPr>
            </w:pPr>
            <w:r>
              <w:rPr>
                <w:rFonts w:hint="default"/>
                <w:color w:val="auto"/>
                <w:lang w:eastAsia="zh-CN"/>
              </w:rPr>
              <w:t>地热水开发利用</w:t>
            </w:r>
            <w:r>
              <w:rPr>
                <w:rFonts w:hint="default"/>
                <w:color w:val="auto"/>
              </w:rPr>
              <w:t>工艺流程：</w:t>
            </w:r>
            <w:r>
              <w:rPr>
                <w:rFonts w:hint="default" w:ascii="Times New Roman" w:hAnsi="Times New Roman" w:cs="Times New Roman"/>
                <w:color w:val="auto"/>
                <w:sz w:val="24"/>
                <w:szCs w:val="24"/>
              </w:rPr>
              <w:t>咸阳职院地热区块地热流体以泵抽的形式输至地热原水经一级板换换热后温度为47℃，之后进行二次板换提取热量，最终尾水排放至1-2回灌井，排放尾水温度为20℃，</w:t>
            </w:r>
            <w:r>
              <w:rPr>
                <w:rFonts w:hint="eastAsia"/>
                <w:color w:val="auto"/>
                <w:lang w:eastAsia="zh-CN"/>
              </w:rPr>
              <w:t>见图</w:t>
            </w:r>
            <w:r>
              <w:rPr>
                <w:rFonts w:hint="eastAsia"/>
                <w:color w:val="auto"/>
                <w:lang w:val="en-US" w:eastAsia="zh-CN"/>
              </w:rPr>
              <w:t>3，</w:t>
            </w:r>
            <w:r>
              <w:rPr>
                <w:rFonts w:hint="default" w:ascii="Times New Roman" w:hAnsi="Times New Roman" w:cs="Times New Roman"/>
                <w:color w:val="auto"/>
                <w:sz w:val="24"/>
                <w:szCs w:val="24"/>
              </w:rPr>
              <w:t>项目取用地热资源用于市政供暖。</w:t>
            </w:r>
          </w:p>
          <w:tbl>
            <w:tblPr>
              <w:tblStyle w:val="15"/>
              <w:tblW w:w="83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78" w:hRule="atLeast"/>
              </w:trPr>
              <w:tc>
                <w:tcPr>
                  <w:tcW w:w="83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FF0000"/>
                    </w:rPr>
                  </w:pPr>
                  <w:r>
                    <w:rPr>
                      <w:color w:val="auto"/>
                    </w:rPr>
                    <w:drawing>
                      <wp:inline distT="0" distB="0" distL="114300" distR="114300">
                        <wp:extent cx="4814570" cy="2663825"/>
                        <wp:effectExtent l="0" t="0" r="5080" b="3175"/>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11"/>
                                <a:srcRect l="3268" r="4628"/>
                                <a:stretch>
                                  <a:fillRect/>
                                </a:stretch>
                              </pic:blipFill>
                              <pic:spPr>
                                <a:xfrm>
                                  <a:off x="0" y="0"/>
                                  <a:ext cx="4814570" cy="26638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trPr>
              <w:tc>
                <w:tcPr>
                  <w:tcW w:w="830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color w:val="FF0000"/>
                    </w:rPr>
                  </w:pPr>
                  <w:r>
                    <w:rPr>
                      <w:rFonts w:hint="eastAsia" w:ascii="仿宋" w:hAnsi="仿宋" w:eastAsia="仿宋" w:cs="仿宋"/>
                      <w:b/>
                      <w:bCs/>
                      <w:color w:val="auto"/>
                      <w:lang w:eastAsia="zh-CN"/>
                    </w:rPr>
                    <w:t>图</w:t>
                  </w:r>
                  <w:r>
                    <w:rPr>
                      <w:rFonts w:hint="eastAsia" w:ascii="仿宋" w:hAnsi="仿宋" w:eastAsia="仿宋" w:cs="仿宋"/>
                      <w:b/>
                      <w:bCs/>
                      <w:color w:val="auto"/>
                      <w:lang w:val="en-US" w:eastAsia="zh-CN"/>
                    </w:rPr>
                    <w:t>3  咸阳职院地热区块地热开发利用工艺图</w:t>
                  </w:r>
                </w:p>
              </w:tc>
            </w:tr>
          </w:tbl>
          <w:p>
            <w:pPr>
              <w:adjustRightInd w:val="0"/>
              <w:spacing w:line="540" w:lineRule="exact"/>
              <w:jc w:val="left"/>
              <w:rPr>
                <w:rFonts w:hint="eastAsia" w:ascii="仿宋" w:hAnsi="仿宋" w:eastAsia="仿宋" w:cs="仿宋"/>
                <w:b/>
                <w:bCs/>
                <w:color w:val="auto"/>
              </w:rPr>
            </w:pPr>
            <w:r>
              <w:rPr>
                <w:rFonts w:hint="eastAsia"/>
                <w:color w:val="auto"/>
                <w:lang w:val="en-US" w:eastAsia="zh-CN"/>
              </w:rPr>
              <w:t>水质变化情况：</w:t>
            </w:r>
            <w:r>
              <w:rPr>
                <w:rFonts w:hint="eastAsia"/>
                <w:color w:val="auto"/>
                <w:sz w:val="24"/>
                <w:szCs w:val="24"/>
              </w:rPr>
              <w:t>将成</w:t>
            </w:r>
            <w:r>
              <w:rPr>
                <w:color w:val="auto"/>
                <w:sz w:val="24"/>
                <w:szCs w:val="24"/>
              </w:rPr>
              <w:t>井初期的水质化验资料与</w:t>
            </w:r>
            <w:r>
              <w:rPr>
                <w:rFonts w:hint="eastAsia"/>
                <w:color w:val="auto"/>
                <w:sz w:val="24"/>
                <w:szCs w:val="24"/>
                <w:lang w:eastAsia="zh-CN"/>
              </w:rPr>
              <w:t>近期</w:t>
            </w:r>
            <w:r>
              <w:rPr>
                <w:color w:val="auto"/>
                <w:sz w:val="24"/>
                <w:szCs w:val="24"/>
              </w:rPr>
              <w:t>水质资料进行分析对比，</w:t>
            </w:r>
            <w:r>
              <w:rPr>
                <w:rFonts w:hint="eastAsia"/>
                <w:color w:val="auto"/>
                <w:sz w:val="24"/>
                <w:szCs w:val="24"/>
                <w:lang w:eastAsia="zh-CN"/>
              </w:rPr>
              <w:t>水化学类型有一低昂的改变，</w:t>
            </w:r>
            <w:r>
              <w:rPr>
                <w:rFonts w:hint="eastAsia"/>
                <w:color w:val="auto"/>
                <w:sz w:val="24"/>
                <w:szCs w:val="24"/>
              </w:rPr>
              <w:t>由SO</w:t>
            </w:r>
            <w:r>
              <w:rPr>
                <w:rFonts w:hint="eastAsia"/>
                <w:color w:val="auto"/>
                <w:sz w:val="24"/>
                <w:szCs w:val="24"/>
                <w:vertAlign w:val="subscript"/>
              </w:rPr>
              <w:t>4</w:t>
            </w:r>
            <w:r>
              <w:rPr>
                <w:color w:val="auto"/>
                <w:kern w:val="0"/>
                <w:sz w:val="24"/>
                <w:szCs w:val="24"/>
              </w:rPr>
              <w:t>·</w:t>
            </w:r>
            <w:r>
              <w:rPr>
                <w:rFonts w:hint="eastAsia"/>
                <w:color w:val="auto"/>
                <w:sz w:val="24"/>
                <w:szCs w:val="24"/>
              </w:rPr>
              <w:t>HCO</w:t>
            </w:r>
            <w:r>
              <w:rPr>
                <w:rFonts w:hint="eastAsia"/>
                <w:color w:val="auto"/>
                <w:sz w:val="24"/>
                <w:szCs w:val="24"/>
                <w:vertAlign w:val="subscript"/>
              </w:rPr>
              <w:t>3</w:t>
            </w:r>
            <w:r>
              <w:rPr>
                <w:rFonts w:hint="eastAsia"/>
                <w:color w:val="auto"/>
                <w:sz w:val="24"/>
                <w:szCs w:val="24"/>
              </w:rPr>
              <w:t>-Na型水</w:t>
            </w:r>
            <w:r>
              <w:rPr>
                <w:rFonts w:hint="eastAsia"/>
                <w:color w:val="auto"/>
                <w:sz w:val="24"/>
                <w:szCs w:val="24"/>
                <w:lang w:eastAsia="zh-CN"/>
              </w:rPr>
              <w:t>转</w:t>
            </w:r>
            <w:r>
              <w:rPr>
                <w:rFonts w:hint="eastAsia"/>
                <w:color w:val="auto"/>
                <w:sz w:val="24"/>
                <w:szCs w:val="24"/>
              </w:rPr>
              <w:t>变为</w:t>
            </w:r>
            <w:r>
              <w:rPr>
                <w:color w:val="auto"/>
                <w:kern w:val="0"/>
                <w:sz w:val="24"/>
                <w:szCs w:val="24"/>
              </w:rPr>
              <w:t>HCO</w:t>
            </w:r>
            <w:r>
              <w:rPr>
                <w:color w:val="auto"/>
                <w:kern w:val="0"/>
                <w:sz w:val="24"/>
                <w:szCs w:val="24"/>
                <w:vertAlign w:val="subscript"/>
              </w:rPr>
              <w:t>3</w:t>
            </w:r>
            <w:r>
              <w:rPr>
                <w:color w:val="auto"/>
                <w:kern w:val="0"/>
                <w:sz w:val="24"/>
                <w:szCs w:val="24"/>
              </w:rPr>
              <w:t>·SO</w:t>
            </w:r>
            <w:r>
              <w:rPr>
                <w:color w:val="auto"/>
                <w:kern w:val="0"/>
                <w:sz w:val="24"/>
                <w:szCs w:val="24"/>
                <w:vertAlign w:val="subscript"/>
              </w:rPr>
              <w:t>4</w:t>
            </w:r>
            <w:r>
              <w:rPr>
                <w:color w:val="auto"/>
                <w:kern w:val="0"/>
                <w:sz w:val="24"/>
                <w:szCs w:val="24"/>
              </w:rPr>
              <w:t>-Na</w:t>
            </w:r>
            <w:r>
              <w:rPr>
                <w:color w:val="auto"/>
                <w:sz w:val="24"/>
                <w:szCs w:val="24"/>
              </w:rPr>
              <w:t>型水，主要离子含量均变小，变幅在0.63～35.4%之间，水质动态比较</w:t>
            </w:r>
            <w:r>
              <w:rPr>
                <w:rFonts w:hint="eastAsia"/>
                <w:color w:val="auto"/>
                <w:sz w:val="24"/>
                <w:szCs w:val="24"/>
              </w:rPr>
              <w:t>大，根据区域内不同深度水化学类型规律分析，造成上述变化的主要原因为随着回灌井的使用，井组间开采段上部水循环加快，同时上部储层向下越流补给量逐渐增大，使得地热流体水化学类型由SO</w:t>
            </w:r>
            <w:r>
              <w:rPr>
                <w:rFonts w:hint="eastAsia"/>
                <w:color w:val="auto"/>
                <w:sz w:val="24"/>
                <w:szCs w:val="24"/>
                <w:vertAlign w:val="subscript"/>
              </w:rPr>
              <w:t>4</w:t>
            </w:r>
            <w:r>
              <w:rPr>
                <w:rFonts w:hint="eastAsia"/>
                <w:color w:val="auto"/>
                <w:sz w:val="24"/>
                <w:szCs w:val="24"/>
              </w:rPr>
              <w:t>·HCO</w:t>
            </w:r>
            <w:r>
              <w:rPr>
                <w:rFonts w:hint="eastAsia"/>
                <w:color w:val="auto"/>
                <w:sz w:val="24"/>
                <w:szCs w:val="24"/>
                <w:vertAlign w:val="subscript"/>
              </w:rPr>
              <w:t>3</w:t>
            </w:r>
            <w:r>
              <w:rPr>
                <w:rFonts w:hint="eastAsia"/>
                <w:color w:val="auto"/>
                <w:sz w:val="24"/>
                <w:szCs w:val="24"/>
              </w:rPr>
              <w:t>-Na型水逐渐变为</w:t>
            </w:r>
            <w:r>
              <w:rPr>
                <w:color w:val="auto"/>
                <w:kern w:val="0"/>
                <w:sz w:val="24"/>
                <w:szCs w:val="24"/>
              </w:rPr>
              <w:t>HCO</w:t>
            </w:r>
            <w:r>
              <w:rPr>
                <w:color w:val="auto"/>
                <w:kern w:val="0"/>
                <w:sz w:val="24"/>
                <w:szCs w:val="24"/>
                <w:vertAlign w:val="subscript"/>
              </w:rPr>
              <w:t>3</w:t>
            </w:r>
            <w:r>
              <w:rPr>
                <w:color w:val="auto"/>
                <w:kern w:val="0"/>
                <w:sz w:val="24"/>
                <w:szCs w:val="24"/>
              </w:rPr>
              <w:t>·SO</w:t>
            </w:r>
            <w:r>
              <w:rPr>
                <w:color w:val="auto"/>
                <w:kern w:val="0"/>
                <w:sz w:val="24"/>
                <w:szCs w:val="24"/>
                <w:vertAlign w:val="subscript"/>
              </w:rPr>
              <w:t>4</w:t>
            </w:r>
            <w:r>
              <w:rPr>
                <w:color w:val="auto"/>
                <w:kern w:val="0"/>
                <w:sz w:val="24"/>
                <w:szCs w:val="24"/>
              </w:rPr>
              <w:t>-Na</w:t>
            </w:r>
            <w:r>
              <w:rPr>
                <w:color w:val="auto"/>
                <w:sz w:val="24"/>
                <w:szCs w:val="24"/>
              </w:rPr>
              <w:t>型水。</w:t>
            </w:r>
            <w:r>
              <w:rPr>
                <w:rFonts w:hint="eastAsia"/>
                <w:color w:val="auto"/>
                <w:sz w:val="24"/>
                <w:szCs w:val="24"/>
                <w:lang w:eastAsia="zh-CN"/>
              </w:rPr>
              <w:t>主要离子变化情况</w:t>
            </w:r>
            <w:r>
              <w:rPr>
                <w:color w:val="auto"/>
              </w:rPr>
              <w:t>见表</w:t>
            </w:r>
            <w:r>
              <w:rPr>
                <w:rFonts w:hint="eastAsia"/>
                <w:color w:val="auto"/>
                <w:lang w:val="en-US" w:eastAsia="zh-CN"/>
              </w:rPr>
              <w:t>1</w:t>
            </w:r>
            <w:r>
              <w:rPr>
                <w:color w:val="auto"/>
              </w:rPr>
              <w:t>。</w:t>
            </w:r>
          </w:p>
          <w:p>
            <w:pPr>
              <w:adjustRightInd w:val="0"/>
              <w:spacing w:line="540" w:lineRule="exact"/>
              <w:jc w:val="center"/>
              <w:rPr>
                <w:color w:val="auto"/>
              </w:rPr>
            </w:pPr>
            <w:r>
              <w:rPr>
                <w:rFonts w:hint="eastAsia" w:ascii="仿宋" w:hAnsi="仿宋" w:eastAsia="仿宋" w:cs="仿宋"/>
                <w:b/>
                <w:bCs/>
                <w:color w:val="auto"/>
                <w:lang w:eastAsia="zh-CN"/>
              </w:rPr>
              <w:t>咸阳职院</w:t>
            </w:r>
            <w:r>
              <w:rPr>
                <w:rFonts w:hint="eastAsia" w:ascii="仿宋" w:hAnsi="仿宋" w:eastAsia="仿宋" w:cs="仿宋"/>
                <w:b/>
                <w:bCs/>
                <w:color w:val="auto"/>
              </w:rPr>
              <w:t>地热区块地热流体主要成分变化对比表     表</w:t>
            </w:r>
            <w:r>
              <w:rPr>
                <w:rFonts w:hint="eastAsia" w:ascii="仿宋" w:hAnsi="仿宋" w:eastAsia="仿宋" w:cs="仿宋"/>
                <w:b/>
                <w:bCs/>
                <w:color w:val="auto"/>
                <w:lang w:val="en-US" w:eastAsia="zh-CN"/>
              </w:rPr>
              <w:t>1</w:t>
            </w:r>
            <w:r>
              <w:rPr>
                <w:rFonts w:hint="eastAsia" w:ascii="仿宋" w:hAnsi="仿宋" w:eastAsia="仿宋" w:cs="仿宋"/>
                <w:b/>
                <w:bCs/>
                <w:color w:val="auto"/>
              </w:rPr>
              <w:t xml:space="preserve"> </w:t>
            </w:r>
            <w:r>
              <w:rPr>
                <w:rFonts w:hint="eastAsia"/>
                <w:color w:val="auto"/>
              </w:rPr>
              <w:t xml:space="preserve"> </w:t>
            </w:r>
          </w:p>
          <w:tbl>
            <w:tblPr>
              <w:tblStyle w:val="15"/>
              <w:tblW w:w="8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8"/>
              <w:gridCol w:w="2010"/>
              <w:gridCol w:w="2010"/>
              <w:gridCol w:w="20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0" w:hRule="atLeast"/>
                <w:jc w:val="center"/>
              </w:trPr>
              <w:tc>
                <w:tcPr>
                  <w:tcW w:w="2008" w:type="dxa"/>
                  <w:vMerge w:val="restart"/>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主要检测项</w:t>
                  </w:r>
                </w:p>
              </w:tc>
              <w:tc>
                <w:tcPr>
                  <w:tcW w:w="6031" w:type="dxa"/>
                  <w:gridSpan w:val="3"/>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检测值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008" w:type="dxa"/>
                  <w:vMerge w:val="continue"/>
                  <w:vAlign w:val="center"/>
                </w:tcPr>
                <w:p>
                  <w:pPr>
                    <w:ind w:left="0" w:leftChars="0" w:firstLine="0" w:firstLineChars="0"/>
                    <w:jc w:val="center"/>
                    <w:rPr>
                      <w:rFonts w:hint="default" w:ascii="Times New Roman" w:hAnsi="Times New Roman" w:eastAsia="仿宋" w:cs="Times New Roman"/>
                      <w:color w:val="auto"/>
                    </w:rPr>
                  </w:pP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2009年</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2018年</w:t>
                  </w:r>
                </w:p>
              </w:tc>
              <w:tc>
                <w:tcPr>
                  <w:tcW w:w="2011"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2021年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0" w:hRule="atLeast"/>
                <w:jc w:val="center"/>
              </w:trPr>
              <w:tc>
                <w:tcPr>
                  <w:tcW w:w="2008"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Na+ 、K+</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1119.8mg/L</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1105.8 mg/L</w:t>
                  </w:r>
                </w:p>
              </w:tc>
              <w:tc>
                <w:tcPr>
                  <w:tcW w:w="2011"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688.3mg/L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008"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Cl-</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205.6mg/L</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266 mg/L</w:t>
                  </w:r>
                </w:p>
              </w:tc>
              <w:tc>
                <w:tcPr>
                  <w:tcW w:w="2011"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230mg/L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0" w:hRule="atLeast"/>
                <w:jc w:val="center"/>
              </w:trPr>
              <w:tc>
                <w:tcPr>
                  <w:tcW w:w="2008"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SO42-</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948.6mg/L</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963mg/L</w:t>
                  </w:r>
                </w:p>
              </w:tc>
              <w:tc>
                <w:tcPr>
                  <w:tcW w:w="2011"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396mg/L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008"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HCO3-</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1189.9 mg/L</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1135 mg/L</w:t>
                  </w:r>
                </w:p>
              </w:tc>
              <w:tc>
                <w:tcPr>
                  <w:tcW w:w="2011"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833mg/L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008"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F-</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 xml:space="preserve">7.76 mg/L </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6.60 mg/L</w:t>
                  </w:r>
                </w:p>
              </w:tc>
              <w:tc>
                <w:tcPr>
                  <w:tcW w:w="2011"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5.88mg/L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008"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PH</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8.0</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8.61</w:t>
                  </w:r>
                </w:p>
              </w:tc>
              <w:tc>
                <w:tcPr>
                  <w:tcW w:w="2011"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008"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溶解性总固体</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3320 mg/L</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3200 mg/L</w:t>
                  </w:r>
                </w:p>
              </w:tc>
              <w:tc>
                <w:tcPr>
                  <w:tcW w:w="2011"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1860mg/L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32" w:hRule="atLeast"/>
                <w:jc w:val="center"/>
              </w:trPr>
              <w:tc>
                <w:tcPr>
                  <w:tcW w:w="2008"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可溶解性SiO2</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92.4 mg/L</w:t>
                  </w:r>
                </w:p>
              </w:tc>
              <w:tc>
                <w:tcPr>
                  <w:tcW w:w="2010"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93.3 mg/L</w:t>
                  </w:r>
                </w:p>
              </w:tc>
              <w:tc>
                <w:tcPr>
                  <w:tcW w:w="2011" w:type="dxa"/>
                  <w:vAlign w:val="center"/>
                </w:tcPr>
                <w:p>
                  <w:pPr>
                    <w:ind w:left="0" w:leftChars="0" w:firstLine="0" w:firstLineChars="0"/>
                    <w:jc w:val="center"/>
                    <w:rPr>
                      <w:rFonts w:hint="default" w:ascii="Times New Roman" w:hAnsi="Times New Roman" w:eastAsia="仿宋" w:cs="Times New Roman"/>
                      <w:color w:val="auto"/>
                    </w:rPr>
                  </w:pPr>
                  <w:r>
                    <w:rPr>
                      <w:rFonts w:hint="default" w:ascii="Times New Roman" w:hAnsi="Times New Roman" w:eastAsia="仿宋" w:cs="Times New Roman"/>
                      <w:color w:val="auto"/>
                    </w:rPr>
                    <w:t>81.2mg/L</w:t>
                  </w:r>
                </w:p>
              </w:tc>
            </w:tr>
          </w:tbl>
          <w:p>
            <w:pPr>
              <w:spacing w:line="360" w:lineRule="auto"/>
              <w:ind w:firstLine="484" w:firstLineChars="202"/>
              <w:rPr>
                <w:color w:val="FF0000"/>
              </w:rPr>
            </w:pPr>
            <w:r>
              <w:rPr>
                <w:rFonts w:hint="eastAsia"/>
                <w:color w:val="auto"/>
                <w:lang w:val="en-US" w:eastAsia="zh-CN"/>
              </w:rPr>
              <w:t>水温变化情况：</w:t>
            </w:r>
            <w:r>
              <w:rPr>
                <w:rFonts w:hint="eastAsia"/>
                <w:color w:val="auto"/>
                <w:sz w:val="24"/>
                <w:szCs w:val="24"/>
              </w:rPr>
              <w:t>咸阳职院地热区块</w:t>
            </w:r>
            <w:r>
              <w:rPr>
                <w:color w:val="auto"/>
                <w:sz w:val="24"/>
                <w:szCs w:val="24"/>
              </w:rPr>
              <w:t>地热流体温度由成井初期</w:t>
            </w:r>
            <w:r>
              <w:rPr>
                <w:rFonts w:hint="eastAsia"/>
                <w:color w:val="auto"/>
                <w:sz w:val="24"/>
                <w:szCs w:val="24"/>
              </w:rPr>
              <w:t>（2009年）</w:t>
            </w:r>
            <w:r>
              <w:rPr>
                <w:color w:val="auto"/>
                <w:sz w:val="24"/>
                <w:szCs w:val="24"/>
              </w:rPr>
              <w:t>的</w:t>
            </w:r>
            <w:r>
              <w:rPr>
                <w:rFonts w:hint="eastAsia"/>
                <w:color w:val="auto"/>
                <w:sz w:val="24"/>
                <w:szCs w:val="24"/>
              </w:rPr>
              <w:t>118</w:t>
            </w:r>
            <w:r>
              <w:rPr>
                <w:color w:val="auto"/>
                <w:spacing w:val="-6"/>
                <w:sz w:val="24"/>
                <w:szCs w:val="24"/>
              </w:rPr>
              <w:t>℃降至</w:t>
            </w:r>
            <w:r>
              <w:rPr>
                <w:rFonts w:hint="eastAsia"/>
                <w:color w:val="auto"/>
                <w:spacing w:val="-6"/>
                <w:sz w:val="24"/>
                <w:szCs w:val="24"/>
              </w:rPr>
              <w:t>2021年的</w:t>
            </w:r>
            <w:r>
              <w:rPr>
                <w:rFonts w:hint="eastAsia"/>
                <w:color w:val="auto"/>
                <w:sz w:val="24"/>
                <w:szCs w:val="24"/>
              </w:rPr>
              <w:t>94</w:t>
            </w:r>
            <w:r>
              <w:rPr>
                <w:color w:val="auto"/>
                <w:sz w:val="24"/>
                <w:szCs w:val="24"/>
              </w:rPr>
              <w:t>℃，随着</w:t>
            </w:r>
            <w:r>
              <w:rPr>
                <w:rFonts w:hint="eastAsia"/>
                <w:color w:val="auto"/>
                <w:sz w:val="24"/>
                <w:szCs w:val="24"/>
              </w:rPr>
              <w:t>地热资源的不断开发利用</w:t>
            </w:r>
            <w:r>
              <w:rPr>
                <w:color w:val="auto"/>
                <w:sz w:val="24"/>
                <w:szCs w:val="24"/>
              </w:rPr>
              <w:t>，温度有所</w:t>
            </w:r>
            <w:r>
              <w:rPr>
                <w:rFonts w:hint="eastAsia"/>
                <w:color w:val="auto"/>
                <w:sz w:val="24"/>
                <w:szCs w:val="24"/>
              </w:rPr>
              <w:t>衰减</w:t>
            </w:r>
            <w:r>
              <w:rPr>
                <w:rFonts w:hint="eastAsia"/>
                <w:color w:val="auto"/>
                <w:sz w:val="24"/>
                <w:szCs w:val="24"/>
                <w:lang w:eastAsia="zh-CN"/>
              </w:rPr>
              <w:t>，目前该现象在地热资源开发中普遍存在</w:t>
            </w:r>
            <w:r>
              <w:rPr>
                <w:color w:val="auto"/>
                <w:sz w:val="24"/>
                <w:szCs w:val="24"/>
              </w:rPr>
              <w:t>。</w:t>
            </w:r>
          </w:p>
          <w:p>
            <w:pPr>
              <w:ind w:firstLine="480" w:firstLineChars="200"/>
              <w:rPr>
                <w:color w:val="FF0000"/>
              </w:rPr>
            </w:pPr>
            <w:r>
              <w:rPr>
                <w:rFonts w:hint="eastAsia"/>
                <w:color w:val="auto"/>
                <w:lang w:eastAsia="zh-CN"/>
              </w:rPr>
              <w:t>水位变化情况：</w:t>
            </w:r>
            <w:r>
              <w:rPr>
                <w:rFonts w:hint="eastAsia"/>
                <w:color w:val="auto"/>
                <w:sz w:val="24"/>
                <w:szCs w:val="24"/>
              </w:rPr>
              <w:t>西咸新区沣西新城咸阳职院地热区块定向井于2009年8月成井后即投入使用，为咸阳职业技术学院供暖，在2009年至2017年供暖期间水位自成井时的+</w:t>
            </w:r>
            <w:r>
              <w:rPr>
                <w:rFonts w:hint="eastAsia"/>
                <w:color w:val="auto"/>
                <w:kern w:val="1"/>
                <w:sz w:val="24"/>
                <w:szCs w:val="24"/>
              </w:rPr>
              <w:t>32m下降至2016年供暖季结束后的-67.2m，水位累计下降了99.2m，</w:t>
            </w:r>
            <w:r>
              <w:rPr>
                <w:rFonts w:hint="eastAsia"/>
                <w:color w:val="auto"/>
                <w:sz w:val="24"/>
                <w:szCs w:val="24"/>
              </w:rPr>
              <w:t>年平均下降12.4m，水位下降幅度较大。鉴于上述原因，于2017年12月中石化绿源地热能（陕西）开发有限公司完成</w:t>
            </w:r>
            <w:r>
              <w:rPr>
                <w:rFonts w:hint="eastAsia"/>
                <w:color w:val="auto"/>
                <w:sz w:val="24"/>
                <w:szCs w:val="24"/>
                <w:lang w:eastAsia="zh-CN"/>
              </w:rPr>
              <w:t>咸阳职院地热区块</w:t>
            </w:r>
            <w:r>
              <w:rPr>
                <w:rFonts w:hint="eastAsia"/>
                <w:color w:val="auto"/>
                <w:sz w:val="24"/>
                <w:szCs w:val="24"/>
              </w:rPr>
              <w:t>1-2回灌井施工，并于当年投入使用，形成地热资源开发利用采灌井组，2018年8月到2021年8月水位由-68.52降至-72.57m，年平均下降1.35m，</w:t>
            </w:r>
            <w:r>
              <w:rPr>
                <w:rFonts w:hint="eastAsia"/>
                <w:color w:val="auto"/>
                <w:sz w:val="24"/>
                <w:szCs w:val="24"/>
                <w:lang w:eastAsia="zh-CN"/>
              </w:rPr>
              <w:t>咸阳职院地热区块</w:t>
            </w:r>
            <w:r>
              <w:rPr>
                <w:rFonts w:hint="eastAsia"/>
                <w:color w:val="auto"/>
                <w:sz w:val="24"/>
                <w:szCs w:val="24"/>
              </w:rPr>
              <w:t>1-2回灌井的使用在一定程度上缓解咸职院定向井水位下降幅度，及时补充地热资源量。</w:t>
            </w:r>
          </w:p>
          <w:p>
            <w:pPr>
              <w:spacing w:line="480" w:lineRule="exact"/>
              <w:jc w:val="center"/>
              <w:rPr>
                <w:rFonts w:hint="eastAsia" w:ascii="仿宋" w:hAnsi="仿宋" w:eastAsia="仿宋" w:cs="仿宋"/>
                <w:b/>
                <w:bCs/>
                <w:color w:val="FF0000"/>
                <w:lang w:val="en-US"/>
              </w:rPr>
            </w:pPr>
            <w:r>
              <w:rPr>
                <w:rFonts w:hint="eastAsia" w:ascii="仿宋" w:hAnsi="仿宋" w:eastAsia="仿宋" w:cs="仿宋"/>
                <w:b/>
                <w:bCs/>
                <w:color w:val="auto"/>
                <w:lang w:eastAsia="zh-CN"/>
              </w:rPr>
              <w:t>咸阳职院</w:t>
            </w:r>
            <w:r>
              <w:rPr>
                <w:rFonts w:hint="eastAsia" w:ascii="仿宋" w:hAnsi="仿宋" w:eastAsia="仿宋" w:cs="仿宋"/>
                <w:b/>
                <w:bCs/>
                <w:color w:val="auto"/>
              </w:rPr>
              <w:t>地热区块</w:t>
            </w:r>
            <w:r>
              <w:rPr>
                <w:rFonts w:hint="eastAsia" w:ascii="仿宋" w:hAnsi="仿宋" w:eastAsia="仿宋" w:cs="仿宋"/>
                <w:b/>
                <w:bCs/>
                <w:color w:val="auto"/>
                <w:lang w:eastAsia="zh-CN"/>
              </w:rPr>
              <w:t>职院定向井</w:t>
            </w:r>
            <w:r>
              <w:rPr>
                <w:rFonts w:hint="eastAsia" w:ascii="仿宋" w:hAnsi="仿宋" w:eastAsia="仿宋" w:cs="仿宋"/>
                <w:b/>
                <w:bCs/>
                <w:color w:val="auto"/>
              </w:rPr>
              <w:t>静水位统计表        表</w:t>
            </w:r>
            <w:r>
              <w:rPr>
                <w:rFonts w:hint="eastAsia" w:ascii="仿宋" w:hAnsi="仿宋" w:eastAsia="仿宋" w:cs="仿宋"/>
                <w:b/>
                <w:bCs/>
                <w:color w:val="auto"/>
                <w:lang w:val="en-US" w:eastAsia="zh-CN"/>
              </w:rPr>
              <w:t>2</w:t>
            </w:r>
          </w:p>
          <w:tbl>
            <w:tblPr>
              <w:tblStyle w:val="14"/>
              <w:tblW w:w="8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983"/>
              <w:gridCol w:w="1037"/>
              <w:gridCol w:w="1036"/>
              <w:gridCol w:w="1034"/>
              <w:gridCol w:w="1037"/>
              <w:gridCol w:w="1037"/>
              <w:gridCol w:w="1037"/>
              <w:gridCol w:w="1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6" w:hRule="atLeast"/>
                <w:jc w:val="center"/>
              </w:trPr>
              <w:tc>
                <w:tcPr>
                  <w:tcW w:w="983" w:type="dxa"/>
                  <w:vAlign w:val="center"/>
                </w:tcPr>
                <w:p>
                  <w:pPr>
                    <w:spacing w:line="240" w:lineRule="auto"/>
                    <w:ind w:left="0" w:leftChars="0" w:firstLine="0" w:firstLineChars="0"/>
                    <w:jc w:val="center"/>
                    <w:rPr>
                      <w:rFonts w:hint="default" w:ascii="Times New Roman" w:hAnsi="Times New Roman" w:eastAsia="仿宋" w:cs="Times New Roman"/>
                      <w:color w:val="auto"/>
                    </w:rPr>
                  </w:pPr>
                  <w:r>
                    <w:rPr>
                      <w:rFonts w:hint="eastAsia" w:ascii="Times New Roman" w:hAnsi="Times New Roman" w:eastAsia="仿宋" w:cs="Times New Roman"/>
                      <w:color w:val="auto"/>
                    </w:rPr>
                    <w:t>年份</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2009.8</w:t>
                  </w:r>
                </w:p>
              </w:tc>
              <w:tc>
                <w:tcPr>
                  <w:tcW w:w="1036"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2010.8</w:t>
                  </w:r>
                </w:p>
              </w:tc>
              <w:tc>
                <w:tcPr>
                  <w:tcW w:w="1034"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2011.8</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2012.8</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2013.8</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2014.8</w:t>
                  </w:r>
                </w:p>
              </w:tc>
              <w:tc>
                <w:tcPr>
                  <w:tcW w:w="1034"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35" w:hRule="atLeast"/>
                <w:jc w:val="center"/>
              </w:trPr>
              <w:tc>
                <w:tcPr>
                  <w:tcW w:w="983" w:type="dxa"/>
                  <w:vAlign w:val="center"/>
                </w:tcPr>
                <w:p>
                  <w:pPr>
                    <w:spacing w:line="240" w:lineRule="auto"/>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水位</w:t>
                  </w:r>
                </w:p>
                <w:p>
                  <w:pPr>
                    <w:spacing w:line="240" w:lineRule="auto"/>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（m）</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+32.00</w:t>
                  </w:r>
                </w:p>
              </w:tc>
              <w:tc>
                <w:tcPr>
                  <w:tcW w:w="1036"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+19.40</w:t>
                  </w:r>
                </w:p>
              </w:tc>
              <w:tc>
                <w:tcPr>
                  <w:tcW w:w="1034"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+6.90</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-5.40</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-17.40</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-29.30</w:t>
                  </w:r>
                </w:p>
              </w:tc>
              <w:tc>
                <w:tcPr>
                  <w:tcW w:w="1034"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-41.60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41" w:hRule="atLeast"/>
                <w:jc w:val="center"/>
              </w:trPr>
              <w:tc>
                <w:tcPr>
                  <w:tcW w:w="983" w:type="dxa"/>
                  <w:vAlign w:val="center"/>
                </w:tcPr>
                <w:p>
                  <w:pPr>
                    <w:spacing w:line="240" w:lineRule="auto"/>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年份</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2016.8</w:t>
                  </w:r>
                </w:p>
              </w:tc>
              <w:tc>
                <w:tcPr>
                  <w:tcW w:w="1036"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2017.8</w:t>
                  </w:r>
                </w:p>
              </w:tc>
              <w:tc>
                <w:tcPr>
                  <w:tcW w:w="1034"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2018.8</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2019.8</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2020.8</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2021.8</w:t>
                  </w:r>
                </w:p>
              </w:tc>
              <w:tc>
                <w:tcPr>
                  <w:tcW w:w="1034"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2022.4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50" w:hRule="atLeast"/>
                <w:jc w:val="center"/>
              </w:trPr>
              <w:tc>
                <w:tcPr>
                  <w:tcW w:w="983" w:type="dxa"/>
                  <w:vAlign w:val="center"/>
                </w:tcPr>
                <w:p>
                  <w:pPr>
                    <w:spacing w:line="240" w:lineRule="auto"/>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水位</w:t>
                  </w:r>
                </w:p>
                <w:p>
                  <w:pPr>
                    <w:spacing w:line="240" w:lineRule="auto"/>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（m）</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-54.10</w:t>
                  </w:r>
                </w:p>
              </w:tc>
              <w:tc>
                <w:tcPr>
                  <w:tcW w:w="1036"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-67.20</w:t>
                  </w:r>
                </w:p>
              </w:tc>
              <w:tc>
                <w:tcPr>
                  <w:tcW w:w="1034"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-68.52</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-69.83</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-71.19</w:t>
                  </w:r>
                </w:p>
              </w:tc>
              <w:tc>
                <w:tcPr>
                  <w:tcW w:w="1037"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-72.57</w:t>
                  </w:r>
                </w:p>
              </w:tc>
              <w:tc>
                <w:tcPr>
                  <w:tcW w:w="1034" w:type="dxa"/>
                  <w:vAlign w:val="center"/>
                </w:tcPr>
                <w:p>
                  <w:pPr>
                    <w:ind w:left="0" w:leftChars="0" w:firstLine="0" w:firstLineChars="0"/>
                    <w:jc w:val="center"/>
                    <w:rPr>
                      <w:rFonts w:hint="eastAsia" w:ascii="Times New Roman" w:hAnsi="Times New Roman" w:eastAsia="仿宋" w:cs="Times New Roman"/>
                      <w:color w:val="auto"/>
                    </w:rPr>
                  </w:pPr>
                  <w:r>
                    <w:rPr>
                      <w:rFonts w:hint="eastAsia" w:ascii="Times New Roman" w:hAnsi="Times New Roman" w:eastAsia="仿宋" w:cs="Times New Roman"/>
                      <w:color w:val="auto"/>
                    </w:rPr>
                    <w:t>-73.91</w:t>
                  </w:r>
                </w:p>
              </w:tc>
            </w:tr>
          </w:tbl>
          <w:p>
            <w:pPr>
              <w:pStyle w:val="4"/>
              <w:bidi w:val="0"/>
              <w:rPr>
                <w:rFonts w:hint="eastAsia"/>
                <w:color w:val="auto"/>
                <w:lang w:val="en-US" w:eastAsia="zh-CN"/>
              </w:rPr>
            </w:pPr>
            <w:r>
              <w:rPr>
                <w:rFonts w:hint="eastAsia"/>
                <w:color w:val="auto"/>
                <w:lang w:val="en-US" w:eastAsia="zh-CN"/>
              </w:rPr>
              <w:t>（二）建设过程概况</w:t>
            </w:r>
          </w:p>
          <w:tbl>
            <w:tblPr>
              <w:tblStyle w:val="1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53"/>
              <w:gridCol w:w="41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12" w:hRule="atLeast"/>
                <w:jc w:val="center"/>
              </w:trPr>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ascii="仿宋" w:hAnsi="仿宋" w:eastAsia="仿宋" w:cs="仿宋"/>
                      <w:b/>
                      <w:bCs w:val="0"/>
                      <w:color w:val="FF0000"/>
                      <w:sz w:val="24"/>
                      <w:szCs w:val="24"/>
                      <w:lang w:eastAsia="zh-CN"/>
                    </w:rPr>
                    <w:drawing>
                      <wp:inline distT="0" distB="0" distL="114300" distR="114300">
                        <wp:extent cx="2429510" cy="3227070"/>
                        <wp:effectExtent l="0" t="0" r="8890" b="11430"/>
                        <wp:docPr id="41" name="图片 41" descr="33e3ef0a034d063f04e5f2438b1f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33e3ef0a034d063f04e5f2438b1fa28"/>
                                <pic:cNvPicPr>
                                  <a:picLocks noChangeAspect="1"/>
                                </pic:cNvPicPr>
                              </pic:nvPicPr>
                              <pic:blipFill>
                                <a:blip r:embed="rId12"/>
                                <a:stretch>
                                  <a:fillRect/>
                                </a:stretch>
                              </pic:blipFill>
                              <pic:spPr>
                                <a:xfrm>
                                  <a:off x="0" y="0"/>
                                  <a:ext cx="2429510" cy="3227070"/>
                                </a:xfrm>
                                <a:prstGeom prst="rect">
                                  <a:avLst/>
                                </a:prstGeom>
                              </pic:spPr>
                            </pic:pic>
                          </a:graphicData>
                        </a:graphic>
                      </wp:inline>
                    </w:drawing>
                  </w:r>
                </w:p>
              </w:tc>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color w:val="FF0000"/>
                      <w:spacing w:val="-20"/>
                      <w:sz w:val="28"/>
                      <w:szCs w:val="28"/>
                    </w:rPr>
                    <w:drawing>
                      <wp:inline distT="0" distB="0" distL="114300" distR="114300">
                        <wp:extent cx="2363470" cy="3216910"/>
                        <wp:effectExtent l="0" t="0" r="17780" b="2540"/>
                        <wp:docPr id="21" name="图片 21" descr="195453ac51e00f143a0190d26ff6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95453ac51e00f143a0190d26ff61ad"/>
                                <pic:cNvPicPr>
                                  <a:picLocks noChangeAspect="1"/>
                                </pic:cNvPicPr>
                              </pic:nvPicPr>
                              <pic:blipFill>
                                <a:blip r:embed="rId13"/>
                                <a:stretch>
                                  <a:fillRect/>
                                </a:stretch>
                              </pic:blipFill>
                              <pic:spPr>
                                <a:xfrm>
                                  <a:off x="0" y="0"/>
                                  <a:ext cx="2363470" cy="321691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12" w:hRule="atLeast"/>
                <w:jc w:val="center"/>
              </w:trPr>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color w:val="FF0000"/>
                      <w:spacing w:val="-20"/>
                      <w:sz w:val="28"/>
                      <w:szCs w:val="28"/>
                    </w:rPr>
                    <w:drawing>
                      <wp:inline distT="0" distB="0" distL="114300" distR="114300">
                        <wp:extent cx="2404745" cy="3206115"/>
                        <wp:effectExtent l="0" t="0" r="14605" b="13335"/>
                        <wp:docPr id="30" name="图片 30" descr="12cddef2a701ff1a148a5e294ea36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2cddef2a701ff1a148a5e294ea36de"/>
                                <pic:cNvPicPr>
                                  <a:picLocks noChangeAspect="1"/>
                                </pic:cNvPicPr>
                              </pic:nvPicPr>
                              <pic:blipFill>
                                <a:blip r:embed="rId14"/>
                                <a:stretch>
                                  <a:fillRect/>
                                </a:stretch>
                              </pic:blipFill>
                              <pic:spPr>
                                <a:xfrm>
                                  <a:off x="0" y="0"/>
                                  <a:ext cx="2404745" cy="3206115"/>
                                </a:xfrm>
                                <a:prstGeom prst="rect">
                                  <a:avLst/>
                                </a:prstGeom>
                              </pic:spPr>
                            </pic:pic>
                          </a:graphicData>
                        </a:graphic>
                      </wp:inline>
                    </w:drawing>
                  </w:r>
                </w:p>
              </w:tc>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color w:val="FF0000"/>
                      <w:spacing w:val="-20"/>
                      <w:sz w:val="28"/>
                      <w:szCs w:val="28"/>
                    </w:rPr>
                    <w:drawing>
                      <wp:inline distT="0" distB="0" distL="114300" distR="114300">
                        <wp:extent cx="2338070" cy="3199130"/>
                        <wp:effectExtent l="0" t="0" r="5080" b="1270"/>
                        <wp:docPr id="63" name="图片 63" descr="ec32d44c409156a4582fa4563c7cd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ec32d44c409156a4582fa4563c7cd7c"/>
                                <pic:cNvPicPr>
                                  <a:picLocks noChangeAspect="1"/>
                                </pic:cNvPicPr>
                              </pic:nvPicPr>
                              <pic:blipFill>
                                <a:blip r:embed="rId15"/>
                                <a:stretch>
                                  <a:fillRect/>
                                </a:stretch>
                              </pic:blipFill>
                              <pic:spPr>
                                <a:xfrm>
                                  <a:off x="0" y="0"/>
                                  <a:ext cx="2338070" cy="319913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06"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ascii="仿宋" w:hAnsi="仿宋" w:eastAsia="仿宋" w:cs="仿宋"/>
                      <w:b/>
                      <w:bCs/>
                      <w:color w:val="auto"/>
                      <w:lang w:eastAsia="zh-CN"/>
                    </w:rPr>
                    <w:t>房屋建筑及设备照片</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rPr>
            </w:pPr>
            <w:r>
              <w:rPr>
                <w:rFonts w:hint="eastAsia" w:cs="Times New Roman"/>
                <w:b w:val="0"/>
                <w:bCs w:val="0"/>
                <w:color w:val="auto"/>
                <w:sz w:val="24"/>
                <w:szCs w:val="24"/>
                <w:lang w:val="en-US" w:eastAsia="zh-CN"/>
              </w:rPr>
              <w:t>职院</w:t>
            </w:r>
            <w:r>
              <w:rPr>
                <w:rFonts w:hint="eastAsia" w:ascii="Times New Roman" w:hAnsi="Times New Roman" w:eastAsia="宋体" w:cs="Times New Roman"/>
                <w:b w:val="0"/>
                <w:bCs w:val="0"/>
                <w:color w:val="auto"/>
                <w:sz w:val="24"/>
                <w:szCs w:val="24"/>
                <w:lang w:val="en-US" w:eastAsia="zh-CN"/>
              </w:rPr>
              <w:t>地热区块已建地热井及其泵房、地热换热站</w:t>
            </w:r>
            <w:r>
              <w:rPr>
                <w:rFonts w:hint="eastAsia" w:cs="Times New Roman"/>
                <w:b w:val="0"/>
                <w:bCs w:val="0"/>
                <w:color w:val="auto"/>
                <w:sz w:val="24"/>
                <w:szCs w:val="24"/>
                <w:lang w:val="en-US" w:eastAsia="zh-CN"/>
              </w:rPr>
              <w:t>、尾水处理站</w:t>
            </w:r>
            <w:r>
              <w:rPr>
                <w:rFonts w:hint="eastAsia" w:ascii="Times New Roman" w:hAnsi="Times New Roman" w:eastAsia="宋体" w:cs="Times New Roman"/>
                <w:b w:val="0"/>
                <w:bCs w:val="0"/>
                <w:color w:val="auto"/>
                <w:sz w:val="24"/>
                <w:szCs w:val="24"/>
                <w:lang w:val="en-US" w:eastAsia="zh-CN"/>
              </w:rPr>
              <w:t>；其中</w:t>
            </w:r>
            <w:r>
              <w:rPr>
                <w:rFonts w:hint="eastAsia" w:cs="Times New Roman"/>
                <w:b w:val="0"/>
                <w:bCs w:val="0"/>
                <w:color w:val="auto"/>
                <w:sz w:val="24"/>
                <w:szCs w:val="24"/>
                <w:lang w:val="en-US" w:eastAsia="zh-CN"/>
              </w:rPr>
              <w:t>职院定向井</w:t>
            </w:r>
            <w:r>
              <w:rPr>
                <w:rFonts w:hint="eastAsia" w:ascii="Times New Roman" w:hAnsi="Times New Roman" w:eastAsia="宋体" w:cs="Times New Roman"/>
                <w:b w:val="0"/>
                <w:bCs w:val="0"/>
                <w:color w:val="auto"/>
                <w:sz w:val="24"/>
                <w:szCs w:val="24"/>
                <w:lang w:val="en-US" w:eastAsia="zh-CN"/>
              </w:rPr>
              <w:t>成井时间为</w:t>
            </w:r>
            <w:r>
              <w:rPr>
                <w:rFonts w:hint="eastAsia" w:cs="Times New Roman"/>
                <w:b w:val="0"/>
                <w:bCs w:val="0"/>
                <w:color w:val="auto"/>
                <w:sz w:val="24"/>
                <w:szCs w:val="24"/>
                <w:lang w:val="en-US" w:eastAsia="zh-CN"/>
              </w:rPr>
              <w:t>2009年8月</w:t>
            </w:r>
            <w:r>
              <w:rPr>
                <w:rFonts w:hint="eastAsia" w:ascii="Times New Roman" w:hAnsi="Times New Roman" w:eastAsia="宋体" w:cs="Times New Roman"/>
                <w:b w:val="0"/>
                <w:bCs w:val="0"/>
                <w:color w:val="auto"/>
                <w:sz w:val="24"/>
                <w:szCs w:val="24"/>
                <w:lang w:val="en-US" w:eastAsia="zh-CN"/>
              </w:rPr>
              <w:t>，</w:t>
            </w:r>
            <w:r>
              <w:rPr>
                <w:rFonts w:hint="eastAsia" w:cs="Times New Roman"/>
                <w:b w:val="0"/>
                <w:bCs w:val="0"/>
                <w:color w:val="auto"/>
                <w:sz w:val="24"/>
                <w:szCs w:val="24"/>
                <w:lang w:val="en-US" w:eastAsia="zh-CN"/>
              </w:rPr>
              <w:t>职院1-2回灌井成井时间2018年8月</w:t>
            </w:r>
            <w:r>
              <w:rPr>
                <w:rFonts w:hint="eastAsia" w:cs="Times New Roman"/>
                <w:b/>
                <w:bCs/>
                <w:color w:val="auto"/>
                <w:sz w:val="24"/>
                <w:szCs w:val="24"/>
                <w:lang w:val="en-US" w:eastAsia="zh-CN"/>
              </w:rPr>
              <w:t>，</w:t>
            </w:r>
            <w:r>
              <w:rPr>
                <w:rFonts w:hint="eastAsia" w:ascii="Times New Roman" w:hAnsi="Times New Roman" w:eastAsia="宋体" w:cs="Times New Roman"/>
                <w:b w:val="0"/>
                <w:bCs w:val="0"/>
                <w:color w:val="auto"/>
                <w:sz w:val="24"/>
                <w:szCs w:val="24"/>
                <w:lang w:val="en-US" w:eastAsia="zh-CN"/>
              </w:rPr>
              <w:t>泵房建设时间为</w:t>
            </w:r>
            <w:r>
              <w:rPr>
                <w:rFonts w:hint="eastAsia" w:cs="Times New Roman"/>
                <w:b w:val="0"/>
                <w:bCs w:val="0"/>
                <w:color w:val="auto"/>
                <w:sz w:val="24"/>
                <w:szCs w:val="24"/>
                <w:lang w:val="en-US" w:eastAsia="zh-CN"/>
              </w:rPr>
              <w:t>2018</w:t>
            </w:r>
            <w:r>
              <w:rPr>
                <w:rFonts w:hint="eastAsia" w:ascii="Times New Roman" w:hAnsi="Times New Roman" w:eastAsia="宋体" w:cs="Times New Roman"/>
                <w:b w:val="0"/>
                <w:bCs w:val="0"/>
                <w:color w:val="auto"/>
                <w:sz w:val="24"/>
                <w:szCs w:val="24"/>
                <w:lang w:val="en-US" w:eastAsia="zh-CN"/>
              </w:rPr>
              <w:t>年，地热换热站</w:t>
            </w:r>
            <w:r>
              <w:rPr>
                <w:rFonts w:hint="eastAsia" w:cs="Times New Roman"/>
                <w:b w:val="0"/>
                <w:bCs w:val="0"/>
                <w:color w:val="auto"/>
                <w:sz w:val="24"/>
                <w:szCs w:val="24"/>
                <w:lang w:val="en-US" w:eastAsia="zh-CN"/>
              </w:rPr>
              <w:t>、尾水处理站及其他办公、维修等辅助用房</w:t>
            </w:r>
            <w:r>
              <w:rPr>
                <w:rFonts w:hint="eastAsia" w:ascii="Times New Roman" w:hAnsi="Times New Roman" w:eastAsia="宋体" w:cs="Times New Roman"/>
                <w:b w:val="0"/>
                <w:bCs w:val="0"/>
                <w:color w:val="auto"/>
                <w:sz w:val="24"/>
                <w:szCs w:val="24"/>
                <w:lang w:val="en-US" w:eastAsia="zh-CN"/>
              </w:rPr>
              <w:t>建设时间为20</w:t>
            </w:r>
            <w:r>
              <w:rPr>
                <w:rFonts w:hint="eastAsia" w:cs="Times New Roman"/>
                <w:b w:val="0"/>
                <w:bCs w:val="0"/>
                <w:color w:val="auto"/>
                <w:sz w:val="24"/>
                <w:szCs w:val="24"/>
                <w:lang w:val="en-US" w:eastAsia="zh-CN"/>
              </w:rPr>
              <w:t>10</w:t>
            </w:r>
            <w:r>
              <w:rPr>
                <w:rFonts w:hint="eastAsia" w:ascii="Times New Roman" w:hAnsi="Times New Roman" w:eastAsia="宋体" w:cs="Times New Roman"/>
                <w:b w:val="0"/>
                <w:bCs w:val="0"/>
                <w:color w:val="auto"/>
                <w:sz w:val="24"/>
                <w:szCs w:val="24"/>
                <w:lang w:val="en-US" w:eastAsia="zh-CN"/>
              </w:rPr>
              <w:t>年</w:t>
            </w:r>
            <w:r>
              <w:rPr>
                <w:rFonts w:hint="eastAsia" w:cs="Times New Roman"/>
                <w:b w:val="0"/>
                <w:bCs w:val="0"/>
                <w:color w:val="auto"/>
                <w:sz w:val="24"/>
                <w:szCs w:val="24"/>
                <w:lang w:val="en-US" w:eastAsia="zh-CN"/>
              </w:rPr>
              <w:t>，所有建筑物均在矿区范围内，且目前已有的开发利用模式下</w:t>
            </w:r>
            <w:r>
              <w:rPr>
                <w:rFonts w:hint="eastAsia" w:ascii="Times New Roman" w:hAnsi="Times New Roman" w:eastAsia="宋体" w:cs="Times New Roman"/>
                <w:b w:val="0"/>
                <w:bCs w:val="0"/>
                <w:color w:val="auto"/>
                <w:sz w:val="24"/>
                <w:szCs w:val="24"/>
                <w:lang w:val="en-US" w:eastAsia="zh-CN"/>
              </w:rPr>
              <w:t>地热井工程运营和采矿活动无需再损毁土地。</w:t>
            </w:r>
            <w:r>
              <w:rPr>
                <w:rFonts w:hint="default" w:ascii="Times New Roman" w:hAnsi="Times New Roman" w:eastAsia="宋体" w:cs="Times New Roman"/>
                <w:b w:val="0"/>
                <w:bCs w:val="0"/>
                <w:color w:val="auto"/>
                <w:sz w:val="24"/>
                <w:szCs w:val="24"/>
                <w:lang w:eastAsia="zh-CN"/>
              </w:rPr>
              <w:t>本次</w:t>
            </w:r>
            <w:r>
              <w:rPr>
                <w:rFonts w:hint="eastAsia" w:ascii="Times New Roman" w:hAnsi="Times New Roman" w:cs="Times New Roman"/>
                <w:b w:val="0"/>
                <w:bCs w:val="0"/>
                <w:color w:val="auto"/>
                <w:sz w:val="24"/>
                <w:szCs w:val="24"/>
                <w:lang w:eastAsia="zh-CN"/>
              </w:rPr>
              <w:t>工作过程中</w:t>
            </w:r>
            <w:r>
              <w:rPr>
                <w:rFonts w:hint="default" w:ascii="Times New Roman" w:hAnsi="Times New Roman" w:eastAsia="宋体" w:cs="Times New Roman"/>
                <w:b w:val="0"/>
                <w:bCs w:val="0"/>
                <w:color w:val="auto"/>
                <w:sz w:val="24"/>
                <w:szCs w:val="24"/>
                <w:lang w:eastAsia="zh-CN"/>
              </w:rPr>
              <w:t>对评估区矿业活动占用土地的情况进行了调查，</w:t>
            </w:r>
            <w:r>
              <w:rPr>
                <w:rFonts w:hint="default" w:ascii="Times New Roman" w:hAnsi="Times New Roman" w:eastAsia="宋体" w:cs="Times New Roman"/>
                <w:b w:val="0"/>
                <w:bCs w:val="0"/>
                <w:color w:val="auto"/>
                <w:sz w:val="24"/>
                <w:szCs w:val="24"/>
              </w:rPr>
              <w:t>矿区</w:t>
            </w:r>
            <w:r>
              <w:rPr>
                <w:rFonts w:hint="default" w:ascii="Times New Roman" w:hAnsi="Times New Roman" w:eastAsia="宋体" w:cs="Times New Roman"/>
                <w:b w:val="0"/>
                <w:bCs w:val="0"/>
                <w:color w:val="auto"/>
                <w:sz w:val="24"/>
                <w:szCs w:val="24"/>
                <w:lang w:eastAsia="zh-CN"/>
              </w:rPr>
              <w:t>内</w:t>
            </w:r>
            <w:r>
              <w:rPr>
                <w:rFonts w:hint="default" w:ascii="Times New Roman" w:hAnsi="Times New Roman" w:eastAsia="宋体" w:cs="Times New Roman"/>
                <w:b w:val="0"/>
                <w:bCs w:val="0"/>
                <w:color w:val="auto"/>
                <w:sz w:val="24"/>
                <w:szCs w:val="24"/>
              </w:rPr>
              <w:t>已施工</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rPr>
              <w:t>眼地热井</w:t>
            </w:r>
            <w:r>
              <w:rPr>
                <w:rFonts w:hint="default" w:ascii="Times New Roman" w:hAnsi="Times New Roman" w:eastAsia="宋体" w:cs="Times New Roman"/>
                <w:b w:val="0"/>
                <w:bCs w:val="0"/>
                <w:color w:val="auto"/>
                <w:sz w:val="24"/>
                <w:szCs w:val="24"/>
                <w:lang w:eastAsia="zh-CN"/>
              </w:rPr>
              <w:t>及其</w:t>
            </w:r>
            <w:r>
              <w:rPr>
                <w:rFonts w:hint="default" w:ascii="Times New Roman" w:hAnsi="Times New Roman" w:eastAsia="宋体" w:cs="Times New Roman"/>
                <w:b w:val="0"/>
                <w:bCs w:val="0"/>
                <w:color w:val="auto"/>
                <w:sz w:val="24"/>
                <w:szCs w:val="24"/>
              </w:rPr>
              <w:t>泵房、地热换热站，</w:t>
            </w:r>
            <w:r>
              <w:rPr>
                <w:rFonts w:hint="eastAsia" w:cs="Times New Roman"/>
                <w:b w:val="0"/>
                <w:bCs w:val="0"/>
                <w:color w:val="auto"/>
                <w:sz w:val="24"/>
                <w:szCs w:val="24"/>
                <w:lang w:eastAsia="zh-CN"/>
              </w:rPr>
              <w:t>职院定向井位于中路东侧绿化带中，无泵房，职院</w:t>
            </w:r>
            <w:r>
              <w:rPr>
                <w:rFonts w:hint="eastAsia" w:cs="Times New Roman"/>
                <w:b w:val="0"/>
                <w:bCs w:val="0"/>
                <w:color w:val="auto"/>
                <w:sz w:val="24"/>
                <w:szCs w:val="24"/>
                <w:lang w:val="en-US" w:eastAsia="zh-CN"/>
              </w:rPr>
              <w:t>1-2回灌井位于南门道路西侧的硬化空地上，</w:t>
            </w:r>
            <w:r>
              <w:rPr>
                <w:rFonts w:hint="eastAsia" w:cs="Times New Roman"/>
                <w:b w:val="0"/>
                <w:bCs w:val="0"/>
                <w:color w:val="auto"/>
                <w:sz w:val="24"/>
                <w:szCs w:val="24"/>
                <w:lang w:eastAsia="zh-CN"/>
              </w:rPr>
              <w:t>临时</w:t>
            </w:r>
            <w:r>
              <w:rPr>
                <w:rFonts w:hint="eastAsia" w:cs="Times New Roman"/>
                <w:b w:val="0"/>
                <w:bCs w:val="0"/>
                <w:color w:val="auto"/>
                <w:sz w:val="24"/>
                <w:szCs w:val="24"/>
                <w:lang w:val="en-US" w:eastAsia="zh-CN"/>
              </w:rPr>
              <w:t>泵房面积5</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2</w:t>
            </w:r>
            <w:r>
              <w:rPr>
                <w:rFonts w:hint="eastAsia" w:ascii="Times New Roman" w:hAnsi="Times New Roman" w:cs="Times New Roman"/>
                <w:b w:val="0"/>
                <w:bCs w:val="0"/>
                <w:color w:val="auto"/>
                <w:sz w:val="24"/>
                <w:szCs w:val="24"/>
                <w:vertAlign w:val="baseline"/>
                <w:lang w:eastAsia="zh-CN"/>
              </w:rPr>
              <w:t>；</w:t>
            </w:r>
            <w:r>
              <w:rPr>
                <w:rFonts w:hint="eastAsia" w:cs="Times New Roman"/>
                <w:b w:val="0"/>
                <w:bCs w:val="0"/>
                <w:color w:val="auto"/>
                <w:sz w:val="24"/>
                <w:szCs w:val="24"/>
                <w:lang w:val="en-US" w:eastAsia="zh-CN"/>
              </w:rPr>
              <w:t>职院地热区块换热站、尾水处理站及其他办公、维修等辅助用地总面积为200</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2</w:t>
            </w:r>
            <w:r>
              <w:rPr>
                <w:rFonts w:hint="eastAsia" w:cs="Times New Roman"/>
                <w:b w:val="0"/>
                <w:bCs w:val="0"/>
                <w:color w:val="auto"/>
                <w:sz w:val="24"/>
                <w:szCs w:val="24"/>
                <w:lang w:val="en-US" w:eastAsia="zh-CN"/>
              </w:rPr>
              <w:t>，</w:t>
            </w:r>
            <w:r>
              <w:rPr>
                <w:rFonts w:hint="eastAsia"/>
                <w:color w:val="auto"/>
                <w:lang w:eastAsia="zh-CN"/>
              </w:rPr>
              <w:t>详见照片，</w:t>
            </w:r>
            <w:r>
              <w:rPr>
                <w:rFonts w:hint="eastAsia" w:cs="Times New Roman"/>
                <w:b w:val="0"/>
                <w:bCs w:val="0"/>
                <w:color w:val="auto"/>
                <w:sz w:val="24"/>
                <w:szCs w:val="24"/>
                <w:lang w:val="en-US" w:eastAsia="zh-CN"/>
              </w:rPr>
              <w:t>目前咸阳职院地热区块总占地</w:t>
            </w:r>
            <w:r>
              <w:rPr>
                <w:rFonts w:hint="default" w:ascii="Times New Roman" w:hAnsi="Times New Roman" w:eastAsia="宋体" w:cs="Times New Roman"/>
                <w:b w:val="0"/>
                <w:bCs w:val="0"/>
                <w:color w:val="auto"/>
                <w:sz w:val="24"/>
                <w:szCs w:val="24"/>
              </w:rPr>
              <w:t>面积</w:t>
            </w:r>
            <w:r>
              <w:rPr>
                <w:rFonts w:hint="eastAsia" w:cs="Times New Roman"/>
                <w:b w:val="0"/>
                <w:bCs w:val="0"/>
                <w:color w:val="auto"/>
                <w:sz w:val="24"/>
                <w:szCs w:val="24"/>
                <w:lang w:eastAsia="zh-CN"/>
              </w:rPr>
              <w:t>为</w:t>
            </w:r>
            <w:r>
              <w:rPr>
                <w:rFonts w:hint="eastAsia" w:cs="Times New Roman"/>
                <w:b w:val="0"/>
                <w:bCs w:val="0"/>
                <w:color w:val="auto"/>
                <w:sz w:val="24"/>
                <w:szCs w:val="24"/>
                <w:lang w:val="en-US" w:eastAsia="zh-CN"/>
              </w:rPr>
              <w:t>205</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2</w:t>
            </w:r>
            <w:r>
              <w:rPr>
                <w:rFonts w:hint="default" w:ascii="Times New Roman" w:hAnsi="Times New Roman" w:eastAsia="宋体" w:cs="Times New Roman"/>
                <w:b w:val="0"/>
                <w:bCs w:val="0"/>
                <w:color w:val="auto"/>
                <w:sz w:val="24"/>
                <w:szCs w:val="24"/>
              </w:rPr>
              <w:t>。</w:t>
            </w:r>
          </w:p>
          <w:p>
            <w:pPr>
              <w:pStyle w:val="4"/>
              <w:bidi w:val="0"/>
              <w:rPr>
                <w:rFonts w:hint="eastAsia"/>
                <w:color w:val="auto"/>
                <w:lang w:val="en-US" w:eastAsia="zh-CN"/>
              </w:rPr>
            </w:pPr>
            <w:r>
              <w:rPr>
                <w:rFonts w:hint="eastAsia"/>
                <w:color w:val="auto"/>
                <w:lang w:val="en-US" w:eastAsia="zh-CN"/>
              </w:rPr>
              <w:t>（三）上一期矿山地质环境保护与恢复治理执行情况</w:t>
            </w:r>
          </w:p>
          <w:p>
            <w:pPr>
              <w:bidi w:val="0"/>
              <w:rPr>
                <w:rFonts w:hint="eastAsia"/>
                <w:lang w:val="en-US" w:eastAsia="zh-CN"/>
              </w:rPr>
            </w:pPr>
            <w:r>
              <w:rPr>
                <w:rFonts w:hint="eastAsia"/>
                <w:color w:val="auto"/>
                <w:lang w:val="en-US" w:eastAsia="zh-CN"/>
              </w:rPr>
              <w:t>2018年10月，陕西地矿区研院有限公司编制了《咸阳职业技术学院定向井地热区块矿山地质环境保护与恢复治理方案报告表》并通过评审，该报告表适用期为5年。截至2022年9月矿山地质环境保护与恢复治理工程执行情况如下：</w:t>
            </w:r>
          </w:p>
          <w:p>
            <w:pPr>
              <w:pStyle w:val="5"/>
              <w:bidi w:val="0"/>
              <w:rPr>
                <w:rFonts w:hint="default"/>
                <w:lang w:val="en-US" w:eastAsia="zh-CN"/>
              </w:rPr>
            </w:pPr>
            <w:r>
              <w:rPr>
                <w:rFonts w:hint="eastAsia"/>
                <w:lang w:val="en-US" w:eastAsia="zh-CN"/>
              </w:rPr>
              <w:t>1、基金缴存及使用情况</w:t>
            </w:r>
          </w:p>
          <w:p>
            <w:pPr>
              <w:pStyle w:val="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中石化绿源地热能（陕西）开发有限公司于2016年依据咸阳市国土局文件《关于办理矿山地质环境恢复保证金核定手续》和《矿山地质环境治理恢复保证金存储通知书》，办理了地质环境恢复保证金核定手续，并缴存保证金6万元整，2019年，按照陕西省国土资源厅、陕西省财政厅及陕西省环境保护厅联合颁发的“关于印发《陕西省矿山地质环境保护土地复垦基金实施办发》的通知”的要求，中石化绿源地热能（陕西）开发有限公司在建行建立基金专用账户，并与原咸阳市国土局及中国建设银行股份有限公司咸阳分行签订《矿山地质环境治理恢复与土地复垦基金监管协议》，将原缴存保证金转至基金专用账户，以保证矿山基金缴存工作的进行。</w:t>
            </w:r>
          </w:p>
          <w:tbl>
            <w:tblPr>
              <w:tblStyle w:val="1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2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2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color w:val="auto"/>
                      <w:lang w:eastAsia="zh-CN"/>
                    </w:rPr>
                  </w:pPr>
                  <w:r>
                    <w:drawing>
                      <wp:inline distT="0" distB="0" distL="114300" distR="114300">
                        <wp:extent cx="4539615" cy="2125345"/>
                        <wp:effectExtent l="0" t="0" r="13335" b="825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6"/>
                                <a:stretch>
                                  <a:fillRect/>
                                </a:stretch>
                              </pic:blipFill>
                              <pic:spPr>
                                <a:xfrm>
                                  <a:off x="0" y="0"/>
                                  <a:ext cx="4539615" cy="212534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220" w:type="dxa"/>
                  <w:vAlign w:val="center"/>
                </w:tcPr>
                <w:p>
                  <w:pPr>
                    <w:spacing w:line="480" w:lineRule="exact"/>
                    <w:jc w:val="center"/>
                    <w:rPr>
                      <w:rFonts w:hint="eastAsia" w:ascii="仿宋" w:hAnsi="仿宋" w:eastAsia="仿宋" w:cs="仿宋"/>
                      <w:b/>
                      <w:bCs/>
                      <w:color w:val="auto"/>
                      <w:lang w:val="en-US" w:eastAsia="zh-CN"/>
                    </w:rPr>
                  </w:pPr>
                  <w:r>
                    <w:rPr>
                      <w:rFonts w:hint="eastAsia" w:ascii="仿宋" w:hAnsi="仿宋" w:eastAsia="仿宋" w:cs="仿宋"/>
                      <w:b/>
                      <w:bCs/>
                      <w:color w:val="auto"/>
                      <w:lang w:val="en-US" w:eastAsia="zh-CN"/>
                    </w:rPr>
                    <w:t>保证金回执单</w:t>
                  </w:r>
                </w:p>
              </w:tc>
            </w:tr>
          </w:tbl>
          <w:p>
            <w:pPr>
              <w:pStyle w:val="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eastAsia"/>
                <w:color w:val="auto"/>
                <w:lang w:val="en-US" w:eastAsia="zh-CN"/>
              </w:rPr>
              <w:t>咸阳职业技术学院定向井地热区块矿山地质环境保护与恢复治理方案报告表</w:t>
            </w:r>
            <w:r>
              <w:rPr>
                <w:rFonts w:hint="default" w:ascii="Times New Roman" w:hAnsi="Times New Roman" w:cs="Times New Roman"/>
                <w:color w:val="auto"/>
                <w:highlight w:val="none"/>
                <w:lang w:val="en-US" w:eastAsia="zh-CN"/>
              </w:rPr>
              <w:t>》(2018年)，</w:t>
            </w:r>
            <w:r>
              <w:rPr>
                <w:rFonts w:hint="eastAsia" w:ascii="Times New Roman" w:hAnsi="Times New Roman" w:cs="Times New Roman"/>
                <w:color w:val="auto"/>
                <w:highlight w:val="none"/>
                <w:lang w:val="en-US" w:eastAsia="zh-CN"/>
              </w:rPr>
              <w:t>适用期内</w:t>
            </w:r>
            <w:r>
              <w:rPr>
                <w:rFonts w:hint="default" w:ascii="Times New Roman" w:hAnsi="Times New Roman" w:cs="Times New Roman"/>
                <w:color w:val="auto"/>
                <w:highlight w:val="none"/>
                <w:lang w:val="en-US" w:eastAsia="zh-CN"/>
              </w:rPr>
              <w:t>矿山地质环境保护与恢复治理费用为</w:t>
            </w:r>
            <w:r>
              <w:rPr>
                <w:rFonts w:hint="eastAsia" w:ascii="Times New Roman" w:hAnsi="Times New Roman" w:cs="Times New Roman"/>
                <w:color w:val="auto"/>
                <w:highlight w:val="none"/>
                <w:lang w:val="en-US" w:eastAsia="zh-CN"/>
              </w:rPr>
              <w:t>40000</w:t>
            </w:r>
            <w:r>
              <w:rPr>
                <w:rFonts w:hint="default" w:ascii="Times New Roman" w:hAnsi="Times New Roman" w:cs="Times New Roman"/>
                <w:color w:val="auto"/>
                <w:highlight w:val="none"/>
                <w:lang w:val="en-US" w:eastAsia="zh-CN"/>
              </w:rPr>
              <w:t>.00元。</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根据矿权单位提供的清单该区块矿山地质环境保护与治理恢复基金缴存总额为60000.00元，截止到目前，矿山企业未申请提取矿山地质环境保护与治理恢复基金。</w:t>
            </w:r>
          </w:p>
          <w:p>
            <w:pPr>
              <w:pStyle w:val="5"/>
              <w:bidi w:val="0"/>
              <w:rPr>
                <w:rFonts w:hint="default"/>
                <w:color w:val="auto"/>
                <w:highlight w:val="none"/>
                <w:lang w:val="en-US" w:eastAsia="zh-CN"/>
              </w:rPr>
            </w:pPr>
            <w:r>
              <w:rPr>
                <w:rFonts w:hint="eastAsia"/>
                <w:color w:val="auto"/>
                <w:highlight w:val="none"/>
                <w:lang w:val="en-US" w:eastAsia="zh-CN"/>
              </w:rPr>
              <w:t>2、矿山地质环境保护与恢复治理工作执行情况</w:t>
            </w:r>
          </w:p>
          <w:p>
            <w:pPr>
              <w:pStyle w:val="2"/>
              <w:rPr>
                <w:rFonts w:hint="default" w:ascii="Times New Roman" w:hAnsi="Times New Roman" w:cs="Times New Roman"/>
                <w:color w:val="auto"/>
                <w:highlight w:val="none"/>
              </w:rPr>
            </w:pPr>
            <w:r>
              <w:rPr>
                <w:rFonts w:hint="default" w:ascii="Times New Roman" w:hAnsi="Times New Roman" w:cs="Times New Roman"/>
                <w:color w:val="auto"/>
                <w:highlight w:val="none"/>
              </w:rPr>
              <w:t>据《</w:t>
            </w:r>
            <w:r>
              <w:rPr>
                <w:rFonts w:hint="default" w:ascii="Times New Roman" w:hAnsi="Times New Roman" w:cs="Times New Roman"/>
                <w:color w:val="auto"/>
                <w:highlight w:val="none"/>
                <w:lang w:val="en-US" w:eastAsia="zh-CN"/>
              </w:rPr>
              <w:t>咸阳市文林路文热</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en-US" w:eastAsia="zh-CN"/>
              </w:rPr>
              <w:t>井地热区块矿山地质环境保护与恢复治理方案报告表</w:t>
            </w:r>
            <w:r>
              <w:rPr>
                <w:rFonts w:hint="default" w:ascii="Times New Roman" w:hAnsi="Times New Roman" w:cs="Times New Roman"/>
                <w:color w:val="auto"/>
                <w:highlight w:val="none"/>
              </w:rPr>
              <w:t>》(201</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eastAsia="zh-CN"/>
              </w:rPr>
              <w:t>矿权单位在上个适用期完成工作量见下表，</w:t>
            </w:r>
            <w:r>
              <w:rPr>
                <w:rFonts w:hint="default" w:ascii="Times New Roman" w:hAnsi="Times New Roman" w:cs="Times New Roman"/>
                <w:color w:val="auto"/>
                <w:highlight w:val="none"/>
              </w:rPr>
              <w:t>其中</w:t>
            </w:r>
            <w:r>
              <w:rPr>
                <w:rFonts w:hint="eastAsia" w:ascii="Times New Roman" w:hAnsi="Times New Roman" w:cs="Times New Roman"/>
                <w:color w:val="auto"/>
                <w:highlight w:val="none"/>
                <w:lang w:eastAsia="zh-CN"/>
              </w:rPr>
              <w:t>主要为</w:t>
            </w:r>
            <w:r>
              <w:rPr>
                <w:rFonts w:hint="default" w:ascii="Times New Roman" w:hAnsi="Times New Roman" w:cs="Times New Roman"/>
                <w:color w:val="auto"/>
                <w:highlight w:val="none"/>
                <w:lang w:eastAsia="zh-CN"/>
              </w:rPr>
              <w:t>水质监测、地热井水温、水量、水位监测、管线</w:t>
            </w:r>
            <w:r>
              <w:rPr>
                <w:rFonts w:hint="eastAsia" w:ascii="Times New Roman" w:hAnsi="Times New Roman" w:cs="Times New Roman"/>
                <w:color w:val="auto"/>
                <w:highlight w:val="none"/>
                <w:lang w:eastAsia="zh-CN"/>
              </w:rPr>
              <w:t>巡查</w:t>
            </w:r>
            <w:r>
              <w:rPr>
                <w:rFonts w:hint="default" w:ascii="Times New Roman" w:hAnsi="Times New Roman" w:cs="Times New Roman"/>
                <w:color w:val="auto"/>
                <w:highlight w:val="none"/>
              </w:rPr>
              <w:t>。</w:t>
            </w:r>
          </w:p>
          <w:p>
            <w:pPr>
              <w:spacing w:line="480" w:lineRule="exact"/>
              <w:jc w:val="center"/>
              <w:rPr>
                <w:rFonts w:hint="default"/>
                <w:color w:val="000000" w:themeColor="text1"/>
                <w:highlight w:val="none"/>
                <w:lang w:val="en-US" w:eastAsia="zh-CN"/>
                <w14:textFill>
                  <w14:solidFill>
                    <w14:schemeClr w14:val="tx1"/>
                  </w14:solidFill>
                </w14:textFill>
              </w:rPr>
            </w:pPr>
            <w:r>
              <w:rPr>
                <w:rFonts w:hint="eastAsia" w:ascii="仿宋" w:hAnsi="仿宋" w:eastAsia="仿宋" w:cs="仿宋"/>
                <w:b/>
                <w:bCs/>
                <w:color w:val="000000" w:themeColor="text1"/>
                <w:highlight w:val="none"/>
                <w:lang w:eastAsia="zh-CN"/>
                <w14:textFill>
                  <w14:solidFill>
                    <w14:schemeClr w14:val="tx1"/>
                  </w14:solidFill>
                </w14:textFill>
              </w:rPr>
              <w:t>上个适用期内</w:t>
            </w:r>
            <w:r>
              <w:rPr>
                <w:rFonts w:hint="eastAsia" w:ascii="仿宋" w:hAnsi="仿宋" w:eastAsia="仿宋" w:cs="仿宋"/>
                <w:b/>
                <w:bCs/>
                <w:color w:val="000000" w:themeColor="text1"/>
                <w:highlight w:val="none"/>
                <w:lang w:val="en-US" w:eastAsia="zh-CN"/>
                <w14:textFill>
                  <w14:solidFill>
                    <w14:schemeClr w14:val="tx1"/>
                  </w14:solidFill>
                </w14:textFill>
              </w:rPr>
              <w:t>矿山地质环境保护与恢复治理工作情况表     表3</w:t>
            </w:r>
          </w:p>
          <w:tbl>
            <w:tblPr>
              <w:tblStyle w:val="14"/>
              <w:tblW w:w="4922"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98"/>
              <w:gridCol w:w="1798"/>
              <w:gridCol w:w="2016"/>
              <w:gridCol w:w="254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1102" w:type="pct"/>
                  <w:vAlign w:val="center"/>
                </w:tcPr>
                <w:p>
                  <w:pPr>
                    <w:pStyle w:val="12"/>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000000" w:themeColor="text1"/>
                      <w:highlight w:val="none"/>
                      <w:lang w:eastAsia="zh-CN"/>
                      <w14:textFill>
                        <w14:solidFill>
                          <w14:schemeClr w14:val="tx1"/>
                        </w14:solidFill>
                      </w14:textFill>
                    </w:rPr>
                  </w:pPr>
                  <w:r>
                    <w:rPr>
                      <w:rFonts w:hint="eastAsia" w:ascii="仿宋" w:hAnsi="仿宋" w:eastAsia="仿宋" w:cs="仿宋"/>
                      <w:color w:val="000000" w:themeColor="text1"/>
                      <w:highlight w:val="none"/>
                      <w:lang w:eastAsia="zh-CN"/>
                      <w14:textFill>
                        <w14:solidFill>
                          <w14:schemeClr w14:val="tx1"/>
                        </w14:solidFill>
                      </w14:textFill>
                    </w:rPr>
                    <w:t>水质监测</w:t>
                  </w:r>
                  <w:r>
                    <w:rPr>
                      <w:rFonts w:hint="eastAsia" w:ascii="仿宋" w:hAnsi="仿宋" w:eastAsia="仿宋" w:cs="仿宋"/>
                      <w:color w:val="000000" w:themeColor="text1"/>
                      <w:highlight w:val="none"/>
                      <w:lang w:val="en-US" w:eastAsia="zh-CN"/>
                      <w14:textFill>
                        <w14:solidFill>
                          <w14:schemeClr w14:val="tx1"/>
                        </w14:solidFill>
                      </w14:textFill>
                    </w:rPr>
                    <w:t>/</w:t>
                  </w:r>
                  <w:r>
                    <w:rPr>
                      <w:rFonts w:hint="eastAsia" w:ascii="仿宋" w:hAnsi="仿宋" w:eastAsia="仿宋" w:cs="仿宋"/>
                      <w:color w:val="000000" w:themeColor="text1"/>
                      <w:highlight w:val="none"/>
                      <w:lang w:eastAsia="zh-CN"/>
                      <w14:textFill>
                        <w14:solidFill>
                          <w14:schemeClr w14:val="tx1"/>
                        </w14:solidFill>
                      </w14:textFill>
                    </w:rPr>
                    <w:t>次</w:t>
                  </w:r>
                </w:p>
              </w:tc>
              <w:tc>
                <w:tcPr>
                  <w:tcW w:w="1102" w:type="pct"/>
                  <w:vAlign w:val="center"/>
                </w:tcPr>
                <w:p>
                  <w:pPr>
                    <w:pStyle w:val="12"/>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000000" w:themeColor="text1"/>
                      <w:highlight w:val="none"/>
                      <w:lang w:eastAsia="zh-CN"/>
                      <w14:textFill>
                        <w14:solidFill>
                          <w14:schemeClr w14:val="tx1"/>
                        </w14:solidFill>
                      </w14:textFill>
                    </w:rPr>
                  </w:pPr>
                  <w:r>
                    <w:rPr>
                      <w:rFonts w:hint="eastAsia" w:ascii="仿宋" w:hAnsi="仿宋" w:eastAsia="仿宋" w:cs="仿宋"/>
                      <w:color w:val="000000" w:themeColor="text1"/>
                      <w:highlight w:val="none"/>
                      <w:lang w:eastAsia="zh-CN"/>
                      <w14:textFill>
                        <w14:solidFill>
                          <w14:schemeClr w14:val="tx1"/>
                        </w14:solidFill>
                      </w14:textFill>
                    </w:rPr>
                    <w:t>环境监测</w:t>
                  </w:r>
                  <w:r>
                    <w:rPr>
                      <w:rFonts w:hint="eastAsia" w:ascii="仿宋" w:hAnsi="仿宋" w:eastAsia="仿宋" w:cs="仿宋"/>
                      <w:color w:val="000000" w:themeColor="text1"/>
                      <w:highlight w:val="none"/>
                      <w:lang w:val="en-US" w:eastAsia="zh-CN"/>
                      <w14:textFill>
                        <w14:solidFill>
                          <w14:schemeClr w14:val="tx1"/>
                        </w14:solidFill>
                      </w14:textFill>
                    </w:rPr>
                    <w:t>/</w:t>
                  </w:r>
                  <w:r>
                    <w:rPr>
                      <w:rFonts w:hint="eastAsia" w:ascii="仿宋" w:hAnsi="仿宋" w:eastAsia="仿宋" w:cs="仿宋"/>
                      <w:color w:val="000000" w:themeColor="text1"/>
                      <w:highlight w:val="none"/>
                      <w:lang w:eastAsia="zh-CN"/>
                      <w14:textFill>
                        <w14:solidFill>
                          <w14:schemeClr w14:val="tx1"/>
                        </w14:solidFill>
                      </w14:textFill>
                    </w:rPr>
                    <w:t>次</w:t>
                  </w:r>
                </w:p>
              </w:tc>
              <w:tc>
                <w:tcPr>
                  <w:tcW w:w="1235" w:type="pct"/>
                  <w:vAlign w:val="center"/>
                </w:tcPr>
                <w:p>
                  <w:pPr>
                    <w:pStyle w:val="12"/>
                    <w:keepNext w:val="0"/>
                    <w:keepLines w:val="0"/>
                    <w:pageBreakBefore w:val="0"/>
                    <w:widowControl w:val="0"/>
                    <w:kinsoku/>
                    <w:wordWrap/>
                    <w:overflowPunct/>
                    <w:topLinePunct w:val="0"/>
                    <w:autoSpaceDE/>
                    <w:autoSpaceDN/>
                    <w:bidi w:val="0"/>
                    <w:adjustRightInd/>
                    <w:snapToGrid/>
                    <w:spacing w:after="0" w:line="240" w:lineRule="auto"/>
                    <w:ind w:left="-50" w:right="-50" w:firstLine="0" w:firstLineChars="0"/>
                    <w:jc w:val="center"/>
                    <w:textAlignment w:val="auto"/>
                    <w:rPr>
                      <w:rFonts w:hint="eastAsia" w:ascii="仿宋" w:hAnsi="仿宋" w:eastAsia="仿宋" w:cs="仿宋"/>
                      <w:color w:val="000000" w:themeColor="text1"/>
                      <w:highlight w:val="none"/>
                      <w:lang w:eastAsia="zh-CN"/>
                      <w14:textFill>
                        <w14:solidFill>
                          <w14:schemeClr w14:val="tx1"/>
                        </w14:solidFill>
                      </w14:textFill>
                    </w:rPr>
                  </w:pPr>
                  <w:r>
                    <w:rPr>
                      <w:rFonts w:hint="eastAsia" w:ascii="仿宋" w:hAnsi="仿宋" w:eastAsia="仿宋" w:cs="仿宋"/>
                      <w:color w:val="000000" w:themeColor="text1"/>
                      <w:highlight w:val="none"/>
                      <w:lang w:eastAsia="zh-CN"/>
                      <w14:textFill>
                        <w14:solidFill>
                          <w14:schemeClr w14:val="tx1"/>
                        </w14:solidFill>
                      </w14:textFill>
                    </w:rPr>
                    <w:t>管线巡查</w:t>
                  </w:r>
                  <w:r>
                    <w:rPr>
                      <w:rFonts w:hint="eastAsia" w:ascii="仿宋" w:hAnsi="仿宋" w:eastAsia="仿宋" w:cs="仿宋"/>
                      <w:color w:val="000000" w:themeColor="text1"/>
                      <w:highlight w:val="none"/>
                      <w:lang w:val="en-US" w:eastAsia="zh-CN"/>
                      <w14:textFill>
                        <w14:solidFill>
                          <w14:schemeClr w14:val="tx1"/>
                        </w14:solidFill>
                      </w14:textFill>
                    </w:rPr>
                    <w:t>/</w:t>
                  </w:r>
                  <w:r>
                    <w:rPr>
                      <w:rFonts w:hint="eastAsia" w:ascii="仿宋" w:hAnsi="仿宋" w:eastAsia="仿宋" w:cs="仿宋"/>
                      <w:color w:val="000000" w:themeColor="text1"/>
                      <w:highlight w:val="none"/>
                      <w:lang w:eastAsia="zh-CN"/>
                      <w14:textFill>
                        <w14:solidFill>
                          <w14:schemeClr w14:val="tx1"/>
                        </w14:solidFill>
                      </w14:textFill>
                    </w:rPr>
                    <w:t>次</w:t>
                  </w:r>
                </w:p>
              </w:tc>
              <w:tc>
                <w:tcPr>
                  <w:tcW w:w="1560" w:type="pct"/>
                  <w:vAlign w:val="center"/>
                </w:tcPr>
                <w:p>
                  <w:pPr>
                    <w:pStyle w:val="12"/>
                    <w:keepNext w:val="0"/>
                    <w:keepLines w:val="0"/>
                    <w:pageBreakBefore w:val="0"/>
                    <w:widowControl w:val="0"/>
                    <w:kinsoku/>
                    <w:wordWrap/>
                    <w:overflowPunct/>
                    <w:topLinePunct w:val="0"/>
                    <w:autoSpaceDE/>
                    <w:autoSpaceDN/>
                    <w:bidi w:val="0"/>
                    <w:adjustRightInd/>
                    <w:snapToGrid/>
                    <w:spacing w:after="0" w:line="240" w:lineRule="auto"/>
                    <w:ind w:left="-50" w:right="-50" w:firstLine="0" w:firstLineChars="0"/>
                    <w:jc w:val="center"/>
                    <w:textAlignment w:val="auto"/>
                    <w:rPr>
                      <w:rFonts w:hint="eastAsia" w:ascii="仿宋" w:hAnsi="仿宋" w:eastAsia="仿宋" w:cs="仿宋"/>
                      <w:color w:val="000000" w:themeColor="text1"/>
                      <w:highlight w:val="none"/>
                      <w:lang w:eastAsia="zh-CN"/>
                      <w14:textFill>
                        <w14:solidFill>
                          <w14:schemeClr w14:val="tx1"/>
                        </w14:solidFill>
                      </w14:textFill>
                    </w:rPr>
                  </w:pPr>
                  <w:r>
                    <w:rPr>
                      <w:rFonts w:hint="eastAsia" w:ascii="仿宋" w:hAnsi="仿宋" w:eastAsia="仿宋" w:cs="仿宋"/>
                      <w:color w:val="000000" w:themeColor="text1"/>
                      <w:highlight w:val="none"/>
                      <w:lang w:eastAsia="zh-CN"/>
                      <w14:textFill>
                        <w14:solidFill>
                          <w14:schemeClr w14:val="tx1"/>
                        </w14:solidFill>
                      </w14:textFill>
                    </w:rPr>
                    <w:t>尾水水质监测</w:t>
                  </w:r>
                  <w:r>
                    <w:rPr>
                      <w:rFonts w:hint="eastAsia" w:ascii="仿宋" w:hAnsi="仿宋" w:eastAsia="仿宋" w:cs="仿宋"/>
                      <w:color w:val="000000" w:themeColor="text1"/>
                      <w:highlight w:val="none"/>
                      <w:lang w:val="en-US" w:eastAsia="zh-CN"/>
                      <w14:textFill>
                        <w14:solidFill>
                          <w14:schemeClr w14:val="tx1"/>
                        </w14:solidFill>
                      </w14:textFill>
                    </w:rPr>
                    <w:t>/</w:t>
                  </w:r>
                  <w:r>
                    <w:rPr>
                      <w:rFonts w:hint="eastAsia" w:ascii="仿宋" w:hAnsi="仿宋" w:eastAsia="仿宋" w:cs="仿宋"/>
                      <w:color w:val="000000" w:themeColor="text1"/>
                      <w:highlight w:val="none"/>
                      <w:lang w:eastAsia="zh-CN"/>
                      <w14:textFill>
                        <w14:solidFill>
                          <w14:schemeClr w14:val="tx1"/>
                        </w14:solidFill>
                      </w14:textFill>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1" w:hRule="atLeast"/>
              </w:trPr>
              <w:tc>
                <w:tcPr>
                  <w:tcW w:w="1102" w:type="pct"/>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color w:val="000000" w:themeColor="text1"/>
                      <w:highlight w:val="none"/>
                      <w:lang w:val="en-US" w:eastAsia="zh-CN"/>
                      <w14:textFill>
                        <w14:solidFill>
                          <w14:schemeClr w14:val="tx1"/>
                        </w14:solidFill>
                      </w14:textFill>
                    </w:rPr>
                  </w:pPr>
                  <w:r>
                    <w:rPr>
                      <w:rFonts w:hint="eastAsia" w:ascii="仿宋" w:hAnsi="仿宋" w:eastAsia="仿宋" w:cs="仿宋"/>
                      <w:color w:val="000000" w:themeColor="text1"/>
                      <w:highlight w:val="none"/>
                      <w:lang w:val="en-US" w:eastAsia="zh-CN"/>
                      <w14:textFill>
                        <w14:solidFill>
                          <w14:schemeClr w14:val="tx1"/>
                        </w14:solidFill>
                      </w14:textFill>
                    </w:rPr>
                    <w:t>2</w:t>
                  </w:r>
                </w:p>
              </w:tc>
              <w:tc>
                <w:tcPr>
                  <w:tcW w:w="1102" w:type="pct"/>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color w:val="000000" w:themeColor="text1"/>
                      <w:highlight w:val="none"/>
                      <w:lang w:val="en-US" w:eastAsia="zh-CN"/>
                      <w14:textFill>
                        <w14:solidFill>
                          <w14:schemeClr w14:val="tx1"/>
                        </w14:solidFill>
                      </w14:textFill>
                    </w:rPr>
                  </w:pPr>
                  <w:r>
                    <w:rPr>
                      <w:rFonts w:hint="eastAsia" w:ascii="仿宋" w:hAnsi="仿宋" w:eastAsia="仿宋" w:cs="仿宋"/>
                      <w:color w:val="000000" w:themeColor="text1"/>
                      <w:highlight w:val="none"/>
                      <w:lang w:val="en-US" w:eastAsia="zh-CN"/>
                      <w14:textFill>
                        <w14:solidFill>
                          <w14:schemeClr w14:val="tx1"/>
                        </w14:solidFill>
                      </w14:textFill>
                    </w:rPr>
                    <w:t>630</w:t>
                  </w:r>
                </w:p>
              </w:tc>
              <w:tc>
                <w:tcPr>
                  <w:tcW w:w="1235" w:type="pct"/>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color w:val="000000" w:themeColor="text1"/>
                      <w:highlight w:val="none"/>
                      <w:lang w:val="en-US" w:eastAsia="zh-CN"/>
                      <w14:textFill>
                        <w14:solidFill>
                          <w14:schemeClr w14:val="tx1"/>
                        </w14:solidFill>
                      </w14:textFill>
                    </w:rPr>
                  </w:pPr>
                  <w:r>
                    <w:rPr>
                      <w:rFonts w:hint="eastAsia" w:ascii="仿宋" w:hAnsi="仿宋" w:eastAsia="仿宋" w:cs="仿宋"/>
                      <w:color w:val="000000" w:themeColor="text1"/>
                      <w:highlight w:val="none"/>
                      <w:lang w:val="en-US" w:eastAsia="zh-CN"/>
                      <w14:textFill>
                        <w14:solidFill>
                          <w14:schemeClr w14:val="tx1"/>
                        </w14:solidFill>
                      </w14:textFill>
                    </w:rPr>
                    <w:t>630</w:t>
                  </w:r>
                </w:p>
              </w:tc>
              <w:tc>
                <w:tcPr>
                  <w:tcW w:w="1560" w:type="pct"/>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color w:val="000000" w:themeColor="text1"/>
                      <w:highlight w:val="none"/>
                      <w:lang w:val="en-US" w:eastAsia="zh-CN"/>
                      <w14:textFill>
                        <w14:solidFill>
                          <w14:schemeClr w14:val="tx1"/>
                        </w14:solidFill>
                      </w14:textFill>
                    </w:rPr>
                  </w:pPr>
                  <w:r>
                    <w:rPr>
                      <w:rFonts w:hint="eastAsia" w:ascii="仿宋" w:hAnsi="仿宋" w:eastAsia="仿宋" w:cs="仿宋"/>
                      <w:color w:val="000000" w:themeColor="text1"/>
                      <w:highlight w:val="none"/>
                      <w:lang w:val="en-US" w:eastAsia="zh-CN"/>
                      <w14:textFill>
                        <w14:solidFill>
                          <w14:schemeClr w14:val="tx1"/>
                        </w14:solidFill>
                      </w14:textFill>
                    </w:rPr>
                    <w:t>1</w:t>
                  </w:r>
                </w:p>
              </w:tc>
            </w:tr>
          </w:tbl>
          <w:p>
            <w:pPr>
              <w:pStyle w:val="4"/>
              <w:bidi w:val="0"/>
              <w:rPr>
                <w:color w:val="auto"/>
              </w:rPr>
            </w:pPr>
            <w:r>
              <w:rPr>
                <w:rFonts w:hint="eastAsia"/>
                <w:color w:val="auto"/>
                <w:lang w:val="en-US" w:eastAsia="zh-CN"/>
              </w:rPr>
              <w:t>（四）本次工作完成情况</w:t>
            </w:r>
          </w:p>
          <w:p>
            <w:pPr>
              <w:pStyle w:val="18"/>
              <w:ind w:firstLine="480" w:firstLineChars="200"/>
              <w:rPr>
                <w:rFonts w:hint="default" w:ascii="Times New Roman" w:hAnsi="Times New Roman" w:cs="Times New Roman"/>
                <w:color w:val="auto"/>
              </w:rPr>
            </w:pPr>
            <w:r>
              <w:rPr>
                <w:rFonts w:hint="default" w:ascii="Times New Roman" w:hAnsi="Times New Roman" w:cs="Times New Roman"/>
                <w:color w:val="auto"/>
                <w:lang w:eastAsia="zh-CN"/>
              </w:rPr>
              <w:t>我公司在</w:t>
            </w:r>
            <w:r>
              <w:rPr>
                <w:rFonts w:hint="default" w:ascii="Times New Roman" w:hAnsi="Times New Roman" w:cs="Times New Roman"/>
                <w:color w:val="auto"/>
              </w:rPr>
              <w:t>接受任务后，即组织人员开展工作；202</w:t>
            </w:r>
            <w:r>
              <w:rPr>
                <w:rFonts w:hint="default" w:ascii="Times New Roman" w:hAnsi="Times New Roman" w:cs="Times New Roman"/>
                <w:color w:val="auto"/>
                <w:lang w:val="en-US" w:eastAsia="zh-CN"/>
              </w:rPr>
              <w:t>2</w:t>
            </w:r>
            <w:r>
              <w:rPr>
                <w:rFonts w:hint="default" w:ascii="Times New Roman" w:hAnsi="Times New Roman" w:cs="Times New Roman"/>
                <w:color w:val="auto"/>
              </w:rPr>
              <w:t>年</w:t>
            </w:r>
            <w:r>
              <w:rPr>
                <w:rFonts w:hint="default" w:ascii="Times New Roman" w:hAnsi="Times New Roman" w:cs="Times New Roman"/>
                <w:color w:val="auto"/>
                <w:lang w:val="en-US" w:eastAsia="zh-CN"/>
              </w:rPr>
              <w:t>7</w:t>
            </w:r>
            <w:r>
              <w:rPr>
                <w:rFonts w:hint="default" w:ascii="Times New Roman" w:hAnsi="Times New Roman" w:cs="Times New Roman"/>
                <w:color w:val="auto"/>
              </w:rPr>
              <w:t>月</w:t>
            </w:r>
            <w:r>
              <w:rPr>
                <w:rFonts w:hint="default" w:ascii="Times New Roman" w:hAnsi="Times New Roman" w:cs="Times New Roman"/>
                <w:color w:val="auto"/>
                <w:lang w:val="en-US" w:eastAsia="zh-CN"/>
              </w:rPr>
              <w:t>11</w:t>
            </w:r>
            <w:r>
              <w:rPr>
                <w:rFonts w:hint="default" w:ascii="Times New Roman" w:hAnsi="Times New Roman" w:cs="Times New Roman"/>
                <w:color w:val="auto"/>
              </w:rPr>
              <w:t>日—</w:t>
            </w:r>
            <w:r>
              <w:rPr>
                <w:rFonts w:hint="default" w:ascii="Times New Roman" w:hAnsi="Times New Roman" w:cs="Times New Roman"/>
                <w:color w:val="auto"/>
                <w:lang w:val="en-US" w:eastAsia="zh-CN"/>
              </w:rPr>
              <w:t>7</w:t>
            </w:r>
            <w:r>
              <w:rPr>
                <w:rFonts w:hint="default" w:ascii="Times New Roman" w:hAnsi="Times New Roman" w:cs="Times New Roman"/>
                <w:color w:val="auto"/>
              </w:rPr>
              <w:t>月1</w:t>
            </w:r>
            <w:r>
              <w:rPr>
                <w:rFonts w:hint="default" w:ascii="Times New Roman" w:hAnsi="Times New Roman" w:cs="Times New Roman"/>
                <w:color w:val="auto"/>
                <w:lang w:val="en-US" w:eastAsia="zh-CN"/>
              </w:rPr>
              <w:t>5</w:t>
            </w:r>
            <w:r>
              <w:rPr>
                <w:rFonts w:hint="default" w:ascii="Times New Roman" w:hAnsi="Times New Roman" w:cs="Times New Roman"/>
                <w:color w:val="auto"/>
              </w:rPr>
              <w:t>日搜集资料、编写工作计划；202</w:t>
            </w:r>
            <w:r>
              <w:rPr>
                <w:rFonts w:hint="default" w:ascii="Times New Roman" w:hAnsi="Times New Roman" w:cs="Times New Roman"/>
                <w:color w:val="auto"/>
                <w:lang w:val="en-US" w:eastAsia="zh-CN"/>
              </w:rPr>
              <w:t>2</w:t>
            </w:r>
            <w:r>
              <w:rPr>
                <w:rFonts w:hint="default" w:ascii="Times New Roman" w:hAnsi="Times New Roman" w:cs="Times New Roman"/>
                <w:color w:val="auto"/>
              </w:rPr>
              <w:t>年</w:t>
            </w:r>
            <w:r>
              <w:rPr>
                <w:rFonts w:hint="default" w:ascii="Times New Roman" w:hAnsi="Times New Roman" w:cs="Times New Roman"/>
                <w:color w:val="auto"/>
                <w:lang w:val="en-US" w:eastAsia="zh-CN"/>
              </w:rPr>
              <w:t>7</w:t>
            </w:r>
            <w:r>
              <w:rPr>
                <w:rFonts w:hint="default" w:ascii="Times New Roman" w:hAnsi="Times New Roman" w:cs="Times New Roman"/>
                <w:color w:val="auto"/>
              </w:rPr>
              <w:t>月</w:t>
            </w:r>
            <w:r>
              <w:rPr>
                <w:rFonts w:hint="default" w:ascii="Times New Roman" w:hAnsi="Times New Roman" w:cs="Times New Roman"/>
                <w:color w:val="auto"/>
                <w:lang w:val="en-US" w:eastAsia="zh-CN"/>
              </w:rPr>
              <w:t>20—22</w:t>
            </w:r>
            <w:r>
              <w:rPr>
                <w:rFonts w:hint="default" w:ascii="Times New Roman" w:hAnsi="Times New Roman" w:cs="Times New Roman"/>
                <w:color w:val="auto"/>
              </w:rPr>
              <w:t>日进行野外调查，之后转入室内综合资料整理、分析研究，于202</w:t>
            </w:r>
            <w:r>
              <w:rPr>
                <w:rFonts w:hint="default" w:ascii="Times New Roman" w:hAnsi="Times New Roman" w:cs="Times New Roman"/>
                <w:color w:val="auto"/>
                <w:lang w:val="en-US" w:eastAsia="zh-CN"/>
              </w:rPr>
              <w:t>2</w:t>
            </w:r>
            <w:r>
              <w:rPr>
                <w:rFonts w:hint="default" w:ascii="Times New Roman" w:hAnsi="Times New Roman" w:cs="Times New Roman"/>
                <w:color w:val="auto"/>
              </w:rPr>
              <w:t>年</w:t>
            </w:r>
            <w:r>
              <w:rPr>
                <w:rFonts w:hint="default" w:ascii="Times New Roman" w:hAnsi="Times New Roman" w:cs="Times New Roman"/>
                <w:color w:val="auto"/>
                <w:lang w:val="en-US" w:eastAsia="zh-CN"/>
              </w:rPr>
              <w:t>7</w:t>
            </w:r>
            <w:r>
              <w:rPr>
                <w:rFonts w:hint="default" w:ascii="Times New Roman" w:hAnsi="Times New Roman" w:cs="Times New Roman"/>
                <w:color w:val="auto"/>
              </w:rPr>
              <w:t>月底完成方案编制工作，并依据公司内审意见进行补充完善。本次完成工作量</w:t>
            </w:r>
            <w:r>
              <w:rPr>
                <w:rFonts w:hint="default" w:ascii="Times New Roman" w:hAnsi="Times New Roman" w:cs="Times New Roman"/>
                <w:color w:val="auto"/>
                <w:lang w:eastAsia="zh-CN"/>
              </w:rPr>
              <w:t>，</w:t>
            </w:r>
            <w:r>
              <w:rPr>
                <w:rFonts w:hint="default" w:ascii="Times New Roman" w:hAnsi="Times New Roman" w:cs="Times New Roman"/>
                <w:color w:val="auto"/>
              </w:rPr>
              <w:t>详见表</w:t>
            </w:r>
            <w:r>
              <w:rPr>
                <w:rFonts w:hint="default" w:ascii="Times New Roman" w:hAnsi="Times New Roman" w:cs="Times New Roman"/>
                <w:color w:val="auto"/>
                <w:lang w:val="en-US" w:eastAsia="zh-CN"/>
              </w:rPr>
              <w:t>4</w:t>
            </w:r>
            <w:r>
              <w:rPr>
                <w:rFonts w:hint="default" w:ascii="Times New Roman" w:hAnsi="Times New Roman" w:cs="Times New Roman"/>
                <w:color w:val="auto"/>
              </w:rPr>
              <w:t>。</w:t>
            </w:r>
          </w:p>
          <w:p>
            <w:pPr>
              <w:spacing w:line="480" w:lineRule="exact"/>
              <w:jc w:val="center"/>
              <w:rPr>
                <w:rFonts w:hint="eastAsia" w:ascii="仿宋" w:hAnsi="仿宋" w:eastAsia="仿宋" w:cs="仿宋"/>
                <w:b/>
                <w:bCs/>
                <w:color w:val="auto"/>
                <w:lang w:val="en-US" w:eastAsia="zh-CN"/>
              </w:rPr>
            </w:pPr>
            <w:r>
              <w:rPr>
                <w:rFonts w:hint="eastAsia" w:ascii="仿宋" w:hAnsi="仿宋" w:eastAsia="仿宋" w:cs="仿宋"/>
                <w:b/>
                <w:bCs/>
                <w:color w:val="auto"/>
              </w:rPr>
              <w:t>完成工作量统计表</w:t>
            </w:r>
            <w:r>
              <w:rPr>
                <w:rFonts w:hint="eastAsia" w:ascii="仿宋" w:hAnsi="仿宋" w:eastAsia="仿宋" w:cs="仿宋"/>
                <w:b/>
                <w:bCs/>
                <w:color w:val="auto"/>
                <w:lang w:val="en-US" w:eastAsia="zh-CN"/>
              </w:rPr>
              <w:t xml:space="preserve">            表4</w:t>
            </w:r>
          </w:p>
          <w:tbl>
            <w:tblPr>
              <w:tblStyle w:val="14"/>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1384"/>
              <w:gridCol w:w="1382"/>
              <w:gridCol w:w="1380"/>
              <w:gridCol w:w="1380"/>
              <w:gridCol w:w="13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highlight w:val="none"/>
                    </w:rPr>
                  </w:pPr>
                  <w:r>
                    <w:rPr>
                      <w:rFonts w:hint="eastAsia" w:ascii="仿宋" w:hAnsi="仿宋" w:eastAsia="仿宋" w:cs="仿宋"/>
                      <w:color w:val="auto"/>
                      <w:highlight w:val="none"/>
                    </w:rPr>
                    <w:t>矿区面积</w:t>
                  </w:r>
                </w:p>
                <w:p>
                  <w:pPr>
                    <w:pStyle w:val="12"/>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rPr>
                  </w:pPr>
                  <w:r>
                    <w:rPr>
                      <w:rFonts w:hint="eastAsia" w:ascii="仿宋" w:hAnsi="仿宋" w:eastAsia="仿宋" w:cs="仿宋"/>
                      <w:color w:val="auto"/>
                      <w:highlight w:val="none"/>
                    </w:rPr>
                    <w:t>（km</w:t>
                  </w:r>
                  <w:r>
                    <w:rPr>
                      <w:rFonts w:hint="eastAsia" w:ascii="仿宋" w:hAnsi="仿宋" w:eastAsia="仿宋" w:cs="仿宋"/>
                      <w:color w:val="auto"/>
                      <w:highlight w:val="none"/>
                      <w:vertAlign w:val="superscript"/>
                    </w:rPr>
                    <w:t>2</w:t>
                  </w:r>
                  <w:r>
                    <w:rPr>
                      <w:rFonts w:hint="eastAsia" w:ascii="仿宋" w:hAnsi="仿宋" w:eastAsia="仿宋" w:cs="仿宋"/>
                      <w:color w:val="auto"/>
                      <w:highlight w:val="none"/>
                    </w:rPr>
                    <w:t>）</w:t>
                  </w:r>
                </w:p>
              </w:tc>
              <w:tc>
                <w:tcPr>
                  <w:tcW w:w="1384"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highlight w:val="none"/>
                    </w:rPr>
                  </w:pPr>
                  <w:r>
                    <w:rPr>
                      <w:rFonts w:hint="eastAsia" w:ascii="仿宋" w:hAnsi="仿宋" w:eastAsia="仿宋" w:cs="仿宋"/>
                      <w:color w:val="auto"/>
                      <w:highlight w:val="none"/>
                    </w:rPr>
                    <w:t>评估区面积</w:t>
                  </w:r>
                </w:p>
                <w:p>
                  <w:pPr>
                    <w:pStyle w:val="12"/>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rPr>
                  </w:pPr>
                  <w:r>
                    <w:rPr>
                      <w:rFonts w:hint="eastAsia" w:ascii="仿宋" w:hAnsi="仿宋" w:eastAsia="仿宋" w:cs="仿宋"/>
                      <w:color w:val="auto"/>
                      <w:highlight w:val="none"/>
                    </w:rPr>
                    <w:t>（km</w:t>
                  </w:r>
                  <w:r>
                    <w:rPr>
                      <w:rFonts w:hint="eastAsia" w:ascii="仿宋" w:hAnsi="仿宋" w:eastAsia="仿宋" w:cs="仿宋"/>
                      <w:color w:val="auto"/>
                      <w:highlight w:val="none"/>
                      <w:vertAlign w:val="superscript"/>
                    </w:rPr>
                    <w:t>2</w:t>
                  </w:r>
                  <w:r>
                    <w:rPr>
                      <w:rFonts w:hint="eastAsia" w:ascii="仿宋" w:hAnsi="仿宋" w:eastAsia="仿宋" w:cs="仿宋"/>
                      <w:color w:val="auto"/>
                      <w:highlight w:val="none"/>
                    </w:rPr>
                    <w:t>）</w:t>
                  </w:r>
                </w:p>
              </w:tc>
              <w:tc>
                <w:tcPr>
                  <w:tcW w:w="1382"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highlight w:val="none"/>
                    </w:rPr>
                  </w:pPr>
                  <w:r>
                    <w:rPr>
                      <w:rFonts w:hint="eastAsia" w:ascii="仿宋" w:hAnsi="仿宋" w:eastAsia="仿宋" w:cs="仿宋"/>
                      <w:color w:val="auto"/>
                      <w:highlight w:val="none"/>
                    </w:rPr>
                    <w:t>调查路线</w:t>
                  </w:r>
                </w:p>
                <w:p>
                  <w:pPr>
                    <w:pStyle w:val="12"/>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eastAsia" w:ascii="仿宋" w:hAnsi="仿宋" w:eastAsia="仿宋" w:cs="仿宋"/>
                      <w:color w:val="auto"/>
                    </w:rPr>
                  </w:pPr>
                  <w:r>
                    <w:rPr>
                      <w:rFonts w:hint="eastAsia" w:ascii="仿宋" w:hAnsi="仿宋" w:eastAsia="仿宋" w:cs="仿宋"/>
                      <w:color w:val="auto"/>
                      <w:highlight w:val="none"/>
                    </w:rPr>
                    <w:t>（km）</w:t>
                  </w:r>
                </w:p>
              </w:tc>
              <w:tc>
                <w:tcPr>
                  <w:tcW w:w="1380"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highlight w:val="none"/>
                    </w:rPr>
                  </w:pPr>
                  <w:r>
                    <w:rPr>
                      <w:rFonts w:hint="eastAsia" w:ascii="仿宋" w:hAnsi="仿宋" w:eastAsia="仿宋" w:cs="仿宋"/>
                      <w:color w:val="auto"/>
                      <w:highlight w:val="none"/>
                    </w:rPr>
                    <w:t>调查点</w:t>
                  </w:r>
                </w:p>
                <w:p>
                  <w:pPr>
                    <w:pStyle w:val="12"/>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eastAsia" w:ascii="仿宋" w:hAnsi="仿宋" w:eastAsia="仿宋" w:cs="仿宋"/>
                      <w:color w:val="auto"/>
                    </w:rPr>
                  </w:pPr>
                  <w:r>
                    <w:rPr>
                      <w:rFonts w:hint="eastAsia" w:ascii="仿宋" w:hAnsi="仿宋" w:eastAsia="仿宋" w:cs="仿宋"/>
                      <w:color w:val="auto"/>
                      <w:highlight w:val="none"/>
                    </w:rPr>
                    <w:t>（个）</w:t>
                  </w:r>
                </w:p>
              </w:tc>
              <w:tc>
                <w:tcPr>
                  <w:tcW w:w="1380"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highlight w:val="none"/>
                    </w:rPr>
                  </w:pPr>
                  <w:r>
                    <w:rPr>
                      <w:rFonts w:hint="eastAsia" w:ascii="仿宋" w:hAnsi="仿宋" w:eastAsia="仿宋" w:cs="仿宋"/>
                      <w:color w:val="auto"/>
                      <w:highlight w:val="none"/>
                    </w:rPr>
                    <w:t>拍照</w:t>
                  </w:r>
                </w:p>
                <w:p>
                  <w:pPr>
                    <w:pStyle w:val="12"/>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eastAsia" w:ascii="仿宋" w:hAnsi="仿宋" w:eastAsia="仿宋" w:cs="仿宋"/>
                      <w:color w:val="auto"/>
                    </w:rPr>
                  </w:pPr>
                  <w:r>
                    <w:rPr>
                      <w:rFonts w:hint="eastAsia" w:ascii="仿宋" w:hAnsi="仿宋" w:eastAsia="仿宋" w:cs="仿宋"/>
                      <w:color w:val="auto"/>
                      <w:highlight w:val="none"/>
                    </w:rPr>
                    <w:t>（张）</w:t>
                  </w:r>
                </w:p>
              </w:tc>
              <w:tc>
                <w:tcPr>
                  <w:tcW w:w="1376"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highlight w:val="none"/>
                    </w:rPr>
                  </w:pPr>
                  <w:r>
                    <w:rPr>
                      <w:rFonts w:hint="eastAsia" w:ascii="仿宋" w:hAnsi="仿宋" w:eastAsia="仿宋" w:cs="仿宋"/>
                      <w:color w:val="auto"/>
                      <w:highlight w:val="none"/>
                    </w:rPr>
                    <w:t>搜集资料</w:t>
                  </w:r>
                </w:p>
                <w:p>
                  <w:pPr>
                    <w:pStyle w:val="12"/>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eastAsia" w:ascii="仿宋" w:hAnsi="仿宋" w:eastAsia="仿宋" w:cs="仿宋"/>
                      <w:color w:val="auto"/>
                    </w:rPr>
                  </w:pPr>
                  <w:r>
                    <w:rPr>
                      <w:rFonts w:hint="eastAsia" w:ascii="仿宋" w:hAnsi="仿宋" w:eastAsia="仿宋" w:cs="仿宋"/>
                      <w:color w:val="auto"/>
                      <w:highlight w:val="none"/>
                    </w:rPr>
                    <w:t>（份）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384"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color w:val="auto"/>
                      <w:lang w:val="en-US" w:eastAsia="zh-CN"/>
                    </w:rPr>
                  </w:pPr>
                  <w:r>
                    <w:rPr>
                      <w:rFonts w:hint="eastAsia" w:ascii="仿宋" w:hAnsi="仿宋" w:eastAsia="仿宋" w:cs="仿宋"/>
                      <w:color w:val="auto"/>
                      <w:highlight w:val="none"/>
                      <w:lang w:val="en-US" w:eastAsia="zh-CN"/>
                    </w:rPr>
                    <w:t>0.16</w:t>
                  </w:r>
                </w:p>
              </w:tc>
              <w:tc>
                <w:tcPr>
                  <w:tcW w:w="1384"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color w:val="auto"/>
                      <w:lang w:val="en-US" w:eastAsia="zh-CN"/>
                    </w:rPr>
                  </w:pPr>
                  <w:r>
                    <w:rPr>
                      <w:rFonts w:hint="eastAsia" w:ascii="仿宋" w:hAnsi="仿宋" w:eastAsia="仿宋" w:cs="仿宋"/>
                      <w:color w:val="auto"/>
                      <w:highlight w:val="none"/>
                      <w:lang w:val="en-US" w:eastAsia="zh-CN"/>
                    </w:rPr>
                    <w:t>0.917</w:t>
                  </w:r>
                </w:p>
              </w:tc>
              <w:tc>
                <w:tcPr>
                  <w:tcW w:w="1382"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color w:val="auto"/>
                    </w:rPr>
                  </w:pPr>
                  <w:r>
                    <w:rPr>
                      <w:rFonts w:hint="eastAsia" w:ascii="仿宋" w:hAnsi="仿宋" w:eastAsia="仿宋" w:cs="仿宋"/>
                      <w:color w:val="auto"/>
                      <w:highlight w:val="none"/>
                    </w:rPr>
                    <w:t>1.5</w:t>
                  </w:r>
                </w:p>
              </w:tc>
              <w:tc>
                <w:tcPr>
                  <w:tcW w:w="1380"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color w:val="auto"/>
                    </w:rPr>
                  </w:pPr>
                  <w:r>
                    <w:rPr>
                      <w:rFonts w:hint="eastAsia" w:ascii="仿宋" w:hAnsi="仿宋" w:eastAsia="仿宋" w:cs="仿宋"/>
                      <w:color w:val="auto"/>
                      <w:highlight w:val="none"/>
                    </w:rPr>
                    <w:t>6</w:t>
                  </w:r>
                </w:p>
              </w:tc>
              <w:tc>
                <w:tcPr>
                  <w:tcW w:w="1380"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color w:val="auto"/>
                      <w:lang w:eastAsia="zh-CN"/>
                    </w:rPr>
                  </w:pPr>
                  <w:r>
                    <w:rPr>
                      <w:rFonts w:hint="eastAsia" w:ascii="仿宋" w:hAnsi="仿宋" w:eastAsia="仿宋" w:cs="仿宋"/>
                      <w:color w:val="auto"/>
                      <w:highlight w:val="none"/>
                    </w:rPr>
                    <w:t>1</w:t>
                  </w:r>
                  <w:r>
                    <w:rPr>
                      <w:rFonts w:hint="eastAsia" w:ascii="仿宋" w:hAnsi="仿宋" w:eastAsia="仿宋" w:cs="仿宋"/>
                      <w:color w:val="auto"/>
                      <w:highlight w:val="none"/>
                      <w:lang w:val="en-US" w:eastAsia="zh-CN"/>
                    </w:rPr>
                    <w:t>5</w:t>
                  </w:r>
                </w:p>
              </w:tc>
              <w:tc>
                <w:tcPr>
                  <w:tcW w:w="1376"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color w:val="auto"/>
                    </w:rPr>
                  </w:pPr>
                  <w:r>
                    <w:rPr>
                      <w:rFonts w:hint="eastAsia" w:ascii="仿宋" w:hAnsi="仿宋" w:eastAsia="仿宋" w:cs="仿宋"/>
                      <w:color w:val="auto"/>
                      <w:highlight w:val="none"/>
                    </w:rPr>
                    <w:t>4</w:t>
                  </w:r>
                </w:p>
              </w:tc>
            </w:tr>
          </w:tbl>
          <w:p>
            <w:pPr>
              <w:pStyle w:val="18"/>
              <w:ind w:firstLine="480" w:firstLineChars="200"/>
              <w:rPr>
                <w:rFonts w:hint="default"/>
                <w:color w:val="auto"/>
                <w:lang w:val="en-US" w:eastAsia="zh-CN"/>
              </w:rPr>
            </w:pPr>
            <w:r>
              <w:rPr>
                <w:rFonts w:hint="eastAsia"/>
                <w:color w:val="auto"/>
                <w:lang w:eastAsia="zh-CN"/>
              </w:rPr>
              <w:t>本次工作</w:t>
            </w:r>
            <w:r>
              <w:rPr>
                <w:rFonts w:hint="default"/>
                <w:color w:val="auto"/>
                <w:lang w:eastAsia="zh-CN"/>
              </w:rPr>
              <w:t>收集了该矿区的开发利用方案、</w:t>
            </w:r>
            <w:r>
              <w:rPr>
                <w:rFonts w:hint="eastAsia"/>
                <w:color w:val="auto"/>
                <w:lang w:eastAsia="zh-CN"/>
              </w:rPr>
              <w:t>上个适用期的矿山地质环境保护与恢复治理方案报告表、</w:t>
            </w:r>
            <w:r>
              <w:rPr>
                <w:rFonts w:hint="default"/>
                <w:color w:val="auto"/>
                <w:lang w:eastAsia="zh-CN"/>
              </w:rPr>
              <w:t>成井报告及运营期间相关监测资料和水质监测报告。本次所收集到的资料可靠，反映了该项目地热</w:t>
            </w:r>
            <w:r>
              <w:rPr>
                <w:rFonts w:hint="eastAsia"/>
                <w:color w:val="auto"/>
                <w:lang w:eastAsia="zh-CN"/>
              </w:rPr>
              <w:t>区块</w:t>
            </w:r>
            <w:r>
              <w:rPr>
                <w:rFonts w:hint="default"/>
                <w:color w:val="auto"/>
                <w:lang w:eastAsia="zh-CN"/>
              </w:rPr>
              <w:t>开发利用情况、井身结构、前期的矿山环境保护与恢复治理工作布置，同时运营期间相关监测资料和水质监测报告，为本次的地质环境保护和恢复治理工作提供了科学依据。</w:t>
            </w:r>
          </w:p>
          <w:p>
            <w:pPr>
              <w:pStyle w:val="3"/>
              <w:numPr>
                <w:ilvl w:val="0"/>
                <w:numId w:val="0"/>
              </w:numPr>
              <w:bidi w:val="0"/>
              <w:ind w:leftChars="0"/>
              <w:rPr>
                <w:rFonts w:hint="eastAsia"/>
                <w:color w:val="auto"/>
                <w:lang w:val="en-US" w:eastAsia="zh-CN"/>
              </w:rPr>
            </w:pPr>
            <w:bookmarkStart w:id="28" w:name="_Toc26780"/>
            <w:r>
              <w:rPr>
                <w:rFonts w:hint="eastAsia"/>
                <w:color w:val="auto"/>
                <w:lang w:val="en-US" w:eastAsia="zh-CN"/>
              </w:rPr>
              <w:t>二、矿区地质环境条件</w:t>
            </w:r>
            <w:bookmarkEnd w:id="28"/>
          </w:p>
          <w:p>
            <w:pPr>
              <w:pStyle w:val="4"/>
              <w:numPr>
                <w:ilvl w:val="0"/>
                <w:numId w:val="2"/>
              </w:numPr>
              <w:bidi w:val="0"/>
              <w:rPr>
                <w:rFonts w:hint="eastAsia"/>
                <w:color w:val="auto"/>
                <w:lang w:val="en-US" w:eastAsia="zh-CN"/>
              </w:rPr>
            </w:pPr>
            <w:r>
              <w:rPr>
                <w:rFonts w:hint="eastAsia"/>
                <w:color w:val="auto"/>
                <w:lang w:val="en-US" w:eastAsia="zh-CN"/>
              </w:rPr>
              <w:t>地层岩性</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color w:val="auto"/>
                <w:lang w:val="en-US" w:eastAsia="zh-CN"/>
              </w:rPr>
            </w:pPr>
            <w:r>
              <w:rPr>
                <w:rFonts w:hint="default"/>
                <w:color w:val="auto"/>
                <w:lang w:val="en-US" w:eastAsia="zh-CN"/>
              </w:rPr>
              <w:t>1、第一热储层段（第四系三门组Q</w:t>
            </w:r>
            <w:r>
              <w:rPr>
                <w:rFonts w:hint="default"/>
                <w:color w:val="auto"/>
                <w:vertAlign w:val="subscript"/>
                <w:lang w:val="en-US" w:eastAsia="zh-CN"/>
              </w:rPr>
              <w:t>1</w:t>
            </w:r>
            <w:r>
              <w:rPr>
                <w:rFonts w:hint="default"/>
                <w:color w:val="auto"/>
                <w:vertAlign w:val="baseline"/>
                <w:lang w:val="en-US" w:eastAsia="zh-CN"/>
              </w:rPr>
              <w:t>s</w:t>
            </w:r>
            <w:r>
              <w:rPr>
                <w:rFonts w:hint="default"/>
                <w:color w:val="auto"/>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color w:val="auto"/>
                <w:lang w:val="en-US" w:eastAsia="zh-CN"/>
              </w:rPr>
            </w:pPr>
            <w:r>
              <w:rPr>
                <w:rFonts w:hint="default"/>
                <w:color w:val="auto"/>
                <w:lang w:val="en-US" w:eastAsia="zh-CN"/>
              </w:rPr>
              <w:t>岩性下部浅棕色、浅棕红色粘土层与棕黄色细砂不等厚互层，上部浅灰黄、灰色粘土层，夹灰白色粉砂、中砂、粗砂层，局部为含砾粗砂，未固结成岩或半固结成岩。规划为热储禁采，保护层段。</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color w:val="auto"/>
                <w:lang w:val="en-US" w:eastAsia="zh-CN"/>
              </w:rPr>
            </w:pPr>
            <w:r>
              <w:rPr>
                <w:rFonts w:hint="default"/>
                <w:color w:val="auto"/>
                <w:lang w:val="en-US" w:eastAsia="zh-CN"/>
              </w:rPr>
              <w:t>2、第二热储层段（新近系上新统张家坡组N</w:t>
            </w:r>
            <w:r>
              <w:rPr>
                <w:rFonts w:hint="default"/>
                <w:color w:val="auto"/>
                <w:vertAlign w:val="subscript"/>
                <w:lang w:val="en-US" w:eastAsia="zh-CN"/>
              </w:rPr>
              <w:t>2</w:t>
            </w:r>
            <w:r>
              <w:rPr>
                <w:rFonts w:hint="default"/>
                <w:color w:val="auto"/>
                <w:vertAlign w:val="baseline"/>
                <w:lang w:val="en-US" w:eastAsia="zh-CN"/>
              </w:rPr>
              <w:t>z</w:t>
            </w:r>
            <w:r>
              <w:rPr>
                <w:rFonts w:hint="default"/>
                <w:color w:val="auto"/>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color w:val="auto"/>
                <w:lang w:val="en-US" w:eastAsia="zh-CN"/>
              </w:rPr>
            </w:pPr>
            <w:r>
              <w:rPr>
                <w:rFonts w:hint="default"/>
                <w:color w:val="auto"/>
                <w:lang w:val="en-US" w:eastAsia="zh-CN"/>
              </w:rPr>
              <w:t>岩性为灰－浅褐色泥岩与浅灰色砂岩、薄层粉砂岩互层，底部夹含砾砂岩，平均顶底板埋深722.38—1347.86m，热储层砂层厚度31.7－330.1m，平均124.57m。热储层砂厚比为5.50－39.16%，均值为17.06 %；热储顶板平均地温52.0℃，底顶板平均地温64.69℃，平均地温58.35℃。</w:t>
            </w:r>
          </w:p>
          <w:p>
            <w:pPr>
              <w:bidi w:val="0"/>
              <w:rPr>
                <w:rFonts w:hint="default"/>
                <w:color w:val="auto"/>
              </w:rPr>
            </w:pPr>
            <w:r>
              <w:rPr>
                <w:rFonts w:hint="default"/>
                <w:color w:val="auto"/>
              </w:rPr>
              <w:t>3、第三热储层段（新近系上新统蓝田灞河组N</w:t>
            </w:r>
            <w:r>
              <w:rPr>
                <w:rFonts w:hint="default"/>
                <w:color w:val="auto"/>
                <w:vertAlign w:val="subscript"/>
              </w:rPr>
              <w:t>2</w:t>
            </w:r>
            <w:r>
              <w:rPr>
                <w:rFonts w:hint="default"/>
                <w:color w:val="auto"/>
                <w:vertAlign w:val="baseline"/>
              </w:rPr>
              <w:t>l+b</w:t>
            </w:r>
            <w:r>
              <w:rPr>
                <w:rFonts w:hint="default"/>
                <w:color w:val="auto"/>
              </w:rPr>
              <w:t>）</w:t>
            </w:r>
          </w:p>
          <w:p>
            <w:pPr>
              <w:bidi w:val="0"/>
              <w:rPr>
                <w:rFonts w:hint="default"/>
                <w:color w:val="auto"/>
              </w:rPr>
            </w:pPr>
            <w:r>
              <w:rPr>
                <w:rFonts w:hint="default"/>
                <w:color w:val="auto"/>
              </w:rPr>
              <w:t>岩性上部为浅棕色泥岩、砂质泥岩夹灰白色细砂岩、中砂岩、浅灰色泥质粉砂岩，下部为棕褐色泥岩与灰白色、灰黄色细砂岩、粗砂岩、含砾粗砂岩、中砂岩呈不等厚互层，平均顶底板埋深1347.86—2274.03m，热储层砂层厚度185.5－439.8m，平均362.59m。热储层砂厚比为19.89－49.04%，均值为39.83 %；热储顶板平均地温64.97℃，底顶板平均地温86.61℃，平均地温75.79℃。</w:t>
            </w:r>
          </w:p>
          <w:p>
            <w:pPr>
              <w:bidi w:val="0"/>
              <w:rPr>
                <w:rFonts w:hint="default"/>
                <w:color w:val="auto"/>
              </w:rPr>
            </w:pPr>
            <w:r>
              <w:rPr>
                <w:rFonts w:hint="default"/>
                <w:color w:val="auto"/>
              </w:rPr>
              <w:t>4、第四热储层段（中新统高陵群N</w:t>
            </w:r>
            <w:r>
              <w:rPr>
                <w:rFonts w:hint="default"/>
                <w:color w:val="auto"/>
                <w:vertAlign w:val="subscript"/>
              </w:rPr>
              <w:t>1</w:t>
            </w:r>
            <w:r>
              <w:rPr>
                <w:rFonts w:hint="default"/>
                <w:color w:val="auto"/>
                <w:vertAlign w:val="baseline"/>
              </w:rPr>
              <w:t>gl</w:t>
            </w:r>
            <w:r>
              <w:rPr>
                <w:rFonts w:hint="default"/>
                <w:color w:val="auto"/>
              </w:rPr>
              <w:t>）</w:t>
            </w:r>
          </w:p>
          <w:p>
            <w:pPr>
              <w:bidi w:val="0"/>
              <w:rPr>
                <w:rFonts w:hint="default"/>
                <w:color w:val="auto"/>
              </w:rPr>
            </w:pPr>
            <w:r>
              <w:rPr>
                <w:rFonts w:hint="default"/>
                <w:color w:val="auto"/>
              </w:rPr>
              <w:t>岩性主要为灰白色含砾粗砂岩，砂岩、粉砂岩与砂质泥岩、紫褐色泥岩不等厚互层；中上部为褐色－浅灰绿色泥岩、粉砂质泥岩夹薄层砂岩、含砾粗砂岩。平均顶底板埋深2365.57－2820.33m，热储层砂层厚度29.4－352.5m，平均137.74m。热储层砂厚比为6.01－50.9%，均值为29.79%；热储顶板平均地温89.31℃，底顶板平均地温102.14℃，平均地温95.73℃。</w:t>
            </w:r>
          </w:p>
          <w:p>
            <w:pPr>
              <w:bidi w:val="0"/>
              <w:rPr>
                <w:rFonts w:hint="default"/>
                <w:color w:val="auto"/>
              </w:rPr>
            </w:pPr>
            <w:r>
              <w:rPr>
                <w:rFonts w:hint="eastAsia"/>
                <w:color w:val="auto"/>
                <w:lang w:val="en-US" w:eastAsia="zh-CN"/>
              </w:rPr>
              <w:t>5</w:t>
            </w:r>
            <w:r>
              <w:rPr>
                <w:rFonts w:hint="default"/>
                <w:color w:val="auto"/>
              </w:rPr>
              <w:t>、第五热储层段（古近系E）</w:t>
            </w:r>
          </w:p>
          <w:p>
            <w:pPr>
              <w:bidi w:val="0"/>
              <w:rPr>
                <w:rFonts w:hint="default"/>
                <w:color w:val="FF0000"/>
              </w:rPr>
            </w:pPr>
            <w:r>
              <w:rPr>
                <w:rFonts w:hint="default"/>
                <w:color w:val="auto"/>
              </w:rPr>
              <w:t>本层大部分为残积层，岩性上部主要为灰色砂砾岩与肉红色泥岩不等厚互层，下部杂色泥质砂砾岩、砂质泥岩。砂砾成分以石英为主，偶见有花岗岩碎屑及小燧石，分选差，棱角状。平均顶底板埋深2780.68－2928.83m，热储层砂层厚度6－155.5m，平均45.74m。热储层砂厚比为4.39－75.67%，均值为32.28%；热储顶板平均地温99.41℃，底顶板平均地温104.04℃，平均地温101.72℃。</w:t>
            </w:r>
          </w:p>
          <w:p>
            <w:pPr>
              <w:pStyle w:val="4"/>
              <w:bidi w:val="0"/>
              <w:rPr>
                <w:rFonts w:hint="eastAsia"/>
                <w:color w:val="auto"/>
                <w:lang w:val="en-US" w:eastAsia="zh-CN"/>
              </w:rPr>
            </w:pPr>
            <w:r>
              <w:rPr>
                <w:rFonts w:hint="eastAsia"/>
                <w:color w:val="auto"/>
                <w:lang w:val="en-US" w:eastAsia="zh-CN"/>
              </w:rPr>
              <w:t>（二）构造特征</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ascii="Times New Roman" w:hAnsi="Times New Roman" w:cs="Times New Roman"/>
                <w:color w:val="auto"/>
                <w:sz w:val="24"/>
                <w:szCs w:val="24"/>
              </w:rPr>
            </w:pPr>
            <w:r>
              <w:rPr>
                <w:rFonts w:hint="eastAsia" w:cs="Times New Roman"/>
                <w:color w:val="auto"/>
                <w:sz w:val="24"/>
                <w:szCs w:val="24"/>
                <w:lang w:eastAsia="zh-CN"/>
              </w:rPr>
              <w:t>沣西新城</w:t>
            </w:r>
            <w:r>
              <w:rPr>
                <w:rFonts w:hint="default" w:ascii="Times New Roman" w:hAnsi="Times New Roman" w:cs="Times New Roman"/>
                <w:color w:val="auto"/>
                <w:sz w:val="24"/>
                <w:szCs w:val="24"/>
              </w:rPr>
              <w:t>位于渭河盆地咸礼凸起和西安凹陷两大构造单元结合部位，</w:t>
            </w:r>
            <w:r>
              <w:rPr>
                <w:rFonts w:hint="default" w:ascii="Times New Roman" w:hAnsi="Times New Roman" w:cs="Times New Roman"/>
                <w:color w:val="auto"/>
                <w:sz w:val="24"/>
                <w:szCs w:val="24"/>
                <w:lang w:eastAsia="zh-CN"/>
              </w:rPr>
              <w:t>以</w:t>
            </w:r>
            <w:r>
              <w:rPr>
                <w:rFonts w:hint="default" w:ascii="Times New Roman" w:hAnsi="Times New Roman" w:cs="Times New Roman"/>
                <w:color w:val="auto"/>
                <w:sz w:val="24"/>
                <w:szCs w:val="24"/>
              </w:rPr>
              <w:t>渭河断裂</w:t>
            </w:r>
            <w:r>
              <w:rPr>
                <w:rFonts w:hint="default" w:ascii="Times New Roman" w:hAnsi="Times New Roman" w:cs="Times New Roman"/>
                <w:color w:val="auto"/>
                <w:sz w:val="24"/>
                <w:szCs w:val="24"/>
                <w:lang w:eastAsia="zh-CN"/>
              </w:rPr>
              <w:t>为界，</w:t>
            </w:r>
            <w:r>
              <w:rPr>
                <w:rFonts w:hint="default" w:ascii="Times New Roman" w:hAnsi="Times New Roman" w:cs="Times New Roman"/>
                <w:color w:val="auto"/>
                <w:sz w:val="24"/>
                <w:szCs w:val="24"/>
              </w:rPr>
              <w:t>以北为咸礼凸起，以南为西安凹陷。区内断裂主要有渭河北岸北东东向断裂、长安—咸阳断裂、沣河西侧南北向断裂。</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color w:val="auto"/>
                <w:lang w:eastAsia="zh-CN"/>
              </w:rPr>
            </w:pPr>
            <w:r>
              <w:rPr>
                <w:rFonts w:hint="default"/>
                <w:color w:val="auto"/>
                <w:lang w:eastAsia="zh-CN"/>
              </w:rPr>
              <w:t>1、</w:t>
            </w:r>
            <w:r>
              <w:rPr>
                <w:rFonts w:hint="eastAsia"/>
                <w:color w:val="auto"/>
                <w:lang w:eastAsia="zh-CN"/>
              </w:rPr>
              <w:t>渭河断裂</w:t>
            </w:r>
            <w:r>
              <w:rPr>
                <w:rFonts w:hint="default"/>
                <w:color w:val="auto"/>
                <w:lang w:eastAsia="zh-CN"/>
              </w:rPr>
              <w:t>（F1）</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color w:val="auto"/>
                <w:lang w:eastAsia="zh-CN"/>
              </w:rPr>
            </w:pPr>
            <w:r>
              <w:rPr>
                <w:rFonts w:hint="eastAsia"/>
                <w:color w:val="auto"/>
                <w:lang w:eastAsia="zh-CN"/>
              </w:rPr>
              <w:t>渭河断裂</w:t>
            </w:r>
            <w:r>
              <w:rPr>
                <w:rFonts w:hint="default"/>
                <w:color w:val="auto"/>
                <w:lang w:eastAsia="zh-CN"/>
              </w:rPr>
              <w:t>西起宝鸡，经武功、咸阳、渭南交口、大荔官池至黄河出省境；该断裂沿咸阳珠泉－毕塬－渭城路北侧的三级阶地前缘，呈北东东向展布，断层面倾向南。倾角70°左右，其北盘上升，南盘下降，为一高角度正断层。据大地电磁测深资料，断裂深度达20</w:t>
            </w:r>
            <w:r>
              <w:rPr>
                <w:rFonts w:hint="eastAsia"/>
                <w:color w:val="auto"/>
                <w:lang w:val="en-US" w:eastAsia="zh-CN"/>
              </w:rPr>
              <w:t>k</w:t>
            </w:r>
            <w:r>
              <w:rPr>
                <w:rFonts w:hint="default"/>
                <w:color w:val="auto"/>
                <w:lang w:eastAsia="zh-CN"/>
              </w:rPr>
              <w:t>m以上，勘查区内上新统在断层两侧断距达700－1000m。该断裂控制了基底的构造分区，断裂以北基底为华北准地台下古生界奥陶系碳酸盐岩、碎屑岩地层，以南基底为秦岭褶皱系元古界变质岩层。该断裂不仅是两个一级大地构造单元的分界，而且对盆地的形成和发展起着重要的控制作用。</w:t>
            </w:r>
          </w:p>
          <w:p>
            <w:pPr>
              <w:pStyle w:val="2"/>
              <w:ind w:left="0" w:leftChars="0" w:firstLine="0" w:firstLineChars="0"/>
              <w:rPr>
                <w:rFonts w:hint="eastAsia"/>
                <w:color w:val="FF0000"/>
                <w:lang w:val="en-US" w:eastAsia="zh-CN"/>
              </w:rPr>
            </w:pPr>
            <w:r>
              <w:rPr>
                <w:color w:val="FF0000"/>
              </w:rPr>
              <w:drawing>
                <wp:inline distT="0" distB="0" distL="114300" distR="114300">
                  <wp:extent cx="5272405" cy="3013710"/>
                  <wp:effectExtent l="0" t="0" r="4445" b="15240"/>
                  <wp:docPr id="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
                          <pic:cNvPicPr>
                            <a:picLocks noChangeAspect="1"/>
                          </pic:cNvPicPr>
                        </pic:nvPicPr>
                        <pic:blipFill>
                          <a:blip r:embed="rId17">
                            <a:clrChange>
                              <a:clrFrom>
                                <a:srgbClr val="FDFFFE">
                                  <a:alpha val="100000"/>
                                </a:srgbClr>
                              </a:clrFrom>
                              <a:clrTo>
                                <a:srgbClr val="FDFFFE">
                                  <a:alpha val="100000"/>
                                  <a:alpha val="0"/>
                                </a:srgbClr>
                              </a:clrTo>
                            </a:clrChange>
                          </a:blip>
                          <a:stretch>
                            <a:fillRect/>
                          </a:stretch>
                        </pic:blipFill>
                        <pic:spPr>
                          <a:xfrm>
                            <a:off x="0" y="0"/>
                            <a:ext cx="5272405" cy="3013710"/>
                          </a:xfrm>
                          <a:prstGeom prst="rect">
                            <a:avLst/>
                          </a:prstGeom>
                          <a:noFill/>
                          <a:ln>
                            <a:noFill/>
                          </a:ln>
                        </pic:spPr>
                      </pic:pic>
                    </a:graphicData>
                  </a:graphic>
                </wp:inline>
              </w:drawing>
            </w:r>
          </w:p>
          <w:p>
            <w:pPr>
              <w:spacing w:line="480" w:lineRule="exact"/>
              <w:jc w:val="center"/>
              <w:rPr>
                <w:rFonts w:hint="eastAsia" w:ascii="仿宋" w:hAnsi="仿宋" w:eastAsia="仿宋" w:cs="仿宋"/>
                <w:b/>
                <w:bCs/>
                <w:color w:val="auto"/>
                <w:lang w:val="en-US" w:eastAsia="zh-CN"/>
              </w:rPr>
            </w:pPr>
            <w:r>
              <w:rPr>
                <w:rFonts w:hint="eastAsia" w:ascii="仿宋" w:hAnsi="仿宋" w:eastAsia="仿宋" w:cs="仿宋"/>
                <w:b/>
                <w:bCs/>
                <w:color w:val="auto"/>
                <w:lang w:eastAsia="zh-CN"/>
              </w:rPr>
              <w:t>图</w:t>
            </w:r>
            <w:r>
              <w:rPr>
                <w:rFonts w:hint="eastAsia" w:ascii="仿宋" w:hAnsi="仿宋" w:eastAsia="仿宋" w:cs="仿宋"/>
                <w:b/>
                <w:bCs/>
                <w:color w:val="auto"/>
                <w:lang w:val="en-US" w:eastAsia="zh-CN"/>
              </w:rPr>
              <w:t>4  渭河盆地构造纲要图</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2、长安－咸阳断裂（F2）</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eastAsia"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该断裂为盆地北西向构造带中的一条隐伏活动性断裂，自长安大峪口向北西经杜曲、韦曲、三桥、沣河桥东跨越渭河、经省财校东侧向北与红崖沟相重，总长度约60km。目前，对该断裂的研究还不够深入，浅井测温资料显示，断裂西侧地温梯度明显高于东侧，如文林路之北，断裂西侧地温梯度高达4.46－4.61℃/hm，而断裂东侧地温梯度仅3.05－3.21℃/hm。表明第四纪早更新世以来，该断裂对区内沉积环境和沉积物厚度有着一定的影响</w:t>
            </w:r>
            <w:r>
              <w:rPr>
                <w:rFonts w:hint="eastAsia" w:ascii="Times New Roman" w:hAnsi="Times New Roman"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lang w:eastAsia="zh-CN"/>
              </w:rPr>
              <w:t>沣河西侧南北向断裂（F</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该断裂位于沣河西侧，自长安县沣峪口向北延伸至咸阳市区，在市区中心与（F2）断裂相交，为一切割较深的南北向隐伏断裂，地面无迹象显示，但在蓝田灞河组热储层段中反映明显，如位于该断裂东侧的绿浪地热井，井深2800m，井口水温高达102℃，蓝田灞河组地温梯度高达4.71℃/hm，列该热储地温梯度之首；商贸学院地热井深3495m，井口水温高达120℃，地温梯度3.48℃/hm，井口水温已达同类传导型地热田井口水温的最高温度。另外勘查区各热储层段地温梯度以渭河北岸断裂和沣河断裂地温梯度等值线图呈“丁”字展布。亦反映了该断裂的存在和明显的控热作用。</w:t>
            </w:r>
          </w:p>
          <w:p>
            <w:pPr>
              <w:pStyle w:val="4"/>
              <w:bidi w:val="0"/>
              <w:rPr>
                <w:rFonts w:hint="eastAsia"/>
                <w:color w:val="auto"/>
                <w:lang w:val="en-US" w:eastAsia="zh-CN"/>
              </w:rPr>
            </w:pPr>
            <w:r>
              <w:rPr>
                <w:rFonts w:hint="eastAsia"/>
                <w:color w:val="auto"/>
                <w:lang w:val="en-US" w:eastAsia="zh-CN"/>
              </w:rPr>
              <w:t>（三）水文地质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lang w:eastAsia="zh-CN"/>
              </w:rPr>
            </w:pPr>
            <w:r>
              <w:rPr>
                <w:rFonts w:hint="eastAsia"/>
                <w:color w:val="auto"/>
                <w:lang w:val="en-US" w:eastAsia="zh-CN"/>
              </w:rPr>
              <w:t>1、</w:t>
            </w:r>
            <w:r>
              <w:rPr>
                <w:rFonts w:hint="default"/>
                <w:color w:val="auto"/>
                <w:lang w:eastAsia="zh-CN"/>
              </w:rPr>
              <w:t>浅部地下水特征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lang w:eastAsia="zh-CN"/>
              </w:rPr>
            </w:pPr>
            <w:r>
              <w:rPr>
                <w:rFonts w:hint="default"/>
                <w:color w:val="auto"/>
                <w:lang w:eastAsia="zh-CN"/>
              </w:rPr>
              <w:t>矿区处于渭河北岸，含水层主要为第四系冲积砂、冲洪积层，分为潜水和承压水，埋深一般在20m－400m左右。</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lang w:eastAsia="zh-CN"/>
              </w:rPr>
            </w:pPr>
            <w:r>
              <w:rPr>
                <w:rFonts w:hint="default"/>
                <w:color w:val="auto"/>
                <w:lang w:eastAsia="zh-CN"/>
              </w:rPr>
              <w:t>地下水的补给来源主要为大气降水，渭河、沣河等地表水。排泄方式主要有人工排泄</w:t>
            </w:r>
            <w:r>
              <w:rPr>
                <w:rFonts w:hint="eastAsia"/>
                <w:color w:val="auto"/>
                <w:lang w:val="en-US" w:eastAsia="zh-CN"/>
              </w:rPr>
              <w:t>和</w:t>
            </w:r>
            <w:r>
              <w:rPr>
                <w:rFonts w:hint="default"/>
                <w:color w:val="auto"/>
                <w:lang w:eastAsia="zh-CN"/>
              </w:rPr>
              <w:t>地表径流排泄，其次为蒸发和向深部承压水的越流排泄。水文地质条件较简单。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lang w:eastAsia="zh-CN"/>
              </w:rPr>
            </w:pPr>
            <w:r>
              <w:rPr>
                <w:rFonts w:hint="eastAsia"/>
                <w:color w:val="auto"/>
                <w:lang w:val="en-US" w:eastAsia="zh-CN"/>
              </w:rPr>
              <w:t>2、</w:t>
            </w:r>
            <w:r>
              <w:rPr>
                <w:rFonts w:hint="default"/>
                <w:color w:val="auto"/>
                <w:lang w:eastAsia="zh-CN"/>
              </w:rPr>
              <w:t>深部地热水特征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sz w:val="24"/>
                <w:szCs w:val="24"/>
                <w:lang w:eastAsia="zh-CN"/>
              </w:rPr>
              <w:t>矿区</w:t>
            </w:r>
            <w:r>
              <w:rPr>
                <w:rFonts w:hint="default" w:ascii="Times New Roman" w:hAnsi="Times New Roman" w:eastAsia="宋体" w:cs="Times New Roman"/>
                <w:color w:val="auto"/>
                <w:sz w:val="24"/>
                <w:szCs w:val="24"/>
              </w:rPr>
              <w:t>位于关中断陷盆地中部，渭河盆地在构造成因上，是喜山期构造运动裂陷、延伸形成发展而来的新生代断陷—断坳盆地，具有凹陷深、地层新、形成晚的特点</w:t>
            </w:r>
            <w:r>
              <w:rPr>
                <w:rFonts w:hint="default" w:ascii="Times New Roman" w:hAnsi="Times New Roman" w:eastAsia="宋体" w:cs="Times New Roman"/>
                <w:color w:val="auto"/>
                <w:sz w:val="24"/>
                <w:szCs w:val="24"/>
                <w:lang w:eastAsia="zh-CN"/>
              </w:rPr>
              <w:t>，盆地内以渭河北岸断裂（</w:t>
            </w:r>
            <w:r>
              <w:rPr>
                <w:rFonts w:hint="default" w:ascii="Times New Roman" w:hAnsi="Times New Roman" w:eastAsia="宋体" w:cs="Times New Roman"/>
                <w:color w:val="auto"/>
                <w:sz w:val="24"/>
                <w:szCs w:val="24"/>
                <w:lang w:val="en-US" w:eastAsia="zh-CN"/>
              </w:rPr>
              <w:t>F</w:t>
            </w:r>
            <w:r>
              <w:rPr>
                <w:rFonts w:hint="default" w:ascii="Times New Roman" w:hAnsi="Times New Roman" w:eastAsia="宋体" w:cs="Times New Roman"/>
                <w:color w:val="auto"/>
                <w:sz w:val="24"/>
                <w:szCs w:val="24"/>
                <w:vertAlign w:val="subscript"/>
                <w:lang w:val="en-US" w:eastAsia="zh-CN"/>
              </w:rPr>
              <w:t>1</w:t>
            </w:r>
            <w:r>
              <w:rPr>
                <w:rFonts w:hint="default" w:ascii="Times New Roman" w:hAnsi="Times New Roman" w:eastAsia="宋体" w:cs="Times New Roman"/>
                <w:color w:val="auto"/>
                <w:sz w:val="24"/>
                <w:szCs w:val="24"/>
                <w:lang w:eastAsia="zh-CN"/>
              </w:rPr>
              <w:t>）为界，</w:t>
            </w:r>
            <w:r>
              <w:rPr>
                <w:rFonts w:hint="default" w:ascii="Times New Roman" w:hAnsi="Times New Roman" w:eastAsia="宋体" w:cs="Times New Roman"/>
                <w:color w:val="auto"/>
                <w:sz w:val="24"/>
                <w:szCs w:val="24"/>
              </w:rPr>
              <w:t>构造分区</w:t>
            </w:r>
            <w:r>
              <w:rPr>
                <w:rFonts w:hint="default" w:ascii="Times New Roman" w:hAnsi="Times New Roman" w:eastAsia="宋体" w:cs="Times New Roman"/>
                <w:color w:val="auto"/>
                <w:sz w:val="24"/>
                <w:szCs w:val="24"/>
                <w:lang w:eastAsia="zh-CN"/>
              </w:rPr>
              <w:t>上北部</w:t>
            </w:r>
            <w:r>
              <w:rPr>
                <w:rFonts w:hint="default" w:ascii="Times New Roman" w:hAnsi="Times New Roman" w:eastAsia="宋体" w:cs="Times New Roman"/>
                <w:color w:val="auto"/>
                <w:sz w:val="24"/>
                <w:szCs w:val="24"/>
              </w:rPr>
              <w:t>属</w:t>
            </w:r>
            <w:r>
              <w:rPr>
                <w:rFonts w:hint="default" w:ascii="Times New Roman" w:hAnsi="Times New Roman" w:eastAsia="宋体" w:cs="Times New Roman"/>
                <w:color w:val="auto"/>
                <w:sz w:val="24"/>
                <w:szCs w:val="24"/>
                <w:lang w:eastAsia="zh-CN"/>
              </w:rPr>
              <w:t>咸礼凸起，南部属西安凹陷，矿区位于渭河北岸断裂以南，西安凹陷北部</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区内</w:t>
            </w:r>
            <w:r>
              <w:rPr>
                <w:rFonts w:hint="default" w:ascii="Times New Roman" w:hAnsi="Times New Roman" w:eastAsia="宋体" w:cs="Times New Roman"/>
                <w:color w:val="auto"/>
                <w:sz w:val="24"/>
                <w:szCs w:val="24"/>
              </w:rPr>
              <w:t>3000m深度内地层均为新生界碎屑岩类，热储类型属中低温孔隙裂隙型层状热储，自上而下赋存第四系三门组</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新近系上新统张家坡组、上新统蓝田灞河组、中新</w:t>
            </w:r>
            <w:r>
              <w:rPr>
                <w:rFonts w:hint="default" w:ascii="Times New Roman" w:hAnsi="Times New Roman" w:eastAsia="宋体" w:cs="Times New Roman"/>
                <w:color w:val="auto"/>
                <w:sz w:val="24"/>
                <w:szCs w:val="24"/>
                <w:lang w:eastAsia="zh-CN"/>
              </w:rPr>
              <w:t>统</w:t>
            </w:r>
            <w:r>
              <w:rPr>
                <w:rFonts w:hint="default" w:ascii="Times New Roman" w:hAnsi="Times New Roman" w:eastAsia="宋体" w:cs="Times New Roman"/>
                <w:color w:val="auto"/>
                <w:sz w:val="24"/>
                <w:szCs w:val="24"/>
              </w:rPr>
              <w:t>高陵群</w:t>
            </w:r>
            <w:r>
              <w:rPr>
                <w:rFonts w:hint="default" w:ascii="Times New Roman" w:hAnsi="Times New Roman" w:eastAsia="宋体" w:cs="Times New Roman"/>
                <w:color w:val="auto"/>
                <w:sz w:val="24"/>
                <w:szCs w:val="24"/>
                <w:lang w:eastAsia="zh-CN"/>
              </w:rPr>
              <w:t>、古近系等五</w:t>
            </w:r>
            <w:r>
              <w:rPr>
                <w:rFonts w:hint="default" w:ascii="Times New Roman" w:hAnsi="Times New Roman" w:eastAsia="宋体" w:cs="Times New Roman"/>
                <w:color w:val="auto"/>
                <w:sz w:val="24"/>
                <w:szCs w:val="24"/>
              </w:rPr>
              <w:t>个热储层段</w:t>
            </w:r>
            <w:r>
              <w:rPr>
                <w:rFonts w:hint="default" w:ascii="Times New Roman" w:hAnsi="Times New Roman" w:eastAsia="宋体" w:cs="Times New Roman"/>
                <w:color w:val="auto"/>
                <w:sz w:val="24"/>
                <w:szCs w:val="24"/>
                <w:lang w:eastAsia="zh-CN"/>
              </w:rPr>
              <w:t>，其中</w:t>
            </w:r>
            <w:r>
              <w:rPr>
                <w:rFonts w:hint="default" w:ascii="Times New Roman" w:hAnsi="Times New Roman" w:eastAsia="宋体" w:cs="Times New Roman"/>
                <w:color w:val="auto"/>
                <w:sz w:val="24"/>
                <w:szCs w:val="24"/>
              </w:rPr>
              <w:t>第一热储层段第四系三门组</w:t>
            </w:r>
            <w:r>
              <w:rPr>
                <w:rFonts w:hint="default" w:ascii="Times New Roman" w:hAnsi="Times New Roman" w:eastAsia="宋体" w:cs="Times New Roman"/>
                <w:color w:val="auto"/>
                <w:sz w:val="24"/>
                <w:szCs w:val="24"/>
                <w:lang w:eastAsia="zh-CN"/>
              </w:rPr>
              <w:t>热储</w:t>
            </w:r>
            <w:r>
              <w:rPr>
                <w:rFonts w:hint="default" w:ascii="Times New Roman" w:hAnsi="Times New Roman" w:eastAsia="宋体" w:cs="Times New Roman"/>
                <w:color w:val="auto"/>
                <w:sz w:val="24"/>
                <w:szCs w:val="24"/>
              </w:rPr>
              <w:t>为保护、禁采层段。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据陕西省地矿局区域地质矿产研究院200</w:t>
            </w:r>
            <w:r>
              <w:rPr>
                <w:rFonts w:hint="default" w:ascii="Times New Roman" w:hAnsi="Times New Roman" w:eastAsia="宋体" w:cs="Times New Roman"/>
                <w:color w:val="auto"/>
                <w:sz w:val="24"/>
                <w:szCs w:val="24"/>
                <w:lang w:val="en-US" w:eastAsia="zh-CN"/>
              </w:rPr>
              <w:t>6年7月提交的</w:t>
            </w:r>
            <w:r>
              <w:rPr>
                <w:rFonts w:hint="default" w:ascii="Times New Roman" w:hAnsi="Times New Roman" w:eastAsia="宋体" w:cs="Times New Roman"/>
                <w:color w:val="auto"/>
                <w:sz w:val="24"/>
                <w:szCs w:val="24"/>
              </w:rPr>
              <w:t>《陕西省咸阳市区地热资源详查报告》，渭河北岸近东西向隐伏活动性深大断裂（F</w:t>
            </w:r>
            <w:r>
              <w:rPr>
                <w:rFonts w:hint="default" w:ascii="Times New Roman" w:hAnsi="Times New Roman" w:eastAsia="宋体" w:cs="Times New Roman"/>
                <w:color w:val="auto"/>
                <w:sz w:val="24"/>
                <w:szCs w:val="24"/>
                <w:vertAlign w:val="subscript"/>
              </w:rPr>
              <w:t>1</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为</w:t>
            </w:r>
            <w:r>
              <w:rPr>
                <w:rFonts w:hint="default" w:ascii="Times New Roman" w:hAnsi="Times New Roman" w:eastAsia="宋体" w:cs="Times New Roman"/>
                <w:color w:val="auto"/>
                <w:sz w:val="24"/>
                <w:szCs w:val="24"/>
              </w:rPr>
              <w:t>整个关中地区起控热导水作用的最主要的断裂构造。区内热储层次多，总厚度</w:t>
            </w:r>
            <w:r>
              <w:rPr>
                <w:rFonts w:hint="default" w:ascii="Times New Roman" w:hAnsi="Times New Roman" w:eastAsia="宋体" w:cs="Times New Roman"/>
                <w:color w:val="auto"/>
                <w:sz w:val="24"/>
                <w:szCs w:val="24"/>
                <w:lang w:eastAsia="zh-CN"/>
              </w:rPr>
              <w:t>很</w:t>
            </w:r>
            <w:r>
              <w:rPr>
                <w:rFonts w:hint="default" w:ascii="Times New Roman" w:hAnsi="Times New Roman" w:eastAsia="宋体" w:cs="Times New Roman"/>
                <w:color w:val="auto"/>
                <w:sz w:val="24"/>
                <w:szCs w:val="24"/>
              </w:rPr>
              <w:t>大，</w:t>
            </w:r>
            <w:r>
              <w:rPr>
                <w:rFonts w:hint="default" w:ascii="Times New Roman" w:hAnsi="Times New Roman" w:eastAsia="宋体" w:cs="Times New Roman"/>
                <w:color w:val="auto"/>
                <w:sz w:val="24"/>
                <w:szCs w:val="24"/>
                <w:lang w:eastAsia="zh-CN"/>
              </w:rPr>
              <w:t>储层物性条件好，</w:t>
            </w:r>
            <w:r>
              <w:rPr>
                <w:rFonts w:hint="default" w:ascii="Times New Roman" w:hAnsi="Times New Roman" w:eastAsia="宋体" w:cs="Times New Roman"/>
                <w:color w:val="auto"/>
                <w:sz w:val="24"/>
                <w:szCs w:val="24"/>
              </w:rPr>
              <w:t>分布面积大且稳定，地热水资源</w:t>
            </w:r>
            <w:r>
              <w:rPr>
                <w:rFonts w:hint="default" w:ascii="Times New Roman" w:hAnsi="Times New Roman" w:eastAsia="宋体" w:cs="Times New Roman"/>
                <w:color w:val="auto"/>
                <w:sz w:val="24"/>
                <w:szCs w:val="24"/>
                <w:lang w:eastAsia="zh-CN"/>
              </w:rPr>
              <w:t>十分</w:t>
            </w:r>
            <w:r>
              <w:rPr>
                <w:rFonts w:hint="default" w:ascii="Times New Roman" w:hAnsi="Times New Roman" w:eastAsia="宋体" w:cs="Times New Roman"/>
                <w:color w:val="auto"/>
                <w:sz w:val="24"/>
                <w:szCs w:val="24"/>
              </w:rPr>
              <w:t>丰富。</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其中第一热储层段第四系三门组（Q</w:t>
            </w:r>
            <w:r>
              <w:rPr>
                <w:rFonts w:hint="default" w:ascii="Times New Roman" w:hAnsi="Times New Roman" w:eastAsia="宋体" w:cs="Times New Roman"/>
                <w:color w:val="auto"/>
                <w:sz w:val="24"/>
                <w:szCs w:val="24"/>
                <w:vertAlign w:val="subscript"/>
              </w:rPr>
              <w:t>1</w:t>
            </w:r>
            <w:r>
              <w:rPr>
                <w:rFonts w:hint="default" w:ascii="Times New Roman" w:hAnsi="Times New Roman" w:eastAsia="宋体" w:cs="Times New Roman"/>
                <w:color w:val="auto"/>
                <w:sz w:val="24"/>
                <w:szCs w:val="24"/>
                <w:vertAlign w:val="superscript"/>
              </w:rPr>
              <w:t>s</w:t>
            </w:r>
            <w:r>
              <w:rPr>
                <w:rFonts w:hint="default" w:ascii="Times New Roman" w:hAnsi="Times New Roman" w:eastAsia="宋体" w:cs="Times New Roman"/>
                <w:color w:val="auto"/>
                <w:sz w:val="24"/>
                <w:szCs w:val="24"/>
              </w:rPr>
              <w:t>）为保护、禁采层段；第二热储层段新近系上新统张家坡组（N</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vertAlign w:val="superscript"/>
              </w:rPr>
              <w:t>z</w:t>
            </w:r>
            <w:r>
              <w:rPr>
                <w:rFonts w:hint="default" w:ascii="Times New Roman" w:hAnsi="Times New Roman" w:eastAsia="宋体" w:cs="Times New Roman"/>
                <w:color w:val="auto"/>
                <w:sz w:val="24"/>
                <w:szCs w:val="24"/>
              </w:rPr>
              <w:t>）热储层段</w:t>
            </w:r>
            <w:r>
              <w:rPr>
                <w:rFonts w:hint="default" w:ascii="Times New Roman" w:hAnsi="Times New Roman" w:eastAsia="宋体" w:cs="Times New Roman"/>
                <w:color w:val="auto"/>
                <w:spacing w:val="-4"/>
                <w:sz w:val="24"/>
                <w:szCs w:val="24"/>
              </w:rPr>
              <w:t>顶板埋深</w:t>
            </w:r>
            <w:r>
              <w:rPr>
                <w:rFonts w:hint="default" w:ascii="Times New Roman" w:hAnsi="Times New Roman" w:eastAsia="宋体" w:cs="Times New Roman"/>
                <w:color w:val="auto"/>
                <w:spacing w:val="-4"/>
                <w:sz w:val="24"/>
                <w:szCs w:val="24"/>
                <w:lang w:val="en-US" w:eastAsia="zh-CN"/>
              </w:rPr>
              <w:t>596</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lang w:val="en-US" w:eastAsia="zh-CN"/>
              </w:rPr>
              <w:t>908.8</w:t>
            </w:r>
            <w:r>
              <w:rPr>
                <w:rFonts w:hint="default" w:ascii="Times New Roman" w:hAnsi="Times New Roman" w:eastAsia="宋体" w:cs="Times New Roman"/>
                <w:color w:val="auto"/>
                <w:spacing w:val="-4"/>
                <w:sz w:val="24"/>
                <w:szCs w:val="24"/>
              </w:rPr>
              <w:t>m</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pacing w:val="-4"/>
                <w:sz w:val="24"/>
                <w:szCs w:val="24"/>
              </w:rPr>
              <w:t>底板埋深</w:t>
            </w:r>
            <w:r>
              <w:rPr>
                <w:rFonts w:hint="default" w:ascii="Times New Roman" w:hAnsi="Times New Roman" w:eastAsia="宋体" w:cs="Times New Roman"/>
                <w:color w:val="auto"/>
                <w:spacing w:val="-4"/>
                <w:sz w:val="24"/>
                <w:szCs w:val="24"/>
                <w:lang w:val="en-US" w:eastAsia="zh-CN"/>
              </w:rPr>
              <w:t>1135</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lang w:val="en-US" w:eastAsia="zh-CN"/>
              </w:rPr>
              <w:t>1754.7</w:t>
            </w:r>
            <w:r>
              <w:rPr>
                <w:rFonts w:hint="default" w:ascii="Times New Roman" w:hAnsi="Times New Roman" w:eastAsia="宋体" w:cs="Times New Roman"/>
                <w:color w:val="auto"/>
                <w:spacing w:val="-4"/>
                <w:sz w:val="24"/>
                <w:szCs w:val="24"/>
              </w:rPr>
              <w:t>m</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4"/>
                <w:sz w:val="24"/>
                <w:szCs w:val="24"/>
              </w:rPr>
              <w:t>井口水温</w:t>
            </w:r>
            <w:r>
              <w:rPr>
                <w:rFonts w:hint="default" w:ascii="Times New Roman" w:hAnsi="Times New Roman" w:eastAsia="宋体" w:cs="Times New Roman"/>
                <w:color w:val="auto"/>
                <w:spacing w:val="-4"/>
                <w:sz w:val="24"/>
                <w:szCs w:val="24"/>
                <w:lang w:val="en-US" w:eastAsia="zh-CN"/>
              </w:rPr>
              <w:t>54</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lang w:val="en-US" w:eastAsia="zh-CN"/>
              </w:rPr>
              <w:t>64.69</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z w:val="24"/>
                <w:szCs w:val="24"/>
              </w:rPr>
              <w:t>；第三热储层段新近系上新统蓝田灞河组（N</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vertAlign w:val="superscript"/>
              </w:rPr>
              <w:t>l+b</w:t>
            </w:r>
            <w:r>
              <w:rPr>
                <w:rFonts w:hint="default" w:ascii="Times New Roman" w:hAnsi="Times New Roman" w:eastAsia="宋体" w:cs="Times New Roman"/>
                <w:color w:val="auto"/>
                <w:sz w:val="24"/>
                <w:szCs w:val="24"/>
              </w:rPr>
              <w:t>）热储层段</w:t>
            </w:r>
            <w:r>
              <w:rPr>
                <w:rFonts w:hint="default" w:ascii="Times New Roman" w:hAnsi="Times New Roman" w:eastAsia="宋体" w:cs="Times New Roman"/>
                <w:color w:val="auto"/>
                <w:spacing w:val="-4"/>
                <w:sz w:val="24"/>
                <w:szCs w:val="24"/>
              </w:rPr>
              <w:t>顶板埋深</w:t>
            </w:r>
            <w:r>
              <w:rPr>
                <w:rFonts w:hint="default" w:ascii="Times New Roman" w:hAnsi="Times New Roman" w:eastAsia="宋体" w:cs="Times New Roman"/>
                <w:color w:val="auto"/>
                <w:spacing w:val="-4"/>
                <w:sz w:val="24"/>
                <w:szCs w:val="24"/>
                <w:lang w:val="en-US" w:eastAsia="zh-CN"/>
              </w:rPr>
              <w:t>1135</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lang w:val="en-US" w:eastAsia="zh-CN"/>
              </w:rPr>
              <w:t>1754.7m</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4"/>
                <w:sz w:val="24"/>
                <w:szCs w:val="24"/>
              </w:rPr>
              <w:t>底板埋深</w:t>
            </w:r>
            <w:r>
              <w:rPr>
                <w:rFonts w:hint="default" w:ascii="Times New Roman" w:hAnsi="Times New Roman" w:eastAsia="宋体" w:cs="Times New Roman"/>
                <w:color w:val="auto"/>
                <w:spacing w:val="-4"/>
                <w:sz w:val="24"/>
                <w:szCs w:val="24"/>
                <w:lang w:val="en-US" w:eastAsia="zh-CN"/>
              </w:rPr>
              <w:t>1750</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lang w:val="en-US" w:eastAsia="zh-CN"/>
              </w:rPr>
              <w:t>2724.8m，</w:t>
            </w:r>
            <w:r>
              <w:rPr>
                <w:rFonts w:hint="default" w:ascii="Times New Roman" w:hAnsi="Times New Roman" w:eastAsia="宋体" w:cs="Times New Roman"/>
                <w:color w:val="auto"/>
                <w:spacing w:val="-4"/>
                <w:sz w:val="24"/>
                <w:szCs w:val="24"/>
              </w:rPr>
              <w:t>井口水温</w:t>
            </w:r>
            <w:r>
              <w:rPr>
                <w:rFonts w:hint="default" w:ascii="Times New Roman" w:hAnsi="Times New Roman" w:eastAsia="宋体" w:cs="Times New Roman"/>
                <w:color w:val="auto"/>
                <w:sz w:val="24"/>
                <w:szCs w:val="24"/>
                <w:lang w:val="en-US" w:eastAsia="zh-CN"/>
              </w:rPr>
              <w:t>64.97</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z w:val="24"/>
                <w:szCs w:val="24"/>
                <w:lang w:val="en-US" w:eastAsia="zh-CN"/>
              </w:rPr>
              <w:t>86.61</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lang w:eastAsia="zh-CN"/>
              </w:rPr>
              <w:t>，也是开发利用最多的主力热储层</w:t>
            </w:r>
            <w:r>
              <w:rPr>
                <w:rFonts w:hint="default" w:ascii="Times New Roman" w:hAnsi="Times New Roman" w:eastAsia="宋体" w:cs="Times New Roman"/>
                <w:color w:val="auto"/>
                <w:sz w:val="24"/>
                <w:szCs w:val="24"/>
              </w:rPr>
              <w:t>；第四热储层段新近系中新统高陵群（N</w:t>
            </w:r>
            <w:r>
              <w:rPr>
                <w:rFonts w:hint="default" w:ascii="Times New Roman" w:hAnsi="Times New Roman" w:eastAsia="宋体" w:cs="Times New Roman"/>
                <w:color w:val="auto"/>
                <w:sz w:val="24"/>
                <w:szCs w:val="24"/>
                <w:vertAlign w:val="subscript"/>
              </w:rPr>
              <w:t>1</w:t>
            </w:r>
            <w:r>
              <w:rPr>
                <w:rFonts w:hint="default" w:ascii="Times New Roman" w:hAnsi="Times New Roman" w:eastAsia="宋体" w:cs="Times New Roman"/>
                <w:color w:val="auto"/>
                <w:sz w:val="24"/>
                <w:szCs w:val="24"/>
                <w:vertAlign w:val="superscript"/>
              </w:rPr>
              <w:t>gl</w:t>
            </w:r>
            <w:r>
              <w:rPr>
                <w:rFonts w:hint="default" w:ascii="Times New Roman" w:hAnsi="Times New Roman" w:eastAsia="宋体" w:cs="Times New Roman"/>
                <w:color w:val="auto"/>
                <w:sz w:val="24"/>
                <w:szCs w:val="24"/>
              </w:rPr>
              <w:t>）热储层段</w:t>
            </w:r>
            <w:r>
              <w:rPr>
                <w:rFonts w:hint="default" w:ascii="Times New Roman" w:hAnsi="Times New Roman" w:eastAsia="宋体" w:cs="Times New Roman"/>
                <w:color w:val="auto"/>
                <w:sz w:val="24"/>
                <w:szCs w:val="24"/>
                <w:lang w:eastAsia="zh-CN"/>
              </w:rPr>
              <w:t>顶板</w:t>
            </w:r>
            <w:r>
              <w:rPr>
                <w:rFonts w:hint="default" w:ascii="Times New Roman" w:hAnsi="Times New Roman" w:eastAsia="宋体" w:cs="Times New Roman"/>
                <w:color w:val="auto"/>
                <w:sz w:val="24"/>
                <w:szCs w:val="24"/>
              </w:rPr>
              <w:t>埋深</w:t>
            </w:r>
            <w:r>
              <w:rPr>
                <w:rFonts w:hint="default" w:ascii="Times New Roman" w:hAnsi="Times New Roman" w:eastAsia="宋体" w:cs="Times New Roman"/>
                <w:color w:val="auto"/>
                <w:spacing w:val="-4"/>
                <w:sz w:val="24"/>
                <w:szCs w:val="24"/>
                <w:lang w:val="en-US" w:eastAsia="zh-CN"/>
              </w:rPr>
              <w:t>1750</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lang w:val="en-US" w:eastAsia="zh-CN"/>
              </w:rPr>
              <w:t>2724.8m，</w:t>
            </w:r>
            <w:r>
              <w:rPr>
                <w:rFonts w:hint="default" w:ascii="Times New Roman" w:hAnsi="Times New Roman" w:eastAsia="宋体" w:cs="Times New Roman"/>
                <w:color w:val="auto"/>
                <w:spacing w:val="-4"/>
                <w:sz w:val="24"/>
                <w:szCs w:val="24"/>
              </w:rPr>
              <w:t>底板埋深</w:t>
            </w:r>
            <w:r>
              <w:rPr>
                <w:rFonts w:hint="default" w:ascii="Times New Roman" w:hAnsi="Times New Roman" w:eastAsia="宋体" w:cs="Times New Roman"/>
                <w:color w:val="auto"/>
                <w:spacing w:val="-4"/>
                <w:sz w:val="24"/>
                <w:szCs w:val="24"/>
                <w:lang w:val="en-US" w:eastAsia="zh-CN"/>
              </w:rPr>
              <w:t>2475.4</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lang w:val="en-US" w:eastAsia="zh-CN"/>
              </w:rPr>
              <w:t>3185.8m</w:t>
            </w:r>
            <w:r>
              <w:rPr>
                <w:rFonts w:hint="default" w:ascii="Times New Roman" w:hAnsi="Times New Roman" w:eastAsia="宋体" w:cs="Times New Roman"/>
                <w:color w:val="auto"/>
                <w:sz w:val="24"/>
                <w:szCs w:val="24"/>
              </w:rPr>
              <w:t>，井口水温</w:t>
            </w:r>
            <w:r>
              <w:rPr>
                <w:rFonts w:hint="default" w:ascii="Times New Roman" w:hAnsi="Times New Roman" w:eastAsia="宋体" w:cs="Times New Roman"/>
                <w:color w:val="auto"/>
                <w:sz w:val="24"/>
                <w:szCs w:val="24"/>
                <w:lang w:val="en-US" w:eastAsia="zh-CN"/>
              </w:rPr>
              <w:t>89.31</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z w:val="24"/>
                <w:szCs w:val="24"/>
                <w:lang w:val="en-US" w:eastAsia="zh-CN"/>
              </w:rPr>
              <w:t>102.14</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第</w:t>
            </w:r>
            <w:r>
              <w:rPr>
                <w:rFonts w:hint="default" w:ascii="Times New Roman" w:hAnsi="Times New Roman" w:eastAsia="宋体" w:cs="Times New Roman"/>
                <w:color w:val="auto"/>
                <w:sz w:val="24"/>
                <w:szCs w:val="24"/>
                <w:lang w:eastAsia="zh-CN"/>
              </w:rPr>
              <w:t>五</w:t>
            </w:r>
            <w:r>
              <w:rPr>
                <w:rFonts w:hint="default" w:ascii="Times New Roman" w:hAnsi="Times New Roman" w:eastAsia="宋体" w:cs="Times New Roman"/>
                <w:color w:val="auto"/>
                <w:sz w:val="24"/>
                <w:szCs w:val="24"/>
              </w:rPr>
              <w:t>热储层段</w:t>
            </w:r>
            <w:r>
              <w:rPr>
                <w:rFonts w:hint="default" w:ascii="Times New Roman" w:hAnsi="Times New Roman" w:eastAsia="宋体" w:cs="Times New Roman"/>
                <w:color w:val="auto"/>
                <w:sz w:val="24"/>
                <w:szCs w:val="24"/>
                <w:lang w:eastAsia="zh-CN"/>
              </w:rPr>
              <w:t>古近系残积层</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E</w:t>
            </w:r>
            <w:r>
              <w:rPr>
                <w:rFonts w:hint="default" w:ascii="Times New Roman" w:hAnsi="Times New Roman" w:eastAsia="宋体" w:cs="Times New Roman"/>
                <w:color w:val="auto"/>
                <w:sz w:val="24"/>
                <w:szCs w:val="24"/>
              </w:rPr>
              <w:t>）热储层段</w:t>
            </w:r>
            <w:r>
              <w:rPr>
                <w:rFonts w:hint="default" w:ascii="Times New Roman" w:hAnsi="Times New Roman" w:eastAsia="宋体" w:cs="Times New Roman"/>
                <w:color w:val="auto"/>
                <w:sz w:val="24"/>
                <w:szCs w:val="24"/>
                <w:lang w:eastAsia="zh-CN"/>
              </w:rPr>
              <w:t>顶板</w:t>
            </w:r>
            <w:r>
              <w:rPr>
                <w:rFonts w:hint="default" w:ascii="Times New Roman" w:hAnsi="Times New Roman" w:eastAsia="宋体" w:cs="Times New Roman"/>
                <w:color w:val="auto"/>
                <w:sz w:val="24"/>
                <w:szCs w:val="24"/>
              </w:rPr>
              <w:t>埋深</w:t>
            </w:r>
            <w:r>
              <w:rPr>
                <w:rFonts w:hint="default" w:ascii="Times New Roman" w:hAnsi="Times New Roman" w:eastAsia="宋体" w:cs="Times New Roman"/>
                <w:color w:val="auto"/>
                <w:spacing w:val="-4"/>
                <w:sz w:val="24"/>
                <w:szCs w:val="24"/>
                <w:lang w:val="en-US" w:eastAsia="zh-CN"/>
              </w:rPr>
              <w:t>2475.4</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lang w:val="en-US" w:eastAsia="zh-CN"/>
              </w:rPr>
              <w:t>3185.8m，</w:t>
            </w:r>
            <w:r>
              <w:rPr>
                <w:rFonts w:hint="default" w:ascii="Times New Roman" w:hAnsi="Times New Roman" w:eastAsia="宋体" w:cs="Times New Roman"/>
                <w:color w:val="auto"/>
                <w:spacing w:val="-4"/>
                <w:sz w:val="24"/>
                <w:szCs w:val="24"/>
              </w:rPr>
              <w:t>底板埋深</w:t>
            </w:r>
            <w:r>
              <w:rPr>
                <w:rFonts w:hint="default" w:ascii="Times New Roman" w:hAnsi="Times New Roman" w:eastAsia="宋体" w:cs="Times New Roman"/>
                <w:color w:val="auto"/>
                <w:spacing w:val="-4"/>
                <w:sz w:val="24"/>
                <w:szCs w:val="24"/>
                <w:lang w:val="en-US" w:eastAsia="zh-CN"/>
              </w:rPr>
              <w:t>2715</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lang w:val="en-US" w:eastAsia="zh-CN"/>
              </w:rPr>
              <w:t>3262m</w:t>
            </w:r>
            <w:r>
              <w:rPr>
                <w:rFonts w:hint="default" w:ascii="Times New Roman" w:hAnsi="Times New Roman" w:eastAsia="宋体" w:cs="Times New Roman"/>
                <w:color w:val="auto"/>
                <w:sz w:val="24"/>
                <w:szCs w:val="24"/>
              </w:rPr>
              <w:t>，井口水温</w:t>
            </w:r>
            <w:r>
              <w:rPr>
                <w:rFonts w:hint="default" w:ascii="Times New Roman" w:hAnsi="Times New Roman" w:eastAsia="宋体" w:cs="Times New Roman"/>
                <w:color w:val="auto"/>
                <w:sz w:val="24"/>
                <w:szCs w:val="24"/>
                <w:lang w:val="en-US" w:eastAsia="zh-CN"/>
              </w:rPr>
              <w:t>99.41</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z w:val="24"/>
                <w:szCs w:val="24"/>
                <w:lang w:val="en-US" w:eastAsia="zh-CN"/>
              </w:rPr>
              <w:t>104.04</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，据区内揭露古近系热储地热井成井测井成果资料，热储层地温较高，但主要为致密层，渗透性能差，基本不具备地热水开发利用条件</w:t>
            </w:r>
            <w:r>
              <w:rPr>
                <w:rFonts w:hint="default" w:ascii="Times New Roman" w:hAnsi="Times New Roman" w:eastAsia="宋体" w:cs="Times New Roman"/>
                <w:color w:val="auto"/>
                <w:sz w:val="24"/>
                <w:szCs w:val="24"/>
              </w:rPr>
              <w:t>。</w:t>
            </w:r>
          </w:p>
          <w:p>
            <w:pPr>
              <w:pStyle w:val="4"/>
              <w:bidi w:val="0"/>
              <w:rPr>
                <w:rFonts w:hint="default"/>
                <w:color w:val="auto"/>
                <w:lang w:val="en-US" w:eastAsia="zh-CN"/>
              </w:rPr>
            </w:pPr>
            <w:r>
              <w:rPr>
                <w:rFonts w:hint="eastAsia"/>
                <w:color w:val="auto"/>
                <w:lang w:val="en-US" w:eastAsia="zh-CN"/>
              </w:rPr>
              <w:t>（四）工程地质</w:t>
            </w:r>
          </w:p>
          <w:p>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咸阳职院地热区块</w:t>
            </w:r>
            <w:r>
              <w:rPr>
                <w:rFonts w:hint="default" w:ascii="Times New Roman" w:hAnsi="Times New Roman" w:eastAsia="宋体" w:cs="Times New Roman"/>
                <w:color w:val="auto"/>
                <w:sz w:val="24"/>
                <w:szCs w:val="24"/>
                <w:lang w:val="zh-CN"/>
              </w:rPr>
              <w:t>已建地热开采井的泵房、地热换热站，拟建地热回灌井的泵房；涉及的岩土体类型为土体</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主要</w:t>
            </w:r>
            <w:r>
              <w:rPr>
                <w:rFonts w:hint="default" w:ascii="Times New Roman" w:hAnsi="Times New Roman" w:eastAsia="宋体" w:cs="Times New Roman"/>
                <w:color w:val="auto"/>
                <w:sz w:val="24"/>
                <w:szCs w:val="24"/>
                <w:lang w:val="zh-CN"/>
              </w:rPr>
              <w:t>第四系</w:t>
            </w:r>
            <w:r>
              <w:rPr>
                <w:rFonts w:hint="eastAsia" w:cs="Times New Roman"/>
                <w:color w:val="auto"/>
                <w:sz w:val="24"/>
                <w:szCs w:val="24"/>
                <w:lang w:val="zh-CN"/>
              </w:rPr>
              <w:t>全新统下部冲积层</w:t>
            </w:r>
            <w:r>
              <w:rPr>
                <w:rFonts w:hint="default" w:ascii="Times New Roman" w:hAnsi="Times New Roman" w:eastAsia="宋体" w:cs="Times New Roman"/>
                <w:color w:val="auto"/>
                <w:sz w:val="24"/>
                <w:szCs w:val="24"/>
                <w:lang w:val="zh-CN"/>
              </w:rPr>
              <w:t>（Q</w:t>
            </w:r>
            <w:r>
              <w:rPr>
                <w:rFonts w:hint="eastAsia" w:cs="Times New Roman"/>
                <w:color w:val="auto"/>
                <w:sz w:val="24"/>
                <w:szCs w:val="24"/>
                <w:vertAlign w:val="subscript"/>
                <w:lang w:val="en-US" w:eastAsia="zh-CN"/>
              </w:rPr>
              <w:t>4</w:t>
            </w:r>
            <w:r>
              <w:rPr>
                <w:rFonts w:hint="eastAsia" w:cs="Times New Roman"/>
                <w:color w:val="auto"/>
                <w:sz w:val="24"/>
                <w:szCs w:val="24"/>
                <w:vertAlign w:val="superscript"/>
                <w:lang w:val="en-US" w:eastAsia="zh-CN"/>
              </w:rPr>
              <w:t>1</w:t>
            </w:r>
            <w:r>
              <w:rPr>
                <w:rFonts w:hint="default" w:ascii="Times New Roman" w:hAnsi="Times New Roman" w:eastAsia="宋体" w:cs="Times New Roman"/>
                <w:color w:val="auto"/>
                <w:sz w:val="24"/>
                <w:szCs w:val="24"/>
                <w:vertAlign w:val="superscript"/>
                <w:lang w:val="zh-CN"/>
              </w:rPr>
              <w:t>eol</w:t>
            </w: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color w:val="auto"/>
                <w:sz w:val="24"/>
                <w:szCs w:val="24"/>
                <w:lang w:val="zh-CN"/>
              </w:rPr>
              <w:t>第四系</w:t>
            </w:r>
            <w:r>
              <w:rPr>
                <w:rFonts w:hint="eastAsia" w:cs="Times New Roman"/>
                <w:color w:val="auto"/>
                <w:sz w:val="24"/>
                <w:szCs w:val="24"/>
                <w:lang w:val="zh-CN"/>
              </w:rPr>
              <w:t>全新统下部冲积层</w:t>
            </w:r>
            <w:r>
              <w:rPr>
                <w:rFonts w:hint="default" w:ascii="Times New Roman" w:hAnsi="Times New Roman" w:eastAsia="宋体" w:cs="Times New Roman"/>
                <w:color w:val="auto"/>
                <w:sz w:val="24"/>
                <w:szCs w:val="24"/>
                <w:lang w:val="zh-CN"/>
              </w:rPr>
              <w:t>（Q</w:t>
            </w:r>
            <w:r>
              <w:rPr>
                <w:rFonts w:hint="eastAsia" w:cs="Times New Roman"/>
                <w:color w:val="auto"/>
                <w:sz w:val="24"/>
                <w:szCs w:val="24"/>
                <w:vertAlign w:val="subscript"/>
                <w:lang w:val="en-US" w:eastAsia="zh-CN"/>
              </w:rPr>
              <w:t>4</w:t>
            </w:r>
            <w:r>
              <w:rPr>
                <w:rFonts w:hint="eastAsia" w:cs="Times New Roman"/>
                <w:color w:val="auto"/>
                <w:sz w:val="24"/>
                <w:szCs w:val="24"/>
                <w:vertAlign w:val="superscript"/>
                <w:lang w:val="en-US" w:eastAsia="zh-CN"/>
              </w:rPr>
              <w:t>1</w:t>
            </w:r>
            <w:r>
              <w:rPr>
                <w:rFonts w:hint="default" w:ascii="Times New Roman" w:hAnsi="Times New Roman" w:eastAsia="宋体" w:cs="Times New Roman"/>
                <w:color w:val="auto"/>
                <w:sz w:val="24"/>
                <w:szCs w:val="24"/>
                <w:vertAlign w:val="superscript"/>
                <w:lang w:val="zh-CN"/>
              </w:rPr>
              <w:t>eol</w:t>
            </w:r>
            <w:r>
              <w:rPr>
                <w:rFonts w:hint="default" w:ascii="Times New Roman" w:hAnsi="Times New Roman" w:eastAsia="宋体" w:cs="Times New Roman"/>
                <w:color w:val="auto"/>
                <w:sz w:val="24"/>
                <w:szCs w:val="24"/>
                <w:lang w:val="zh-CN"/>
              </w:rPr>
              <w:t>）：区内层底深度</w:t>
            </w:r>
            <w:r>
              <w:rPr>
                <w:rFonts w:hint="default" w:ascii="Times New Roman" w:hAnsi="Times New Roman" w:eastAsia="宋体" w:cs="Times New Roman"/>
                <w:color w:val="auto"/>
                <w:sz w:val="24"/>
                <w:szCs w:val="24"/>
              </w:rPr>
              <w:t>大于</w:t>
            </w:r>
            <w:r>
              <w:rPr>
                <w:rFonts w:hint="eastAsia" w:cs="Times New Roman"/>
                <w:color w:val="auto"/>
                <w:sz w:val="24"/>
                <w:szCs w:val="24"/>
                <w:lang w:val="en-US" w:eastAsia="zh-CN"/>
              </w:rPr>
              <w:t>20</w:t>
            </w:r>
            <w:r>
              <w:rPr>
                <w:rFonts w:hint="default" w:ascii="Times New Roman" w:hAnsi="Times New Roman" w:eastAsia="宋体" w:cs="Times New Roman"/>
                <w:color w:val="auto"/>
                <w:sz w:val="24"/>
                <w:szCs w:val="24"/>
              </w:rPr>
              <w:t>m，浅褐黄色～</w:t>
            </w:r>
            <w:r>
              <w:rPr>
                <w:rFonts w:hint="default" w:ascii="Times New Roman" w:hAnsi="Times New Roman" w:eastAsia="宋体" w:cs="Times New Roman"/>
                <w:color w:val="auto"/>
                <w:sz w:val="24"/>
                <w:szCs w:val="24"/>
                <w:lang w:val="zh-CN"/>
              </w:rPr>
              <w:t>黄褐色，稍湿，坚硬，</w:t>
            </w:r>
            <w:r>
              <w:rPr>
                <w:rFonts w:hint="default" w:ascii="Times New Roman" w:hAnsi="Times New Roman" w:eastAsia="宋体" w:cs="Times New Roman"/>
                <w:color w:val="auto"/>
                <w:sz w:val="24"/>
                <w:szCs w:val="24"/>
              </w:rPr>
              <w:t>岩性以粉质粘土为主，</w:t>
            </w:r>
            <w:r>
              <w:rPr>
                <w:rFonts w:hint="default" w:ascii="Times New Roman" w:hAnsi="Times New Roman" w:eastAsia="宋体" w:cs="Times New Roman"/>
                <w:color w:val="auto"/>
                <w:sz w:val="24"/>
                <w:szCs w:val="24"/>
                <w:lang w:val="zh-CN"/>
              </w:rPr>
              <w:t>虫孔及针状孔隙发育，具轻微</w:t>
            </w:r>
            <w:r>
              <w:rPr>
                <w:rFonts w:hint="default" w:ascii="Times New Roman" w:hAnsi="Times New Roman" w:eastAsia="宋体" w:cs="Times New Roman"/>
                <w:color w:val="auto"/>
                <w:sz w:val="24"/>
                <w:szCs w:val="24"/>
              </w:rPr>
              <w:t>～中等</w:t>
            </w:r>
            <w:r>
              <w:rPr>
                <w:rFonts w:hint="default" w:ascii="Times New Roman" w:hAnsi="Times New Roman" w:eastAsia="宋体" w:cs="Times New Roman"/>
                <w:color w:val="auto"/>
                <w:sz w:val="24"/>
                <w:szCs w:val="24"/>
                <w:lang w:val="zh-CN"/>
              </w:rPr>
              <w:t>湿陷性和自重湿陷性，</w:t>
            </w:r>
            <w:r>
              <w:rPr>
                <w:rFonts w:hint="default" w:ascii="Times New Roman" w:hAnsi="Times New Roman" w:eastAsia="宋体" w:cs="Times New Roman"/>
                <w:color w:val="auto"/>
                <w:sz w:val="24"/>
                <w:szCs w:val="24"/>
              </w:rPr>
              <w:t>天然重度</w:t>
            </w:r>
            <w:r>
              <w:rPr>
                <w:rFonts w:hint="default" w:ascii="Times New Roman" w:hAnsi="Times New Roman" w:eastAsia="宋体" w:cs="Times New Roman"/>
                <w:color w:val="auto"/>
                <w:sz w:val="24"/>
                <w:szCs w:val="24"/>
              </w:rPr>
              <w:sym w:font="Symbol" w:char="0067"/>
            </w:r>
            <w:r>
              <w:rPr>
                <w:rFonts w:hint="default" w:ascii="Times New Roman" w:hAnsi="Times New Roman" w:eastAsia="宋体" w:cs="Times New Roman"/>
                <w:color w:val="auto"/>
                <w:sz w:val="24"/>
                <w:szCs w:val="24"/>
              </w:rPr>
              <w:t>为14.2～14.4 kN/m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，内摩擦角</w:t>
            </w:r>
            <w:r>
              <w:rPr>
                <w:rFonts w:hint="default" w:ascii="Times New Roman" w:hAnsi="Times New Roman" w:eastAsia="宋体" w:cs="Times New Roman"/>
                <w:color w:val="auto"/>
                <w:sz w:val="24"/>
                <w:szCs w:val="24"/>
              </w:rPr>
              <w:sym w:font="Symbol" w:char="006A"/>
            </w:r>
            <w:r>
              <w:rPr>
                <w:rFonts w:hint="default" w:ascii="Times New Roman" w:hAnsi="Times New Roman" w:eastAsia="宋体" w:cs="Times New Roman"/>
                <w:color w:val="auto"/>
                <w:sz w:val="24"/>
                <w:szCs w:val="24"/>
              </w:rPr>
              <w:t>为18-20°，粘聚力c为25.0 kPa，</w:t>
            </w:r>
            <w:r>
              <w:rPr>
                <w:rFonts w:hint="default" w:ascii="Times New Roman" w:hAnsi="Times New Roman" w:eastAsia="宋体" w:cs="Times New Roman"/>
                <w:color w:val="auto"/>
                <w:sz w:val="24"/>
                <w:szCs w:val="24"/>
                <w:lang w:val="zh-CN"/>
              </w:rPr>
              <w:t>承载力</w:t>
            </w:r>
            <w:r>
              <w:rPr>
                <w:rFonts w:hint="default" w:ascii="Times New Roman" w:hAnsi="Times New Roman" w:eastAsia="宋体" w:cs="Times New Roman"/>
                <w:color w:val="auto"/>
                <w:sz w:val="24"/>
                <w:szCs w:val="24"/>
              </w:rPr>
              <w:t>特征值</w:t>
            </w:r>
            <w:r>
              <w:rPr>
                <w:rFonts w:hint="default" w:ascii="Times New Roman" w:hAnsi="Times New Roman" w:eastAsia="宋体" w:cs="Times New Roman"/>
                <w:i/>
                <w:color w:val="auto"/>
                <w:sz w:val="24"/>
                <w:szCs w:val="24"/>
              </w:rPr>
              <w:t>f</w:t>
            </w:r>
            <w:r>
              <w:rPr>
                <w:rFonts w:hint="default" w:ascii="Times New Roman" w:hAnsi="Times New Roman" w:eastAsia="宋体" w:cs="Times New Roman"/>
                <w:i/>
                <w:color w:val="auto"/>
                <w:sz w:val="24"/>
                <w:szCs w:val="24"/>
                <w:vertAlign w:val="subscript"/>
              </w:rPr>
              <w:t>ak</w:t>
            </w:r>
            <w:r>
              <w:rPr>
                <w:rFonts w:hint="default" w:ascii="Times New Roman" w:hAnsi="Times New Roman" w:eastAsia="宋体" w:cs="Times New Roman"/>
                <w:color w:val="auto"/>
                <w:sz w:val="24"/>
                <w:szCs w:val="24"/>
              </w:rPr>
              <w:t>为200-240kPa。</w:t>
            </w:r>
          </w:p>
          <w:p>
            <w:pPr>
              <w:pStyle w:val="2"/>
              <w:rPr>
                <w:rFonts w:hint="eastAsia"/>
                <w:color w:val="auto"/>
                <w:lang w:val="zh-CN" w:eastAsia="zh-CN"/>
              </w:rPr>
            </w:pPr>
            <w:r>
              <w:rPr>
                <w:rFonts w:hint="eastAsia"/>
                <w:color w:val="auto"/>
                <w:lang w:eastAsia="zh-CN"/>
              </w:rPr>
              <w:t>综上所述，矿区工程地质条件良好。</w:t>
            </w:r>
          </w:p>
          <w:p>
            <w:pPr>
              <w:pStyle w:val="4"/>
              <w:bidi w:val="0"/>
              <w:rPr>
                <w:rFonts w:hint="default"/>
                <w:color w:val="auto"/>
                <w:lang w:val="en-US" w:eastAsia="zh-CN"/>
              </w:rPr>
            </w:pPr>
            <w:r>
              <w:rPr>
                <w:rFonts w:hint="eastAsia"/>
                <w:color w:val="auto"/>
                <w:lang w:val="en-US" w:eastAsia="zh-CN"/>
              </w:rPr>
              <w:t>（五）矿体地质特征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矿区内的矿产资源为地热水，</w:t>
            </w:r>
            <w:r>
              <w:rPr>
                <w:rFonts w:hint="eastAsia"/>
                <w:color w:val="auto"/>
                <w:sz w:val="24"/>
                <w:szCs w:val="24"/>
                <w:lang w:val="en-US" w:eastAsia="zh-CN"/>
              </w:rPr>
              <w:t>咸阳职院定向井</w:t>
            </w:r>
            <w:r>
              <w:rPr>
                <w:rFonts w:hint="eastAsia"/>
                <w:color w:val="auto"/>
                <w:kern w:val="1"/>
                <w:sz w:val="24"/>
                <w:szCs w:val="24"/>
              </w:rPr>
              <w:t>取水段垂深2583.1-3481.38（斜深2598.7-3600m）</w:t>
            </w:r>
            <w:r>
              <w:rPr>
                <w:rFonts w:hint="default"/>
                <w:color w:val="auto"/>
                <w:sz w:val="24"/>
                <w:szCs w:val="24"/>
              </w:rPr>
              <w:t>，主要开采</w:t>
            </w:r>
            <w:r>
              <w:rPr>
                <w:rFonts w:hint="eastAsia"/>
                <w:color w:val="auto"/>
                <w:kern w:val="1"/>
                <w:sz w:val="24"/>
                <w:szCs w:val="24"/>
              </w:rPr>
              <w:t>蓝田灞河组中下部和高陵群上部热储</w:t>
            </w:r>
            <w:r>
              <w:rPr>
                <w:color w:val="auto"/>
                <w:sz w:val="24"/>
                <w:szCs w:val="24"/>
              </w:rPr>
              <w:t>层资源量</w:t>
            </w:r>
            <w:r>
              <w:rPr>
                <w:rFonts w:hint="eastAsia"/>
                <w:color w:val="auto"/>
                <w:sz w:val="24"/>
                <w:szCs w:val="24"/>
                <w:lang w:eastAsia="zh-CN"/>
              </w:rPr>
              <w:t>，地热开采用于供暖</w:t>
            </w:r>
            <w:r>
              <w:rPr>
                <w:rFonts w:hint="default"/>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rPr>
            </w:pPr>
            <w:r>
              <w:rPr>
                <w:rFonts w:hint="default" w:ascii="Times New Roman" w:hAnsi="Times New Roman" w:eastAsia="宋体" w:cs="Times New Roman"/>
                <w:color w:val="auto"/>
                <w:sz w:val="24"/>
                <w:szCs w:val="24"/>
              </w:rPr>
              <w:t>据已成地热水井水质检测成果分析，各热储层段阴、阳离子均以</w:t>
            </w:r>
            <w:r>
              <w:rPr>
                <w:rFonts w:hint="default" w:ascii="Times New Roman" w:hAnsi="Times New Roman" w:eastAsia="宋体" w:cs="Times New Roman"/>
                <w:color w:val="auto"/>
                <w:sz w:val="24"/>
                <w:szCs w:val="24"/>
                <w:lang w:val="en-US" w:eastAsia="zh-CN"/>
              </w:rPr>
              <w:t>Cl</w:t>
            </w:r>
            <w:r>
              <w:rPr>
                <w:rFonts w:hint="default" w:ascii="Times New Roman" w:hAnsi="Times New Roman" w:eastAsia="宋体" w:cs="Times New Roman"/>
                <w:color w:val="auto"/>
                <w:sz w:val="24"/>
                <w:szCs w:val="24"/>
                <w:vertAlign w:val="superscript"/>
              </w:rPr>
              <w:t>-</w:t>
            </w:r>
            <w:r>
              <w:rPr>
                <w:rFonts w:hint="default" w:ascii="Times New Roman" w:hAnsi="Times New Roman" w:eastAsia="宋体" w:cs="Times New Roman"/>
                <w:color w:val="auto"/>
                <w:sz w:val="24"/>
                <w:szCs w:val="24"/>
              </w:rPr>
              <w:t>和Na</w:t>
            </w:r>
            <w:r>
              <w:rPr>
                <w:rFonts w:hint="default" w:ascii="Times New Roman" w:hAnsi="Times New Roman" w:eastAsia="宋体" w:cs="Times New Roman"/>
                <w:color w:val="auto"/>
                <w:sz w:val="24"/>
                <w:szCs w:val="24"/>
                <w:vertAlign w:val="superscript"/>
              </w:rPr>
              <w:t>+</w:t>
            </w:r>
            <w:r>
              <w:rPr>
                <w:rFonts w:hint="default" w:ascii="Times New Roman" w:hAnsi="Times New Roman" w:eastAsia="宋体" w:cs="Times New Roman"/>
                <w:color w:val="auto"/>
                <w:sz w:val="24"/>
                <w:szCs w:val="24"/>
              </w:rPr>
              <w:t>为主，水化学类型主要为</w:t>
            </w:r>
            <w:r>
              <w:rPr>
                <w:rFonts w:hint="default" w:ascii="Times New Roman" w:hAnsi="Times New Roman" w:eastAsia="宋体" w:cs="Times New Roman"/>
                <w:color w:val="auto"/>
                <w:sz w:val="24"/>
                <w:szCs w:val="24"/>
                <w:lang w:val="en-US" w:eastAsia="zh-CN"/>
              </w:rPr>
              <w:t>Cl</w:t>
            </w:r>
            <w:r>
              <w:rPr>
                <w:rFonts w:hint="default" w:ascii="Times New Roman" w:hAnsi="Times New Roman" w:eastAsia="宋体" w:cs="Times New Roman"/>
                <w:color w:val="auto"/>
                <w:sz w:val="24"/>
                <w:szCs w:val="24"/>
              </w:rPr>
              <w:t>-Na型水，其次为HCO</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·Cl-Na</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Cl-Na·Ca</w:t>
            </w:r>
            <w:r>
              <w:rPr>
                <w:rFonts w:hint="default" w:ascii="Times New Roman" w:hAnsi="Times New Roman" w:eastAsia="宋体" w:cs="Times New Roman"/>
                <w:color w:val="auto"/>
                <w:sz w:val="24"/>
                <w:szCs w:val="24"/>
                <w:lang w:val="en-US" w:eastAsia="zh-CN"/>
              </w:rPr>
              <w:t>、Cl·HCO</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·SO</w:t>
            </w:r>
            <w:r>
              <w:rPr>
                <w:rFonts w:hint="default" w:ascii="Times New Roman" w:hAnsi="Times New Roman" w:eastAsia="宋体" w:cs="Times New Roman"/>
                <w:color w:val="auto"/>
                <w:sz w:val="24"/>
                <w:szCs w:val="24"/>
                <w:vertAlign w:val="subscript"/>
                <w:lang w:val="en-US" w:eastAsia="zh-CN"/>
              </w:rPr>
              <w:t>4</w:t>
            </w:r>
            <w:r>
              <w:rPr>
                <w:rFonts w:hint="default" w:ascii="Times New Roman" w:hAnsi="Times New Roman" w:eastAsia="宋体" w:cs="Times New Roman"/>
                <w:color w:val="auto"/>
                <w:sz w:val="24"/>
                <w:szCs w:val="24"/>
                <w:lang w:val="en-US" w:eastAsia="zh-CN"/>
              </w:rPr>
              <w:t>-Na</w:t>
            </w:r>
            <w:r>
              <w:rPr>
                <w:rFonts w:hint="default" w:ascii="Times New Roman" w:hAnsi="Times New Roman" w:eastAsia="宋体" w:cs="Times New Roman"/>
                <w:color w:val="auto"/>
                <w:sz w:val="24"/>
                <w:szCs w:val="24"/>
              </w:rPr>
              <w:t>型水，</w:t>
            </w:r>
            <w:r>
              <w:rPr>
                <w:rFonts w:hint="default" w:ascii="Times New Roman" w:hAnsi="Times New Roman" w:eastAsia="宋体" w:cs="Times New Roman"/>
                <w:color w:val="auto"/>
                <w:sz w:val="24"/>
                <w:szCs w:val="24"/>
                <w:lang w:eastAsia="zh-CN"/>
              </w:rPr>
              <w:t>矿化度</w:t>
            </w:r>
            <w:r>
              <w:rPr>
                <w:rFonts w:hint="default" w:ascii="Times New Roman" w:hAnsi="Times New Roman" w:eastAsia="宋体" w:cs="Times New Roman"/>
                <w:color w:val="auto"/>
                <w:sz w:val="24"/>
                <w:szCs w:val="24"/>
                <w:lang w:val="en-US" w:eastAsia="zh-CN"/>
              </w:rPr>
              <w:t>2468—7412mg/L，为微咸水—咸水，</w:t>
            </w:r>
            <w:r>
              <w:rPr>
                <w:rFonts w:hint="default" w:ascii="Times New Roman" w:hAnsi="Times New Roman" w:eastAsia="宋体" w:cs="Times New Roman"/>
                <w:color w:val="auto"/>
                <w:sz w:val="24"/>
                <w:szCs w:val="24"/>
              </w:rPr>
              <w:t>PH值在</w:t>
            </w:r>
            <w:r>
              <w:rPr>
                <w:rFonts w:hint="default" w:ascii="Times New Roman" w:hAnsi="Times New Roman" w:eastAsia="宋体" w:cs="Times New Roman"/>
                <w:color w:val="auto"/>
                <w:sz w:val="24"/>
                <w:szCs w:val="24"/>
                <w:lang w:val="en-US" w:eastAsia="zh-CN"/>
              </w:rPr>
              <w:t>7.3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7.97</w:t>
            </w:r>
            <w:r>
              <w:rPr>
                <w:rFonts w:hint="default" w:ascii="Times New Roman" w:hAnsi="Times New Roman" w:eastAsia="宋体" w:cs="Times New Roman"/>
                <w:color w:val="auto"/>
                <w:sz w:val="24"/>
                <w:szCs w:val="24"/>
              </w:rPr>
              <w:t>之间，</w:t>
            </w:r>
            <w:r>
              <w:rPr>
                <w:rFonts w:hint="default" w:ascii="Times New Roman" w:hAnsi="Times New Roman" w:eastAsia="宋体" w:cs="Times New Roman"/>
                <w:color w:val="auto"/>
                <w:sz w:val="24"/>
                <w:szCs w:val="24"/>
                <w:lang w:eastAsia="zh-CN"/>
              </w:rPr>
              <w:t>均</w:t>
            </w:r>
            <w:r>
              <w:rPr>
                <w:rFonts w:hint="default" w:ascii="Times New Roman" w:hAnsi="Times New Roman" w:eastAsia="宋体" w:cs="Times New Roman"/>
                <w:color w:val="auto"/>
                <w:sz w:val="24"/>
                <w:szCs w:val="24"/>
              </w:rPr>
              <w:t>呈中性</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因SO</w:t>
            </w:r>
            <w:r>
              <w:rPr>
                <w:rFonts w:hint="default" w:ascii="Times New Roman" w:hAnsi="Times New Roman" w:eastAsia="宋体" w:cs="Times New Roman"/>
                <w:color w:val="auto"/>
                <w:sz w:val="24"/>
                <w:szCs w:val="24"/>
                <w:vertAlign w:val="subscript"/>
                <w:lang w:val="en-US" w:eastAsia="zh-CN"/>
              </w:rPr>
              <w:t>4</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vertAlign w:val="superscript"/>
              </w:rPr>
              <w:t>-</w:t>
            </w:r>
            <w:r>
              <w:rPr>
                <w:rFonts w:hint="default" w:ascii="Times New Roman" w:hAnsi="Times New Roman" w:eastAsia="宋体" w:cs="Times New Roman"/>
                <w:color w:val="auto"/>
                <w:sz w:val="24"/>
                <w:szCs w:val="24"/>
                <w:lang w:val="en-US" w:eastAsia="zh-CN"/>
              </w:rPr>
              <w:t>（62.5—720mg/L）、Cl</w:t>
            </w:r>
            <w:r>
              <w:rPr>
                <w:rFonts w:hint="default" w:ascii="Times New Roman" w:hAnsi="Times New Roman" w:eastAsia="宋体" w:cs="Times New Roman"/>
                <w:color w:val="auto"/>
                <w:sz w:val="24"/>
                <w:szCs w:val="24"/>
                <w:vertAlign w:val="superscript"/>
              </w:rPr>
              <w:t>-</w:t>
            </w:r>
            <w:r>
              <w:rPr>
                <w:rFonts w:hint="default" w:ascii="Times New Roman" w:hAnsi="Times New Roman" w:eastAsia="宋体" w:cs="Times New Roman"/>
                <w:color w:val="auto"/>
                <w:sz w:val="24"/>
                <w:szCs w:val="24"/>
                <w:lang w:val="en-US" w:eastAsia="zh-CN"/>
              </w:rPr>
              <w:t>（192.5—3944.0mg/L）含量一般较高，对钢质井管及管道具有中等腐蚀或强腐蚀性</w:t>
            </w:r>
            <w:r>
              <w:rPr>
                <w:rFonts w:hint="default" w:ascii="Times New Roman" w:hAnsi="Times New Roman" w:eastAsia="宋体" w:cs="Times New Roman"/>
                <w:color w:val="auto"/>
                <w:sz w:val="24"/>
                <w:szCs w:val="24"/>
              </w:rPr>
              <w:t>。按照《</w:t>
            </w:r>
            <w:r>
              <w:rPr>
                <w:rFonts w:hint="default" w:ascii="Times New Roman" w:hAnsi="Times New Roman" w:eastAsia="宋体" w:cs="Times New Roman"/>
                <w:color w:val="auto"/>
                <w:sz w:val="24"/>
                <w:szCs w:val="24"/>
                <w:lang w:eastAsia="zh-CN"/>
              </w:rPr>
              <w:t>理</w:t>
            </w:r>
            <w:r>
              <w:rPr>
                <w:rFonts w:hint="default" w:ascii="Times New Roman" w:hAnsi="Times New Roman" w:eastAsia="宋体" w:cs="Times New Roman"/>
                <w:color w:val="auto"/>
                <w:sz w:val="24"/>
                <w:szCs w:val="24"/>
              </w:rPr>
              <w:t>疗热矿水水质标准》（GB/T11615-2010）评价，分析区内已成地热水井氟、</w:t>
            </w:r>
            <w:r>
              <w:rPr>
                <w:rFonts w:hint="default" w:ascii="Times New Roman" w:hAnsi="Times New Roman" w:eastAsia="宋体" w:cs="Times New Roman"/>
                <w:color w:val="auto"/>
                <w:sz w:val="24"/>
                <w:szCs w:val="24"/>
                <w:lang w:eastAsia="zh-CN"/>
              </w:rPr>
              <w:t>碘、锶、</w:t>
            </w:r>
            <w:r>
              <w:rPr>
                <w:rFonts w:hint="default" w:ascii="Times New Roman" w:hAnsi="Times New Roman" w:eastAsia="宋体" w:cs="Times New Roman"/>
                <w:color w:val="auto"/>
                <w:sz w:val="24"/>
                <w:szCs w:val="24"/>
              </w:rPr>
              <w:t>偏硅酸、偏硼酸含量分别达到一项或</w:t>
            </w:r>
            <w:r>
              <w:rPr>
                <w:rFonts w:hint="default" w:ascii="Times New Roman" w:hAnsi="Times New Roman" w:eastAsia="宋体" w:cs="Times New Roman"/>
                <w:color w:val="auto"/>
                <w:sz w:val="24"/>
                <w:szCs w:val="24"/>
                <w:lang w:eastAsia="zh-CN"/>
              </w:rPr>
              <w:t>三</w:t>
            </w:r>
            <w:r>
              <w:rPr>
                <w:rFonts w:hint="default" w:ascii="Times New Roman" w:hAnsi="Times New Roman" w:eastAsia="宋体" w:cs="Times New Roman"/>
                <w:color w:val="auto"/>
                <w:sz w:val="24"/>
                <w:szCs w:val="24"/>
              </w:rPr>
              <w:t>至</w:t>
            </w:r>
            <w:r>
              <w:rPr>
                <w:rFonts w:hint="default" w:ascii="Times New Roman" w:hAnsi="Times New Roman" w:eastAsia="宋体" w:cs="Times New Roman"/>
                <w:color w:val="auto"/>
                <w:sz w:val="24"/>
                <w:szCs w:val="24"/>
                <w:lang w:eastAsia="zh-CN"/>
              </w:rPr>
              <w:t>五</w:t>
            </w:r>
            <w:r>
              <w:rPr>
                <w:rFonts w:hint="default" w:ascii="Times New Roman" w:hAnsi="Times New Roman" w:eastAsia="宋体" w:cs="Times New Roman"/>
                <w:color w:val="auto"/>
                <w:sz w:val="24"/>
                <w:szCs w:val="24"/>
              </w:rPr>
              <w:t>项</w:t>
            </w:r>
            <w:r>
              <w:rPr>
                <w:rFonts w:hint="default" w:ascii="Times New Roman" w:hAnsi="Times New Roman" w:eastAsia="宋体" w:cs="Times New Roman"/>
                <w:color w:val="auto"/>
                <w:sz w:val="24"/>
                <w:szCs w:val="24"/>
                <w:lang w:eastAsia="zh-CN"/>
              </w:rPr>
              <w:t>达到</w:t>
            </w:r>
            <w:r>
              <w:rPr>
                <w:rFonts w:hint="default" w:ascii="Times New Roman" w:hAnsi="Times New Roman" w:eastAsia="宋体" w:cs="Times New Roman"/>
                <w:color w:val="auto"/>
                <w:sz w:val="24"/>
                <w:szCs w:val="24"/>
              </w:rPr>
              <w:t>矿水命名浓度，具有较高的理疗价值。</w:t>
            </w:r>
          </w:p>
          <w:p>
            <w:pPr>
              <w:pStyle w:val="4"/>
              <w:bidi w:val="0"/>
              <w:rPr>
                <w:rFonts w:hint="default"/>
                <w:color w:val="auto"/>
                <w:lang w:val="en-US" w:eastAsia="zh-CN"/>
              </w:rPr>
            </w:pPr>
            <w:r>
              <w:rPr>
                <w:rFonts w:hint="eastAsia"/>
                <w:color w:val="auto"/>
                <w:lang w:val="en-US" w:eastAsia="zh-CN"/>
              </w:rPr>
              <w:t>（六）不良地质现象</w:t>
            </w:r>
          </w:p>
          <w:p>
            <w:pPr>
              <w:bidi w:val="0"/>
              <w:rPr>
                <w:rFonts w:hint="default"/>
                <w:color w:val="auto"/>
              </w:rPr>
            </w:pPr>
            <w:r>
              <w:rPr>
                <w:rFonts w:hint="default"/>
                <w:color w:val="auto"/>
              </w:rPr>
              <w:t>矿区内未发现崩塌、滑坡、泥石流、地面塌陷等矿山地质灾害和溶洞、土洞、河流冲刷、砂土液化以及渗透变形、水质恶化等不良地质现象。</w:t>
            </w:r>
          </w:p>
          <w:p>
            <w:pPr>
              <w:bidi w:val="0"/>
              <w:rPr>
                <w:rFonts w:hint="default"/>
                <w:color w:val="auto"/>
              </w:rPr>
            </w:pPr>
            <w:r>
              <w:rPr>
                <w:rFonts w:hint="default"/>
                <w:color w:val="auto"/>
              </w:rPr>
              <w:t>矿区地形平坦、地貌类型单一，现状条件下矿山地质灾害不发育。</w:t>
            </w:r>
          </w:p>
          <w:p>
            <w:pPr>
              <w:pStyle w:val="4"/>
              <w:bidi w:val="0"/>
              <w:rPr>
                <w:rFonts w:hint="default"/>
                <w:color w:val="auto"/>
                <w:lang w:val="en-US" w:eastAsia="zh-CN"/>
              </w:rPr>
            </w:pPr>
            <w:r>
              <w:rPr>
                <w:rFonts w:hint="eastAsia"/>
                <w:color w:val="auto"/>
                <w:lang w:val="en-US" w:eastAsia="zh-CN"/>
              </w:rPr>
              <w:t>（七）人类工程活动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rFonts w:hint="eastAsia"/>
                <w:color w:val="auto"/>
                <w:sz w:val="24"/>
                <w:szCs w:val="24"/>
                <w:lang w:eastAsia="zh-CN"/>
              </w:rPr>
              <w:t>职院定向井、职院</w:t>
            </w:r>
            <w:r>
              <w:rPr>
                <w:rFonts w:hint="eastAsia"/>
                <w:color w:val="auto"/>
                <w:sz w:val="24"/>
                <w:szCs w:val="24"/>
                <w:lang w:val="en-US" w:eastAsia="zh-CN"/>
              </w:rPr>
              <w:t>1-2回灌井</w:t>
            </w:r>
            <w:r>
              <w:rPr>
                <w:rFonts w:hint="eastAsia"/>
                <w:color w:val="auto"/>
                <w:sz w:val="24"/>
                <w:szCs w:val="24"/>
              </w:rPr>
              <w:t>以及其他配套设施均位于</w:t>
            </w:r>
            <w:r>
              <w:rPr>
                <w:rFonts w:hint="eastAsia"/>
                <w:color w:val="auto"/>
                <w:sz w:val="24"/>
                <w:szCs w:val="24"/>
                <w:lang w:eastAsia="zh-CN"/>
              </w:rPr>
              <w:t>咸阳职业技术学院</w:t>
            </w:r>
            <w:r>
              <w:rPr>
                <w:rFonts w:hint="eastAsia"/>
                <w:color w:val="auto"/>
                <w:sz w:val="24"/>
                <w:szCs w:val="24"/>
              </w:rPr>
              <w:t>的空闲地带，</w:t>
            </w:r>
            <w:r>
              <w:rPr>
                <w:color w:val="auto"/>
                <w:sz w:val="24"/>
                <w:szCs w:val="24"/>
              </w:rPr>
              <w:t>没有其他矿床的开采。</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eastAsia="zh-CN"/>
              </w:rPr>
              <w:t>区内</w:t>
            </w:r>
            <w:r>
              <w:rPr>
                <w:rFonts w:hint="eastAsia" w:ascii="宋体" w:hAnsi="宋体" w:eastAsia="宋体" w:cs="宋体"/>
                <w:color w:val="auto"/>
                <w:sz w:val="24"/>
                <w:szCs w:val="24"/>
              </w:rPr>
              <w:t>主要人类工程活动有房屋建筑、道路修筑</w:t>
            </w:r>
            <w:r>
              <w:rPr>
                <w:rFonts w:hint="eastAsia" w:ascii="宋体" w:hAnsi="宋体" w:eastAsia="宋体" w:cs="宋体"/>
                <w:color w:val="auto"/>
                <w:sz w:val="24"/>
                <w:szCs w:val="24"/>
                <w:lang w:eastAsia="zh-CN"/>
              </w:rPr>
              <w:t>、高速公路</w:t>
            </w:r>
            <w:r>
              <w:rPr>
                <w:rFonts w:hint="eastAsia" w:ascii="宋体" w:hAnsi="宋体" w:eastAsia="宋体" w:cs="宋体"/>
                <w:color w:val="auto"/>
                <w:sz w:val="24"/>
                <w:szCs w:val="24"/>
              </w:rPr>
              <w:t>等，现简述如下：</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（1）房屋建筑</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b w:val="0"/>
                <w:bCs w:val="0"/>
                <w:color w:val="auto"/>
                <w:sz w:val="24"/>
                <w:szCs w:val="24"/>
              </w:rPr>
            </w:pPr>
            <w:r>
              <w:rPr>
                <w:rFonts w:hint="eastAsia" w:ascii="宋体" w:hAnsi="宋体" w:eastAsia="宋体" w:cs="宋体"/>
                <w:color w:val="auto"/>
                <w:sz w:val="24"/>
                <w:szCs w:val="24"/>
              </w:rPr>
              <w:t>房屋建筑主要为</w:t>
            </w:r>
            <w:r>
              <w:rPr>
                <w:rFonts w:hint="eastAsia" w:ascii="宋体" w:hAnsi="宋体" w:cs="宋体"/>
                <w:color w:val="auto"/>
                <w:sz w:val="24"/>
                <w:szCs w:val="24"/>
                <w:lang w:eastAsia="zh-CN"/>
              </w:rPr>
              <w:t>咸阳职业技术学院的建筑物</w:t>
            </w:r>
            <w:r>
              <w:rPr>
                <w:rFonts w:hint="eastAsia" w:ascii="宋体" w:hAnsi="宋体" w:eastAsia="宋体" w:cs="宋体"/>
                <w:color w:val="auto"/>
                <w:sz w:val="24"/>
                <w:szCs w:val="24"/>
              </w:rPr>
              <w:t>，一般为</w:t>
            </w:r>
            <w:r>
              <w:rPr>
                <w:rFonts w:hint="eastAsia" w:ascii="宋体" w:hAnsi="宋体" w:cs="宋体"/>
                <w:color w:val="auto"/>
                <w:sz w:val="24"/>
                <w:szCs w:val="24"/>
                <w:lang w:val="en-US" w:eastAsia="zh-CN"/>
              </w:rPr>
              <w:t>3-6</w:t>
            </w:r>
            <w:r>
              <w:rPr>
                <w:rFonts w:hint="eastAsia" w:ascii="宋体" w:hAnsi="宋体" w:eastAsia="宋体" w:cs="宋体"/>
                <w:color w:val="auto"/>
                <w:sz w:val="24"/>
                <w:szCs w:val="24"/>
              </w:rPr>
              <w:t>层</w:t>
            </w:r>
            <w:r>
              <w:rPr>
                <w:rFonts w:hint="eastAsia" w:ascii="宋体" w:hAnsi="宋体" w:eastAsia="宋体" w:cs="宋体"/>
                <w:b w:val="0"/>
                <w:bCs w:val="0"/>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（2）道路修筑</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b w:val="0"/>
                <w:bCs w:val="0"/>
                <w:color w:val="auto"/>
                <w:sz w:val="24"/>
                <w:szCs w:val="24"/>
              </w:rPr>
            </w:pPr>
            <w:r>
              <w:rPr>
                <w:rFonts w:hint="eastAsia" w:ascii="宋体" w:hAnsi="宋体" w:cs="宋体"/>
                <w:b w:val="0"/>
                <w:bCs w:val="0"/>
                <w:color w:val="auto"/>
                <w:sz w:val="24"/>
                <w:szCs w:val="24"/>
                <w:lang w:eastAsia="zh-CN"/>
              </w:rPr>
              <w:t>区块</w:t>
            </w:r>
            <w:r>
              <w:rPr>
                <w:rFonts w:hint="eastAsia" w:ascii="宋体" w:hAnsi="宋体" w:eastAsia="宋体" w:cs="宋体"/>
                <w:b w:val="0"/>
                <w:bCs w:val="0"/>
                <w:color w:val="auto"/>
                <w:sz w:val="24"/>
                <w:szCs w:val="24"/>
              </w:rPr>
              <w:t>内道路主要为水泥道路</w:t>
            </w:r>
            <w:r>
              <w:rPr>
                <w:rFonts w:hint="eastAsia" w:ascii="宋体" w:hAnsi="宋体" w:cs="宋体"/>
                <w:b w:val="0"/>
                <w:bCs w:val="0"/>
                <w:color w:val="auto"/>
                <w:sz w:val="24"/>
                <w:szCs w:val="24"/>
                <w:lang w:eastAsia="zh-CN"/>
              </w:rPr>
              <w:t>，周边道路主要为沥青路面</w:t>
            </w:r>
            <w:r>
              <w:rPr>
                <w:rFonts w:hint="eastAsia" w:ascii="宋体" w:hAnsi="宋体" w:eastAsia="宋体" w:cs="宋体"/>
                <w:b w:val="0"/>
                <w:bCs w:val="0"/>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）高速公路</w:t>
            </w:r>
          </w:p>
          <w:p>
            <w:pPr>
              <w:pStyle w:val="12"/>
              <w:keepNext w:val="0"/>
              <w:keepLines w:val="0"/>
              <w:pageBreakBefore w:val="0"/>
              <w:widowControl w:val="0"/>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在区块北</w:t>
            </w:r>
            <w:r>
              <w:rPr>
                <w:rFonts w:hint="eastAsia" w:cs="Times New Roman"/>
                <w:color w:val="auto"/>
                <w:sz w:val="24"/>
                <w:szCs w:val="24"/>
                <w:lang w:eastAsia="zh-CN"/>
              </w:rPr>
              <w:t>边</w:t>
            </w:r>
            <w:r>
              <w:rPr>
                <w:rFonts w:hint="default" w:ascii="Times New Roman" w:hAnsi="Times New Roman" w:eastAsia="宋体" w:cs="Times New Roman"/>
                <w:color w:val="auto"/>
                <w:sz w:val="24"/>
                <w:szCs w:val="24"/>
                <w:lang w:eastAsia="zh-CN"/>
              </w:rPr>
              <w:t>有一条东</w:t>
            </w:r>
            <w:r>
              <w:rPr>
                <w:rFonts w:hint="default" w:ascii="Times New Roman" w:hAnsi="Times New Roman" w:eastAsia="宋体" w:cs="Times New Roman"/>
                <w:color w:val="auto"/>
                <w:sz w:val="24"/>
                <w:szCs w:val="24"/>
                <w:lang w:val="en-US" w:eastAsia="zh-CN"/>
              </w:rPr>
              <w:t>-西向高速公路，</w:t>
            </w:r>
            <w:r>
              <w:rPr>
                <w:rFonts w:hint="default" w:ascii="Times New Roman" w:hAnsi="Times New Roman" w:eastAsia="宋体" w:cs="Times New Roman"/>
                <w:color w:val="auto"/>
                <w:sz w:val="24"/>
                <w:szCs w:val="24"/>
                <w:lang w:eastAsia="zh-CN"/>
              </w:rPr>
              <w:t>为</w:t>
            </w:r>
            <w:r>
              <w:rPr>
                <w:rFonts w:hint="default" w:ascii="Times New Roman" w:hAnsi="Times New Roman" w:eastAsia="宋体" w:cs="Times New Roman"/>
                <w:color w:val="auto"/>
                <w:sz w:val="24"/>
                <w:szCs w:val="24"/>
                <w:lang w:val="en-US" w:eastAsia="zh-CN"/>
              </w:rPr>
              <w:t>G</w:t>
            </w:r>
            <w:r>
              <w:rPr>
                <w:rFonts w:hint="eastAsia" w:cs="Times New Roman"/>
                <w:color w:val="auto"/>
                <w:sz w:val="24"/>
                <w:szCs w:val="24"/>
                <w:lang w:val="en-US" w:eastAsia="zh-CN"/>
              </w:rPr>
              <w:t>30连霍</w:t>
            </w:r>
            <w:r>
              <w:rPr>
                <w:rFonts w:hint="default" w:ascii="Times New Roman" w:hAnsi="Times New Roman" w:eastAsia="宋体" w:cs="Times New Roman"/>
                <w:color w:val="auto"/>
                <w:sz w:val="24"/>
                <w:szCs w:val="24"/>
                <w:lang w:val="en-US" w:eastAsia="zh-CN"/>
              </w:rPr>
              <w:t>高速公路陕西段。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由于地热矿床的特殊性，地热水开采不会对周围环境造成影响和破坏，同时也不会受到周围其它人类活动的影响。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因此，矿区破坏地质环境的人类工程活动较弱。</w:t>
            </w:r>
          </w:p>
          <w:tbl>
            <w:tblPr>
              <w:tblStyle w:val="1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53"/>
              <w:gridCol w:w="41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12" w:hRule="atLeast"/>
                <w:jc w:val="center"/>
              </w:trPr>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ascii="宋体" w:hAnsi="宋体" w:eastAsia="宋体" w:cs="宋体"/>
                      <w:color w:val="FF0000"/>
                      <w:sz w:val="28"/>
                      <w:szCs w:val="28"/>
                      <w:lang w:eastAsia="zh-CN"/>
                    </w:rPr>
                    <w:drawing>
                      <wp:inline distT="0" distB="0" distL="114300" distR="114300">
                        <wp:extent cx="2798445" cy="2098040"/>
                        <wp:effectExtent l="0" t="0" r="1905" b="16510"/>
                        <wp:docPr id="38" name="图片 38" descr="137cdbb8d46eb06ff8782daebdcd4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37cdbb8d46eb06ff8782daebdcd4e9"/>
                                <pic:cNvPicPr>
                                  <a:picLocks noChangeAspect="1"/>
                                </pic:cNvPicPr>
                              </pic:nvPicPr>
                              <pic:blipFill>
                                <a:blip r:embed="rId18"/>
                                <a:stretch>
                                  <a:fillRect/>
                                </a:stretch>
                              </pic:blipFill>
                              <pic:spPr>
                                <a:xfrm>
                                  <a:off x="0" y="0"/>
                                  <a:ext cx="2798445" cy="2098040"/>
                                </a:xfrm>
                                <a:prstGeom prst="rect">
                                  <a:avLst/>
                                </a:prstGeom>
                              </pic:spPr>
                            </pic:pic>
                          </a:graphicData>
                        </a:graphic>
                      </wp:inline>
                    </w:drawing>
                  </w:r>
                </w:p>
              </w:tc>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ascii="仿宋" w:hAnsi="仿宋" w:eastAsia="仿宋" w:cs="仿宋"/>
                      <w:b/>
                      <w:bCs w:val="0"/>
                      <w:color w:val="auto"/>
                      <w:sz w:val="24"/>
                      <w:szCs w:val="24"/>
                    </w:rPr>
                    <w:drawing>
                      <wp:inline distT="0" distB="0" distL="114300" distR="114300">
                        <wp:extent cx="2745740" cy="2118995"/>
                        <wp:effectExtent l="0" t="0" r="16510" b="14605"/>
                        <wp:docPr id="66" name="图片 66" descr="4479a4b012640f76e376a11c5bfca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4479a4b012640f76e376a11c5bfca6a"/>
                                <pic:cNvPicPr>
                                  <a:picLocks noChangeAspect="1"/>
                                </pic:cNvPicPr>
                              </pic:nvPicPr>
                              <pic:blipFill>
                                <a:blip r:embed="rId19"/>
                                <a:stretch>
                                  <a:fillRect/>
                                </a:stretch>
                              </pic:blipFill>
                              <pic:spPr>
                                <a:xfrm>
                                  <a:off x="0" y="0"/>
                                  <a:ext cx="2745740" cy="211899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06"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ascii="仿宋" w:hAnsi="仿宋" w:eastAsia="仿宋" w:cs="仿宋"/>
                      <w:b/>
                      <w:bCs/>
                      <w:color w:val="auto"/>
                      <w:lang w:eastAsia="zh-CN"/>
                    </w:rPr>
                    <w:t>房屋建筑及周边道路照片</w:t>
                  </w:r>
                </w:p>
              </w:tc>
            </w:tr>
          </w:tbl>
          <w:p>
            <w:pPr>
              <w:pStyle w:val="3"/>
              <w:bidi w:val="0"/>
              <w:rPr>
                <w:rFonts w:hint="eastAsia"/>
                <w:color w:val="auto"/>
                <w:lang w:val="en-US" w:eastAsia="zh-CN"/>
              </w:rPr>
            </w:pPr>
            <w:bookmarkStart w:id="29" w:name="_Toc17275"/>
            <w:bookmarkStart w:id="30" w:name="_Toc19612"/>
            <w:r>
              <w:rPr>
                <w:rFonts w:hint="eastAsia"/>
                <w:color w:val="auto"/>
                <w:lang w:val="en-US" w:eastAsia="zh-CN"/>
              </w:rPr>
              <w:t>三、矿山地质环境问题</w:t>
            </w:r>
            <w:bookmarkEnd w:id="29"/>
            <w:bookmarkEnd w:id="30"/>
          </w:p>
          <w:p>
            <w:pPr>
              <w:pStyle w:val="4"/>
              <w:bidi w:val="0"/>
              <w:rPr>
                <w:rFonts w:hint="default"/>
                <w:color w:val="auto"/>
                <w:lang w:val="en-US" w:eastAsia="zh-CN"/>
              </w:rPr>
            </w:pPr>
            <w:r>
              <w:rPr>
                <w:rFonts w:hint="eastAsia"/>
                <w:color w:val="auto"/>
                <w:lang w:val="en-US" w:eastAsia="zh-CN"/>
              </w:rPr>
              <w:t>1、矿山地质灾害问题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lang w:val="zh-CN"/>
              </w:rPr>
            </w:pPr>
            <w:r>
              <w:rPr>
                <w:rFonts w:hint="eastAsia" w:cs="Times New Roman"/>
                <w:color w:val="auto"/>
                <w:sz w:val="24"/>
                <w:szCs w:val="24"/>
                <w:lang w:val="en-US" w:eastAsia="zh-CN"/>
              </w:rPr>
              <w:t>该地热区块位于渭河南岸一级阶地中部，</w:t>
            </w:r>
            <w:r>
              <w:rPr>
                <w:rFonts w:hint="eastAsia" w:ascii="Times New Roman" w:hAnsi="Times New Roman" w:cs="Times New Roman"/>
                <w:color w:val="auto"/>
                <w:sz w:val="24"/>
                <w:szCs w:val="24"/>
                <w:lang w:val="en-US" w:eastAsia="zh-CN"/>
              </w:rPr>
              <w:t>结合地热井工程建设、运营及采矿活动的特点确定评估区，对评估区进行了地质灾害、含水层破坏、地形地貌影响、水土环境污染等方面的详细调查、实地测量、定位拍照、记录和走访问询。</w:t>
            </w:r>
            <w:r>
              <w:rPr>
                <w:rFonts w:hint="eastAsia"/>
                <w:color w:val="auto"/>
                <w:lang w:val="zh-CN"/>
              </w:rPr>
              <w:t>未发现崩塌、滑坡、泥石流、地面塌陷、地裂缝和地面沉降等地质灾害。评估区地质灾害现状弱发育，预测可能加剧地质灾害的可能性小，危险性小。</w:t>
            </w:r>
          </w:p>
          <w:p>
            <w:pPr>
              <w:bidi w:val="0"/>
              <w:rPr>
                <w:rFonts w:hint="eastAsia"/>
                <w:color w:val="auto"/>
                <w:lang w:val="en-US" w:eastAsia="zh-CN"/>
              </w:rPr>
            </w:pPr>
            <w:r>
              <w:rPr>
                <w:rFonts w:hint="eastAsia"/>
                <w:color w:val="auto"/>
                <w:lang w:val="en-US" w:eastAsia="zh-CN"/>
              </w:rPr>
              <w:t>现状及预测评估：现状条件下尚未发现任何地质灾害及隐患，危险性小，对地质环境影响较轻。矿山开采过程中遭受、引发、加剧地质灾害及隐患的可能性小。</w:t>
            </w:r>
          </w:p>
          <w:p>
            <w:pPr>
              <w:pStyle w:val="4"/>
              <w:bidi w:val="0"/>
              <w:rPr>
                <w:rFonts w:hint="default"/>
                <w:color w:val="auto"/>
                <w:lang w:val="en-US" w:eastAsia="zh-CN"/>
              </w:rPr>
            </w:pPr>
            <w:r>
              <w:rPr>
                <w:rFonts w:hint="eastAsia"/>
                <w:color w:val="auto"/>
                <w:lang w:val="en-US" w:eastAsia="zh-CN"/>
              </w:rPr>
              <w:t>2、矿区地形地貌问题</w:t>
            </w:r>
          </w:p>
          <w:p>
            <w:pPr>
              <w:keepNext w:val="0"/>
              <w:keepLines w:val="0"/>
              <w:pageBreakBefore w:val="0"/>
              <w:widowControl w:val="0"/>
              <w:kinsoku/>
              <w:wordWrap/>
              <w:overflowPunct/>
              <w:topLinePunct w:val="0"/>
              <w:autoSpaceDE/>
              <w:autoSpaceDN/>
              <w:bidi w:val="0"/>
              <w:adjustRightInd/>
              <w:snapToGrid/>
              <w:spacing w:line="360" w:lineRule="auto"/>
              <w:ind w:right="-12" w:rightChars="-5" w:firstLine="482"/>
              <w:textAlignment w:val="auto"/>
              <w:rPr>
                <w:rFonts w:hint="default"/>
                <w:color w:val="auto"/>
              </w:rPr>
            </w:pPr>
            <w:r>
              <w:rPr>
                <w:rFonts w:hint="eastAsia"/>
                <w:color w:val="auto"/>
                <w:lang w:eastAsia="zh-CN"/>
              </w:rPr>
              <w:t>由于</w:t>
            </w:r>
            <w:r>
              <w:rPr>
                <w:rFonts w:hint="default"/>
                <w:color w:val="auto"/>
              </w:rPr>
              <w:t>地热井为点状工程，</w:t>
            </w:r>
            <w:r>
              <w:rPr>
                <w:rFonts w:hint="default"/>
                <w:color w:val="auto"/>
                <w:lang w:eastAsia="zh-CN"/>
              </w:rPr>
              <w:t>其</w:t>
            </w:r>
            <w:r>
              <w:rPr>
                <w:rFonts w:hint="eastAsia"/>
                <w:color w:val="auto"/>
                <w:lang w:eastAsia="zh-CN"/>
              </w:rPr>
              <w:t>用地主要为</w:t>
            </w:r>
            <w:r>
              <w:rPr>
                <w:rFonts w:hint="default"/>
                <w:color w:val="auto"/>
                <w:lang w:eastAsia="zh-CN"/>
              </w:rPr>
              <w:t>泵房、地热换热站、</w:t>
            </w:r>
            <w:r>
              <w:rPr>
                <w:rFonts w:hint="eastAsia"/>
                <w:color w:val="auto"/>
                <w:lang w:eastAsia="zh-CN"/>
              </w:rPr>
              <w:t>及</w:t>
            </w:r>
            <w:r>
              <w:rPr>
                <w:rFonts w:hint="eastAsia"/>
                <w:color w:val="auto"/>
                <w:lang w:val="en-US" w:eastAsia="zh-CN"/>
              </w:rPr>
              <w:t>其他办公、维修等辅助用地，其总用地面积</w:t>
            </w:r>
            <w:r>
              <w:rPr>
                <w:rFonts w:hint="eastAsia"/>
                <w:color w:val="auto"/>
                <w:lang w:eastAsia="zh-CN"/>
              </w:rPr>
              <w:t>为</w:t>
            </w:r>
            <w:r>
              <w:rPr>
                <w:rFonts w:hint="eastAsia"/>
                <w:color w:val="auto"/>
                <w:lang w:val="en-US" w:eastAsia="zh-CN"/>
              </w:rPr>
              <w:t>205m</w:t>
            </w:r>
            <w:r>
              <w:rPr>
                <w:rFonts w:hint="eastAsia"/>
                <w:color w:val="auto"/>
                <w:vertAlign w:val="superscript"/>
                <w:lang w:val="en-US" w:eastAsia="zh-CN"/>
              </w:rPr>
              <w:t>2</w:t>
            </w:r>
            <w:r>
              <w:rPr>
                <w:rFonts w:hint="default"/>
                <w:color w:val="auto"/>
                <w:lang w:eastAsia="zh-CN"/>
              </w:rPr>
              <w:t>，建设</w:t>
            </w:r>
            <w:r>
              <w:rPr>
                <w:rFonts w:hint="eastAsia"/>
                <w:color w:val="auto"/>
                <w:lang w:eastAsia="zh-CN"/>
              </w:rPr>
              <w:t>及运营期</w:t>
            </w:r>
            <w:r>
              <w:rPr>
                <w:rFonts w:hint="default"/>
                <w:color w:val="auto"/>
                <w:lang w:eastAsia="zh-CN"/>
              </w:rPr>
              <w:t>间</w:t>
            </w:r>
            <w:r>
              <w:rPr>
                <w:rFonts w:hint="eastAsia"/>
                <w:color w:val="auto"/>
                <w:lang w:eastAsia="zh-CN"/>
              </w:rPr>
              <w:t>没有</w:t>
            </w:r>
            <w:r>
              <w:rPr>
                <w:rFonts w:hint="default"/>
                <w:color w:val="auto"/>
              </w:rPr>
              <w:t>改变区内总体地形地貌、地质遗迹及人文景观；其运营和采矿活动</w:t>
            </w:r>
            <w:r>
              <w:rPr>
                <w:rFonts w:hint="eastAsia"/>
                <w:color w:val="auto"/>
                <w:lang w:eastAsia="zh-CN"/>
              </w:rPr>
              <w:t>没有</w:t>
            </w:r>
            <w:r>
              <w:rPr>
                <w:rFonts w:hint="default"/>
                <w:color w:val="auto"/>
              </w:rPr>
              <w:t>改变区内总体地形地貌、地质遗迹及人文景观。因此，</w:t>
            </w:r>
            <w:r>
              <w:rPr>
                <w:rFonts w:hint="eastAsia"/>
                <w:color w:val="auto"/>
                <w:lang w:val="en-US" w:eastAsia="zh-CN"/>
              </w:rPr>
              <w:t>矿山</w:t>
            </w:r>
            <w:r>
              <w:rPr>
                <w:rFonts w:hint="default"/>
                <w:color w:val="auto"/>
              </w:rPr>
              <w:t>对地形地貌景观影响较轻。</w:t>
            </w:r>
          </w:p>
          <w:p>
            <w:pPr>
              <w:keepNext w:val="0"/>
              <w:keepLines w:val="0"/>
              <w:pageBreakBefore w:val="0"/>
              <w:widowControl w:val="0"/>
              <w:kinsoku/>
              <w:wordWrap/>
              <w:overflowPunct/>
              <w:topLinePunct w:val="0"/>
              <w:autoSpaceDE/>
              <w:autoSpaceDN/>
              <w:bidi w:val="0"/>
              <w:adjustRightInd/>
              <w:snapToGrid/>
              <w:spacing w:line="360" w:lineRule="auto"/>
              <w:ind w:right="-12" w:rightChars="-5" w:firstLine="482"/>
              <w:textAlignment w:val="auto"/>
              <w:rPr>
                <w:rFonts w:hint="eastAsia"/>
                <w:color w:val="auto"/>
                <w:lang w:eastAsia="zh-CN"/>
              </w:rPr>
            </w:pPr>
            <w:r>
              <w:rPr>
                <w:rFonts w:hint="default"/>
                <w:color w:val="auto"/>
              </w:rPr>
              <w:t>现状与预测评估对地形地貌景观影响较轻。</w:t>
            </w:r>
          </w:p>
          <w:p>
            <w:pPr>
              <w:pStyle w:val="4"/>
              <w:bidi w:val="0"/>
              <w:rPr>
                <w:rFonts w:hint="default"/>
                <w:color w:val="auto"/>
                <w:lang w:val="en-US" w:eastAsia="zh-CN"/>
              </w:rPr>
            </w:pPr>
            <w:r>
              <w:rPr>
                <w:rFonts w:hint="eastAsia"/>
                <w:color w:val="auto"/>
                <w:lang w:val="en-US" w:eastAsia="zh-CN"/>
              </w:rPr>
              <w:t>3、矿区含水层破坏问题</w:t>
            </w:r>
          </w:p>
          <w:p>
            <w:pPr>
              <w:bidi w:val="0"/>
              <w:rPr>
                <w:rFonts w:hint="default"/>
                <w:color w:val="auto"/>
              </w:rPr>
            </w:pPr>
            <w:r>
              <w:rPr>
                <w:rFonts w:hint="eastAsia"/>
                <w:color w:val="auto"/>
                <w:lang w:val="en-US" w:eastAsia="zh-CN"/>
              </w:rPr>
              <w:t>咸阳职院地热区块</w:t>
            </w:r>
            <w:r>
              <w:rPr>
                <w:rFonts w:hint="default"/>
                <w:color w:val="auto"/>
              </w:rPr>
              <w:t>采用潜水电泵从地热井中抽取深部地热水，</w:t>
            </w:r>
            <w:r>
              <w:rPr>
                <w:rFonts w:hint="eastAsia" w:ascii="Times New Roman" w:hAnsi="Times New Roman" w:cs="Times New Roman"/>
                <w:color w:val="auto"/>
                <w:sz w:val="24"/>
                <w:szCs w:val="24"/>
                <w:lang w:eastAsia="zh-CN"/>
              </w:rPr>
              <w:t>职院定向井</w:t>
            </w:r>
            <w:r>
              <w:rPr>
                <w:rFonts w:hint="default" w:ascii="Times New Roman" w:hAnsi="Times New Roman" w:cs="Times New Roman"/>
                <w:color w:val="auto"/>
                <w:sz w:val="24"/>
                <w:szCs w:val="24"/>
                <w:lang w:val="en-US" w:eastAsia="zh-CN"/>
              </w:rPr>
              <w:t>成井报告显示</w:t>
            </w:r>
            <w:r>
              <w:rPr>
                <w:rFonts w:hint="eastAsia" w:cs="Times New Roman"/>
                <w:color w:val="auto"/>
                <w:sz w:val="24"/>
                <w:szCs w:val="24"/>
                <w:lang w:val="en-US" w:eastAsia="zh-CN"/>
              </w:rPr>
              <w:t>2570.86</w:t>
            </w:r>
            <w:r>
              <w:rPr>
                <w:rFonts w:hint="default" w:ascii="Times New Roman" w:hAnsi="Times New Roman" w:cs="Times New Roman"/>
                <w:color w:val="auto"/>
                <w:sz w:val="24"/>
                <w:szCs w:val="24"/>
                <w:lang w:val="en-US" w:eastAsia="zh-CN"/>
              </w:rPr>
              <w:t>m以浅采用</w:t>
            </w:r>
            <w:r>
              <w:rPr>
                <w:rFonts w:hint="eastAsia" w:cs="Times New Roman"/>
                <w:color w:val="auto"/>
                <w:sz w:val="24"/>
                <w:szCs w:val="24"/>
                <w:lang w:val="en-US" w:eastAsia="zh-CN"/>
              </w:rPr>
              <w:t>2</w:t>
            </w:r>
            <w:r>
              <w:rPr>
                <w:rFonts w:hint="default" w:ascii="Times New Roman" w:hAnsi="Times New Roman" w:cs="Times New Roman"/>
                <w:color w:val="auto"/>
                <w:sz w:val="24"/>
                <w:szCs w:val="24"/>
                <w:lang w:val="en-US" w:eastAsia="zh-CN"/>
              </w:rPr>
              <w:t>组</w:t>
            </w:r>
            <w:r>
              <w:rPr>
                <w:rFonts w:hint="eastAsia" w:cs="Times New Roman"/>
                <w:color w:val="auto"/>
                <w:sz w:val="24"/>
                <w:szCs w:val="24"/>
                <w:lang w:val="en-US" w:eastAsia="zh-CN"/>
              </w:rPr>
              <w:t>橡胶盂式</w:t>
            </w:r>
            <w:r>
              <w:rPr>
                <w:rFonts w:hint="default" w:ascii="Times New Roman" w:hAnsi="Times New Roman" w:cs="Times New Roman"/>
                <w:color w:val="auto"/>
                <w:sz w:val="24"/>
                <w:szCs w:val="24"/>
                <w:lang w:val="en-US" w:eastAsia="zh-CN"/>
              </w:rPr>
              <w:t>止水器</w:t>
            </w:r>
            <w:r>
              <w:rPr>
                <w:rFonts w:hint="eastAsia" w:cs="Times New Roman"/>
                <w:color w:val="auto"/>
                <w:sz w:val="24"/>
                <w:szCs w:val="24"/>
                <w:lang w:val="en-US" w:eastAsia="zh-CN"/>
              </w:rPr>
              <w:t>和2组串珠复合型止水器</w:t>
            </w:r>
            <w:r>
              <w:rPr>
                <w:rFonts w:hint="default" w:ascii="Times New Roman" w:hAnsi="Times New Roman" w:cs="Times New Roman"/>
                <w:color w:val="auto"/>
                <w:sz w:val="24"/>
                <w:szCs w:val="24"/>
                <w:lang w:val="en-US" w:eastAsia="zh-CN"/>
              </w:rPr>
              <w:t>止水，同时一开井段采用水泥封固，</w:t>
            </w:r>
            <w:r>
              <w:rPr>
                <w:rFonts w:hint="eastAsia" w:ascii="Times New Roman" w:hAnsi="Times New Roman" w:cs="Times New Roman"/>
                <w:color w:val="auto"/>
                <w:sz w:val="24"/>
                <w:szCs w:val="24"/>
                <w:lang w:val="en-US" w:eastAsia="zh-CN"/>
              </w:rPr>
              <w:t>职院1-2回灌</w:t>
            </w:r>
            <w:r>
              <w:rPr>
                <w:rFonts w:hint="default" w:ascii="Times New Roman" w:hAnsi="Times New Roman" w:cs="Times New Roman"/>
                <w:color w:val="auto"/>
                <w:sz w:val="24"/>
                <w:szCs w:val="24"/>
                <w:lang w:val="en-US" w:eastAsia="zh-CN"/>
              </w:rPr>
              <w:t>井成井报告显示</w:t>
            </w:r>
            <w:r>
              <w:rPr>
                <w:rFonts w:hint="eastAsia" w:cs="Times New Roman"/>
                <w:color w:val="auto"/>
                <w:sz w:val="24"/>
                <w:szCs w:val="24"/>
                <w:lang w:val="en-US" w:eastAsia="zh-CN"/>
              </w:rPr>
              <w:t>2440</w:t>
            </w:r>
            <w:r>
              <w:rPr>
                <w:rFonts w:hint="default" w:ascii="Times New Roman" w:hAnsi="Times New Roman" w:cs="Times New Roman"/>
                <w:color w:val="auto"/>
                <w:sz w:val="24"/>
                <w:szCs w:val="24"/>
                <w:lang w:val="en-US" w:eastAsia="zh-CN"/>
              </w:rPr>
              <w:t>m以浅采用4组硅胶抗高温、耐腐蚀止水器止水，同时一开井段采用水泥封固</w:t>
            </w:r>
            <w:r>
              <w:rPr>
                <w:rFonts w:hint="default" w:ascii="Times New Roman" w:hAnsi="Times New Roman" w:eastAsia="宋体" w:cs="Times New Roman"/>
                <w:color w:val="auto"/>
                <w:sz w:val="24"/>
                <w:szCs w:val="24"/>
              </w:rPr>
              <w:t>，以防地热水上窜污染浅部含水层</w:t>
            </w:r>
            <w:r>
              <w:rPr>
                <w:rFonts w:hint="eastAsia" w:ascii="Times New Roman" w:hAnsi="Times New Roman" w:cs="Times New Roman"/>
                <w:color w:val="auto"/>
                <w:sz w:val="24"/>
                <w:szCs w:val="24"/>
                <w:lang w:eastAsia="zh-CN"/>
              </w:rPr>
              <w:t>，故区块地热开采</w:t>
            </w:r>
            <w:r>
              <w:rPr>
                <w:rFonts w:hint="default"/>
                <w:color w:val="auto"/>
              </w:rPr>
              <w:t>与区域地表水</w:t>
            </w:r>
            <w:r>
              <w:rPr>
                <w:rFonts w:hint="default"/>
                <w:color w:val="auto"/>
                <w:lang w:eastAsia="zh-CN"/>
              </w:rPr>
              <w:t>（</w:t>
            </w:r>
            <w:r>
              <w:rPr>
                <w:rFonts w:hint="eastAsia"/>
                <w:color w:val="auto"/>
                <w:lang w:eastAsia="zh-CN"/>
              </w:rPr>
              <w:t>沣河</w:t>
            </w:r>
            <w:r>
              <w:rPr>
                <w:rFonts w:hint="default"/>
                <w:color w:val="auto"/>
                <w:lang w:eastAsia="zh-CN"/>
              </w:rPr>
              <w:t>河水）</w:t>
            </w:r>
            <w:r>
              <w:rPr>
                <w:rFonts w:hint="default"/>
                <w:color w:val="auto"/>
              </w:rPr>
              <w:t>、浅部含水层无水力联系</w:t>
            </w:r>
            <w:r>
              <w:rPr>
                <w:rFonts w:hint="eastAsia"/>
                <w:color w:val="auto"/>
                <w:lang w:eastAsia="zh-CN"/>
              </w:rPr>
              <w:t>。且</w:t>
            </w:r>
            <w:r>
              <w:rPr>
                <w:rFonts w:hint="default"/>
                <w:color w:val="auto"/>
              </w:rPr>
              <w:t>新近系热储层埋藏深、</w:t>
            </w:r>
            <w:r>
              <w:rPr>
                <w:rFonts w:hint="default"/>
                <w:color w:val="auto"/>
                <w:lang w:eastAsia="zh-CN"/>
              </w:rPr>
              <w:t>上部覆盖层厚度大，其</w:t>
            </w:r>
            <w:r>
              <w:rPr>
                <w:rFonts w:hint="default"/>
                <w:color w:val="auto"/>
              </w:rPr>
              <w:t>地层固结程度高、孔隙率较小、结构致密、抗压缩性较强</w:t>
            </w:r>
            <w:r>
              <w:rPr>
                <w:rFonts w:hint="default"/>
                <w:color w:val="auto"/>
                <w:lang w:eastAsia="zh-CN"/>
              </w:rPr>
              <w:t>，有较好的保温性能</w:t>
            </w:r>
            <w:r>
              <w:rPr>
                <w:rFonts w:hint="eastAsia"/>
                <w:color w:val="auto"/>
                <w:lang w:eastAsia="zh-CN"/>
              </w:rPr>
              <w:t>。</w:t>
            </w:r>
            <w:r>
              <w:rPr>
                <w:rFonts w:hint="default" w:ascii="Times New Roman" w:hAnsi="Times New Roman" w:cs="Times New Roman"/>
                <w:color w:val="auto"/>
                <w:sz w:val="24"/>
                <w:szCs w:val="24"/>
                <w:lang w:val="en-US" w:eastAsia="zh-CN"/>
              </w:rPr>
              <w:t>综上所述，</w:t>
            </w:r>
            <w:r>
              <w:rPr>
                <w:rFonts w:hint="eastAsia" w:cs="Times New Roman"/>
                <w:color w:val="auto"/>
                <w:sz w:val="24"/>
                <w:szCs w:val="24"/>
                <w:lang w:val="en-US" w:eastAsia="zh-CN"/>
              </w:rPr>
              <w:t>咸阳职院地热区块</w:t>
            </w:r>
            <w:r>
              <w:rPr>
                <w:rFonts w:hint="default" w:ascii="Times New Roman" w:hAnsi="Times New Roman" w:cs="Times New Roman"/>
                <w:color w:val="auto"/>
                <w:sz w:val="24"/>
                <w:szCs w:val="24"/>
                <w:lang w:val="en-US" w:eastAsia="zh-CN"/>
              </w:rPr>
              <w:t>开发利用地热资源不会对浅层含水层造成影响，也不会破坏原有浅层含水层结构；同时，中石化绿源地热能（陕西）开发有限公司</w:t>
            </w:r>
            <w:r>
              <w:rPr>
                <w:rFonts w:hint="eastAsia" w:cs="Times New Roman"/>
                <w:color w:val="auto"/>
                <w:sz w:val="24"/>
                <w:szCs w:val="24"/>
                <w:lang w:val="en-US" w:eastAsia="zh-CN"/>
              </w:rPr>
              <w:t>已经</w:t>
            </w:r>
            <w:r>
              <w:rPr>
                <w:rFonts w:hint="default" w:ascii="Times New Roman" w:hAnsi="Times New Roman" w:cs="Times New Roman"/>
                <w:color w:val="auto"/>
                <w:sz w:val="24"/>
                <w:szCs w:val="24"/>
                <w:lang w:val="en-US" w:eastAsia="zh-CN"/>
              </w:rPr>
              <w:t>完成</w:t>
            </w:r>
            <w:r>
              <w:rPr>
                <w:rFonts w:hint="eastAsia" w:cs="Times New Roman"/>
                <w:color w:val="auto"/>
                <w:sz w:val="24"/>
                <w:szCs w:val="24"/>
                <w:lang w:val="en-US" w:eastAsia="zh-CN"/>
              </w:rPr>
              <w:t>咸阳职院地热区块</w:t>
            </w:r>
            <w:r>
              <w:rPr>
                <w:rFonts w:hint="default" w:ascii="Times New Roman" w:hAnsi="Times New Roman" w:cs="Times New Roman"/>
                <w:color w:val="auto"/>
                <w:sz w:val="24"/>
                <w:szCs w:val="24"/>
                <w:lang w:val="en-US" w:eastAsia="zh-CN"/>
              </w:rPr>
              <w:t>回灌井的施工任务，回灌井实施后</w:t>
            </w:r>
            <w:r>
              <w:rPr>
                <w:rFonts w:hint="eastAsia" w:cs="Times New Roman"/>
                <w:color w:val="auto"/>
                <w:sz w:val="24"/>
                <w:szCs w:val="24"/>
                <w:lang w:val="en-US" w:eastAsia="zh-CN"/>
              </w:rPr>
              <w:t>一直</w:t>
            </w:r>
            <w:r>
              <w:rPr>
                <w:rFonts w:hint="default" w:ascii="Times New Roman" w:hAnsi="Times New Roman" w:cs="Times New Roman"/>
                <w:color w:val="auto"/>
                <w:sz w:val="24"/>
                <w:szCs w:val="24"/>
                <w:lang w:val="en-US" w:eastAsia="zh-CN"/>
              </w:rPr>
              <w:t>按照</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以灌定采</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采灌结合</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的开采模式，这样一来将形成</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取热不取水</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绿色</w:t>
            </w:r>
            <w:r>
              <w:rPr>
                <w:rFonts w:hint="eastAsia" w:cs="Times New Roman"/>
                <w:color w:val="auto"/>
                <w:sz w:val="24"/>
                <w:szCs w:val="24"/>
                <w:lang w:val="en-US" w:eastAsia="zh-CN"/>
              </w:rPr>
              <w:t>供暖</w:t>
            </w:r>
            <w:r>
              <w:rPr>
                <w:rFonts w:hint="default" w:ascii="Times New Roman" w:hAnsi="Times New Roman" w:cs="Times New Roman"/>
                <w:color w:val="auto"/>
                <w:sz w:val="24"/>
                <w:szCs w:val="24"/>
                <w:lang w:val="en-US" w:eastAsia="zh-CN"/>
              </w:rPr>
              <w:t>模式，</w:t>
            </w:r>
            <w:r>
              <w:rPr>
                <w:rFonts w:hint="default"/>
                <w:color w:val="auto"/>
                <w:lang w:val="en-US" w:eastAsia="zh-CN"/>
              </w:rPr>
              <w:t>对深部含水层的影响较轻；</w:t>
            </w:r>
            <w:r>
              <w:rPr>
                <w:rFonts w:hint="default"/>
                <w:color w:val="auto"/>
              </w:rPr>
              <w:t>随开采时间的延长，热水水头会有一定的下降</w:t>
            </w:r>
            <w:r>
              <w:rPr>
                <w:rFonts w:hint="default"/>
                <w:color w:val="auto"/>
                <w:lang w:eastAsia="zh-CN"/>
              </w:rPr>
              <w:t>，但</w:t>
            </w:r>
            <w:r>
              <w:rPr>
                <w:rFonts w:hint="default"/>
                <w:color w:val="auto"/>
              </w:rPr>
              <w:t>不会造成深部含水层（热储层）疏干或半疏干状态</w:t>
            </w:r>
            <w:r>
              <w:rPr>
                <w:rFonts w:hint="eastAsia"/>
                <w:color w:val="auto"/>
                <w:lang w:eastAsia="zh-CN"/>
              </w:rPr>
              <w:t>。</w:t>
            </w:r>
            <w:r>
              <w:rPr>
                <w:rFonts w:hint="default"/>
                <w:color w:val="auto"/>
                <w:lang w:eastAsia="zh-CN"/>
              </w:rPr>
              <w:t>因此，</w:t>
            </w:r>
            <w:r>
              <w:rPr>
                <w:rFonts w:hint="eastAsia"/>
                <w:color w:val="auto"/>
                <w:lang w:val="en-US" w:eastAsia="zh-CN"/>
              </w:rPr>
              <w:t>矿区地热水开采</w:t>
            </w:r>
            <w:r>
              <w:rPr>
                <w:rFonts w:hint="default"/>
                <w:color w:val="auto"/>
              </w:rPr>
              <w:t>对含水层影响程度为较轻。</w:t>
            </w:r>
          </w:p>
          <w:p>
            <w:pPr>
              <w:bidi w:val="0"/>
              <w:rPr>
                <w:rFonts w:hint="eastAsia"/>
                <w:color w:val="auto"/>
                <w:lang w:val="en-US" w:eastAsia="zh-CN"/>
              </w:rPr>
            </w:pPr>
            <w:r>
              <w:rPr>
                <w:rFonts w:hint="eastAsia"/>
                <w:color w:val="auto"/>
                <w:lang w:val="en-US" w:eastAsia="zh-CN"/>
              </w:rPr>
              <w:t>现状评估及预测评估：矿山开采对含水层影响和破坏较轻。</w:t>
            </w:r>
          </w:p>
          <w:p>
            <w:pPr>
              <w:pStyle w:val="4"/>
              <w:bidi w:val="0"/>
              <w:rPr>
                <w:rFonts w:hint="default"/>
                <w:color w:val="auto"/>
                <w:lang w:val="en-US" w:eastAsia="zh-CN"/>
              </w:rPr>
            </w:pPr>
            <w:r>
              <w:rPr>
                <w:rFonts w:hint="eastAsia"/>
                <w:color w:val="auto"/>
                <w:lang w:val="en-US" w:eastAsia="zh-CN"/>
              </w:rPr>
              <w:t>4、土地资源问题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rPr>
            </w:pPr>
            <w:r>
              <w:rPr>
                <w:rFonts w:hint="default"/>
                <w:color w:val="auto"/>
              </w:rPr>
              <w:t>矿区</w:t>
            </w:r>
            <w:r>
              <w:rPr>
                <w:rFonts w:hint="default"/>
                <w:color w:val="auto"/>
                <w:lang w:eastAsia="zh-CN"/>
              </w:rPr>
              <w:t>内</w:t>
            </w:r>
            <w:r>
              <w:rPr>
                <w:rFonts w:hint="default"/>
                <w:color w:val="auto"/>
              </w:rPr>
              <w:t>已施工</w:t>
            </w:r>
            <w:r>
              <w:rPr>
                <w:rFonts w:hint="eastAsia"/>
                <w:color w:val="auto"/>
                <w:lang w:val="en-US" w:eastAsia="zh-CN"/>
              </w:rPr>
              <w:t>1</w:t>
            </w:r>
            <w:r>
              <w:rPr>
                <w:rFonts w:hint="default"/>
                <w:color w:val="auto"/>
              </w:rPr>
              <w:t>眼地热开采井</w:t>
            </w:r>
            <w:r>
              <w:rPr>
                <w:rFonts w:hint="eastAsia"/>
                <w:color w:val="auto"/>
                <w:lang w:eastAsia="zh-CN"/>
              </w:rPr>
              <w:t>、</w:t>
            </w:r>
            <w:r>
              <w:rPr>
                <w:rFonts w:hint="eastAsia"/>
                <w:color w:val="auto"/>
                <w:lang w:val="en-US" w:eastAsia="zh-CN"/>
              </w:rPr>
              <w:t>1眼地热回灌井</w:t>
            </w:r>
            <w:r>
              <w:rPr>
                <w:rFonts w:hint="default"/>
                <w:color w:val="auto"/>
                <w:lang w:eastAsia="zh-CN"/>
              </w:rPr>
              <w:t>及其</w:t>
            </w:r>
            <w:r>
              <w:rPr>
                <w:rFonts w:hint="default"/>
                <w:color w:val="auto"/>
              </w:rPr>
              <w:t>泵房、地热换热站，</w:t>
            </w:r>
            <w:r>
              <w:rPr>
                <w:rFonts w:hint="eastAsia" w:cs="Times New Roman"/>
                <w:b w:val="0"/>
                <w:bCs w:val="0"/>
                <w:color w:val="auto"/>
                <w:sz w:val="24"/>
                <w:szCs w:val="24"/>
                <w:lang w:eastAsia="zh-CN"/>
              </w:rPr>
              <w:t>职院定向井位于中路东侧绿化带中，无泵房，职院</w:t>
            </w:r>
            <w:r>
              <w:rPr>
                <w:rFonts w:hint="eastAsia" w:cs="Times New Roman"/>
                <w:b w:val="0"/>
                <w:bCs w:val="0"/>
                <w:color w:val="auto"/>
                <w:sz w:val="24"/>
                <w:szCs w:val="24"/>
                <w:lang w:val="en-US" w:eastAsia="zh-CN"/>
              </w:rPr>
              <w:t>1-2回灌井位于南门道路西侧的硬化空地上，</w:t>
            </w:r>
            <w:r>
              <w:rPr>
                <w:rFonts w:hint="eastAsia" w:cs="Times New Roman"/>
                <w:b w:val="0"/>
                <w:bCs w:val="0"/>
                <w:color w:val="auto"/>
                <w:sz w:val="24"/>
                <w:szCs w:val="24"/>
                <w:lang w:eastAsia="zh-CN"/>
              </w:rPr>
              <w:t>临时</w:t>
            </w:r>
            <w:r>
              <w:rPr>
                <w:rFonts w:hint="eastAsia" w:cs="Times New Roman"/>
                <w:b w:val="0"/>
                <w:bCs w:val="0"/>
                <w:color w:val="auto"/>
                <w:sz w:val="24"/>
                <w:szCs w:val="24"/>
                <w:lang w:val="en-US" w:eastAsia="zh-CN"/>
              </w:rPr>
              <w:t>泵房面积5</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2</w:t>
            </w:r>
            <w:r>
              <w:rPr>
                <w:rFonts w:hint="eastAsia" w:ascii="Times New Roman" w:hAnsi="Times New Roman" w:cs="Times New Roman"/>
                <w:b w:val="0"/>
                <w:bCs w:val="0"/>
                <w:color w:val="auto"/>
                <w:sz w:val="24"/>
                <w:szCs w:val="24"/>
                <w:vertAlign w:val="baseline"/>
                <w:lang w:eastAsia="zh-CN"/>
              </w:rPr>
              <w:t>；</w:t>
            </w:r>
            <w:r>
              <w:rPr>
                <w:rFonts w:hint="eastAsia" w:cs="Times New Roman"/>
                <w:b w:val="0"/>
                <w:bCs w:val="0"/>
                <w:color w:val="auto"/>
                <w:sz w:val="24"/>
                <w:szCs w:val="24"/>
                <w:lang w:val="en-US" w:eastAsia="zh-CN"/>
              </w:rPr>
              <w:t>职院地热区块换热站、尾水处理站及其他办公、维修等辅助用地总面积为200</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2</w:t>
            </w:r>
            <w:r>
              <w:rPr>
                <w:rFonts w:hint="eastAsia" w:cs="Times New Roman"/>
                <w:b w:val="0"/>
                <w:bCs w:val="0"/>
                <w:color w:val="auto"/>
                <w:sz w:val="24"/>
                <w:szCs w:val="24"/>
                <w:lang w:val="en-US" w:eastAsia="zh-CN"/>
              </w:rPr>
              <w:t>，目前咸阳职院地热区块总占地</w:t>
            </w:r>
            <w:r>
              <w:rPr>
                <w:rFonts w:hint="default" w:ascii="Times New Roman" w:hAnsi="Times New Roman" w:eastAsia="宋体" w:cs="Times New Roman"/>
                <w:b w:val="0"/>
                <w:bCs w:val="0"/>
                <w:color w:val="auto"/>
                <w:sz w:val="24"/>
                <w:szCs w:val="24"/>
              </w:rPr>
              <w:t>面积</w:t>
            </w:r>
            <w:r>
              <w:rPr>
                <w:rFonts w:hint="eastAsia" w:cs="Times New Roman"/>
                <w:b w:val="0"/>
                <w:bCs w:val="0"/>
                <w:color w:val="auto"/>
                <w:sz w:val="24"/>
                <w:szCs w:val="24"/>
                <w:lang w:eastAsia="zh-CN"/>
              </w:rPr>
              <w:t>为</w:t>
            </w:r>
            <w:r>
              <w:rPr>
                <w:rFonts w:hint="eastAsia" w:cs="Times New Roman"/>
                <w:b w:val="0"/>
                <w:bCs w:val="0"/>
                <w:color w:val="auto"/>
                <w:sz w:val="24"/>
                <w:szCs w:val="24"/>
                <w:lang w:val="en-US" w:eastAsia="zh-CN"/>
              </w:rPr>
              <w:t>205</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2</w:t>
            </w:r>
            <w:r>
              <w:rPr>
                <w:rFonts w:hint="eastAsia" w:cs="Times New Roman"/>
                <w:b w:val="0"/>
                <w:bCs w:val="0"/>
                <w:color w:val="auto"/>
                <w:sz w:val="24"/>
                <w:szCs w:val="24"/>
                <w:lang w:eastAsia="zh-CN"/>
              </w:rPr>
              <w:t>。</w:t>
            </w:r>
            <w:r>
              <w:rPr>
                <w:rFonts w:hint="eastAsia"/>
                <w:color w:val="auto"/>
                <w:lang w:eastAsia="zh-CN"/>
              </w:rPr>
              <w:t>且占地属性均为城市建设用地，无需土地复垦。地热开采</w:t>
            </w:r>
            <w:r>
              <w:rPr>
                <w:rFonts w:hint="default"/>
                <w:color w:val="auto"/>
              </w:rPr>
              <w:t>对土地资源的影响和破坏较轻</w:t>
            </w:r>
            <w:r>
              <w:rPr>
                <w:rFonts w:hint="eastAsia"/>
                <w:color w:val="auto"/>
                <w:lang w:eastAsia="zh-CN"/>
              </w:rPr>
              <w:t>，</w:t>
            </w:r>
            <w:r>
              <w:rPr>
                <w:rFonts w:hint="eastAsia"/>
                <w:color w:val="auto"/>
                <w:lang w:val="en-US" w:eastAsia="zh-CN"/>
              </w:rPr>
              <w:t>且</w:t>
            </w:r>
            <w:r>
              <w:rPr>
                <w:rFonts w:hint="eastAsia"/>
                <w:color w:val="auto"/>
                <w:lang w:eastAsia="zh-CN"/>
              </w:rPr>
              <w:t>从矿权单位了解到目前暂时</w:t>
            </w:r>
            <w:r>
              <w:rPr>
                <w:rFonts w:hint="eastAsia"/>
                <w:color w:val="auto"/>
                <w:lang w:val="en-US" w:eastAsia="zh-CN"/>
              </w:rPr>
              <w:t>没有改扩建需求</w:t>
            </w:r>
            <w:r>
              <w:rPr>
                <w:rFonts w:hint="default"/>
                <w:color w:val="auto"/>
              </w:rPr>
              <w:t>。故矿山开采对土地资源的影响与破坏较轻。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lang w:eastAsia="zh-CN"/>
              </w:rPr>
            </w:pPr>
            <w:r>
              <w:rPr>
                <w:rFonts w:hint="default"/>
                <w:color w:val="auto"/>
              </w:rPr>
              <w:t>现状评估及预测评估：矿山开采对土地资源的影响和破坏较轻。</w:t>
            </w:r>
          </w:p>
          <w:p>
            <w:pPr>
              <w:pStyle w:val="4"/>
              <w:bidi w:val="0"/>
              <w:rPr>
                <w:rFonts w:hint="default"/>
                <w:color w:val="auto"/>
                <w:lang w:val="en-US" w:eastAsia="zh-CN"/>
              </w:rPr>
            </w:pPr>
            <w:r>
              <w:rPr>
                <w:rFonts w:hint="eastAsia"/>
                <w:color w:val="auto"/>
                <w:lang w:val="en-US" w:eastAsia="zh-CN"/>
              </w:rPr>
              <w:t>5、其他地质环境问题</w:t>
            </w:r>
          </w:p>
          <w:p>
            <w:pPr>
              <w:bidi w:val="0"/>
              <w:rPr>
                <w:rFonts w:hint="eastAsia"/>
                <w:color w:val="auto"/>
                <w:lang w:val="en-US" w:eastAsia="zh-CN"/>
              </w:rPr>
            </w:pPr>
            <w:r>
              <w:rPr>
                <w:rFonts w:hint="eastAsia"/>
                <w:color w:val="auto"/>
                <w:lang w:eastAsia="zh-CN"/>
              </w:rPr>
              <w:t>咸阳职院定向井</w:t>
            </w:r>
            <w:r>
              <w:rPr>
                <w:rFonts w:hint="eastAsia"/>
                <w:color w:val="auto"/>
                <w:lang w:val="en-US" w:eastAsia="zh-CN"/>
              </w:rPr>
              <w:t>及职院1-2回灌</w:t>
            </w:r>
            <w:r>
              <w:rPr>
                <w:color w:val="auto"/>
              </w:rPr>
              <w:t>井及其他配套设施均位于</w:t>
            </w:r>
            <w:r>
              <w:rPr>
                <w:rFonts w:hint="eastAsia"/>
                <w:color w:val="auto"/>
                <w:lang w:eastAsia="zh-CN"/>
              </w:rPr>
              <w:t>咸阳职院内</w:t>
            </w:r>
            <w:r>
              <w:rPr>
                <w:color w:val="auto"/>
              </w:rPr>
              <w:t>空闲地带</w:t>
            </w:r>
            <w:r>
              <w:rPr>
                <w:rFonts w:hint="eastAsia"/>
                <w:color w:val="auto"/>
              </w:rPr>
              <w:t>，</w:t>
            </w:r>
            <w:r>
              <w:rPr>
                <w:rFonts w:hint="eastAsia"/>
                <w:color w:val="auto"/>
                <w:lang w:val="en-US" w:eastAsia="zh-CN"/>
              </w:rPr>
              <w:t>周围较为空旷</w:t>
            </w:r>
            <w:r>
              <w:rPr>
                <w:rFonts w:hint="eastAsia"/>
                <w:color w:val="auto"/>
                <w:lang w:eastAsia="zh-CN"/>
              </w:rPr>
              <w:t>，</w:t>
            </w:r>
            <w:r>
              <w:rPr>
                <w:rFonts w:hint="default"/>
                <w:color w:val="auto"/>
                <w:lang w:val="en-US" w:eastAsia="zh-CN"/>
              </w:rPr>
              <w:t>对主要交通干线、水利工程、村庄、工矿企业及其它各类建</w:t>
            </w:r>
            <w:r>
              <w:rPr>
                <w:rFonts w:hint="eastAsia"/>
                <w:color w:val="auto"/>
                <w:lang w:val="en-US" w:eastAsia="zh-CN"/>
              </w:rPr>
              <w:t>（</w:t>
            </w:r>
            <w:r>
              <w:rPr>
                <w:rFonts w:hint="default"/>
                <w:color w:val="auto"/>
                <w:lang w:val="en-US" w:eastAsia="zh-CN"/>
              </w:rPr>
              <w:t>构</w:t>
            </w:r>
            <w:r>
              <w:rPr>
                <w:rFonts w:hint="eastAsia"/>
                <w:color w:val="auto"/>
                <w:lang w:val="en-US" w:eastAsia="zh-CN"/>
              </w:rPr>
              <w:t>）</w:t>
            </w:r>
            <w:r>
              <w:rPr>
                <w:rFonts w:hint="default"/>
                <w:color w:val="auto"/>
                <w:lang w:val="en-US" w:eastAsia="zh-CN"/>
              </w:rPr>
              <w:t>筑物等</w:t>
            </w:r>
            <w:r>
              <w:rPr>
                <w:rFonts w:hint="eastAsia"/>
                <w:color w:val="auto"/>
                <w:lang w:val="en-US" w:eastAsia="zh-CN"/>
              </w:rPr>
              <w:t>的影响和破坏较小。</w:t>
            </w:r>
          </w:p>
          <w:p>
            <w:pPr>
              <w:bidi w:val="0"/>
              <w:rPr>
                <w:rFonts w:hint="eastAsia"/>
                <w:color w:val="auto"/>
                <w:lang w:val="en-US" w:eastAsia="zh-CN"/>
              </w:rPr>
            </w:pPr>
            <w:r>
              <w:rPr>
                <w:rFonts w:hint="eastAsia"/>
                <w:color w:val="auto"/>
                <w:lang w:val="en-US" w:eastAsia="zh-CN"/>
              </w:rPr>
              <w:t>现状评估及预测评估：矿山开采对主要交通干线、水利工程、村庄、工矿企业及其它各类建（构）筑物等的影响与破坏较轻。</w:t>
            </w:r>
          </w:p>
          <w:p>
            <w:pPr>
              <w:pStyle w:val="4"/>
              <w:bidi w:val="0"/>
              <w:rPr>
                <w:rFonts w:hint="default"/>
                <w:color w:val="auto"/>
                <w:lang w:val="en-US" w:eastAsia="zh-CN"/>
              </w:rPr>
            </w:pPr>
            <w:r>
              <w:rPr>
                <w:rFonts w:hint="eastAsia"/>
                <w:color w:val="auto"/>
                <w:lang w:val="en-US" w:eastAsia="zh-CN"/>
              </w:rPr>
              <w:t>6、</w:t>
            </w:r>
            <w:r>
              <w:rPr>
                <w:rFonts w:hint="default"/>
                <w:color w:val="auto"/>
                <w:lang w:val="en-US" w:eastAsia="zh-CN"/>
              </w:rPr>
              <w:t>已采取的防治措施和治理效果</w:t>
            </w:r>
          </w:p>
          <w:p>
            <w:pPr>
              <w:bidi w:val="0"/>
              <w:rPr>
                <w:rFonts w:hint="default"/>
                <w:color w:val="auto"/>
                <w:lang w:val="en-US" w:eastAsia="zh-CN"/>
              </w:rPr>
            </w:pPr>
            <w:r>
              <w:rPr>
                <w:rFonts w:hint="default"/>
                <w:color w:val="auto"/>
                <w:lang w:val="en-US" w:eastAsia="zh-CN"/>
              </w:rPr>
              <w:t>由于地热资源具有液体矿产资源流动性、特殊性，为了避免矿界纠纷 造成矿山环境问题，已经采取的措施有：</w:t>
            </w:r>
          </w:p>
          <w:p>
            <w:pPr>
              <w:bidi w:val="0"/>
              <w:rPr>
                <w:rFonts w:hint="default"/>
                <w:color w:val="auto"/>
                <w:lang w:val="en-US" w:eastAsia="zh-CN"/>
              </w:rPr>
            </w:pPr>
            <w:r>
              <w:rPr>
                <w:rFonts w:hint="eastAsia"/>
                <w:color w:val="auto"/>
                <w:lang w:val="en-US" w:eastAsia="zh-CN"/>
              </w:rPr>
              <w:t>（1）</w:t>
            </w:r>
            <w:r>
              <w:rPr>
                <w:rFonts w:hint="default"/>
                <w:color w:val="auto"/>
                <w:lang w:val="en-US" w:eastAsia="zh-CN"/>
              </w:rPr>
              <w:t>本项目地热井的选取保证了其与周边地热井的合理井间距，使开采井间不受干扰。</w:t>
            </w:r>
          </w:p>
          <w:p>
            <w:pPr>
              <w:bidi w:val="0"/>
              <w:rPr>
                <w:rFonts w:hint="default"/>
                <w:color w:val="auto"/>
                <w:lang w:val="en-US" w:eastAsia="zh-CN"/>
              </w:rPr>
            </w:pPr>
            <w:r>
              <w:rPr>
                <w:rFonts w:hint="eastAsia"/>
                <w:color w:val="auto"/>
                <w:lang w:val="en-US" w:eastAsia="zh-CN"/>
              </w:rPr>
              <w:t>（2）</w:t>
            </w:r>
            <w:r>
              <w:rPr>
                <w:rFonts w:hint="default"/>
                <w:color w:val="auto"/>
                <w:lang w:val="en-US" w:eastAsia="zh-CN"/>
              </w:rPr>
              <w:t>地热开采井浅部采用水泥固井，不会造成上部浅层水与深层热水 窜通风险。</w:t>
            </w:r>
          </w:p>
          <w:p>
            <w:pPr>
              <w:bidi w:val="0"/>
              <w:rPr>
                <w:rFonts w:hint="default"/>
                <w:color w:val="auto"/>
                <w:lang w:val="en-US" w:eastAsia="zh-CN"/>
              </w:rPr>
            </w:pPr>
            <w:r>
              <w:rPr>
                <w:rFonts w:hint="eastAsia"/>
                <w:color w:val="auto"/>
                <w:lang w:val="en-US" w:eastAsia="zh-CN"/>
              </w:rPr>
              <w:t>（3）</w:t>
            </w:r>
            <w:r>
              <w:rPr>
                <w:rFonts w:hint="default"/>
                <w:color w:val="auto"/>
                <w:lang w:val="en-US" w:eastAsia="zh-CN"/>
              </w:rPr>
              <w:t>开展了环境监测，充分掌握地热井开采环境动态变化。</w:t>
            </w:r>
          </w:p>
          <w:p>
            <w:pPr>
              <w:bidi w:val="0"/>
              <w:rPr>
                <w:rFonts w:hint="default"/>
                <w:color w:val="auto"/>
                <w:lang w:val="en-US" w:eastAsia="zh-CN"/>
              </w:rPr>
            </w:pPr>
            <w:r>
              <w:rPr>
                <w:rFonts w:hint="default"/>
                <w:color w:val="auto"/>
                <w:lang w:val="en-US" w:eastAsia="zh-CN"/>
              </w:rPr>
              <w:t>目前</w:t>
            </w:r>
            <w:r>
              <w:rPr>
                <w:rFonts w:hint="eastAsia"/>
                <w:color w:val="auto"/>
                <w:lang w:val="en-US" w:eastAsia="zh-CN"/>
              </w:rPr>
              <w:t>咸阳职院地热区块</w:t>
            </w:r>
            <w:r>
              <w:rPr>
                <w:rFonts w:hint="default"/>
                <w:color w:val="auto"/>
                <w:lang w:val="en-US" w:eastAsia="zh-CN"/>
              </w:rPr>
              <w:t>地热资源开发利用未造成矿山环境问题。</w:t>
            </w:r>
          </w:p>
          <w:p>
            <w:pPr>
              <w:pStyle w:val="3"/>
              <w:bidi w:val="0"/>
              <w:rPr>
                <w:rFonts w:hint="eastAsia"/>
                <w:color w:val="auto"/>
                <w:lang w:val="en-US" w:eastAsia="zh-CN"/>
              </w:rPr>
            </w:pPr>
            <w:bookmarkStart w:id="31" w:name="_Toc24109"/>
            <w:bookmarkStart w:id="32" w:name="_Toc5196"/>
            <w:r>
              <w:rPr>
                <w:rFonts w:hint="eastAsia"/>
                <w:color w:val="auto"/>
                <w:lang w:val="en-US" w:eastAsia="zh-CN"/>
              </w:rPr>
              <w:t>四、拟采取的保护与治理措施</w:t>
            </w:r>
            <w:bookmarkEnd w:id="31"/>
            <w:bookmarkEnd w:id="32"/>
          </w:p>
          <w:p>
            <w:pPr>
              <w:pStyle w:val="4"/>
              <w:bidi w:val="0"/>
              <w:rPr>
                <w:rFonts w:hint="default"/>
                <w:color w:val="auto"/>
                <w:lang w:val="en-US" w:eastAsia="zh-CN"/>
              </w:rPr>
            </w:pPr>
            <w:r>
              <w:rPr>
                <w:rFonts w:hint="eastAsia"/>
                <w:color w:val="auto"/>
                <w:lang w:val="en-US" w:eastAsia="zh-CN"/>
              </w:rPr>
              <w:t>1、矿山地质环境保护与治理分区</w:t>
            </w:r>
          </w:p>
          <w:p>
            <w:pPr>
              <w:bidi w:val="0"/>
              <w:rPr>
                <w:rFonts w:hint="eastAsia"/>
                <w:color w:val="auto"/>
                <w:lang w:eastAsia="zh-CN"/>
              </w:rPr>
            </w:pPr>
            <w:r>
              <w:rPr>
                <w:rFonts w:hint="default"/>
                <w:color w:val="auto"/>
              </w:rPr>
              <w:t>根据《矿山地质环境保护与恢复治理方案编制规范》（DZ/T 0223－2011），矿山环境影响评估级别应根据评估区重要程度、矿山生产建设规模、矿山地质环境条件复杂程度等综合确定。评估区重要程度分级为重要区，矿山建设规模属</w:t>
            </w:r>
            <w:r>
              <w:rPr>
                <w:rFonts w:hint="eastAsia"/>
                <w:color w:val="auto"/>
                <w:lang w:eastAsia="zh-CN"/>
              </w:rPr>
              <w:t>中型</w:t>
            </w:r>
            <w:r>
              <w:rPr>
                <w:rFonts w:hint="default"/>
                <w:color w:val="auto"/>
              </w:rPr>
              <w:t>，矿山地质环境条件复杂程度为</w:t>
            </w:r>
            <w:r>
              <w:rPr>
                <w:rFonts w:hint="eastAsia"/>
                <w:color w:val="auto"/>
                <w:lang w:eastAsia="zh-CN"/>
              </w:rPr>
              <w:t>简单</w:t>
            </w:r>
            <w:bookmarkStart w:id="58" w:name="_GoBack"/>
            <w:bookmarkEnd w:id="58"/>
            <w:r>
              <w:rPr>
                <w:rFonts w:hint="default"/>
                <w:color w:val="auto"/>
              </w:rPr>
              <w:t>，本次矿山环境影响评估的等级为</w:t>
            </w:r>
            <w:r>
              <w:rPr>
                <w:rFonts w:hint="eastAsia"/>
                <w:color w:val="auto"/>
                <w:lang w:eastAsia="zh-CN"/>
              </w:rPr>
              <w:t>一</w:t>
            </w:r>
            <w:r>
              <w:rPr>
                <w:rFonts w:hint="default"/>
                <w:color w:val="auto"/>
              </w:rPr>
              <w:t>级</w:t>
            </w:r>
            <w:r>
              <w:rPr>
                <w:rFonts w:hint="eastAsia"/>
                <w:color w:val="auto"/>
                <w:lang w:eastAsia="zh-CN"/>
              </w:rPr>
              <w:t>，又因以地热井为点状，对周边环境影响较轻，综合考虑</w:t>
            </w:r>
            <w:r>
              <w:rPr>
                <w:rFonts w:hint="default"/>
                <w:color w:val="auto"/>
              </w:rPr>
              <w:t>确定本次矿山环境影响评估的等级为</w:t>
            </w:r>
            <w:r>
              <w:rPr>
                <w:rFonts w:hint="eastAsia"/>
                <w:color w:val="auto"/>
                <w:lang w:eastAsia="zh-CN"/>
              </w:rPr>
              <w:t>二</w:t>
            </w:r>
            <w:r>
              <w:rPr>
                <w:rFonts w:hint="default"/>
                <w:color w:val="auto"/>
              </w:rPr>
              <w:t>级</w:t>
            </w:r>
            <w:r>
              <w:rPr>
                <w:rFonts w:hint="eastAsia"/>
                <w:color w:val="auto"/>
                <w:lang w:eastAsia="zh-CN"/>
              </w:rPr>
              <w:t>。</w:t>
            </w:r>
          </w:p>
          <w:p>
            <w:pPr>
              <w:bidi w:val="0"/>
              <w:rPr>
                <w:rFonts w:hint="eastAsia"/>
                <w:color w:val="auto"/>
                <w:lang w:eastAsia="zh-CN"/>
              </w:rPr>
            </w:pPr>
            <w:r>
              <w:rPr>
                <w:rFonts w:hint="default"/>
                <w:color w:val="auto"/>
                <w:lang w:val="en-US" w:eastAsia="zh-CN"/>
              </w:rPr>
              <w:t>根据地热井开采利用的影响范围圈出矿山评估区范围，即分别以</w:t>
            </w:r>
            <w:r>
              <w:rPr>
                <w:rFonts w:hint="eastAsia"/>
                <w:color w:val="auto"/>
                <w:lang w:val="en-US" w:eastAsia="zh-CN"/>
              </w:rPr>
              <w:t>咸阳职院定向井及职院1-2回灌井</w:t>
            </w:r>
            <w:r>
              <w:rPr>
                <w:rFonts w:hint="default"/>
                <w:color w:val="auto"/>
                <w:lang w:val="en-US" w:eastAsia="zh-CN"/>
              </w:rPr>
              <w:t>井口为圆心，半径为500m的圆范围和地热管道两侧外扩50m范围作为评估区。</w:t>
            </w:r>
            <w:r>
              <w:rPr>
                <w:rFonts w:hint="eastAsia"/>
                <w:color w:val="auto"/>
              </w:rPr>
              <w:t>根据《矿山地质环境保护与恢复治理方案编制规范》（DZ/T0223-2011），将评估区划为一般防治区</w:t>
            </w:r>
            <w:r>
              <w:rPr>
                <w:rFonts w:hint="eastAsia"/>
                <w:color w:val="auto"/>
                <w:highlight w:val="none"/>
              </w:rPr>
              <w:t>，面积</w:t>
            </w:r>
            <w:r>
              <w:rPr>
                <w:rFonts w:hint="eastAsia"/>
                <w:color w:val="auto"/>
                <w:highlight w:val="none"/>
                <w:lang w:val="en-US" w:eastAsia="zh-CN"/>
              </w:rPr>
              <w:t>0.9171</w:t>
            </w:r>
            <w:r>
              <w:rPr>
                <w:rFonts w:hint="eastAsia"/>
                <w:color w:val="auto"/>
                <w:highlight w:val="none"/>
              </w:rPr>
              <w:t>km</w:t>
            </w:r>
            <w:r>
              <w:rPr>
                <w:rFonts w:hint="eastAsia"/>
                <w:color w:val="auto"/>
                <w:highlight w:val="none"/>
                <w:vertAlign w:val="superscript"/>
              </w:rPr>
              <w:t>2</w:t>
            </w:r>
            <w:r>
              <w:rPr>
                <w:rFonts w:hint="eastAsia"/>
                <w:color w:val="auto"/>
                <w:highlight w:val="none"/>
                <w:lang w:val="en-US" w:eastAsia="zh-CN"/>
              </w:rPr>
              <w:t>。调查区面积为1.0952</w:t>
            </w:r>
            <w:r>
              <w:rPr>
                <w:rFonts w:hint="eastAsia"/>
                <w:color w:val="auto"/>
                <w:highlight w:val="none"/>
              </w:rPr>
              <w:t>km</w:t>
            </w:r>
            <w:r>
              <w:rPr>
                <w:rFonts w:hint="eastAsia"/>
                <w:color w:val="auto"/>
                <w:highlight w:val="none"/>
                <w:vertAlign w:val="superscript"/>
              </w:rPr>
              <w:t>2</w:t>
            </w:r>
            <w:r>
              <w:rPr>
                <w:rFonts w:hint="eastAsia"/>
                <w:color w:val="auto"/>
                <w:highlight w:val="none"/>
              </w:rPr>
              <w:t>。</w:t>
            </w:r>
          </w:p>
          <w:p>
            <w:pPr>
              <w:pStyle w:val="4"/>
              <w:bidi w:val="0"/>
              <w:rPr>
                <w:rFonts w:hint="default"/>
                <w:color w:val="auto"/>
                <w:lang w:val="en-US" w:eastAsia="zh-CN"/>
              </w:rPr>
            </w:pPr>
            <w:r>
              <w:rPr>
                <w:rFonts w:hint="eastAsia"/>
                <w:color w:val="auto"/>
                <w:lang w:val="en-US" w:eastAsia="zh-CN"/>
              </w:rPr>
              <w:t>2、拟采取的保护与治理措施</w:t>
            </w:r>
          </w:p>
          <w:p>
            <w:pPr>
              <w:bidi w:val="0"/>
              <w:rPr>
                <w:rFonts w:hint="eastAsia"/>
                <w:color w:val="auto"/>
              </w:rPr>
            </w:pPr>
            <w:r>
              <w:rPr>
                <w:rFonts w:hint="eastAsia"/>
                <w:color w:val="auto"/>
              </w:rPr>
              <w:t>为了使工程在运营中能有效地保护矿山地质环境，按照“统一规划、源头控制、防复结合”的原则，依据本矿建设、运营和采矿活动的特点以及矿区地质环境特征，提出以下措施：</w:t>
            </w:r>
          </w:p>
          <w:p>
            <w:pPr>
              <w:bidi w:val="0"/>
              <w:rPr>
                <w:rFonts w:hint="eastAsia"/>
                <w:color w:val="auto"/>
              </w:rPr>
            </w:pPr>
            <w:r>
              <w:rPr>
                <w:rFonts w:hint="eastAsia"/>
                <w:color w:val="auto"/>
              </w:rPr>
              <w:t>（1）含水层破坏</w:t>
            </w:r>
            <w:r>
              <w:rPr>
                <w:rFonts w:hint="eastAsia"/>
                <w:color w:val="auto"/>
                <w:lang w:val="en-US" w:eastAsia="zh-CN"/>
              </w:rPr>
              <w:t>保护</w:t>
            </w:r>
            <w:r>
              <w:rPr>
                <w:rFonts w:hint="eastAsia"/>
                <w:color w:val="auto"/>
              </w:rPr>
              <w:t>措施</w:t>
            </w:r>
          </w:p>
          <w:p>
            <w:pPr>
              <w:bidi w:val="0"/>
              <w:rPr>
                <w:rFonts w:hint="default"/>
                <w:color w:val="auto"/>
              </w:rPr>
            </w:pPr>
            <w:r>
              <w:rPr>
                <w:rFonts w:hint="default"/>
                <w:color w:val="auto"/>
              </w:rPr>
              <w:t>①地热井止水</w:t>
            </w:r>
            <w:r>
              <w:rPr>
                <w:rFonts w:hint="eastAsia"/>
                <w:color w:val="auto"/>
                <w:lang w:eastAsia="zh-CN"/>
              </w:rPr>
              <w:t>：</w:t>
            </w:r>
            <w:r>
              <w:rPr>
                <w:rFonts w:hint="eastAsia" w:ascii="Times New Roman" w:hAnsi="Times New Roman" w:cs="Times New Roman"/>
                <w:color w:val="auto"/>
                <w:sz w:val="24"/>
                <w:szCs w:val="24"/>
                <w:lang w:eastAsia="zh-CN"/>
              </w:rPr>
              <w:t>职院定向井</w:t>
            </w:r>
            <w:r>
              <w:rPr>
                <w:rFonts w:hint="default" w:ascii="Times New Roman" w:hAnsi="Times New Roman" w:cs="Times New Roman"/>
                <w:color w:val="auto"/>
                <w:sz w:val="24"/>
                <w:szCs w:val="24"/>
                <w:lang w:val="en-US" w:eastAsia="zh-CN"/>
              </w:rPr>
              <w:t>成井报告显示</w:t>
            </w:r>
            <w:r>
              <w:rPr>
                <w:rFonts w:hint="eastAsia" w:cs="Times New Roman"/>
                <w:color w:val="auto"/>
                <w:sz w:val="24"/>
                <w:szCs w:val="24"/>
                <w:lang w:val="en-US" w:eastAsia="zh-CN"/>
              </w:rPr>
              <w:t>2570.86</w:t>
            </w:r>
            <w:r>
              <w:rPr>
                <w:rFonts w:hint="default" w:ascii="Times New Roman" w:hAnsi="Times New Roman" w:cs="Times New Roman"/>
                <w:color w:val="auto"/>
                <w:sz w:val="24"/>
                <w:szCs w:val="24"/>
                <w:lang w:val="en-US" w:eastAsia="zh-CN"/>
              </w:rPr>
              <w:t>m以浅采用</w:t>
            </w:r>
            <w:r>
              <w:rPr>
                <w:rFonts w:hint="eastAsia" w:cs="Times New Roman"/>
                <w:color w:val="auto"/>
                <w:sz w:val="24"/>
                <w:szCs w:val="24"/>
                <w:lang w:val="en-US" w:eastAsia="zh-CN"/>
              </w:rPr>
              <w:t>2</w:t>
            </w:r>
            <w:r>
              <w:rPr>
                <w:rFonts w:hint="default" w:ascii="Times New Roman" w:hAnsi="Times New Roman" w:cs="Times New Roman"/>
                <w:color w:val="auto"/>
                <w:sz w:val="24"/>
                <w:szCs w:val="24"/>
                <w:lang w:val="en-US" w:eastAsia="zh-CN"/>
              </w:rPr>
              <w:t>组</w:t>
            </w:r>
            <w:r>
              <w:rPr>
                <w:rFonts w:hint="eastAsia" w:cs="Times New Roman"/>
                <w:color w:val="auto"/>
                <w:sz w:val="24"/>
                <w:szCs w:val="24"/>
                <w:lang w:val="en-US" w:eastAsia="zh-CN"/>
              </w:rPr>
              <w:t>橡胶盂式</w:t>
            </w:r>
            <w:r>
              <w:rPr>
                <w:rFonts w:hint="default" w:ascii="Times New Roman" w:hAnsi="Times New Roman" w:cs="Times New Roman"/>
                <w:color w:val="auto"/>
                <w:sz w:val="24"/>
                <w:szCs w:val="24"/>
                <w:lang w:val="en-US" w:eastAsia="zh-CN"/>
              </w:rPr>
              <w:t>止水器</w:t>
            </w:r>
            <w:r>
              <w:rPr>
                <w:rFonts w:hint="eastAsia" w:cs="Times New Roman"/>
                <w:color w:val="auto"/>
                <w:sz w:val="24"/>
                <w:szCs w:val="24"/>
                <w:lang w:val="en-US" w:eastAsia="zh-CN"/>
              </w:rPr>
              <w:t>和2组串珠复合型止水器</w:t>
            </w:r>
            <w:r>
              <w:rPr>
                <w:rFonts w:hint="default" w:ascii="Times New Roman" w:hAnsi="Times New Roman" w:cs="Times New Roman"/>
                <w:color w:val="auto"/>
                <w:sz w:val="24"/>
                <w:szCs w:val="24"/>
                <w:lang w:val="en-US" w:eastAsia="zh-CN"/>
              </w:rPr>
              <w:t>止水，同时一开井段采用水泥封固，</w:t>
            </w:r>
            <w:r>
              <w:rPr>
                <w:rFonts w:hint="eastAsia" w:ascii="Times New Roman" w:hAnsi="Times New Roman" w:cs="Times New Roman"/>
                <w:color w:val="auto"/>
                <w:sz w:val="24"/>
                <w:szCs w:val="24"/>
                <w:lang w:val="en-US" w:eastAsia="zh-CN"/>
              </w:rPr>
              <w:t>职院1-2回灌</w:t>
            </w:r>
            <w:r>
              <w:rPr>
                <w:rFonts w:hint="default" w:ascii="Times New Roman" w:hAnsi="Times New Roman" w:cs="Times New Roman"/>
                <w:color w:val="auto"/>
                <w:sz w:val="24"/>
                <w:szCs w:val="24"/>
                <w:lang w:val="en-US" w:eastAsia="zh-CN"/>
              </w:rPr>
              <w:t>井成井报告显示</w:t>
            </w:r>
            <w:r>
              <w:rPr>
                <w:rFonts w:hint="eastAsia" w:cs="Times New Roman"/>
                <w:color w:val="auto"/>
                <w:sz w:val="24"/>
                <w:szCs w:val="24"/>
                <w:lang w:val="en-US" w:eastAsia="zh-CN"/>
              </w:rPr>
              <w:t>2440</w:t>
            </w:r>
            <w:r>
              <w:rPr>
                <w:rFonts w:hint="default" w:ascii="Times New Roman" w:hAnsi="Times New Roman" w:cs="Times New Roman"/>
                <w:color w:val="auto"/>
                <w:sz w:val="24"/>
                <w:szCs w:val="24"/>
                <w:lang w:val="en-US" w:eastAsia="zh-CN"/>
              </w:rPr>
              <w:t>m以浅采用4组硅胶抗高温、耐腐蚀止水器止水，同时一开井段采用水泥封固</w:t>
            </w:r>
            <w:r>
              <w:rPr>
                <w:rFonts w:hint="eastAsia" w:cs="Times New Roman"/>
                <w:color w:val="auto"/>
                <w:sz w:val="24"/>
                <w:szCs w:val="24"/>
                <w:lang w:eastAsia="zh-CN"/>
              </w:rPr>
              <w:t>，</w:t>
            </w:r>
            <w:r>
              <w:rPr>
                <w:rFonts w:hint="default"/>
                <w:color w:val="auto"/>
              </w:rPr>
              <w:t>以防地热水上窜污染浅部含水层。</w:t>
            </w:r>
          </w:p>
          <w:p>
            <w:pPr>
              <w:bidi w:val="0"/>
              <w:rPr>
                <w:rFonts w:hint="default"/>
                <w:color w:val="auto"/>
              </w:rPr>
            </w:pPr>
            <w:r>
              <w:rPr>
                <w:rFonts w:hint="default"/>
                <w:color w:val="auto"/>
              </w:rPr>
              <w:t>②</w:t>
            </w:r>
            <w:r>
              <w:rPr>
                <w:rFonts w:hint="eastAsia"/>
                <w:color w:val="auto"/>
                <w:lang w:eastAsia="zh-CN"/>
              </w:rPr>
              <w:t>控</w:t>
            </w:r>
            <w:r>
              <w:rPr>
                <w:rFonts w:hint="default"/>
                <w:color w:val="auto"/>
              </w:rPr>
              <w:t>量开采：以《开发利用方案》设计的开采量开采地热水，严禁使用大泵量、大降深开采，保证地热资源的可持续利用。</w:t>
            </w:r>
          </w:p>
          <w:p>
            <w:pPr>
              <w:bidi w:val="0"/>
              <w:rPr>
                <w:rFonts w:hint="default"/>
                <w:color w:val="auto"/>
              </w:rPr>
            </w:pPr>
            <w:r>
              <w:rPr>
                <w:rFonts w:hint="default"/>
                <w:color w:val="auto"/>
              </w:rPr>
              <w:t>③加强监测：定期监测地热井的水位、水量、水温、水质，掌握热储层的动态变化；定期监测</w:t>
            </w:r>
            <w:r>
              <w:rPr>
                <w:rFonts w:hint="eastAsia"/>
                <w:color w:val="auto"/>
                <w:lang w:val="en-US" w:eastAsia="zh-CN"/>
              </w:rPr>
              <w:t>浅部含水层</w:t>
            </w:r>
            <w:r>
              <w:rPr>
                <w:rFonts w:hint="default"/>
                <w:color w:val="auto"/>
              </w:rPr>
              <w:t>的水位、水量、水温、水质，以防深部地热水污染浅部含水层</w:t>
            </w:r>
            <w:r>
              <w:rPr>
                <w:rFonts w:hint="default"/>
                <w:color w:val="auto"/>
                <w:lang w:eastAsia="zh-CN"/>
              </w:rPr>
              <w:t>；定期监测</w:t>
            </w:r>
            <w:r>
              <w:rPr>
                <w:rFonts w:hint="eastAsia"/>
                <w:color w:val="auto"/>
                <w:lang w:val="en-US" w:eastAsia="zh-CN"/>
              </w:rPr>
              <w:t>回灌井的</w:t>
            </w:r>
            <w:r>
              <w:rPr>
                <w:rFonts w:hint="default"/>
                <w:color w:val="auto"/>
              </w:rPr>
              <w:t>水位、水量、水温、水质</w:t>
            </w:r>
            <w:r>
              <w:rPr>
                <w:rFonts w:hint="eastAsia"/>
                <w:color w:val="auto"/>
                <w:lang w:eastAsia="zh-CN"/>
              </w:rPr>
              <w:t>，</w:t>
            </w:r>
            <w:r>
              <w:rPr>
                <w:rFonts w:hint="eastAsia"/>
                <w:color w:val="auto"/>
                <w:lang w:val="en-US" w:eastAsia="zh-CN"/>
              </w:rPr>
              <w:t>掌握地热井的回灌情况</w:t>
            </w:r>
            <w:r>
              <w:rPr>
                <w:rFonts w:hint="default"/>
                <w:color w:val="auto"/>
              </w:rPr>
              <w:t>。</w:t>
            </w:r>
          </w:p>
          <w:p>
            <w:pPr>
              <w:bidi w:val="0"/>
              <w:rPr>
                <w:rFonts w:hint="default"/>
                <w:color w:val="auto"/>
                <w:lang w:eastAsia="zh-CN"/>
              </w:rPr>
            </w:pPr>
            <w:r>
              <w:rPr>
                <w:rFonts w:hint="default"/>
                <w:color w:val="auto"/>
              </w:rPr>
              <w:t>④</w:t>
            </w:r>
            <w:r>
              <w:rPr>
                <w:rFonts w:hint="default"/>
                <w:color w:val="auto"/>
                <w:lang w:eastAsia="zh-CN"/>
              </w:rPr>
              <w:t>输水管线巡查监测：定期对输水管线进行巡查监测，以防地热水泄露污染浅部含水层。</w:t>
            </w:r>
          </w:p>
          <w:p>
            <w:pPr>
              <w:bidi w:val="0"/>
              <w:rPr>
                <w:rFonts w:hint="default"/>
                <w:color w:val="auto"/>
              </w:rPr>
            </w:pPr>
            <w:r>
              <w:rPr>
                <w:rFonts w:hint="default"/>
                <w:color w:val="auto"/>
                <w:lang w:eastAsia="zh-CN"/>
              </w:rPr>
              <w:t>⑤</w:t>
            </w:r>
            <w:r>
              <w:rPr>
                <w:rFonts w:hint="default"/>
                <w:color w:val="auto"/>
              </w:rPr>
              <w:t>地热水回灌</w:t>
            </w:r>
            <w:r>
              <w:rPr>
                <w:rFonts w:hint="eastAsia"/>
                <w:color w:val="auto"/>
                <w:lang w:eastAsia="zh-CN"/>
              </w:rPr>
              <w:t>：</w:t>
            </w:r>
            <w:r>
              <w:rPr>
                <w:rFonts w:hint="eastAsia"/>
                <w:color w:val="auto"/>
                <w:lang w:val="en-US" w:eastAsia="zh-CN"/>
              </w:rPr>
              <w:t>地热尾水达到全部回灌，以</w:t>
            </w:r>
            <w:r>
              <w:rPr>
                <w:rFonts w:hint="default"/>
                <w:color w:val="auto"/>
              </w:rPr>
              <w:t>保证地热资源</w:t>
            </w:r>
            <w:r>
              <w:rPr>
                <w:rFonts w:hint="eastAsia"/>
                <w:color w:val="auto"/>
                <w:lang w:val="en-US" w:eastAsia="zh-CN"/>
              </w:rPr>
              <w:t>绿色</w:t>
            </w:r>
            <w:r>
              <w:rPr>
                <w:rFonts w:hint="default"/>
                <w:color w:val="auto"/>
              </w:rPr>
              <w:t>可持续开发利用。</w:t>
            </w:r>
          </w:p>
          <w:p>
            <w:pPr>
              <w:bidi w:val="0"/>
              <w:rPr>
                <w:rFonts w:hint="default"/>
                <w:color w:val="auto"/>
              </w:rPr>
            </w:pPr>
            <w:r>
              <w:rPr>
                <w:rFonts w:hint="default"/>
                <w:color w:val="auto"/>
              </w:rPr>
              <w:t>（2）地形地貌景观破坏</w:t>
            </w:r>
            <w:r>
              <w:rPr>
                <w:rFonts w:hint="eastAsia"/>
                <w:color w:val="auto"/>
                <w:lang w:val="en-US" w:eastAsia="zh-CN"/>
              </w:rPr>
              <w:t>保护</w:t>
            </w:r>
            <w:r>
              <w:rPr>
                <w:rFonts w:hint="default"/>
                <w:color w:val="auto"/>
              </w:rPr>
              <w:t>措施</w:t>
            </w:r>
          </w:p>
          <w:p>
            <w:pPr>
              <w:bidi w:val="0"/>
              <w:rPr>
                <w:rFonts w:hint="default"/>
                <w:color w:val="auto"/>
              </w:rPr>
            </w:pPr>
            <w:r>
              <w:rPr>
                <w:rFonts w:hint="default"/>
                <w:color w:val="auto"/>
                <w:lang w:eastAsia="zh-CN"/>
              </w:rPr>
              <w:t>地热井达到</w:t>
            </w:r>
            <w:r>
              <w:rPr>
                <w:rFonts w:hint="default"/>
                <w:color w:val="auto"/>
              </w:rPr>
              <w:t>在矿山使用年限到期后，需</w:t>
            </w:r>
            <w:r>
              <w:rPr>
                <w:rFonts w:hint="eastAsia"/>
                <w:color w:val="auto"/>
                <w:lang w:eastAsia="zh-CN"/>
              </w:rPr>
              <w:t>根据咸阳市城市发展规划</w:t>
            </w:r>
            <w:r>
              <w:rPr>
                <w:rFonts w:hint="default"/>
                <w:color w:val="auto"/>
              </w:rPr>
              <w:t>对地热井</w:t>
            </w:r>
            <w:r>
              <w:rPr>
                <w:rFonts w:hint="default"/>
                <w:color w:val="auto"/>
                <w:lang w:eastAsia="zh-CN"/>
              </w:rPr>
              <w:t>、地热换热站、</w:t>
            </w:r>
            <w:r>
              <w:rPr>
                <w:rFonts w:hint="default"/>
                <w:color w:val="auto"/>
              </w:rPr>
              <w:t>泵房</w:t>
            </w:r>
            <w:r>
              <w:rPr>
                <w:rFonts w:hint="default"/>
                <w:color w:val="auto"/>
                <w:lang w:eastAsia="zh-CN"/>
              </w:rPr>
              <w:t>需</w:t>
            </w:r>
            <w:r>
              <w:rPr>
                <w:rFonts w:hint="default"/>
                <w:color w:val="auto"/>
              </w:rPr>
              <w:t>进行拆除</w:t>
            </w:r>
            <w:r>
              <w:rPr>
                <w:rFonts w:hint="eastAsia"/>
                <w:color w:val="auto"/>
                <w:lang w:eastAsia="zh-CN"/>
              </w:rPr>
              <w:t>或其他处理</w:t>
            </w:r>
            <w:r>
              <w:rPr>
                <w:rFonts w:hint="eastAsia"/>
                <w:color w:val="auto"/>
                <w:lang w:val="en-US" w:eastAsia="zh-CN"/>
              </w:rPr>
              <w:t>，</w:t>
            </w:r>
            <w:r>
              <w:rPr>
                <w:rFonts w:hint="default"/>
                <w:color w:val="auto"/>
              </w:rPr>
              <w:t>以满足项目区地形地貌景观规划的要求</w:t>
            </w:r>
            <w:r>
              <w:rPr>
                <w:rFonts w:hint="default"/>
                <w:color w:val="auto"/>
                <w:lang w:eastAsia="zh-CN"/>
              </w:rPr>
              <w:t>。</w:t>
            </w:r>
          </w:p>
          <w:p>
            <w:pPr>
              <w:bidi w:val="0"/>
              <w:rPr>
                <w:rFonts w:hint="default"/>
                <w:color w:val="auto"/>
              </w:rPr>
            </w:pPr>
            <w:r>
              <w:rPr>
                <w:rFonts w:hint="default"/>
                <w:color w:val="auto"/>
              </w:rPr>
              <w:t>（3）水土环境污染</w:t>
            </w:r>
            <w:r>
              <w:rPr>
                <w:rFonts w:hint="eastAsia"/>
                <w:color w:val="auto"/>
                <w:lang w:val="en-US" w:eastAsia="zh-CN"/>
              </w:rPr>
              <w:t>保护</w:t>
            </w:r>
            <w:r>
              <w:rPr>
                <w:rFonts w:hint="default"/>
                <w:color w:val="auto"/>
              </w:rPr>
              <w:t>措施</w:t>
            </w:r>
          </w:p>
          <w:p>
            <w:pPr>
              <w:bidi w:val="0"/>
              <w:rPr>
                <w:rFonts w:hint="default"/>
                <w:color w:val="auto"/>
              </w:rPr>
            </w:pPr>
            <w:r>
              <w:rPr>
                <w:rFonts w:hint="default"/>
                <w:color w:val="auto"/>
              </w:rPr>
              <w:t>①地热供暖的尾水经物理悬浮固体及化学沉淀物过滤后回灌至回灌井中，为封闭式</w:t>
            </w:r>
            <w:r>
              <w:rPr>
                <w:rFonts w:hint="default"/>
                <w:color w:val="auto"/>
                <w:lang w:eastAsia="zh-CN"/>
              </w:rPr>
              <w:t>管道回灌；</w:t>
            </w:r>
            <w:r>
              <w:rPr>
                <w:rFonts w:hint="default"/>
                <w:color w:val="auto"/>
              </w:rPr>
              <w:t>严禁向水体、土壤排放，以防污染水土环境。</w:t>
            </w:r>
          </w:p>
          <w:p>
            <w:pPr>
              <w:bidi w:val="0"/>
              <w:rPr>
                <w:rFonts w:hint="default"/>
                <w:color w:val="auto"/>
              </w:rPr>
            </w:pPr>
            <w:r>
              <w:rPr>
                <w:rFonts w:hint="default"/>
                <w:color w:val="auto"/>
              </w:rPr>
              <w:t>②应定期对井孔管道进行维护。</w:t>
            </w:r>
          </w:p>
          <w:p>
            <w:pPr>
              <w:bidi w:val="0"/>
              <w:rPr>
                <w:rFonts w:hint="default"/>
                <w:color w:val="auto"/>
              </w:rPr>
            </w:pPr>
            <w:r>
              <w:rPr>
                <w:rFonts w:hint="default"/>
                <w:color w:val="auto"/>
              </w:rPr>
              <w:t>③若地热水直接渗入浅层地下水或地表水体，会对浅部水土环境造成污染</w:t>
            </w:r>
            <w:r>
              <w:rPr>
                <w:rFonts w:hint="default"/>
                <w:color w:val="auto"/>
                <w:lang w:eastAsia="zh-CN"/>
              </w:rPr>
              <w:t>。</w:t>
            </w:r>
            <w:r>
              <w:rPr>
                <w:rFonts w:hint="default"/>
                <w:color w:val="auto"/>
              </w:rPr>
              <w:t>地热井工程开采、运营时，应对地热水供水管道进行巡视</w:t>
            </w:r>
            <w:r>
              <w:rPr>
                <w:rFonts w:hint="default"/>
                <w:color w:val="auto"/>
                <w:lang w:eastAsia="zh-CN"/>
              </w:rPr>
              <w:t>监测</w:t>
            </w:r>
            <w:r>
              <w:rPr>
                <w:rFonts w:hint="default"/>
                <w:color w:val="auto"/>
              </w:rPr>
              <w:t>，并定期进行供水管道的检修工作，以防供水管道发生漏水、爆管现象，污染浅部水土环境；一旦发生供水管道爆管突发事件，应立即采取应急措施，停止地热水的开采活动（关闭潜水电泵），并尽可能地收集爆管泄露的热矿水，以防对浅部水土环境造成污染。</w:t>
            </w:r>
          </w:p>
          <w:p>
            <w:pPr>
              <w:pStyle w:val="3"/>
              <w:bidi w:val="0"/>
              <w:rPr>
                <w:rFonts w:hint="eastAsia"/>
                <w:color w:val="auto"/>
                <w:lang w:val="en-US" w:eastAsia="zh-CN"/>
              </w:rPr>
            </w:pPr>
            <w:bookmarkStart w:id="33" w:name="_Toc2363"/>
            <w:bookmarkStart w:id="34" w:name="_Toc9710"/>
            <w:r>
              <w:rPr>
                <w:rFonts w:hint="eastAsia"/>
                <w:color w:val="auto"/>
                <w:lang w:val="en-US" w:eastAsia="zh-CN"/>
              </w:rPr>
              <w:t>五、工作部署</w:t>
            </w:r>
            <w:bookmarkEnd w:id="33"/>
            <w:bookmarkEnd w:id="34"/>
          </w:p>
          <w:p>
            <w:pPr>
              <w:pStyle w:val="4"/>
              <w:bidi w:val="0"/>
              <w:rPr>
                <w:rFonts w:hint="default"/>
                <w:color w:val="auto"/>
                <w:lang w:val="en-US" w:eastAsia="zh-CN"/>
              </w:rPr>
            </w:pPr>
            <w:r>
              <w:rPr>
                <w:rFonts w:hint="eastAsia"/>
                <w:color w:val="auto"/>
                <w:lang w:val="en-US" w:eastAsia="zh-CN"/>
              </w:rPr>
              <w:t>1、总体工作部署</w:t>
            </w:r>
          </w:p>
          <w:p>
            <w:pPr>
              <w:bidi w:val="0"/>
              <w:rPr>
                <w:rFonts w:hint="default"/>
                <w:color w:val="auto"/>
                <w:lang w:val="en-US" w:eastAsia="zh-CN"/>
              </w:rPr>
            </w:pPr>
            <w:r>
              <w:rPr>
                <w:rFonts w:hint="default"/>
                <w:color w:val="auto"/>
                <w:lang w:val="en-US" w:eastAsia="zh-CN"/>
              </w:rPr>
              <w:t>本次方案不涉及地质灾害治理工程、水土环境污染修复工程方面的内容，方案中不部署此类工作量；仅针对地形地貌景观、含水层、矿山地质环境监测布设工作。</w:t>
            </w:r>
          </w:p>
          <w:p>
            <w:pPr>
              <w:bidi w:val="0"/>
              <w:rPr>
                <w:rFonts w:hint="default"/>
                <w:color w:val="auto"/>
                <w:lang w:val="en-US" w:eastAsia="zh-CN"/>
              </w:rPr>
            </w:pPr>
            <w:r>
              <w:rPr>
                <w:rFonts w:hint="default"/>
                <w:color w:val="auto"/>
                <w:lang w:val="en-US" w:eastAsia="zh-CN"/>
              </w:rPr>
              <w:t>（1）地形地貌景观工作部署：闭坑后对地热井进行填埋，对地热换热站、泵房等建筑物进行拆除。</w:t>
            </w:r>
          </w:p>
          <w:p>
            <w:pPr>
              <w:bidi w:val="0"/>
              <w:rPr>
                <w:rFonts w:hint="default"/>
                <w:color w:val="auto"/>
                <w:lang w:val="en-US" w:eastAsia="zh-CN"/>
              </w:rPr>
            </w:pPr>
            <w:r>
              <w:rPr>
                <w:rFonts w:hint="default"/>
                <w:color w:val="auto"/>
                <w:lang w:val="en-US" w:eastAsia="zh-CN"/>
              </w:rPr>
              <w:t>（2）含水层工作部署：</w:t>
            </w:r>
          </w:p>
          <w:p>
            <w:pPr>
              <w:bidi w:val="0"/>
              <w:rPr>
                <w:rFonts w:hint="default"/>
                <w:color w:val="auto"/>
                <w:lang w:val="en-US" w:eastAsia="zh-CN"/>
              </w:rPr>
            </w:pPr>
            <w:r>
              <w:rPr>
                <w:rFonts w:hint="default"/>
                <w:color w:val="auto"/>
                <w:lang w:val="en-US" w:eastAsia="zh-CN"/>
              </w:rPr>
              <w:t>①地热井动态监测；</w:t>
            </w:r>
          </w:p>
          <w:p>
            <w:pPr>
              <w:bidi w:val="0"/>
              <w:rPr>
                <w:rFonts w:hint="default"/>
                <w:color w:val="auto"/>
                <w:lang w:val="en-US" w:eastAsia="zh-CN"/>
              </w:rPr>
            </w:pPr>
            <w:r>
              <w:rPr>
                <w:rFonts w:hint="default"/>
                <w:color w:val="auto"/>
                <w:lang w:val="en-US" w:eastAsia="zh-CN"/>
              </w:rPr>
              <w:t>②回灌井动态监测</w:t>
            </w:r>
            <w:r>
              <w:rPr>
                <w:rFonts w:hint="eastAsia"/>
                <w:color w:val="auto"/>
                <w:lang w:val="en-US" w:eastAsia="zh-CN"/>
              </w:rPr>
              <w:t>；</w:t>
            </w:r>
          </w:p>
          <w:p>
            <w:pPr>
              <w:bidi w:val="0"/>
              <w:rPr>
                <w:rFonts w:hint="default"/>
                <w:color w:val="auto"/>
                <w:lang w:val="en-US" w:eastAsia="zh-CN"/>
              </w:rPr>
            </w:pPr>
            <w:r>
              <w:rPr>
                <w:rFonts w:hint="default"/>
                <w:color w:val="auto"/>
                <w:lang w:val="en-US" w:eastAsia="zh-CN"/>
              </w:rPr>
              <w:t>③输水管线巡查监测</w:t>
            </w:r>
            <w:r>
              <w:rPr>
                <w:rFonts w:hint="eastAsia"/>
                <w:color w:val="auto"/>
                <w:lang w:val="en-US" w:eastAsia="zh-CN"/>
              </w:rPr>
              <w:t>。</w:t>
            </w:r>
          </w:p>
          <w:p>
            <w:pPr>
              <w:bidi w:val="0"/>
              <w:rPr>
                <w:rFonts w:hint="default"/>
                <w:color w:val="auto"/>
                <w:lang w:val="en-US" w:eastAsia="zh-CN"/>
              </w:rPr>
            </w:pPr>
            <w:r>
              <w:rPr>
                <w:rFonts w:hint="default"/>
                <w:color w:val="auto"/>
                <w:lang w:val="en-US" w:eastAsia="zh-CN"/>
              </w:rPr>
              <w:t>（3）矿山地质环境监测</w:t>
            </w:r>
          </w:p>
          <w:p>
            <w:pPr>
              <w:bidi w:val="0"/>
              <w:rPr>
                <w:rFonts w:hint="default"/>
                <w:color w:val="auto"/>
                <w:lang w:val="en-US" w:eastAsia="zh-CN"/>
              </w:rPr>
            </w:pPr>
            <w:r>
              <w:rPr>
                <w:rFonts w:hint="default"/>
                <w:color w:val="auto"/>
                <w:lang w:val="en-US" w:eastAsia="zh-CN"/>
              </w:rPr>
              <w:t>因含水层工作均为监测工作，因此矿山地质环境监测包括含水层监测工作</w:t>
            </w:r>
            <w:r>
              <w:rPr>
                <w:rFonts w:hint="eastAsia"/>
                <w:color w:val="auto"/>
                <w:lang w:val="en-US" w:eastAsia="zh-CN"/>
              </w:rPr>
              <w:t>、</w:t>
            </w:r>
            <w:r>
              <w:rPr>
                <w:rFonts w:hint="default"/>
                <w:color w:val="auto"/>
                <w:lang w:val="en-US" w:eastAsia="zh-CN"/>
              </w:rPr>
              <w:t>地面沉降监测</w:t>
            </w:r>
            <w:r>
              <w:rPr>
                <w:rFonts w:hint="eastAsia"/>
                <w:color w:val="auto"/>
                <w:lang w:val="en-US" w:eastAsia="zh-CN"/>
              </w:rPr>
              <w:t>及土壤监测，由于西咸新区潜水井已全部封闭，且不允许新建，故潜水含水层监测工作暂时无法实施，具体工作量见表5</w:t>
            </w:r>
            <w:r>
              <w:rPr>
                <w:rFonts w:hint="default"/>
                <w:color w:val="auto"/>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color w:val="auto"/>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color w:val="auto"/>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color w:val="auto"/>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color w:val="auto"/>
                <w:lang w:val="en-US" w:eastAsia="zh-CN"/>
              </w:rPr>
            </w:pPr>
            <w:r>
              <w:rPr>
                <w:rFonts w:hint="eastAsia" w:ascii="仿宋" w:hAnsi="仿宋" w:eastAsia="仿宋" w:cs="仿宋"/>
                <w:b/>
                <w:bCs/>
                <w:color w:val="auto"/>
                <w:lang w:val="en-US" w:eastAsia="zh-CN"/>
              </w:rPr>
              <w:t>主要</w:t>
            </w:r>
            <w:r>
              <w:rPr>
                <w:rFonts w:hint="eastAsia" w:ascii="仿宋" w:hAnsi="仿宋" w:eastAsia="仿宋" w:cs="仿宋"/>
                <w:b/>
                <w:bCs/>
                <w:color w:val="auto"/>
                <w:lang w:eastAsia="zh-CN"/>
              </w:rPr>
              <w:t>工作量一览表</w:t>
            </w:r>
            <w:r>
              <w:rPr>
                <w:rFonts w:hint="eastAsia" w:ascii="仿宋" w:hAnsi="仿宋" w:eastAsia="仿宋" w:cs="仿宋"/>
                <w:b/>
                <w:bCs/>
                <w:color w:val="auto"/>
                <w:lang w:val="en-US" w:eastAsia="zh-CN"/>
              </w:rPr>
              <w:t xml:space="preserve">   </w:t>
            </w:r>
            <w:r>
              <w:rPr>
                <w:rFonts w:hint="eastAsia" w:ascii="仿宋" w:hAnsi="仿宋" w:eastAsia="仿宋" w:cs="仿宋"/>
                <w:b/>
                <w:bCs/>
                <w:color w:val="auto"/>
                <w:lang w:eastAsia="zh-CN"/>
              </w:rPr>
              <w:t>表</w:t>
            </w:r>
            <w:r>
              <w:rPr>
                <w:rFonts w:hint="eastAsia" w:ascii="仿宋" w:hAnsi="仿宋" w:eastAsia="仿宋" w:cs="仿宋"/>
                <w:b/>
                <w:bCs/>
                <w:color w:val="auto"/>
                <w:lang w:val="en-US" w:eastAsia="zh-CN"/>
              </w:rPr>
              <w:t>5</w:t>
            </w:r>
          </w:p>
          <w:tbl>
            <w:tblPr>
              <w:tblStyle w:val="14"/>
              <w:tblW w:w="825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7"/>
              <w:gridCol w:w="427"/>
              <w:gridCol w:w="1120"/>
              <w:gridCol w:w="2925"/>
              <w:gridCol w:w="663"/>
              <w:gridCol w:w="26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197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rPr>
                    <w:t>对象</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rPr>
                    <w:t>项目工程名称</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rPr>
                    <w:t>单位</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rP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42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lang w:eastAsia="zh-CN"/>
                    </w:rPr>
                  </w:pPr>
                  <w:r>
                    <w:rPr>
                      <w:rFonts w:hint="default"/>
                      <w:color w:val="auto"/>
                      <w:lang w:eastAsia="zh-CN"/>
                    </w:rPr>
                    <w:t>矿山地质环境监测</w:t>
                  </w:r>
                </w:p>
              </w:tc>
              <w:tc>
                <w:tcPr>
                  <w:tcW w:w="42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lang w:eastAsia="zh-CN"/>
                    </w:rPr>
                  </w:pPr>
                  <w:r>
                    <w:rPr>
                      <w:rFonts w:hint="default"/>
                      <w:color w:val="auto"/>
                      <w:lang w:eastAsia="zh-CN"/>
                    </w:rPr>
                    <w:t>含水层</w:t>
                  </w:r>
                </w:p>
              </w:tc>
              <w:tc>
                <w:tcPr>
                  <w:tcW w:w="112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rPr>
                    <w:t>地热井动态监测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rPr>
                    <w:t>地热井水位、</w:t>
                  </w:r>
                  <w:r>
                    <w:rPr>
                      <w:rFonts w:hint="eastAsia"/>
                      <w:color w:val="auto"/>
                      <w:lang w:val="en-US" w:eastAsia="zh-CN"/>
                    </w:rPr>
                    <w:t>用</w:t>
                  </w:r>
                  <w:r>
                    <w:rPr>
                      <w:rFonts w:hint="default"/>
                      <w:color w:val="auto"/>
                    </w:rPr>
                    <w:t>水量、水温监测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lang w:val="en-US" w:eastAsia="zh-CN"/>
                    </w:rPr>
                  </w:pPr>
                  <w:r>
                    <w:rPr>
                      <w:rFonts w:hint="eastAsia"/>
                      <w:color w:val="auto"/>
                      <w:lang w:val="en-US" w:eastAsia="zh-CN"/>
                    </w:rPr>
                    <w:t>职院定向井</w:t>
                  </w:r>
                  <w:r>
                    <w:rPr>
                      <w:rFonts w:hint="default"/>
                      <w:color w:val="auto"/>
                    </w:rPr>
                    <w:t>每个经营日观测1次，每年</w:t>
                  </w:r>
                  <w:r>
                    <w:rPr>
                      <w:rFonts w:hint="default"/>
                      <w:color w:val="auto"/>
                      <w:lang w:val="en-US" w:eastAsia="zh-CN"/>
                    </w:rPr>
                    <w:t>12</w:t>
                  </w:r>
                  <w:r>
                    <w:rPr>
                      <w:rFonts w:hint="eastAsia"/>
                      <w:color w:val="auto"/>
                      <w:lang w:val="en-US" w:eastAsia="zh-CN"/>
                    </w:rPr>
                    <w:t>1</w:t>
                  </w:r>
                  <w:r>
                    <w:rPr>
                      <w:rFonts w:hint="default"/>
                      <w:color w:val="auto"/>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rPr>
                  </w:pPr>
                </w:p>
              </w:tc>
              <w:tc>
                <w:tcPr>
                  <w:tcW w:w="112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rPr>
                    <w:t>地热水水质监测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rPr>
                  </w:pPr>
                  <w:r>
                    <w:rPr>
                      <w:rFonts w:hint="default"/>
                      <w:color w:val="auto"/>
                    </w:rPr>
                    <w:t>每年</w:t>
                  </w:r>
                  <w:r>
                    <w:rPr>
                      <w:rFonts w:hint="default"/>
                      <w:color w:val="auto"/>
                      <w:lang w:eastAsia="zh-CN"/>
                    </w:rPr>
                    <w:t>监测</w:t>
                  </w:r>
                  <w:r>
                    <w:rPr>
                      <w:rFonts w:hint="eastAsia"/>
                      <w:color w:val="auto"/>
                      <w:lang w:val="en-US" w:eastAsia="zh-CN"/>
                    </w:rPr>
                    <w:t>1</w:t>
                  </w:r>
                  <w:r>
                    <w:rPr>
                      <w:rFonts w:hint="default"/>
                      <w:color w:val="auto"/>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1"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rPr>
                  </w:pPr>
                </w:p>
              </w:tc>
              <w:tc>
                <w:tcPr>
                  <w:tcW w:w="112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lang w:eastAsia="zh-CN"/>
                    </w:rPr>
                  </w:pPr>
                  <w:r>
                    <w:rPr>
                      <w:rFonts w:hint="default"/>
                      <w:color w:val="auto"/>
                      <w:lang w:val="en-US" w:eastAsia="zh-CN"/>
                    </w:rPr>
                    <w:t>回灌</w:t>
                  </w:r>
                  <w:r>
                    <w:rPr>
                      <w:rFonts w:hint="default"/>
                      <w:color w:val="auto"/>
                    </w:rPr>
                    <w:t>井动态监测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lang w:val="en-US" w:eastAsia="zh-CN"/>
                    </w:rPr>
                    <w:t>回灌</w:t>
                  </w:r>
                  <w:r>
                    <w:rPr>
                      <w:rFonts w:hint="default"/>
                      <w:color w:val="auto"/>
                    </w:rPr>
                    <w:t>井水位、</w:t>
                  </w:r>
                  <w:r>
                    <w:rPr>
                      <w:rFonts w:hint="eastAsia"/>
                      <w:color w:val="auto"/>
                      <w:lang w:val="en-US" w:eastAsia="zh-CN"/>
                    </w:rPr>
                    <w:t>回灌</w:t>
                  </w:r>
                  <w:r>
                    <w:rPr>
                      <w:rFonts w:hint="default"/>
                      <w:color w:val="auto"/>
                    </w:rPr>
                    <w:t>水量、水温监测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rPr>
                  </w:pPr>
                  <w:r>
                    <w:rPr>
                      <w:rFonts w:hint="eastAsia"/>
                      <w:color w:val="auto"/>
                      <w:lang w:val="en-US" w:eastAsia="zh-CN"/>
                    </w:rPr>
                    <w:t>职院1-2回灌井</w:t>
                  </w:r>
                  <w:r>
                    <w:rPr>
                      <w:rFonts w:hint="default"/>
                      <w:color w:val="auto"/>
                    </w:rPr>
                    <w:t>每个经营日观测1次，每年</w:t>
                  </w:r>
                  <w:r>
                    <w:rPr>
                      <w:rFonts w:hint="default"/>
                      <w:color w:val="auto"/>
                      <w:lang w:val="en-US" w:eastAsia="zh-CN"/>
                    </w:rPr>
                    <w:t>12</w:t>
                  </w:r>
                  <w:r>
                    <w:rPr>
                      <w:rFonts w:hint="eastAsia"/>
                      <w:color w:val="auto"/>
                      <w:lang w:val="en-US" w:eastAsia="zh-CN"/>
                    </w:rPr>
                    <w:t>1</w:t>
                  </w:r>
                  <w:r>
                    <w:rPr>
                      <w:rFonts w:hint="default"/>
                      <w:color w:val="auto"/>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rPr>
                  </w:pPr>
                </w:p>
              </w:tc>
              <w:tc>
                <w:tcPr>
                  <w:tcW w:w="112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lang w:eastAsia="zh-CN"/>
                    </w:rPr>
                  </w:pP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lang w:eastAsia="zh-CN"/>
                    </w:rPr>
                  </w:pPr>
                  <w:r>
                    <w:rPr>
                      <w:rFonts w:hint="default"/>
                      <w:color w:val="auto"/>
                      <w:lang w:val="en-US" w:eastAsia="zh-CN"/>
                    </w:rPr>
                    <w:t>回灌井</w:t>
                  </w:r>
                  <w:r>
                    <w:rPr>
                      <w:rFonts w:hint="default"/>
                      <w:color w:val="auto"/>
                    </w:rPr>
                    <w:t>水质监测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eastAsia"/>
                      <w:color w:val="auto"/>
                      <w:lang w:eastAsia="zh-CN"/>
                    </w:rPr>
                  </w:pPr>
                  <w:r>
                    <w:rPr>
                      <w:rFonts w:hint="default"/>
                      <w:color w:val="auto"/>
                    </w:rPr>
                    <w:t>每年</w:t>
                  </w:r>
                  <w:r>
                    <w:rPr>
                      <w:rFonts w:hint="default"/>
                      <w:color w:val="auto"/>
                      <w:lang w:eastAsia="zh-CN"/>
                    </w:rPr>
                    <w:t>监测</w:t>
                  </w:r>
                  <w:r>
                    <w:rPr>
                      <w:rFonts w:hint="eastAsia"/>
                      <w:color w:val="auto"/>
                      <w:lang w:val="en-US" w:eastAsia="zh-CN"/>
                    </w:rPr>
                    <w:t>1</w:t>
                  </w:r>
                  <w:r>
                    <w:rPr>
                      <w:rFonts w:hint="default"/>
                      <w:color w:val="auto"/>
                    </w:rPr>
                    <w:t>次</w:t>
                  </w:r>
                  <w:r>
                    <w:rPr>
                      <w:rFonts w:hint="eastAsia"/>
                      <w:color w:val="auto"/>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1"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lang w:eastAsia="zh-CN"/>
                    </w:rPr>
                  </w:pPr>
                  <w:r>
                    <w:rPr>
                      <w:rFonts w:hint="default"/>
                      <w:color w:val="auto"/>
                      <w:lang w:eastAsia="zh-CN"/>
                    </w:rPr>
                    <w:t>输水管线巡查监测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lang w:eastAsia="zh-CN"/>
                    </w:rPr>
                    <w:t>输水管线巡查监测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lang w:eastAsia="zh-CN"/>
                    </w:rPr>
                  </w:pPr>
                  <w:r>
                    <w:rPr>
                      <w:rFonts w:hint="default"/>
                      <w:color w:val="auto"/>
                      <w:lang w:eastAsia="zh-CN"/>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eastAsia"/>
                      <w:color w:val="auto"/>
                      <w:lang w:eastAsia="zh-CN"/>
                    </w:rPr>
                  </w:pPr>
                  <w:r>
                    <w:rPr>
                      <w:rFonts w:hint="default"/>
                      <w:color w:val="auto"/>
                    </w:rPr>
                    <w:t>每个经营日观测1次，每年</w:t>
                  </w:r>
                  <w:r>
                    <w:rPr>
                      <w:rFonts w:hint="default"/>
                      <w:color w:val="auto"/>
                      <w:lang w:val="en-US" w:eastAsia="zh-CN"/>
                    </w:rPr>
                    <w:t>12</w:t>
                  </w:r>
                  <w:r>
                    <w:rPr>
                      <w:rFonts w:hint="eastAsia"/>
                      <w:color w:val="auto"/>
                      <w:lang w:val="en-US" w:eastAsia="zh-CN"/>
                    </w:rPr>
                    <w:t>1</w:t>
                  </w:r>
                  <w:r>
                    <w:rPr>
                      <w:rFonts w:hint="default"/>
                      <w:color w:val="auto"/>
                    </w:rPr>
                    <w:t>次</w:t>
                  </w:r>
                  <w:r>
                    <w:rPr>
                      <w:rFonts w:hint="eastAsia"/>
                      <w:color w:val="auto"/>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rPr>
                  </w:pPr>
                </w:p>
              </w:tc>
              <w:tc>
                <w:tcPr>
                  <w:tcW w:w="154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lang w:eastAsia="zh-CN"/>
                    </w:rPr>
                  </w:pPr>
                  <w:r>
                    <w:rPr>
                      <w:rFonts w:hint="default"/>
                      <w:color w:val="auto"/>
                      <w:lang w:eastAsia="zh-CN"/>
                    </w:rPr>
                    <w:t>地面沉降监测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lang w:eastAsia="zh-CN"/>
                    </w:rPr>
                  </w:pPr>
                  <w:r>
                    <w:rPr>
                      <w:rFonts w:hint="default"/>
                      <w:color w:val="auto"/>
                      <w:lang w:eastAsia="zh-CN"/>
                    </w:rPr>
                    <w:t>地面沉降监测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lang w:eastAsia="zh-CN"/>
                    </w:rPr>
                  </w:pPr>
                  <w:r>
                    <w:rPr>
                      <w:rFonts w:hint="default"/>
                      <w:color w:val="auto"/>
                      <w:lang w:eastAsia="zh-CN"/>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lang w:eastAsia="zh-CN"/>
                    </w:rPr>
                  </w:pPr>
                  <w:r>
                    <w:rPr>
                      <w:rFonts w:hint="default"/>
                      <w:color w:val="auto"/>
                      <w:lang w:eastAsia="zh-CN"/>
                    </w:rPr>
                    <w:t>监测点</w:t>
                  </w:r>
                  <w:r>
                    <w:rPr>
                      <w:rFonts w:hint="eastAsia"/>
                      <w:color w:val="auto"/>
                      <w:lang w:val="en-US" w:eastAsia="zh-CN"/>
                    </w:rPr>
                    <w:t>1</w:t>
                  </w:r>
                  <w:r>
                    <w:rPr>
                      <w:rFonts w:hint="default"/>
                      <w:color w:val="auto"/>
                      <w:lang w:val="en-US" w:eastAsia="zh-CN"/>
                    </w:rPr>
                    <w:t>个，</w:t>
                  </w:r>
                  <w:r>
                    <w:rPr>
                      <w:rFonts w:hint="default"/>
                      <w:color w:val="auto"/>
                      <w:lang w:eastAsia="zh-CN"/>
                    </w:rPr>
                    <w:t>每年</w:t>
                  </w:r>
                  <w:r>
                    <w:rPr>
                      <w:rFonts w:hint="default"/>
                      <w:color w:val="auto"/>
                      <w:lang w:val="en-US" w:eastAsia="zh-CN"/>
                    </w:rPr>
                    <w:t>监测1次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2" w:hRule="atLeast"/>
              </w:trPr>
              <w:tc>
                <w:tcPr>
                  <w:tcW w:w="854"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lang w:val="en-US" w:eastAsia="zh-CN"/>
                    </w:rPr>
                  </w:pPr>
                  <w:r>
                    <w:rPr>
                      <w:rFonts w:hint="default"/>
                      <w:color w:val="auto"/>
                      <w:lang w:val="en-US" w:eastAsia="zh-CN"/>
                    </w:rPr>
                    <w:t>地形地貌景观</w:t>
                  </w:r>
                </w:p>
              </w:tc>
              <w:tc>
                <w:tcPr>
                  <w:tcW w:w="112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lang w:eastAsia="zh-CN"/>
                    </w:rPr>
                  </w:pPr>
                  <w:r>
                    <w:rPr>
                      <w:rFonts w:hint="default"/>
                      <w:color w:val="auto"/>
                      <w:lang w:eastAsia="zh-CN"/>
                    </w:rPr>
                    <w:t>闭坑</w:t>
                  </w:r>
                </w:p>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lang w:eastAsia="zh-CN"/>
                    </w:rPr>
                  </w:pPr>
                  <w:r>
                    <w:rPr>
                      <w:rFonts w:hint="default"/>
                      <w:color w:val="auto"/>
                      <w:lang w:eastAsia="zh-CN"/>
                    </w:rPr>
                    <w:t>填埋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lang w:eastAsia="zh-CN"/>
                    </w:rPr>
                    <w:t>对</w:t>
                  </w:r>
                  <w:r>
                    <w:rPr>
                      <w:rFonts w:hint="default"/>
                      <w:color w:val="auto"/>
                    </w:rPr>
                    <w:t>地热井、</w:t>
                  </w:r>
                  <w:r>
                    <w:rPr>
                      <w:rFonts w:hint="default"/>
                      <w:color w:val="auto"/>
                      <w:lang w:val="en-US" w:eastAsia="zh-CN"/>
                    </w:rPr>
                    <w:t>回灌井</w:t>
                  </w:r>
                  <w:r>
                    <w:rPr>
                      <w:rFonts w:hint="default"/>
                      <w:color w:val="auto"/>
                    </w:rPr>
                    <w:t>进行填埋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rPr>
                    <w:t>m</w:t>
                  </w:r>
                  <w:r>
                    <w:rPr>
                      <w:rFonts w:hint="default"/>
                      <w:color w:val="auto"/>
                      <w:vertAlign w:val="superscript"/>
                      <w:lang w:val="en-US" w:eastAsia="zh-CN"/>
                    </w:rPr>
                    <w:t>3</w:t>
                  </w:r>
                </w:p>
              </w:tc>
              <w:tc>
                <w:tcPr>
                  <w:tcW w:w="2696" w:type="dxa"/>
                  <w:noWrap w:val="0"/>
                  <w:vAlign w:val="center"/>
                </w:tcPr>
                <w:p>
                  <w:pPr>
                    <w:spacing w:line="280" w:lineRule="exact"/>
                    <w:ind w:firstLine="0" w:firstLineChars="0"/>
                    <w:jc w:val="both"/>
                    <w:rPr>
                      <w:rFonts w:hint="default"/>
                      <w:color w:val="auto"/>
                    </w:rPr>
                  </w:pPr>
                  <w:r>
                    <w:rPr>
                      <w:rFonts w:hint="default"/>
                      <w:color w:val="auto"/>
                    </w:rPr>
                    <w:t>地热井在矿山使用年限到期后，对地热井、</w:t>
                  </w:r>
                  <w:r>
                    <w:rPr>
                      <w:rFonts w:hint="default"/>
                      <w:color w:val="auto"/>
                      <w:lang w:val="en-US" w:eastAsia="zh-CN"/>
                    </w:rPr>
                    <w:t>回灌井</w:t>
                  </w:r>
                  <w:r>
                    <w:rPr>
                      <w:rFonts w:hint="default"/>
                      <w:color w:val="auto"/>
                    </w:rPr>
                    <w:t>进行填埋</w:t>
                  </w:r>
                  <w:r>
                    <w:rPr>
                      <w:rFonts w:hint="default"/>
                      <w:color w:val="auto"/>
                      <w:lang w:val="en-US" w:eastAsia="zh-CN"/>
                    </w:rPr>
                    <w:t>，填埋体积</w:t>
                  </w:r>
                  <w:r>
                    <w:rPr>
                      <w:rFonts w:hint="eastAsia"/>
                      <w:color w:val="auto"/>
                      <w:lang w:val="en-US" w:eastAsia="zh-CN"/>
                    </w:rPr>
                    <w:t>285</w:t>
                  </w: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7" w:hRule="atLeast"/>
              </w:trPr>
              <w:tc>
                <w:tcPr>
                  <w:tcW w:w="854"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auto"/>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lang w:eastAsia="zh-CN"/>
                    </w:rPr>
                  </w:pPr>
                  <w:r>
                    <w:rPr>
                      <w:rFonts w:hint="default"/>
                      <w:color w:val="auto"/>
                      <w:lang w:eastAsia="zh-CN"/>
                    </w:rPr>
                    <w:t>闭坑</w:t>
                  </w:r>
                </w:p>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lang w:eastAsia="zh-CN"/>
                    </w:rPr>
                  </w:pPr>
                  <w:r>
                    <w:rPr>
                      <w:rFonts w:hint="default"/>
                      <w:color w:val="auto"/>
                      <w:lang w:eastAsia="zh-CN"/>
                    </w:rPr>
                    <w:t>拆除</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lang w:eastAsia="zh-CN"/>
                    </w:rPr>
                    <w:t>对</w:t>
                  </w:r>
                  <w:r>
                    <w:rPr>
                      <w:rFonts w:hint="default"/>
                      <w:color w:val="auto"/>
                      <w:lang w:val="en-US" w:eastAsia="zh-CN"/>
                    </w:rPr>
                    <w:t>地热换热站、</w:t>
                  </w:r>
                  <w:r>
                    <w:rPr>
                      <w:rFonts w:hint="default"/>
                      <w:color w:val="auto"/>
                    </w:rPr>
                    <w:t>泵房进行拆除</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rPr>
                  </w:pPr>
                  <w:r>
                    <w:rPr>
                      <w:rFonts w:hint="default"/>
                      <w:color w:val="auto"/>
                    </w:rPr>
                    <w:t>m</w:t>
                  </w:r>
                  <w:r>
                    <w:rPr>
                      <w:rFonts w:hint="default"/>
                      <w:color w:val="auto"/>
                      <w:vertAlign w:val="superscript"/>
                      <w:lang w:val="en-US" w:eastAsia="zh-CN"/>
                    </w:rPr>
                    <w:t>3</w:t>
                  </w:r>
                </w:p>
              </w:tc>
              <w:tc>
                <w:tcPr>
                  <w:tcW w:w="2696" w:type="dxa"/>
                  <w:noWrap w:val="0"/>
                  <w:vAlign w:val="center"/>
                </w:tcPr>
                <w:p>
                  <w:pPr>
                    <w:spacing w:line="280" w:lineRule="exact"/>
                    <w:ind w:firstLine="0" w:firstLineChars="0"/>
                    <w:jc w:val="both"/>
                    <w:rPr>
                      <w:rFonts w:hint="default"/>
                      <w:color w:val="auto"/>
                    </w:rPr>
                  </w:pPr>
                  <w:r>
                    <w:rPr>
                      <w:rFonts w:hint="default"/>
                      <w:color w:val="auto"/>
                    </w:rPr>
                    <w:t>地热井在矿山使用年限到期后，对</w:t>
                  </w:r>
                  <w:r>
                    <w:rPr>
                      <w:rFonts w:hint="default"/>
                      <w:color w:val="auto"/>
                      <w:lang w:val="en-US" w:eastAsia="zh-CN"/>
                    </w:rPr>
                    <w:t>地热换热站、</w:t>
                  </w:r>
                  <w:r>
                    <w:rPr>
                      <w:rFonts w:hint="default"/>
                      <w:color w:val="auto"/>
                    </w:rPr>
                    <w:t>泵房进行拆除</w:t>
                  </w:r>
                  <w:r>
                    <w:rPr>
                      <w:rFonts w:hint="default"/>
                      <w:color w:val="auto"/>
                      <w:lang w:eastAsia="zh-CN"/>
                    </w:rPr>
                    <w:t>，拆除体积</w:t>
                  </w:r>
                  <w:r>
                    <w:rPr>
                      <w:rFonts w:hint="eastAsia"/>
                      <w:color w:val="auto"/>
                      <w:lang w:val="en-US" w:eastAsia="zh-CN"/>
                    </w:rPr>
                    <w:t>900</w:t>
                  </w: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w:t>
                  </w:r>
                </w:p>
              </w:tc>
            </w:tr>
          </w:tbl>
          <w:p>
            <w:pPr>
              <w:pStyle w:val="4"/>
              <w:bidi w:val="0"/>
              <w:rPr>
                <w:rFonts w:hint="default"/>
                <w:color w:val="auto"/>
                <w:lang w:val="en-US" w:eastAsia="zh-CN"/>
              </w:rPr>
            </w:pPr>
            <w:r>
              <w:rPr>
                <w:rFonts w:hint="eastAsia"/>
                <w:color w:val="auto"/>
                <w:lang w:val="en-US" w:eastAsia="zh-CN"/>
              </w:rPr>
              <w:t>2、年度工作部署</w:t>
            </w:r>
          </w:p>
          <w:p>
            <w:pPr>
              <w:bidi w:val="0"/>
              <w:rPr>
                <w:rFonts w:hint="default"/>
                <w:color w:val="auto"/>
                <w:highlight w:val="none"/>
              </w:rPr>
            </w:pPr>
            <w:r>
              <w:rPr>
                <w:rFonts w:hint="default"/>
                <w:color w:val="auto"/>
                <w:highlight w:val="none"/>
              </w:rPr>
              <w:t>矿山地质环境治理分为近期（20</w:t>
            </w:r>
            <w:r>
              <w:rPr>
                <w:rFonts w:hint="eastAsia"/>
                <w:color w:val="auto"/>
                <w:highlight w:val="none"/>
                <w:lang w:val="en-US" w:eastAsia="zh-CN"/>
              </w:rPr>
              <w:t>22</w:t>
            </w:r>
            <w:r>
              <w:rPr>
                <w:rFonts w:hint="default"/>
                <w:color w:val="auto"/>
                <w:highlight w:val="none"/>
              </w:rPr>
              <w:t>年</w:t>
            </w:r>
            <w:r>
              <w:rPr>
                <w:rFonts w:hint="eastAsia"/>
                <w:color w:val="auto"/>
                <w:highlight w:val="none"/>
                <w:lang w:val="en-US" w:eastAsia="zh-CN"/>
              </w:rPr>
              <w:t>10</w:t>
            </w:r>
            <w:r>
              <w:rPr>
                <w:rFonts w:hint="default"/>
                <w:color w:val="auto"/>
                <w:highlight w:val="none"/>
                <w:lang w:eastAsia="zh-CN"/>
              </w:rPr>
              <w:t>月</w:t>
            </w:r>
            <w:r>
              <w:rPr>
                <w:rFonts w:hint="default"/>
                <w:color w:val="auto"/>
                <w:highlight w:val="none"/>
              </w:rPr>
              <w:t>～20</w:t>
            </w:r>
            <w:r>
              <w:rPr>
                <w:rFonts w:hint="eastAsia"/>
                <w:color w:val="auto"/>
                <w:highlight w:val="none"/>
                <w:lang w:val="en-US" w:eastAsia="zh-CN"/>
              </w:rPr>
              <w:t>27</w:t>
            </w:r>
            <w:r>
              <w:rPr>
                <w:rFonts w:hint="default"/>
                <w:color w:val="auto"/>
                <w:highlight w:val="none"/>
              </w:rPr>
              <w:t>年</w:t>
            </w:r>
            <w:r>
              <w:rPr>
                <w:rFonts w:hint="eastAsia"/>
                <w:color w:val="auto"/>
                <w:highlight w:val="none"/>
                <w:lang w:val="en-US" w:eastAsia="zh-CN"/>
              </w:rPr>
              <w:t>9</w:t>
            </w:r>
            <w:r>
              <w:rPr>
                <w:rFonts w:hint="default"/>
                <w:color w:val="auto"/>
                <w:highlight w:val="none"/>
                <w:lang w:eastAsia="zh-CN"/>
              </w:rPr>
              <w:t>月</w:t>
            </w:r>
            <w:r>
              <w:rPr>
                <w:rFonts w:hint="default"/>
                <w:color w:val="auto"/>
                <w:highlight w:val="none"/>
              </w:rPr>
              <w:t>），中期（20</w:t>
            </w:r>
            <w:r>
              <w:rPr>
                <w:rFonts w:hint="eastAsia"/>
                <w:color w:val="auto"/>
                <w:highlight w:val="none"/>
                <w:lang w:val="en-US" w:eastAsia="zh-CN"/>
              </w:rPr>
              <w:t>27</w:t>
            </w:r>
            <w:r>
              <w:rPr>
                <w:rFonts w:hint="default"/>
                <w:color w:val="auto"/>
                <w:highlight w:val="none"/>
              </w:rPr>
              <w:t>年</w:t>
            </w:r>
            <w:r>
              <w:rPr>
                <w:rFonts w:hint="eastAsia"/>
                <w:color w:val="auto"/>
                <w:highlight w:val="none"/>
                <w:lang w:val="en-US" w:eastAsia="zh-CN"/>
              </w:rPr>
              <w:t>10</w:t>
            </w:r>
            <w:r>
              <w:rPr>
                <w:rFonts w:hint="default"/>
                <w:color w:val="auto"/>
                <w:highlight w:val="none"/>
                <w:lang w:eastAsia="zh-CN"/>
              </w:rPr>
              <w:t>月</w:t>
            </w:r>
            <w:r>
              <w:rPr>
                <w:rFonts w:hint="default"/>
                <w:color w:val="auto"/>
                <w:highlight w:val="none"/>
              </w:rPr>
              <w:t>～20</w:t>
            </w:r>
            <w:r>
              <w:rPr>
                <w:rFonts w:hint="eastAsia"/>
                <w:color w:val="auto"/>
                <w:highlight w:val="none"/>
                <w:lang w:val="en-US" w:eastAsia="zh-CN"/>
              </w:rPr>
              <w:t>32</w:t>
            </w:r>
            <w:r>
              <w:rPr>
                <w:rFonts w:hint="default"/>
                <w:color w:val="auto"/>
                <w:highlight w:val="none"/>
              </w:rPr>
              <w:t>年</w:t>
            </w:r>
            <w:r>
              <w:rPr>
                <w:rFonts w:hint="eastAsia"/>
                <w:color w:val="auto"/>
                <w:highlight w:val="none"/>
                <w:lang w:val="en-US" w:eastAsia="zh-CN"/>
              </w:rPr>
              <w:t>9</w:t>
            </w:r>
            <w:r>
              <w:rPr>
                <w:rFonts w:hint="default"/>
                <w:color w:val="auto"/>
                <w:highlight w:val="none"/>
                <w:lang w:eastAsia="zh-CN"/>
              </w:rPr>
              <w:t>月</w:t>
            </w:r>
            <w:r>
              <w:rPr>
                <w:rFonts w:hint="default"/>
                <w:color w:val="auto"/>
                <w:highlight w:val="none"/>
              </w:rPr>
              <w:t>）和远期（20</w:t>
            </w:r>
            <w:r>
              <w:rPr>
                <w:rFonts w:hint="eastAsia"/>
                <w:color w:val="auto"/>
                <w:highlight w:val="none"/>
                <w:lang w:val="en-US" w:eastAsia="zh-CN"/>
              </w:rPr>
              <w:t>32</w:t>
            </w:r>
            <w:r>
              <w:rPr>
                <w:rFonts w:hint="default"/>
                <w:color w:val="auto"/>
                <w:highlight w:val="none"/>
              </w:rPr>
              <w:t>年</w:t>
            </w:r>
            <w:r>
              <w:rPr>
                <w:rFonts w:hint="eastAsia"/>
                <w:color w:val="auto"/>
                <w:highlight w:val="none"/>
                <w:lang w:val="en-US" w:eastAsia="zh-CN"/>
              </w:rPr>
              <w:t>10</w:t>
            </w:r>
            <w:r>
              <w:rPr>
                <w:rFonts w:hint="default"/>
                <w:color w:val="auto"/>
                <w:highlight w:val="none"/>
                <w:lang w:eastAsia="zh-CN"/>
              </w:rPr>
              <w:t>月</w:t>
            </w:r>
            <w:r>
              <w:rPr>
                <w:rFonts w:hint="default"/>
                <w:color w:val="auto"/>
                <w:highlight w:val="none"/>
              </w:rPr>
              <w:t>～20</w:t>
            </w:r>
            <w:r>
              <w:rPr>
                <w:rFonts w:hint="eastAsia"/>
                <w:color w:val="auto"/>
                <w:highlight w:val="none"/>
                <w:lang w:val="en-US" w:eastAsia="zh-CN"/>
              </w:rPr>
              <w:t>40</w:t>
            </w:r>
            <w:r>
              <w:rPr>
                <w:rFonts w:hint="default"/>
                <w:color w:val="auto"/>
                <w:highlight w:val="none"/>
              </w:rPr>
              <w:t>年</w:t>
            </w:r>
            <w:r>
              <w:rPr>
                <w:rFonts w:hint="eastAsia"/>
                <w:color w:val="auto"/>
                <w:highlight w:val="none"/>
                <w:lang w:val="en-US" w:eastAsia="zh-CN"/>
              </w:rPr>
              <w:t>9</w:t>
            </w:r>
            <w:r>
              <w:rPr>
                <w:rFonts w:hint="default"/>
                <w:color w:val="auto"/>
                <w:highlight w:val="none"/>
              </w:rPr>
              <w:t>月）三个阶段，采取近细远粗的原则部署治理措施。</w:t>
            </w:r>
          </w:p>
          <w:p>
            <w:pPr>
              <w:bidi w:val="0"/>
              <w:rPr>
                <w:rFonts w:hint="eastAsia"/>
                <w:color w:val="auto"/>
                <w:highlight w:val="none"/>
              </w:rPr>
            </w:pPr>
            <w:r>
              <w:rPr>
                <w:rFonts w:hint="eastAsia"/>
                <w:color w:val="auto"/>
                <w:highlight w:val="none"/>
              </w:rPr>
              <w:t>（</w:t>
            </w:r>
            <w:r>
              <w:rPr>
                <w:rFonts w:hint="eastAsia"/>
                <w:color w:val="auto"/>
                <w:highlight w:val="none"/>
                <w:lang w:val="en-US" w:eastAsia="zh-CN"/>
              </w:rPr>
              <w:t>1</w:t>
            </w:r>
            <w:r>
              <w:rPr>
                <w:rFonts w:hint="eastAsia"/>
                <w:color w:val="auto"/>
                <w:highlight w:val="none"/>
              </w:rPr>
              <w:t>）近期工作安排</w:t>
            </w:r>
          </w:p>
          <w:p>
            <w:pPr>
              <w:spacing w:line="240" w:lineRule="auto"/>
              <w:ind w:firstLine="0" w:firstLineChars="0"/>
              <w:jc w:val="center"/>
              <w:rPr>
                <w:rFonts w:hint="eastAsia" w:ascii="仿宋" w:hAnsi="仿宋" w:eastAsia="仿宋" w:cs="仿宋"/>
                <w:b/>
                <w:bCs/>
                <w:color w:val="auto"/>
                <w:highlight w:val="none"/>
                <w:lang w:val="en-US" w:eastAsia="zh-CN"/>
              </w:rPr>
            </w:pPr>
            <w:r>
              <w:rPr>
                <w:rFonts w:hint="eastAsia" w:ascii="仿宋" w:hAnsi="仿宋" w:eastAsia="仿宋" w:cs="仿宋"/>
                <w:b/>
                <w:bCs/>
                <w:color w:val="auto"/>
                <w:highlight w:val="none"/>
                <w:lang w:val="en-US" w:eastAsia="zh-CN"/>
              </w:rPr>
              <w:t>近期（2022年10月～2027年9月）治理部署计划表  表6</w:t>
            </w:r>
          </w:p>
          <w:tbl>
            <w:tblPr>
              <w:tblStyle w:val="14"/>
              <w:tblW w:w="837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10"/>
              <w:gridCol w:w="1184"/>
              <w:gridCol w:w="1487"/>
              <w:gridCol w:w="3107"/>
              <w:gridCol w:w="13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39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rPr>
                  </w:pPr>
                  <w:r>
                    <w:rPr>
                      <w:rFonts w:hint="default"/>
                      <w:color w:val="auto"/>
                      <w:highlight w:val="none"/>
                    </w:rPr>
                    <w:t>矿山地质环境问题</w:t>
                  </w:r>
                </w:p>
              </w:tc>
              <w:tc>
                <w:tcPr>
                  <w:tcW w:w="148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rPr>
                  </w:pPr>
                  <w:r>
                    <w:rPr>
                      <w:rFonts w:hint="default"/>
                      <w:color w:val="auto"/>
                      <w:highlight w:val="none"/>
                    </w:rPr>
                    <w:t>防治工程</w:t>
                  </w:r>
                </w:p>
              </w:tc>
              <w:tc>
                <w:tcPr>
                  <w:tcW w:w="31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rPr>
                  </w:pPr>
                  <w:r>
                    <w:rPr>
                      <w:rFonts w:hint="default"/>
                      <w:color w:val="auto"/>
                      <w:highlight w:val="none"/>
                    </w:rPr>
                    <w:t>防治时间</w:t>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rPr>
                  </w:pPr>
                  <w:r>
                    <w:rPr>
                      <w:rFonts w:hint="default"/>
                      <w:color w:val="auto"/>
                      <w:highlight w:val="none"/>
                    </w:rPr>
                    <w:t>防治等级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21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lang w:eastAsia="zh-CN"/>
                    </w:rPr>
                  </w:pPr>
                  <w:r>
                    <w:rPr>
                      <w:rFonts w:hint="default"/>
                      <w:color w:val="auto"/>
                      <w:highlight w:val="none"/>
                    </w:rPr>
                    <w:t>矿山地质环境监测</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rPr>
                  </w:pPr>
                  <w:r>
                    <w:rPr>
                      <w:rFonts w:hint="default"/>
                      <w:color w:val="auto"/>
                      <w:highlight w:val="none"/>
                    </w:rPr>
                    <w:t>含水层</w:t>
                  </w:r>
                </w:p>
              </w:tc>
              <w:tc>
                <w:tcPr>
                  <w:tcW w:w="148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rPr>
                  </w:pPr>
                  <w:r>
                    <w:rPr>
                      <w:rFonts w:hint="default"/>
                      <w:color w:val="auto"/>
                      <w:highlight w:val="none"/>
                    </w:rPr>
                    <w:t>监测</w:t>
                  </w:r>
                </w:p>
              </w:tc>
              <w:tc>
                <w:tcPr>
                  <w:tcW w:w="31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rPr>
                  </w:pPr>
                  <w:r>
                    <w:rPr>
                      <w:rFonts w:hint="default"/>
                      <w:color w:val="auto"/>
                      <w:highlight w:val="none"/>
                      <w:lang w:val="en-US" w:eastAsia="zh-CN"/>
                    </w:rPr>
                    <w:t>2022年10月—2027年9月</w:t>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rPr>
                  </w:pPr>
                  <w:r>
                    <w:rPr>
                      <w:rFonts w:hint="default"/>
                      <w:color w:val="auto"/>
                      <w:highlight w:val="none"/>
                    </w:rPr>
                    <w:t>一般防治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121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lang w:eastAsia="zh-CN"/>
                    </w:rPr>
                  </w:pP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lang w:eastAsia="zh-CN"/>
                    </w:rPr>
                  </w:pPr>
                  <w:r>
                    <w:rPr>
                      <w:rFonts w:hint="default"/>
                      <w:color w:val="auto"/>
                      <w:highlight w:val="none"/>
                      <w:lang w:eastAsia="zh-CN"/>
                    </w:rPr>
                    <w:t>地面沉降</w:t>
                  </w:r>
                </w:p>
              </w:tc>
              <w:tc>
                <w:tcPr>
                  <w:tcW w:w="148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lang w:eastAsia="zh-CN"/>
                    </w:rPr>
                  </w:pPr>
                  <w:r>
                    <w:rPr>
                      <w:rFonts w:hint="default"/>
                      <w:color w:val="auto"/>
                      <w:highlight w:val="none"/>
                      <w:lang w:eastAsia="zh-CN"/>
                    </w:rPr>
                    <w:t>监测</w:t>
                  </w:r>
                </w:p>
              </w:tc>
              <w:tc>
                <w:tcPr>
                  <w:tcW w:w="31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rPr>
                  </w:pPr>
                  <w:r>
                    <w:rPr>
                      <w:rFonts w:hint="default"/>
                      <w:color w:val="auto"/>
                      <w:highlight w:val="none"/>
                      <w:lang w:val="en-US" w:eastAsia="zh-CN"/>
                    </w:rPr>
                    <w:t>2022年10月—2027年9月</w:t>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highlight w:val="none"/>
                    </w:rPr>
                  </w:pPr>
                  <w:r>
                    <w:rPr>
                      <w:rFonts w:hint="default"/>
                      <w:color w:val="auto"/>
                      <w:highlight w:val="none"/>
                    </w:rPr>
                    <w:t>一般防治</w:t>
                  </w:r>
                </w:p>
              </w:tc>
            </w:tr>
          </w:tbl>
          <w:p>
            <w:pPr>
              <w:bidi w:val="0"/>
              <w:rPr>
                <w:rFonts w:hint="eastAsia"/>
                <w:color w:val="auto"/>
                <w:highlight w:val="none"/>
              </w:rPr>
            </w:pPr>
            <w:r>
              <w:rPr>
                <w:rFonts w:hint="eastAsia"/>
                <w:color w:val="auto"/>
                <w:highlight w:val="none"/>
              </w:rPr>
              <w:t>（</w:t>
            </w:r>
            <w:r>
              <w:rPr>
                <w:rFonts w:hint="eastAsia"/>
                <w:color w:val="auto"/>
                <w:highlight w:val="none"/>
                <w:lang w:val="en-US" w:eastAsia="zh-CN"/>
              </w:rPr>
              <w:t>2</w:t>
            </w:r>
            <w:r>
              <w:rPr>
                <w:rFonts w:hint="eastAsia"/>
                <w:color w:val="auto"/>
                <w:highlight w:val="none"/>
              </w:rPr>
              <w:t>）中、远期工作安排</w:t>
            </w:r>
          </w:p>
          <w:p>
            <w:pPr>
              <w:spacing w:line="240" w:lineRule="auto"/>
              <w:ind w:firstLine="0" w:firstLineChars="0"/>
              <w:jc w:val="center"/>
              <w:rPr>
                <w:rFonts w:hint="eastAsia" w:ascii="仿宋" w:hAnsi="仿宋" w:eastAsia="仿宋" w:cs="仿宋"/>
                <w:b/>
                <w:bCs/>
                <w:color w:val="auto"/>
                <w:highlight w:val="none"/>
                <w:lang w:val="en-US" w:eastAsia="zh-CN"/>
              </w:rPr>
            </w:pPr>
            <w:r>
              <w:rPr>
                <w:rFonts w:hint="eastAsia" w:ascii="仿宋" w:hAnsi="仿宋" w:eastAsia="仿宋" w:cs="仿宋"/>
                <w:b/>
                <w:bCs/>
                <w:color w:val="auto"/>
                <w:highlight w:val="none"/>
                <w:lang w:val="en-US" w:eastAsia="zh-CN"/>
              </w:rPr>
              <w:t>中、远期（2027年10月～2040年9月）治理部署计划表  表7</w:t>
            </w:r>
          </w:p>
          <w:tbl>
            <w:tblPr>
              <w:tblStyle w:val="14"/>
              <w:tblW w:w="841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38"/>
              <w:gridCol w:w="1232"/>
              <w:gridCol w:w="1432"/>
              <w:gridCol w:w="3114"/>
              <w:gridCol w:w="140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50" w:hRule="atLeast"/>
                <w:jc w:val="center"/>
              </w:trPr>
              <w:tc>
                <w:tcPr>
                  <w:tcW w:w="2470" w:type="dxa"/>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highlight w:val="none"/>
                    </w:rPr>
                  </w:pPr>
                  <w:r>
                    <w:rPr>
                      <w:rFonts w:hint="default"/>
                      <w:color w:val="auto"/>
                      <w:highlight w:val="none"/>
                    </w:rPr>
                    <w:t>矿山地质环境问题</w:t>
                  </w:r>
                </w:p>
              </w:tc>
              <w:tc>
                <w:tcPr>
                  <w:tcW w:w="143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highlight w:val="none"/>
                    </w:rPr>
                  </w:pPr>
                  <w:r>
                    <w:rPr>
                      <w:rFonts w:hint="default"/>
                      <w:color w:val="auto"/>
                      <w:highlight w:val="none"/>
                    </w:rPr>
                    <w:t>防治工程</w:t>
                  </w:r>
                </w:p>
              </w:tc>
              <w:tc>
                <w:tcPr>
                  <w:tcW w:w="311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highlight w:val="none"/>
                    </w:rPr>
                  </w:pPr>
                  <w:r>
                    <w:rPr>
                      <w:rFonts w:hint="default"/>
                      <w:color w:val="auto"/>
                      <w:highlight w:val="none"/>
                    </w:rPr>
                    <w:t>防治时间</w:t>
                  </w:r>
                </w:p>
              </w:tc>
              <w:tc>
                <w:tcPr>
                  <w:tcW w:w="14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highlight w:val="none"/>
                    </w:rPr>
                  </w:pPr>
                  <w:r>
                    <w:rPr>
                      <w:rFonts w:hint="default"/>
                      <w:color w:val="auto"/>
                      <w:highlight w:val="none"/>
                    </w:rPr>
                    <w:t>防治等级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1238" w:type="dxa"/>
                  <w:vMerge w:val="restart"/>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rPr>
                  </w:pPr>
                  <w:r>
                    <w:rPr>
                      <w:rFonts w:hint="default"/>
                      <w:color w:val="auto"/>
                      <w:highlight w:val="none"/>
                    </w:rPr>
                    <w:t>矿山地质环境监测</w:t>
                  </w:r>
                </w:p>
              </w:tc>
              <w:tc>
                <w:tcPr>
                  <w:tcW w:w="12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rPr>
                  </w:pPr>
                  <w:r>
                    <w:rPr>
                      <w:rFonts w:hint="default"/>
                      <w:color w:val="auto"/>
                      <w:highlight w:val="none"/>
                    </w:rPr>
                    <w:t>含水层</w:t>
                  </w:r>
                </w:p>
              </w:tc>
              <w:tc>
                <w:tcPr>
                  <w:tcW w:w="14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rPr>
                  </w:pPr>
                  <w:r>
                    <w:rPr>
                      <w:rFonts w:hint="default"/>
                      <w:color w:val="auto"/>
                      <w:highlight w:val="none"/>
                    </w:rPr>
                    <w:t>监测</w:t>
                  </w:r>
                </w:p>
              </w:tc>
              <w:tc>
                <w:tcPr>
                  <w:tcW w:w="311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highlight w:val="none"/>
                    </w:rPr>
                  </w:pPr>
                  <w:r>
                    <w:rPr>
                      <w:rFonts w:hint="default"/>
                      <w:color w:val="auto"/>
                      <w:highlight w:val="none"/>
                    </w:rPr>
                    <w:t>20</w:t>
                  </w:r>
                  <w:r>
                    <w:rPr>
                      <w:rFonts w:hint="default"/>
                      <w:color w:val="auto"/>
                      <w:highlight w:val="none"/>
                      <w:lang w:val="en-US" w:eastAsia="zh-CN"/>
                    </w:rPr>
                    <w:t>27</w:t>
                  </w:r>
                  <w:r>
                    <w:rPr>
                      <w:rFonts w:hint="default"/>
                      <w:color w:val="auto"/>
                      <w:highlight w:val="none"/>
                    </w:rPr>
                    <w:t>年</w:t>
                  </w:r>
                  <w:r>
                    <w:rPr>
                      <w:rFonts w:hint="default"/>
                      <w:color w:val="auto"/>
                      <w:highlight w:val="none"/>
                      <w:lang w:val="en-US" w:eastAsia="zh-CN"/>
                    </w:rPr>
                    <w:t>10</w:t>
                  </w:r>
                  <w:r>
                    <w:rPr>
                      <w:rFonts w:hint="default"/>
                      <w:color w:val="auto"/>
                      <w:highlight w:val="none"/>
                      <w:lang w:eastAsia="zh-CN"/>
                    </w:rPr>
                    <w:t>月</w:t>
                  </w:r>
                  <w:r>
                    <w:rPr>
                      <w:rFonts w:hint="default"/>
                      <w:color w:val="auto"/>
                      <w:highlight w:val="none"/>
                    </w:rPr>
                    <w:t>—20</w:t>
                  </w:r>
                  <w:r>
                    <w:rPr>
                      <w:rFonts w:hint="eastAsia"/>
                      <w:color w:val="auto"/>
                      <w:highlight w:val="none"/>
                      <w:lang w:val="en-US" w:eastAsia="zh-CN"/>
                    </w:rPr>
                    <w:t>40</w:t>
                  </w:r>
                  <w:r>
                    <w:rPr>
                      <w:rFonts w:hint="default"/>
                      <w:color w:val="auto"/>
                      <w:highlight w:val="none"/>
                    </w:rPr>
                    <w:t>年</w:t>
                  </w:r>
                  <w:r>
                    <w:rPr>
                      <w:rFonts w:hint="default"/>
                      <w:color w:val="auto"/>
                      <w:highlight w:val="none"/>
                      <w:lang w:val="en-US" w:eastAsia="zh-CN"/>
                    </w:rPr>
                    <w:t>9</w:t>
                  </w:r>
                  <w:r>
                    <w:rPr>
                      <w:rFonts w:hint="default"/>
                      <w:color w:val="auto"/>
                      <w:highlight w:val="none"/>
                    </w:rPr>
                    <w:t>月</w:t>
                  </w:r>
                </w:p>
              </w:tc>
              <w:tc>
                <w:tcPr>
                  <w:tcW w:w="14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highlight w:val="none"/>
                    </w:rPr>
                  </w:pPr>
                  <w:r>
                    <w:rPr>
                      <w:rFonts w:hint="default"/>
                      <w:color w:val="auto"/>
                      <w:highlight w:val="none"/>
                    </w:rPr>
                    <w:t>一般防治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1" w:hRule="atLeast"/>
                <w:jc w:val="center"/>
              </w:trPr>
              <w:tc>
                <w:tcPr>
                  <w:tcW w:w="1238" w:type="dxa"/>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rPr>
                  </w:pPr>
                </w:p>
              </w:tc>
              <w:tc>
                <w:tcPr>
                  <w:tcW w:w="12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lang w:eastAsia="zh-CN"/>
                    </w:rPr>
                  </w:pPr>
                  <w:r>
                    <w:rPr>
                      <w:rFonts w:hint="default"/>
                      <w:color w:val="auto"/>
                      <w:highlight w:val="none"/>
                      <w:lang w:eastAsia="zh-CN"/>
                    </w:rPr>
                    <w:t>地面沉降</w:t>
                  </w:r>
                </w:p>
              </w:tc>
              <w:tc>
                <w:tcPr>
                  <w:tcW w:w="14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rPr>
                  </w:pPr>
                  <w:r>
                    <w:rPr>
                      <w:rFonts w:hint="default"/>
                      <w:color w:val="auto"/>
                      <w:highlight w:val="none"/>
                      <w:lang w:eastAsia="zh-CN"/>
                    </w:rPr>
                    <w:t>监测</w:t>
                  </w:r>
                </w:p>
              </w:tc>
              <w:tc>
                <w:tcPr>
                  <w:tcW w:w="311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highlight w:val="none"/>
                    </w:rPr>
                  </w:pPr>
                  <w:r>
                    <w:rPr>
                      <w:rFonts w:hint="default"/>
                      <w:color w:val="auto"/>
                      <w:highlight w:val="none"/>
                    </w:rPr>
                    <w:t>20</w:t>
                  </w:r>
                  <w:r>
                    <w:rPr>
                      <w:rFonts w:hint="default"/>
                      <w:color w:val="auto"/>
                      <w:highlight w:val="none"/>
                      <w:lang w:val="en-US" w:eastAsia="zh-CN"/>
                    </w:rPr>
                    <w:t>27</w:t>
                  </w:r>
                  <w:r>
                    <w:rPr>
                      <w:rFonts w:hint="default"/>
                      <w:color w:val="auto"/>
                      <w:highlight w:val="none"/>
                    </w:rPr>
                    <w:t>年</w:t>
                  </w:r>
                  <w:r>
                    <w:rPr>
                      <w:rFonts w:hint="default"/>
                      <w:color w:val="auto"/>
                      <w:highlight w:val="none"/>
                      <w:lang w:val="en-US" w:eastAsia="zh-CN"/>
                    </w:rPr>
                    <w:t>10</w:t>
                  </w:r>
                  <w:r>
                    <w:rPr>
                      <w:rFonts w:hint="default"/>
                      <w:color w:val="auto"/>
                      <w:highlight w:val="none"/>
                      <w:lang w:eastAsia="zh-CN"/>
                    </w:rPr>
                    <w:t>月</w:t>
                  </w:r>
                  <w:r>
                    <w:rPr>
                      <w:rFonts w:hint="default"/>
                      <w:color w:val="auto"/>
                      <w:highlight w:val="none"/>
                    </w:rPr>
                    <w:t>—20</w:t>
                  </w:r>
                  <w:r>
                    <w:rPr>
                      <w:rFonts w:hint="eastAsia"/>
                      <w:color w:val="auto"/>
                      <w:highlight w:val="none"/>
                      <w:lang w:val="en-US" w:eastAsia="zh-CN"/>
                    </w:rPr>
                    <w:t>40</w:t>
                  </w:r>
                  <w:r>
                    <w:rPr>
                      <w:rFonts w:hint="default"/>
                      <w:color w:val="auto"/>
                      <w:highlight w:val="none"/>
                    </w:rPr>
                    <w:t>年</w:t>
                  </w:r>
                  <w:r>
                    <w:rPr>
                      <w:rFonts w:hint="default"/>
                      <w:color w:val="auto"/>
                      <w:highlight w:val="none"/>
                      <w:lang w:val="en-US" w:eastAsia="zh-CN"/>
                    </w:rPr>
                    <w:t>9</w:t>
                  </w:r>
                  <w:r>
                    <w:rPr>
                      <w:rFonts w:hint="default"/>
                      <w:color w:val="auto"/>
                      <w:highlight w:val="none"/>
                    </w:rPr>
                    <w:t>月</w:t>
                  </w:r>
                </w:p>
              </w:tc>
              <w:tc>
                <w:tcPr>
                  <w:tcW w:w="14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highlight w:val="none"/>
                    </w:rPr>
                  </w:pPr>
                  <w:r>
                    <w:rPr>
                      <w:rFonts w:hint="default"/>
                      <w:color w:val="auto"/>
                      <w:highlight w:val="none"/>
                    </w:rPr>
                    <w:t>一般防治</w:t>
                  </w:r>
                </w:p>
              </w:tc>
            </w:tr>
          </w:tbl>
          <w:p>
            <w:pPr>
              <w:bidi w:val="0"/>
              <w:rPr>
                <w:rFonts w:hint="default"/>
                <w:color w:val="auto"/>
                <w:highlight w:val="none"/>
                <w:lang w:val="en-US" w:eastAsia="zh-CN"/>
              </w:rPr>
            </w:pPr>
            <w:r>
              <w:rPr>
                <w:rFonts w:hint="eastAsia"/>
                <w:color w:val="auto"/>
                <w:highlight w:val="none"/>
                <w:lang w:val="en-US" w:eastAsia="zh-CN"/>
              </w:rPr>
              <w:t>（3）近期年度工作安排</w:t>
            </w:r>
          </w:p>
          <w:p>
            <w:pPr>
              <w:spacing w:line="240" w:lineRule="auto"/>
              <w:ind w:firstLine="0" w:firstLineChars="0"/>
              <w:jc w:val="center"/>
              <w:rPr>
                <w:rFonts w:hint="eastAsia" w:ascii="仿宋" w:hAnsi="仿宋" w:eastAsia="仿宋" w:cs="仿宋"/>
                <w:b/>
                <w:bCs/>
                <w:color w:val="auto"/>
                <w:lang w:val="en-US" w:eastAsia="zh-CN"/>
              </w:rPr>
            </w:pPr>
            <w:r>
              <w:rPr>
                <w:rFonts w:hint="eastAsia" w:ascii="仿宋" w:hAnsi="仿宋" w:eastAsia="仿宋" w:cs="仿宋"/>
                <w:b/>
                <w:bCs/>
                <w:color w:val="auto"/>
                <w:highlight w:val="none"/>
                <w:lang w:val="en-US" w:eastAsia="zh-CN"/>
              </w:rPr>
              <w:t xml:space="preserve">适用期年度工作安排（2022年10月-2027年9月）  表8 </w:t>
            </w:r>
          </w:p>
          <w:tbl>
            <w:tblPr>
              <w:tblStyle w:val="14"/>
              <w:tblW w:w="827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4"/>
              <w:gridCol w:w="1680"/>
              <w:gridCol w:w="492"/>
              <w:gridCol w:w="584"/>
              <w:gridCol w:w="1087"/>
              <w:gridCol w:w="1063"/>
              <w:gridCol w:w="1035"/>
              <w:gridCol w:w="1008"/>
              <w:gridCol w:w="97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3" w:hRule="atLeast"/>
              </w:trPr>
              <w:tc>
                <w:tcPr>
                  <w:tcW w:w="354" w:type="dxa"/>
                  <w:noWrap w:val="0"/>
                  <w:vAlign w:val="center"/>
                </w:tcPr>
                <w:p>
                  <w:pPr>
                    <w:spacing w:line="280" w:lineRule="exact"/>
                    <w:ind w:firstLine="0" w:firstLineChars="0"/>
                    <w:jc w:val="center"/>
                    <w:rPr>
                      <w:rFonts w:hint="default"/>
                      <w:color w:val="auto"/>
                      <w:sz w:val="24"/>
                      <w:szCs w:val="24"/>
                      <w:highlight w:val="none"/>
                    </w:rPr>
                  </w:pPr>
                  <w:r>
                    <w:rPr>
                      <w:rFonts w:hint="default"/>
                      <w:color w:val="auto"/>
                      <w:sz w:val="24"/>
                      <w:szCs w:val="24"/>
                      <w:highlight w:val="none"/>
                    </w:rPr>
                    <w:t>序号</w:t>
                  </w:r>
                </w:p>
              </w:tc>
              <w:tc>
                <w:tcPr>
                  <w:tcW w:w="1680" w:type="dxa"/>
                  <w:noWrap w:val="0"/>
                  <w:vAlign w:val="center"/>
                </w:tcPr>
                <w:p>
                  <w:pPr>
                    <w:spacing w:line="280" w:lineRule="exact"/>
                    <w:ind w:firstLine="0" w:firstLineChars="0"/>
                    <w:jc w:val="center"/>
                    <w:rPr>
                      <w:rFonts w:hint="default"/>
                      <w:color w:val="auto"/>
                      <w:sz w:val="24"/>
                      <w:szCs w:val="24"/>
                      <w:highlight w:val="none"/>
                    </w:rPr>
                  </w:pPr>
                  <w:r>
                    <w:rPr>
                      <w:rFonts w:hint="default"/>
                      <w:color w:val="auto"/>
                      <w:sz w:val="24"/>
                      <w:szCs w:val="24"/>
                      <w:highlight w:val="none"/>
                    </w:rPr>
                    <w:t>项目工程名称</w:t>
                  </w:r>
                </w:p>
              </w:tc>
              <w:tc>
                <w:tcPr>
                  <w:tcW w:w="492" w:type="dxa"/>
                  <w:noWrap w:val="0"/>
                  <w:vAlign w:val="center"/>
                </w:tcPr>
                <w:p>
                  <w:pPr>
                    <w:spacing w:line="280" w:lineRule="exact"/>
                    <w:ind w:firstLine="0" w:firstLineChars="0"/>
                    <w:jc w:val="center"/>
                    <w:rPr>
                      <w:rFonts w:hint="default"/>
                      <w:color w:val="auto"/>
                      <w:sz w:val="24"/>
                      <w:szCs w:val="24"/>
                      <w:highlight w:val="none"/>
                    </w:rPr>
                  </w:pPr>
                  <w:r>
                    <w:rPr>
                      <w:rFonts w:hint="default"/>
                      <w:color w:val="auto"/>
                      <w:sz w:val="24"/>
                      <w:szCs w:val="24"/>
                      <w:highlight w:val="none"/>
                    </w:rPr>
                    <w:t>单位</w:t>
                  </w:r>
                </w:p>
              </w:tc>
              <w:tc>
                <w:tcPr>
                  <w:tcW w:w="584" w:type="dxa"/>
                  <w:noWrap w:val="0"/>
                  <w:vAlign w:val="center"/>
                </w:tcPr>
                <w:p>
                  <w:pPr>
                    <w:spacing w:line="280" w:lineRule="exact"/>
                    <w:ind w:firstLine="0" w:firstLineChars="0"/>
                    <w:jc w:val="center"/>
                    <w:rPr>
                      <w:rFonts w:hint="default"/>
                      <w:color w:val="auto"/>
                      <w:sz w:val="24"/>
                      <w:szCs w:val="24"/>
                      <w:highlight w:val="none"/>
                    </w:rPr>
                  </w:pPr>
                  <w:r>
                    <w:rPr>
                      <w:rFonts w:hint="default"/>
                      <w:color w:val="auto"/>
                      <w:sz w:val="24"/>
                      <w:szCs w:val="24"/>
                      <w:highlight w:val="none"/>
                    </w:rPr>
                    <w:t>数量</w:t>
                  </w:r>
                </w:p>
              </w:tc>
              <w:tc>
                <w:tcPr>
                  <w:tcW w:w="1087" w:type="dxa"/>
                  <w:noWrap w:val="0"/>
                  <w:vAlign w:val="center"/>
                </w:tcPr>
                <w:p>
                  <w:pPr>
                    <w:spacing w:line="280" w:lineRule="exact"/>
                    <w:ind w:firstLine="0" w:firstLineChars="0"/>
                    <w:jc w:val="center"/>
                    <w:rPr>
                      <w:rFonts w:hint="default"/>
                      <w:color w:val="auto"/>
                      <w:sz w:val="21"/>
                      <w:szCs w:val="21"/>
                      <w:highlight w:val="none"/>
                    </w:rPr>
                  </w:pPr>
                  <w:r>
                    <w:rPr>
                      <w:rFonts w:hint="default"/>
                      <w:color w:val="auto"/>
                      <w:sz w:val="21"/>
                      <w:szCs w:val="21"/>
                      <w:highlight w:val="none"/>
                    </w:rPr>
                    <w:t>20</w:t>
                  </w:r>
                  <w:r>
                    <w:rPr>
                      <w:rFonts w:hint="default"/>
                      <w:color w:val="auto"/>
                      <w:sz w:val="21"/>
                      <w:szCs w:val="21"/>
                      <w:highlight w:val="none"/>
                      <w:lang w:val="en-US" w:eastAsia="zh-CN"/>
                    </w:rPr>
                    <w:t>22</w:t>
                  </w:r>
                  <w:r>
                    <w:rPr>
                      <w:rFonts w:hint="default"/>
                      <w:color w:val="auto"/>
                      <w:sz w:val="21"/>
                      <w:szCs w:val="21"/>
                      <w:highlight w:val="none"/>
                      <w:lang w:eastAsia="zh-CN"/>
                    </w:rPr>
                    <w:t>.</w:t>
                  </w:r>
                  <w:r>
                    <w:rPr>
                      <w:rFonts w:hint="default"/>
                      <w:color w:val="auto"/>
                      <w:sz w:val="21"/>
                      <w:szCs w:val="21"/>
                      <w:highlight w:val="none"/>
                      <w:lang w:val="en-US" w:eastAsia="zh-CN"/>
                    </w:rPr>
                    <w:t>10</w:t>
                  </w:r>
                  <w:r>
                    <w:rPr>
                      <w:rFonts w:hint="default"/>
                      <w:color w:val="auto"/>
                      <w:sz w:val="21"/>
                      <w:szCs w:val="21"/>
                      <w:highlight w:val="none"/>
                    </w:rPr>
                    <w:t>-</w:t>
                  </w:r>
                </w:p>
                <w:p>
                  <w:pPr>
                    <w:spacing w:line="280" w:lineRule="exact"/>
                    <w:ind w:firstLine="0" w:firstLineChars="0"/>
                    <w:jc w:val="center"/>
                    <w:rPr>
                      <w:rFonts w:hint="default"/>
                      <w:color w:val="auto"/>
                      <w:sz w:val="21"/>
                      <w:szCs w:val="21"/>
                      <w:highlight w:val="none"/>
                    </w:rPr>
                  </w:pPr>
                  <w:r>
                    <w:rPr>
                      <w:rFonts w:hint="default"/>
                      <w:color w:val="auto"/>
                      <w:sz w:val="21"/>
                      <w:szCs w:val="21"/>
                      <w:highlight w:val="none"/>
                    </w:rPr>
                    <w:t>20</w:t>
                  </w:r>
                  <w:r>
                    <w:rPr>
                      <w:rFonts w:hint="default"/>
                      <w:color w:val="auto"/>
                      <w:sz w:val="21"/>
                      <w:szCs w:val="21"/>
                      <w:highlight w:val="none"/>
                      <w:lang w:val="en-US" w:eastAsia="zh-CN"/>
                    </w:rPr>
                    <w:t>23</w:t>
                  </w:r>
                  <w:r>
                    <w:rPr>
                      <w:rFonts w:hint="default"/>
                      <w:color w:val="auto"/>
                      <w:sz w:val="21"/>
                      <w:szCs w:val="21"/>
                      <w:highlight w:val="none"/>
                    </w:rPr>
                    <w:t>.</w:t>
                  </w:r>
                  <w:r>
                    <w:rPr>
                      <w:rFonts w:hint="default"/>
                      <w:color w:val="auto"/>
                      <w:sz w:val="21"/>
                      <w:szCs w:val="21"/>
                      <w:highlight w:val="none"/>
                      <w:lang w:val="en-US" w:eastAsia="zh-CN"/>
                    </w:rPr>
                    <w:t>9</w:t>
                  </w:r>
                </w:p>
              </w:tc>
              <w:tc>
                <w:tcPr>
                  <w:tcW w:w="1063" w:type="dxa"/>
                  <w:noWrap w:val="0"/>
                  <w:vAlign w:val="center"/>
                </w:tcPr>
                <w:p>
                  <w:pPr>
                    <w:spacing w:line="280" w:lineRule="exact"/>
                    <w:ind w:firstLine="0" w:firstLineChars="0"/>
                    <w:jc w:val="center"/>
                    <w:rPr>
                      <w:rFonts w:hint="default"/>
                      <w:color w:val="auto"/>
                      <w:sz w:val="21"/>
                      <w:szCs w:val="21"/>
                      <w:highlight w:val="none"/>
                    </w:rPr>
                  </w:pPr>
                  <w:r>
                    <w:rPr>
                      <w:rFonts w:hint="default"/>
                      <w:color w:val="auto"/>
                      <w:sz w:val="21"/>
                      <w:szCs w:val="21"/>
                      <w:highlight w:val="none"/>
                    </w:rPr>
                    <w:t>20</w:t>
                  </w:r>
                  <w:r>
                    <w:rPr>
                      <w:rFonts w:hint="default"/>
                      <w:color w:val="auto"/>
                      <w:sz w:val="21"/>
                      <w:szCs w:val="21"/>
                      <w:highlight w:val="none"/>
                      <w:lang w:val="en-US" w:eastAsia="zh-CN"/>
                    </w:rPr>
                    <w:t>23</w:t>
                  </w:r>
                  <w:r>
                    <w:rPr>
                      <w:rFonts w:hint="default"/>
                      <w:color w:val="auto"/>
                      <w:sz w:val="21"/>
                      <w:szCs w:val="21"/>
                      <w:highlight w:val="none"/>
                      <w:lang w:eastAsia="zh-CN"/>
                    </w:rPr>
                    <w:t>.</w:t>
                  </w:r>
                  <w:r>
                    <w:rPr>
                      <w:rFonts w:hint="default"/>
                      <w:color w:val="auto"/>
                      <w:sz w:val="21"/>
                      <w:szCs w:val="21"/>
                      <w:highlight w:val="none"/>
                      <w:lang w:val="en-US" w:eastAsia="zh-CN"/>
                    </w:rPr>
                    <w:t>10</w:t>
                  </w:r>
                  <w:r>
                    <w:rPr>
                      <w:rFonts w:hint="default"/>
                      <w:color w:val="auto"/>
                      <w:sz w:val="21"/>
                      <w:szCs w:val="21"/>
                      <w:highlight w:val="none"/>
                    </w:rPr>
                    <w:t>-20</w:t>
                  </w:r>
                  <w:r>
                    <w:rPr>
                      <w:rFonts w:hint="default"/>
                      <w:color w:val="auto"/>
                      <w:sz w:val="21"/>
                      <w:szCs w:val="21"/>
                      <w:highlight w:val="none"/>
                      <w:lang w:val="en-US" w:eastAsia="zh-CN"/>
                    </w:rPr>
                    <w:t>24</w:t>
                  </w:r>
                  <w:r>
                    <w:rPr>
                      <w:rFonts w:hint="default"/>
                      <w:color w:val="auto"/>
                      <w:sz w:val="21"/>
                      <w:szCs w:val="21"/>
                      <w:highlight w:val="none"/>
                    </w:rPr>
                    <w:t>.</w:t>
                  </w:r>
                  <w:r>
                    <w:rPr>
                      <w:rFonts w:hint="default"/>
                      <w:color w:val="auto"/>
                      <w:sz w:val="21"/>
                      <w:szCs w:val="21"/>
                      <w:highlight w:val="none"/>
                      <w:lang w:val="en-US" w:eastAsia="zh-CN"/>
                    </w:rPr>
                    <w:t>9</w:t>
                  </w:r>
                </w:p>
              </w:tc>
              <w:tc>
                <w:tcPr>
                  <w:tcW w:w="1035" w:type="dxa"/>
                  <w:noWrap w:val="0"/>
                  <w:vAlign w:val="center"/>
                </w:tcPr>
                <w:p>
                  <w:pPr>
                    <w:spacing w:line="280" w:lineRule="exact"/>
                    <w:ind w:firstLine="0" w:firstLineChars="0"/>
                    <w:jc w:val="center"/>
                    <w:rPr>
                      <w:rFonts w:hint="default"/>
                      <w:color w:val="auto"/>
                      <w:sz w:val="21"/>
                      <w:szCs w:val="21"/>
                      <w:highlight w:val="none"/>
                    </w:rPr>
                  </w:pPr>
                  <w:r>
                    <w:rPr>
                      <w:rFonts w:hint="default"/>
                      <w:color w:val="auto"/>
                      <w:sz w:val="21"/>
                      <w:szCs w:val="21"/>
                      <w:highlight w:val="none"/>
                    </w:rPr>
                    <w:t>20</w:t>
                  </w:r>
                  <w:r>
                    <w:rPr>
                      <w:rFonts w:hint="default"/>
                      <w:color w:val="auto"/>
                      <w:sz w:val="21"/>
                      <w:szCs w:val="21"/>
                      <w:highlight w:val="none"/>
                      <w:lang w:val="en-US" w:eastAsia="zh-CN"/>
                    </w:rPr>
                    <w:t>24</w:t>
                  </w:r>
                  <w:r>
                    <w:rPr>
                      <w:rFonts w:hint="default"/>
                      <w:color w:val="auto"/>
                      <w:sz w:val="21"/>
                      <w:szCs w:val="21"/>
                      <w:highlight w:val="none"/>
                      <w:lang w:eastAsia="zh-CN"/>
                    </w:rPr>
                    <w:t>.</w:t>
                  </w:r>
                  <w:r>
                    <w:rPr>
                      <w:rFonts w:hint="default"/>
                      <w:color w:val="auto"/>
                      <w:sz w:val="21"/>
                      <w:szCs w:val="21"/>
                      <w:highlight w:val="none"/>
                      <w:lang w:val="en-US" w:eastAsia="zh-CN"/>
                    </w:rPr>
                    <w:t>10</w:t>
                  </w:r>
                  <w:r>
                    <w:rPr>
                      <w:rFonts w:hint="default"/>
                      <w:color w:val="auto"/>
                      <w:sz w:val="21"/>
                      <w:szCs w:val="21"/>
                      <w:highlight w:val="none"/>
                    </w:rPr>
                    <w:t>-20</w:t>
                  </w:r>
                  <w:r>
                    <w:rPr>
                      <w:rFonts w:hint="default"/>
                      <w:color w:val="auto"/>
                      <w:sz w:val="21"/>
                      <w:szCs w:val="21"/>
                      <w:highlight w:val="none"/>
                      <w:lang w:val="en-US" w:eastAsia="zh-CN"/>
                    </w:rPr>
                    <w:t>25</w:t>
                  </w:r>
                  <w:r>
                    <w:rPr>
                      <w:rFonts w:hint="default"/>
                      <w:color w:val="auto"/>
                      <w:sz w:val="21"/>
                      <w:szCs w:val="21"/>
                      <w:highlight w:val="none"/>
                    </w:rPr>
                    <w:t>.</w:t>
                  </w:r>
                  <w:r>
                    <w:rPr>
                      <w:rFonts w:hint="default"/>
                      <w:color w:val="auto"/>
                      <w:sz w:val="21"/>
                      <w:szCs w:val="21"/>
                      <w:highlight w:val="none"/>
                      <w:lang w:val="en-US" w:eastAsia="zh-CN"/>
                    </w:rPr>
                    <w:t>9</w:t>
                  </w:r>
                </w:p>
              </w:tc>
              <w:tc>
                <w:tcPr>
                  <w:tcW w:w="1008" w:type="dxa"/>
                  <w:noWrap w:val="0"/>
                  <w:vAlign w:val="center"/>
                </w:tcPr>
                <w:p>
                  <w:pPr>
                    <w:spacing w:line="280" w:lineRule="exact"/>
                    <w:ind w:firstLine="0" w:firstLineChars="0"/>
                    <w:jc w:val="center"/>
                    <w:rPr>
                      <w:rFonts w:hint="default"/>
                      <w:color w:val="auto"/>
                      <w:sz w:val="21"/>
                      <w:szCs w:val="21"/>
                      <w:highlight w:val="none"/>
                    </w:rPr>
                  </w:pPr>
                  <w:r>
                    <w:rPr>
                      <w:rFonts w:hint="default"/>
                      <w:color w:val="auto"/>
                      <w:sz w:val="21"/>
                      <w:szCs w:val="21"/>
                      <w:highlight w:val="none"/>
                    </w:rPr>
                    <w:t>20</w:t>
                  </w:r>
                  <w:r>
                    <w:rPr>
                      <w:rFonts w:hint="default"/>
                      <w:color w:val="auto"/>
                      <w:sz w:val="21"/>
                      <w:szCs w:val="21"/>
                      <w:highlight w:val="none"/>
                      <w:lang w:val="en-US" w:eastAsia="zh-CN"/>
                    </w:rPr>
                    <w:t>25</w:t>
                  </w:r>
                  <w:r>
                    <w:rPr>
                      <w:rFonts w:hint="default"/>
                      <w:color w:val="auto"/>
                      <w:sz w:val="21"/>
                      <w:szCs w:val="21"/>
                      <w:highlight w:val="none"/>
                      <w:lang w:eastAsia="zh-CN"/>
                    </w:rPr>
                    <w:t>.</w:t>
                  </w:r>
                  <w:r>
                    <w:rPr>
                      <w:rFonts w:hint="default"/>
                      <w:color w:val="auto"/>
                      <w:sz w:val="21"/>
                      <w:szCs w:val="21"/>
                      <w:highlight w:val="none"/>
                      <w:lang w:val="en-US" w:eastAsia="zh-CN"/>
                    </w:rPr>
                    <w:t>10</w:t>
                  </w:r>
                  <w:r>
                    <w:rPr>
                      <w:rFonts w:hint="default"/>
                      <w:color w:val="auto"/>
                      <w:sz w:val="21"/>
                      <w:szCs w:val="21"/>
                      <w:highlight w:val="none"/>
                    </w:rPr>
                    <w:t>-20</w:t>
                  </w:r>
                  <w:r>
                    <w:rPr>
                      <w:rFonts w:hint="default"/>
                      <w:color w:val="auto"/>
                      <w:sz w:val="21"/>
                      <w:szCs w:val="21"/>
                      <w:highlight w:val="none"/>
                      <w:lang w:val="en-US" w:eastAsia="zh-CN"/>
                    </w:rPr>
                    <w:t>26</w:t>
                  </w:r>
                  <w:r>
                    <w:rPr>
                      <w:rFonts w:hint="default"/>
                      <w:color w:val="auto"/>
                      <w:sz w:val="21"/>
                      <w:szCs w:val="21"/>
                      <w:highlight w:val="none"/>
                    </w:rPr>
                    <w:t>.</w:t>
                  </w:r>
                  <w:r>
                    <w:rPr>
                      <w:rFonts w:hint="default"/>
                      <w:color w:val="auto"/>
                      <w:sz w:val="21"/>
                      <w:szCs w:val="21"/>
                      <w:highlight w:val="none"/>
                      <w:lang w:val="en-US" w:eastAsia="zh-CN"/>
                    </w:rPr>
                    <w:t>9</w:t>
                  </w:r>
                </w:p>
              </w:tc>
              <w:tc>
                <w:tcPr>
                  <w:tcW w:w="973" w:type="dxa"/>
                  <w:noWrap w:val="0"/>
                  <w:vAlign w:val="center"/>
                </w:tcPr>
                <w:p>
                  <w:pPr>
                    <w:spacing w:line="280" w:lineRule="exact"/>
                    <w:ind w:firstLine="0" w:firstLineChars="0"/>
                    <w:jc w:val="center"/>
                    <w:rPr>
                      <w:rFonts w:hint="default"/>
                      <w:color w:val="auto"/>
                      <w:sz w:val="21"/>
                      <w:szCs w:val="21"/>
                      <w:highlight w:val="none"/>
                    </w:rPr>
                  </w:pPr>
                  <w:r>
                    <w:rPr>
                      <w:rFonts w:hint="default"/>
                      <w:color w:val="auto"/>
                      <w:sz w:val="21"/>
                      <w:szCs w:val="21"/>
                      <w:highlight w:val="none"/>
                    </w:rPr>
                    <w:t>20</w:t>
                  </w:r>
                  <w:r>
                    <w:rPr>
                      <w:rFonts w:hint="default"/>
                      <w:color w:val="auto"/>
                      <w:sz w:val="21"/>
                      <w:szCs w:val="21"/>
                      <w:highlight w:val="none"/>
                      <w:lang w:val="en-US" w:eastAsia="zh-CN"/>
                    </w:rPr>
                    <w:t>26</w:t>
                  </w:r>
                  <w:r>
                    <w:rPr>
                      <w:rFonts w:hint="default"/>
                      <w:color w:val="auto"/>
                      <w:sz w:val="21"/>
                      <w:szCs w:val="21"/>
                      <w:highlight w:val="none"/>
                      <w:lang w:eastAsia="zh-CN"/>
                    </w:rPr>
                    <w:t>.</w:t>
                  </w:r>
                  <w:r>
                    <w:rPr>
                      <w:rFonts w:hint="default"/>
                      <w:color w:val="auto"/>
                      <w:sz w:val="21"/>
                      <w:szCs w:val="21"/>
                      <w:highlight w:val="none"/>
                      <w:lang w:val="en-US" w:eastAsia="zh-CN"/>
                    </w:rPr>
                    <w:t>10</w:t>
                  </w:r>
                  <w:r>
                    <w:rPr>
                      <w:rFonts w:hint="default"/>
                      <w:color w:val="auto"/>
                      <w:sz w:val="21"/>
                      <w:szCs w:val="21"/>
                      <w:highlight w:val="none"/>
                    </w:rPr>
                    <w:t>-20</w:t>
                  </w:r>
                  <w:r>
                    <w:rPr>
                      <w:rFonts w:hint="default"/>
                      <w:color w:val="auto"/>
                      <w:sz w:val="21"/>
                      <w:szCs w:val="21"/>
                      <w:highlight w:val="none"/>
                      <w:lang w:val="en-US" w:eastAsia="zh-CN"/>
                    </w:rPr>
                    <w:t>27</w:t>
                  </w:r>
                  <w:r>
                    <w:rPr>
                      <w:rFonts w:hint="default"/>
                      <w:color w:val="auto"/>
                      <w:sz w:val="21"/>
                      <w:szCs w:val="21"/>
                      <w:highlight w:val="none"/>
                    </w:rPr>
                    <w:t>.</w:t>
                  </w:r>
                  <w:r>
                    <w:rPr>
                      <w:rFonts w:hint="default"/>
                      <w:color w:val="auto"/>
                      <w:sz w:val="21"/>
                      <w:szCs w:val="21"/>
                      <w:highlight w:val="none"/>
                      <w:lang w:val="en-US" w:eastAsia="zh-CN"/>
                    </w:rPr>
                    <w:t>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5" w:hRule="atLeast"/>
              </w:trPr>
              <w:tc>
                <w:tcPr>
                  <w:tcW w:w="354" w:type="dxa"/>
                  <w:noWrap w:val="0"/>
                  <w:vAlign w:val="center"/>
                </w:tcPr>
                <w:p>
                  <w:pPr>
                    <w:spacing w:line="280" w:lineRule="exact"/>
                    <w:ind w:firstLine="0" w:firstLineChars="0"/>
                    <w:jc w:val="center"/>
                    <w:rPr>
                      <w:rFonts w:hint="default"/>
                      <w:color w:val="auto"/>
                      <w:sz w:val="24"/>
                      <w:szCs w:val="24"/>
                      <w:highlight w:val="none"/>
                      <w:lang w:eastAsia="zh-CN"/>
                    </w:rPr>
                  </w:pPr>
                  <w:r>
                    <w:rPr>
                      <w:rFonts w:hint="default"/>
                      <w:color w:val="auto"/>
                      <w:sz w:val="24"/>
                      <w:szCs w:val="24"/>
                      <w:highlight w:val="none"/>
                      <w:lang w:val="en-US" w:eastAsia="zh-CN"/>
                    </w:rPr>
                    <w:t>1</w:t>
                  </w:r>
                </w:p>
              </w:tc>
              <w:tc>
                <w:tcPr>
                  <w:tcW w:w="1680" w:type="dxa"/>
                  <w:noWrap w:val="0"/>
                  <w:vAlign w:val="center"/>
                </w:tcPr>
                <w:p>
                  <w:pPr>
                    <w:spacing w:line="280" w:lineRule="exact"/>
                    <w:ind w:firstLine="0" w:firstLineChars="0"/>
                    <w:jc w:val="center"/>
                    <w:rPr>
                      <w:rFonts w:hint="default"/>
                      <w:color w:val="auto"/>
                      <w:sz w:val="24"/>
                      <w:szCs w:val="24"/>
                      <w:highlight w:val="none"/>
                    </w:rPr>
                  </w:pPr>
                  <w:r>
                    <w:rPr>
                      <w:rFonts w:hint="default"/>
                      <w:color w:val="auto"/>
                      <w:sz w:val="24"/>
                      <w:szCs w:val="24"/>
                      <w:highlight w:val="none"/>
                    </w:rPr>
                    <w:t>地热井水位、</w:t>
                  </w:r>
                  <w:r>
                    <w:rPr>
                      <w:rFonts w:hint="eastAsia"/>
                      <w:color w:val="auto"/>
                      <w:sz w:val="24"/>
                      <w:szCs w:val="24"/>
                      <w:highlight w:val="none"/>
                      <w:lang w:val="en-US" w:eastAsia="zh-CN"/>
                    </w:rPr>
                    <w:t>用</w:t>
                  </w:r>
                  <w:r>
                    <w:rPr>
                      <w:rFonts w:hint="default"/>
                      <w:color w:val="auto"/>
                      <w:sz w:val="24"/>
                      <w:szCs w:val="24"/>
                      <w:highlight w:val="none"/>
                    </w:rPr>
                    <w:t>水量、水温监测</w:t>
                  </w:r>
                </w:p>
              </w:tc>
              <w:tc>
                <w:tcPr>
                  <w:tcW w:w="492" w:type="dxa"/>
                  <w:noWrap w:val="0"/>
                  <w:vAlign w:val="center"/>
                </w:tcPr>
                <w:p>
                  <w:pPr>
                    <w:spacing w:line="280" w:lineRule="exact"/>
                    <w:ind w:firstLine="0" w:firstLineChars="0"/>
                    <w:jc w:val="center"/>
                    <w:rPr>
                      <w:rFonts w:hint="default"/>
                      <w:color w:val="auto"/>
                      <w:sz w:val="24"/>
                      <w:szCs w:val="24"/>
                      <w:highlight w:val="none"/>
                    </w:rPr>
                  </w:pPr>
                  <w:r>
                    <w:rPr>
                      <w:rFonts w:hint="default"/>
                      <w:color w:val="auto"/>
                      <w:sz w:val="24"/>
                      <w:szCs w:val="24"/>
                      <w:highlight w:val="none"/>
                    </w:rPr>
                    <w:t>次</w:t>
                  </w:r>
                </w:p>
              </w:tc>
              <w:tc>
                <w:tcPr>
                  <w:tcW w:w="584"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6</w:t>
                  </w:r>
                  <w:r>
                    <w:rPr>
                      <w:rFonts w:hint="eastAsia"/>
                      <w:color w:val="auto"/>
                      <w:sz w:val="24"/>
                      <w:szCs w:val="24"/>
                      <w:highlight w:val="none"/>
                      <w:lang w:val="en-US" w:eastAsia="zh-CN"/>
                    </w:rPr>
                    <w:t>0</w:t>
                  </w:r>
                  <w:r>
                    <w:rPr>
                      <w:rFonts w:hint="default"/>
                      <w:color w:val="auto"/>
                      <w:sz w:val="24"/>
                      <w:szCs w:val="24"/>
                      <w:highlight w:val="none"/>
                      <w:lang w:val="en-US" w:eastAsia="zh-CN"/>
                    </w:rPr>
                    <w:t>5</w:t>
                  </w:r>
                </w:p>
              </w:tc>
              <w:tc>
                <w:tcPr>
                  <w:tcW w:w="1087"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c>
                <w:tcPr>
                  <w:tcW w:w="1063"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c>
                <w:tcPr>
                  <w:tcW w:w="1035"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c>
                <w:tcPr>
                  <w:tcW w:w="1008"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c>
                <w:tcPr>
                  <w:tcW w:w="973"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354" w:type="dxa"/>
                  <w:noWrap w:val="0"/>
                  <w:vAlign w:val="center"/>
                </w:tcPr>
                <w:p>
                  <w:pPr>
                    <w:spacing w:line="280" w:lineRule="exact"/>
                    <w:ind w:firstLine="0" w:firstLineChars="0"/>
                    <w:jc w:val="center"/>
                    <w:rPr>
                      <w:rFonts w:hint="default"/>
                      <w:color w:val="auto"/>
                      <w:sz w:val="24"/>
                      <w:szCs w:val="24"/>
                      <w:highlight w:val="none"/>
                      <w:lang w:eastAsia="zh-CN"/>
                    </w:rPr>
                  </w:pPr>
                  <w:r>
                    <w:rPr>
                      <w:rFonts w:hint="default"/>
                      <w:color w:val="auto"/>
                      <w:sz w:val="24"/>
                      <w:szCs w:val="24"/>
                      <w:highlight w:val="none"/>
                      <w:lang w:val="en-US" w:eastAsia="zh-CN"/>
                    </w:rPr>
                    <w:t>2</w:t>
                  </w:r>
                </w:p>
              </w:tc>
              <w:tc>
                <w:tcPr>
                  <w:tcW w:w="1680" w:type="dxa"/>
                  <w:noWrap w:val="0"/>
                  <w:vAlign w:val="center"/>
                </w:tcPr>
                <w:p>
                  <w:pPr>
                    <w:spacing w:line="280" w:lineRule="exact"/>
                    <w:ind w:firstLine="0" w:firstLineChars="0"/>
                    <w:jc w:val="center"/>
                    <w:rPr>
                      <w:rFonts w:hint="default"/>
                      <w:color w:val="auto"/>
                      <w:sz w:val="24"/>
                      <w:szCs w:val="24"/>
                      <w:highlight w:val="none"/>
                    </w:rPr>
                  </w:pPr>
                  <w:r>
                    <w:rPr>
                      <w:rFonts w:hint="default"/>
                      <w:color w:val="auto"/>
                      <w:sz w:val="24"/>
                      <w:szCs w:val="24"/>
                      <w:highlight w:val="none"/>
                    </w:rPr>
                    <w:t>地热水水质</w:t>
                  </w:r>
                  <w:r>
                    <w:rPr>
                      <w:rFonts w:hint="default"/>
                      <w:color w:val="auto"/>
                      <w:sz w:val="24"/>
                      <w:szCs w:val="24"/>
                      <w:highlight w:val="none"/>
                      <w:lang w:eastAsia="zh-CN"/>
                    </w:rPr>
                    <w:t>监测</w:t>
                  </w:r>
                </w:p>
              </w:tc>
              <w:tc>
                <w:tcPr>
                  <w:tcW w:w="492" w:type="dxa"/>
                  <w:noWrap w:val="0"/>
                  <w:vAlign w:val="center"/>
                </w:tcPr>
                <w:p>
                  <w:pPr>
                    <w:spacing w:line="280" w:lineRule="exact"/>
                    <w:ind w:firstLine="0" w:firstLineChars="0"/>
                    <w:jc w:val="center"/>
                    <w:rPr>
                      <w:rFonts w:hint="default"/>
                      <w:color w:val="auto"/>
                      <w:sz w:val="24"/>
                      <w:szCs w:val="24"/>
                      <w:highlight w:val="none"/>
                    </w:rPr>
                  </w:pPr>
                  <w:r>
                    <w:rPr>
                      <w:rFonts w:hint="default"/>
                      <w:color w:val="auto"/>
                      <w:sz w:val="24"/>
                      <w:szCs w:val="24"/>
                      <w:highlight w:val="none"/>
                    </w:rPr>
                    <w:t>次</w:t>
                  </w:r>
                </w:p>
              </w:tc>
              <w:tc>
                <w:tcPr>
                  <w:tcW w:w="584"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eastAsia"/>
                      <w:color w:val="auto"/>
                      <w:sz w:val="24"/>
                      <w:szCs w:val="24"/>
                      <w:highlight w:val="none"/>
                      <w:lang w:val="en-US" w:eastAsia="zh-CN"/>
                    </w:rPr>
                    <w:t>5</w:t>
                  </w:r>
                </w:p>
              </w:tc>
              <w:tc>
                <w:tcPr>
                  <w:tcW w:w="1087" w:type="dxa"/>
                  <w:noWrap w:val="0"/>
                  <w:vAlign w:val="center"/>
                </w:tcPr>
                <w:p>
                  <w:pPr>
                    <w:spacing w:line="280" w:lineRule="exact"/>
                    <w:ind w:firstLine="0" w:firstLineChars="0"/>
                    <w:jc w:val="center"/>
                    <w:rPr>
                      <w:rFonts w:hint="default"/>
                      <w:color w:val="auto"/>
                      <w:sz w:val="24"/>
                      <w:szCs w:val="24"/>
                      <w:highlight w:val="none"/>
                      <w:lang w:eastAsia="zh-CN"/>
                    </w:rPr>
                  </w:pPr>
                  <w:r>
                    <w:rPr>
                      <w:rFonts w:hint="eastAsia"/>
                      <w:color w:val="auto"/>
                      <w:sz w:val="24"/>
                      <w:szCs w:val="24"/>
                      <w:highlight w:val="none"/>
                      <w:lang w:val="en-US" w:eastAsia="zh-CN"/>
                    </w:rPr>
                    <w:t>1</w:t>
                  </w:r>
                </w:p>
              </w:tc>
              <w:tc>
                <w:tcPr>
                  <w:tcW w:w="1063" w:type="dxa"/>
                  <w:noWrap w:val="0"/>
                  <w:vAlign w:val="center"/>
                </w:tcPr>
                <w:p>
                  <w:pPr>
                    <w:spacing w:line="280" w:lineRule="exact"/>
                    <w:ind w:firstLine="0" w:firstLineChars="0"/>
                    <w:jc w:val="center"/>
                    <w:rPr>
                      <w:rFonts w:hint="default"/>
                      <w:color w:val="auto"/>
                      <w:sz w:val="24"/>
                      <w:szCs w:val="24"/>
                      <w:highlight w:val="none"/>
                      <w:lang w:eastAsia="zh-CN"/>
                    </w:rPr>
                  </w:pPr>
                  <w:r>
                    <w:rPr>
                      <w:rFonts w:hint="eastAsia"/>
                      <w:color w:val="auto"/>
                      <w:sz w:val="24"/>
                      <w:szCs w:val="24"/>
                      <w:highlight w:val="none"/>
                      <w:lang w:val="en-US" w:eastAsia="zh-CN"/>
                    </w:rPr>
                    <w:t>1</w:t>
                  </w:r>
                </w:p>
              </w:tc>
              <w:tc>
                <w:tcPr>
                  <w:tcW w:w="1035" w:type="dxa"/>
                  <w:noWrap w:val="0"/>
                  <w:vAlign w:val="center"/>
                </w:tcPr>
                <w:p>
                  <w:pPr>
                    <w:spacing w:line="280" w:lineRule="exact"/>
                    <w:ind w:firstLine="0" w:firstLineChars="0"/>
                    <w:jc w:val="center"/>
                    <w:rPr>
                      <w:rFonts w:hint="default"/>
                      <w:color w:val="auto"/>
                      <w:sz w:val="24"/>
                      <w:szCs w:val="24"/>
                      <w:highlight w:val="none"/>
                      <w:lang w:eastAsia="zh-CN"/>
                    </w:rPr>
                  </w:pPr>
                  <w:r>
                    <w:rPr>
                      <w:rFonts w:hint="eastAsia"/>
                      <w:color w:val="auto"/>
                      <w:sz w:val="24"/>
                      <w:szCs w:val="24"/>
                      <w:highlight w:val="none"/>
                      <w:lang w:val="en-US" w:eastAsia="zh-CN"/>
                    </w:rPr>
                    <w:t>1</w:t>
                  </w:r>
                </w:p>
              </w:tc>
              <w:tc>
                <w:tcPr>
                  <w:tcW w:w="1008" w:type="dxa"/>
                  <w:noWrap w:val="0"/>
                  <w:vAlign w:val="center"/>
                </w:tcPr>
                <w:p>
                  <w:pPr>
                    <w:spacing w:line="280" w:lineRule="exact"/>
                    <w:ind w:firstLine="0" w:firstLineChars="0"/>
                    <w:jc w:val="center"/>
                    <w:rPr>
                      <w:rFonts w:hint="default"/>
                      <w:color w:val="auto"/>
                      <w:sz w:val="24"/>
                      <w:szCs w:val="24"/>
                      <w:highlight w:val="none"/>
                      <w:lang w:eastAsia="zh-CN"/>
                    </w:rPr>
                  </w:pPr>
                  <w:r>
                    <w:rPr>
                      <w:rFonts w:hint="eastAsia"/>
                      <w:color w:val="auto"/>
                      <w:sz w:val="24"/>
                      <w:szCs w:val="24"/>
                      <w:highlight w:val="none"/>
                      <w:lang w:val="en-US" w:eastAsia="zh-CN"/>
                    </w:rPr>
                    <w:t>1</w:t>
                  </w:r>
                </w:p>
              </w:tc>
              <w:tc>
                <w:tcPr>
                  <w:tcW w:w="973" w:type="dxa"/>
                  <w:noWrap w:val="0"/>
                  <w:vAlign w:val="center"/>
                </w:tcPr>
                <w:p>
                  <w:pPr>
                    <w:spacing w:line="280" w:lineRule="exact"/>
                    <w:ind w:firstLine="0" w:firstLineChars="0"/>
                    <w:jc w:val="center"/>
                    <w:rPr>
                      <w:rFonts w:hint="default"/>
                      <w:color w:val="auto"/>
                      <w:sz w:val="24"/>
                      <w:szCs w:val="24"/>
                      <w:highlight w:val="none"/>
                      <w:lang w:eastAsia="zh-CN"/>
                    </w:rPr>
                  </w:pPr>
                  <w:r>
                    <w:rPr>
                      <w:rFonts w:hint="eastAsia"/>
                      <w:color w:val="auto"/>
                      <w:sz w:val="24"/>
                      <w:szCs w:val="24"/>
                      <w:highlight w:val="none"/>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5" w:hRule="atLeast"/>
              </w:trPr>
              <w:tc>
                <w:tcPr>
                  <w:tcW w:w="354"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5</w:t>
                  </w:r>
                </w:p>
              </w:tc>
              <w:tc>
                <w:tcPr>
                  <w:tcW w:w="1680"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回灌井</w:t>
                  </w:r>
                  <w:r>
                    <w:rPr>
                      <w:rFonts w:hint="default"/>
                      <w:color w:val="auto"/>
                      <w:sz w:val="24"/>
                      <w:szCs w:val="24"/>
                      <w:highlight w:val="none"/>
                    </w:rPr>
                    <w:t>水位、</w:t>
                  </w:r>
                  <w:r>
                    <w:rPr>
                      <w:rFonts w:hint="eastAsia"/>
                      <w:color w:val="auto"/>
                      <w:sz w:val="24"/>
                      <w:szCs w:val="24"/>
                      <w:highlight w:val="none"/>
                      <w:lang w:val="en-US" w:eastAsia="zh-CN"/>
                    </w:rPr>
                    <w:t>回灌</w:t>
                  </w:r>
                  <w:r>
                    <w:rPr>
                      <w:rFonts w:hint="default"/>
                      <w:color w:val="auto"/>
                      <w:sz w:val="24"/>
                      <w:szCs w:val="24"/>
                      <w:highlight w:val="none"/>
                    </w:rPr>
                    <w:t>水量、水温监测</w:t>
                  </w:r>
                </w:p>
              </w:tc>
              <w:tc>
                <w:tcPr>
                  <w:tcW w:w="492"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rPr>
                    <w:t>次</w:t>
                  </w:r>
                </w:p>
              </w:tc>
              <w:tc>
                <w:tcPr>
                  <w:tcW w:w="584"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6</w:t>
                  </w:r>
                  <w:r>
                    <w:rPr>
                      <w:rFonts w:hint="eastAsia"/>
                      <w:color w:val="auto"/>
                      <w:sz w:val="24"/>
                      <w:szCs w:val="24"/>
                      <w:highlight w:val="none"/>
                      <w:lang w:val="en-US" w:eastAsia="zh-CN"/>
                    </w:rPr>
                    <w:t>0</w:t>
                  </w:r>
                  <w:r>
                    <w:rPr>
                      <w:rFonts w:hint="default"/>
                      <w:color w:val="auto"/>
                      <w:sz w:val="24"/>
                      <w:szCs w:val="24"/>
                      <w:highlight w:val="none"/>
                      <w:lang w:val="en-US" w:eastAsia="zh-CN"/>
                    </w:rPr>
                    <w:t>5</w:t>
                  </w:r>
                </w:p>
              </w:tc>
              <w:tc>
                <w:tcPr>
                  <w:tcW w:w="1087"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c>
                <w:tcPr>
                  <w:tcW w:w="1063"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c>
                <w:tcPr>
                  <w:tcW w:w="1035"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c>
                <w:tcPr>
                  <w:tcW w:w="1008"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c>
                <w:tcPr>
                  <w:tcW w:w="973"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354"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6</w:t>
                  </w:r>
                </w:p>
              </w:tc>
              <w:tc>
                <w:tcPr>
                  <w:tcW w:w="1680"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回灌井水质监测</w:t>
                  </w:r>
                </w:p>
              </w:tc>
              <w:tc>
                <w:tcPr>
                  <w:tcW w:w="492"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次</w:t>
                  </w:r>
                </w:p>
              </w:tc>
              <w:tc>
                <w:tcPr>
                  <w:tcW w:w="584"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eastAsia"/>
                      <w:color w:val="auto"/>
                      <w:sz w:val="24"/>
                      <w:szCs w:val="24"/>
                      <w:highlight w:val="none"/>
                      <w:lang w:val="en-US" w:eastAsia="zh-CN"/>
                    </w:rPr>
                    <w:t>5</w:t>
                  </w:r>
                </w:p>
              </w:tc>
              <w:tc>
                <w:tcPr>
                  <w:tcW w:w="1087"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eastAsia"/>
                      <w:color w:val="auto"/>
                      <w:sz w:val="24"/>
                      <w:szCs w:val="24"/>
                      <w:highlight w:val="none"/>
                      <w:lang w:val="en-US" w:eastAsia="zh-CN"/>
                    </w:rPr>
                    <w:t>1</w:t>
                  </w:r>
                </w:p>
              </w:tc>
              <w:tc>
                <w:tcPr>
                  <w:tcW w:w="1063"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eastAsia"/>
                      <w:color w:val="auto"/>
                      <w:sz w:val="24"/>
                      <w:szCs w:val="24"/>
                      <w:highlight w:val="none"/>
                      <w:lang w:val="en-US" w:eastAsia="zh-CN"/>
                    </w:rPr>
                    <w:t>1</w:t>
                  </w:r>
                </w:p>
              </w:tc>
              <w:tc>
                <w:tcPr>
                  <w:tcW w:w="1035"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eastAsia"/>
                      <w:color w:val="auto"/>
                      <w:sz w:val="24"/>
                      <w:szCs w:val="24"/>
                      <w:highlight w:val="none"/>
                      <w:lang w:val="en-US" w:eastAsia="zh-CN"/>
                    </w:rPr>
                    <w:t>1</w:t>
                  </w:r>
                </w:p>
              </w:tc>
              <w:tc>
                <w:tcPr>
                  <w:tcW w:w="1008"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eastAsia"/>
                      <w:color w:val="auto"/>
                      <w:sz w:val="24"/>
                      <w:szCs w:val="24"/>
                      <w:highlight w:val="none"/>
                      <w:lang w:val="en-US" w:eastAsia="zh-CN"/>
                    </w:rPr>
                    <w:t>1</w:t>
                  </w:r>
                </w:p>
              </w:tc>
              <w:tc>
                <w:tcPr>
                  <w:tcW w:w="973"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eastAsia"/>
                      <w:color w:val="auto"/>
                      <w:sz w:val="24"/>
                      <w:szCs w:val="24"/>
                      <w:highlight w:val="none"/>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354"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rPr>
                    <w:t>7</w:t>
                  </w:r>
                </w:p>
              </w:tc>
              <w:tc>
                <w:tcPr>
                  <w:tcW w:w="1680"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eastAsia="zh-CN"/>
                    </w:rPr>
                    <w:t>输水管线巡查监测</w:t>
                  </w:r>
                </w:p>
              </w:tc>
              <w:tc>
                <w:tcPr>
                  <w:tcW w:w="492"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eastAsia="zh-CN"/>
                    </w:rPr>
                    <w:t>次</w:t>
                  </w:r>
                </w:p>
              </w:tc>
              <w:tc>
                <w:tcPr>
                  <w:tcW w:w="584"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6</w:t>
                  </w:r>
                  <w:r>
                    <w:rPr>
                      <w:rFonts w:hint="eastAsia"/>
                      <w:color w:val="auto"/>
                      <w:sz w:val="24"/>
                      <w:szCs w:val="24"/>
                      <w:highlight w:val="none"/>
                      <w:lang w:val="en-US" w:eastAsia="zh-CN"/>
                    </w:rPr>
                    <w:t>0</w:t>
                  </w:r>
                  <w:r>
                    <w:rPr>
                      <w:rFonts w:hint="default"/>
                      <w:color w:val="auto"/>
                      <w:sz w:val="24"/>
                      <w:szCs w:val="24"/>
                      <w:highlight w:val="none"/>
                      <w:lang w:val="en-US" w:eastAsia="zh-CN"/>
                    </w:rPr>
                    <w:t>5</w:t>
                  </w:r>
                </w:p>
              </w:tc>
              <w:tc>
                <w:tcPr>
                  <w:tcW w:w="1087"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c>
                <w:tcPr>
                  <w:tcW w:w="1063"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c>
                <w:tcPr>
                  <w:tcW w:w="1035"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c>
                <w:tcPr>
                  <w:tcW w:w="1008"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c>
                <w:tcPr>
                  <w:tcW w:w="973"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12</w:t>
                  </w:r>
                  <w:r>
                    <w:rPr>
                      <w:rFonts w:hint="eastAsia"/>
                      <w:color w:val="auto"/>
                      <w:sz w:val="24"/>
                      <w:szCs w:val="24"/>
                      <w:highlight w:val="none"/>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354"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rPr>
                    <w:t>8</w:t>
                  </w:r>
                </w:p>
              </w:tc>
              <w:tc>
                <w:tcPr>
                  <w:tcW w:w="1680"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eastAsia="zh-CN"/>
                    </w:rPr>
                    <w:t>地面沉降监测</w:t>
                  </w:r>
                </w:p>
              </w:tc>
              <w:tc>
                <w:tcPr>
                  <w:tcW w:w="492"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eastAsia="zh-CN"/>
                    </w:rPr>
                    <w:t>次</w:t>
                  </w:r>
                </w:p>
              </w:tc>
              <w:tc>
                <w:tcPr>
                  <w:tcW w:w="584"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5</w:t>
                  </w:r>
                </w:p>
              </w:tc>
              <w:tc>
                <w:tcPr>
                  <w:tcW w:w="1087"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w:t>
                  </w:r>
                </w:p>
              </w:tc>
              <w:tc>
                <w:tcPr>
                  <w:tcW w:w="1063"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w:t>
                  </w:r>
                </w:p>
              </w:tc>
              <w:tc>
                <w:tcPr>
                  <w:tcW w:w="1035"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w:t>
                  </w:r>
                </w:p>
              </w:tc>
              <w:tc>
                <w:tcPr>
                  <w:tcW w:w="1008"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w:t>
                  </w:r>
                </w:p>
              </w:tc>
              <w:tc>
                <w:tcPr>
                  <w:tcW w:w="973" w:type="dxa"/>
                  <w:noWrap w:val="0"/>
                  <w:vAlign w:val="center"/>
                </w:tcPr>
                <w:p>
                  <w:pPr>
                    <w:spacing w:line="280" w:lineRule="exact"/>
                    <w:ind w:firstLine="0" w:firstLineChars="0"/>
                    <w:jc w:val="center"/>
                    <w:rPr>
                      <w:rFonts w:hint="default"/>
                      <w:color w:val="auto"/>
                      <w:sz w:val="24"/>
                      <w:szCs w:val="24"/>
                      <w:highlight w:val="none"/>
                      <w:lang w:val="en-US" w:eastAsia="zh-CN"/>
                    </w:rPr>
                  </w:pPr>
                  <w:r>
                    <w:rPr>
                      <w:rFonts w:hint="default"/>
                      <w:color w:val="auto"/>
                      <w:sz w:val="24"/>
                      <w:szCs w:val="24"/>
                      <w:highlight w:val="none"/>
                      <w:lang w:val="en-US" w:eastAsia="zh-CN"/>
                    </w:rPr>
                    <w:t>1</w:t>
                  </w:r>
                </w:p>
              </w:tc>
            </w:tr>
          </w:tbl>
          <w:p>
            <w:pPr>
              <w:pStyle w:val="3"/>
              <w:numPr>
                <w:ilvl w:val="0"/>
                <w:numId w:val="3"/>
              </w:numPr>
              <w:bidi w:val="0"/>
              <w:rPr>
                <w:rFonts w:hint="eastAsia"/>
                <w:color w:val="auto"/>
                <w:highlight w:val="none"/>
                <w:lang w:val="en-US" w:eastAsia="zh-CN"/>
              </w:rPr>
            </w:pPr>
            <w:bookmarkStart w:id="35" w:name="_Toc19907"/>
            <w:bookmarkStart w:id="36" w:name="_Toc4406"/>
            <w:r>
              <w:rPr>
                <w:rFonts w:hint="eastAsia"/>
                <w:color w:val="auto"/>
                <w:highlight w:val="none"/>
                <w:lang w:val="en-US" w:eastAsia="zh-CN"/>
              </w:rPr>
              <w:t>经费估算及资金来源</w:t>
            </w:r>
            <w:bookmarkEnd w:id="35"/>
            <w:bookmarkEnd w:id="36"/>
          </w:p>
          <w:p>
            <w:pPr>
              <w:pStyle w:val="4"/>
              <w:bidi w:val="0"/>
              <w:rPr>
                <w:rFonts w:hint="default"/>
                <w:color w:val="auto"/>
                <w:lang w:val="en-US" w:eastAsia="zh-CN"/>
              </w:rPr>
            </w:pPr>
            <w:r>
              <w:rPr>
                <w:rFonts w:hint="eastAsia"/>
                <w:color w:val="auto"/>
                <w:lang w:val="en-US" w:eastAsia="zh-CN"/>
              </w:rPr>
              <w:t>（一）经费估算</w:t>
            </w:r>
          </w:p>
          <w:p>
            <w:pPr>
              <w:bidi w:val="0"/>
              <w:rPr>
                <w:color w:val="auto"/>
                <w:highlight w:val="none"/>
              </w:rPr>
            </w:pPr>
            <w:r>
              <w:rPr>
                <w:rFonts w:hint="eastAsia"/>
                <w:color w:val="auto"/>
                <w:highlight w:val="none"/>
                <w:lang w:val="en-US" w:eastAsia="zh-CN"/>
              </w:rPr>
              <w:t>1、</w:t>
            </w:r>
            <w:r>
              <w:rPr>
                <w:color w:val="auto"/>
                <w:highlight w:val="none"/>
              </w:rPr>
              <w:t>总工程量</w:t>
            </w:r>
          </w:p>
          <w:p>
            <w:pPr>
              <w:bidi w:val="0"/>
              <w:rPr>
                <w:rFonts w:hint="default"/>
                <w:color w:val="auto"/>
                <w:highlight w:val="none"/>
                <w:lang w:val="en-US" w:eastAsia="zh-CN"/>
              </w:rPr>
            </w:pPr>
            <w:r>
              <w:rPr>
                <w:rFonts w:hint="default"/>
                <w:color w:val="auto"/>
                <w:highlight w:val="none"/>
              </w:rPr>
              <w:t>近期、中期及远期的矿山地质环境治理布置的工程量见表</w:t>
            </w:r>
            <w:r>
              <w:rPr>
                <w:rFonts w:hint="eastAsia"/>
                <w:color w:val="auto"/>
                <w:highlight w:val="none"/>
                <w:lang w:val="en-US" w:eastAsia="zh-CN"/>
              </w:rPr>
              <w:t>9</w:t>
            </w:r>
            <w:r>
              <w:rPr>
                <w:rFonts w:hint="default"/>
                <w:color w:val="auto"/>
                <w:highlight w:val="none"/>
              </w:rPr>
              <w:t>所示。</w:t>
            </w:r>
          </w:p>
          <w:p>
            <w:pPr>
              <w:spacing w:line="240" w:lineRule="auto"/>
              <w:ind w:firstLine="0" w:firstLineChars="0"/>
              <w:jc w:val="center"/>
              <w:rPr>
                <w:rFonts w:hint="default" w:ascii="仿宋" w:hAnsi="仿宋" w:eastAsia="仿宋" w:cs="仿宋"/>
                <w:b/>
                <w:bCs/>
                <w:color w:val="auto"/>
                <w:lang w:val="en-US" w:eastAsia="zh-CN"/>
              </w:rPr>
            </w:pPr>
            <w:r>
              <w:rPr>
                <w:rFonts w:hint="eastAsia" w:ascii="仿宋" w:hAnsi="仿宋" w:eastAsia="仿宋" w:cs="仿宋"/>
                <w:b/>
                <w:bCs/>
                <w:color w:val="auto"/>
                <w:lang w:val="en-US" w:eastAsia="zh-CN"/>
              </w:rPr>
              <w:t>矿山地质环境治理总工程量一览表  表9</w:t>
            </w:r>
          </w:p>
          <w:tbl>
            <w:tblPr>
              <w:tblStyle w:val="14"/>
              <w:tblW w:w="833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0"/>
              <w:gridCol w:w="922"/>
              <w:gridCol w:w="2697"/>
              <w:gridCol w:w="680"/>
              <w:gridCol w:w="763"/>
              <w:gridCol w:w="764"/>
              <w:gridCol w:w="764"/>
              <w:gridCol w:w="99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25" w:hRule="atLeast"/>
                <w:jc w:val="center"/>
              </w:trPr>
              <w:tc>
                <w:tcPr>
                  <w:tcW w:w="1672" w:type="dxa"/>
                  <w:gridSpan w:val="2"/>
                  <w:vMerge w:val="restart"/>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矿山地质环境治理项目</w:t>
                  </w:r>
                </w:p>
              </w:tc>
              <w:tc>
                <w:tcPr>
                  <w:tcW w:w="2697" w:type="dxa"/>
                  <w:vMerge w:val="restart"/>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工程措施</w:t>
                  </w:r>
                </w:p>
              </w:tc>
              <w:tc>
                <w:tcPr>
                  <w:tcW w:w="680" w:type="dxa"/>
                  <w:vMerge w:val="restart"/>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单位</w:t>
                  </w:r>
                </w:p>
              </w:tc>
              <w:tc>
                <w:tcPr>
                  <w:tcW w:w="2291" w:type="dxa"/>
                  <w:gridSpan w:val="3"/>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工程量（次）</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合计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672" w:type="dxa"/>
                  <w:gridSpan w:val="2"/>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2697"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680"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近期</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中期</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远期</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34" w:hRule="atLeast"/>
                <w:jc w:val="center"/>
              </w:trPr>
              <w:tc>
                <w:tcPr>
                  <w:tcW w:w="750" w:type="dxa"/>
                  <w:vMerge w:val="restart"/>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矿山地质环境监测</w:t>
                  </w:r>
                </w:p>
              </w:tc>
              <w:tc>
                <w:tcPr>
                  <w:tcW w:w="922" w:type="dxa"/>
                  <w:vMerge w:val="restart"/>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eastAsia"/>
                      <w:color w:val="auto"/>
                      <w:highlight w:val="none"/>
                      <w:lang w:val="en-US" w:eastAsia="zh-CN"/>
                    </w:rPr>
                  </w:pPr>
                  <w:r>
                    <w:rPr>
                      <w:rFonts w:hint="eastAsia"/>
                      <w:color w:val="auto"/>
                      <w:highlight w:val="none"/>
                      <w:lang w:val="en-US" w:eastAsia="zh-CN"/>
                    </w:rPr>
                    <w:t>含</w:t>
                  </w:r>
                </w:p>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水</w:t>
                  </w:r>
                </w:p>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层</w:t>
                  </w:r>
                </w:p>
              </w:tc>
              <w:tc>
                <w:tcPr>
                  <w:tcW w:w="26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地热井水位、用水量、水温监测</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次</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605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605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968</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2178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31" w:hRule="atLeast"/>
                <w:jc w:val="center"/>
              </w:trPr>
              <w:tc>
                <w:tcPr>
                  <w:tcW w:w="750"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922"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26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地热水水质监测</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次</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8</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34" w:hRule="atLeast"/>
                <w:jc w:val="center"/>
              </w:trPr>
              <w:tc>
                <w:tcPr>
                  <w:tcW w:w="750"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922"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26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回灌井水位、回灌水量、水温监测</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605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605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968</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2178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75" w:hRule="atLeast"/>
                <w:jc w:val="center"/>
              </w:trPr>
              <w:tc>
                <w:tcPr>
                  <w:tcW w:w="750"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922"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26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回灌井水质检测</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次</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8</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74" w:hRule="atLeast"/>
                <w:jc w:val="center"/>
              </w:trPr>
              <w:tc>
                <w:tcPr>
                  <w:tcW w:w="750"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922"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26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输水管线巡查监测</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次</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605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605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968</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2178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1" w:hRule="atLeast"/>
                <w:jc w:val="center"/>
              </w:trPr>
              <w:tc>
                <w:tcPr>
                  <w:tcW w:w="750"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92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地面沉降监测</w:t>
                  </w:r>
                </w:p>
              </w:tc>
              <w:tc>
                <w:tcPr>
                  <w:tcW w:w="26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地面沉降监测</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次</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8</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8" w:hRule="atLeast"/>
                <w:jc w:val="center"/>
              </w:trPr>
              <w:tc>
                <w:tcPr>
                  <w:tcW w:w="1672" w:type="dxa"/>
                  <w:gridSpan w:val="2"/>
                  <w:vMerge w:val="restart"/>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eastAsia"/>
                      <w:color w:val="auto"/>
                      <w:highlight w:val="none"/>
                      <w:lang w:val="en-US" w:eastAsia="zh-CN"/>
                    </w:rPr>
                  </w:pPr>
                  <w:r>
                    <w:rPr>
                      <w:rFonts w:hint="eastAsia"/>
                      <w:color w:val="auto"/>
                      <w:highlight w:val="none"/>
                      <w:lang w:val="en-US" w:eastAsia="zh-CN"/>
                    </w:rPr>
                    <w:t>地形地貌</w:t>
                  </w:r>
                </w:p>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景观</w:t>
                  </w:r>
                </w:p>
              </w:tc>
              <w:tc>
                <w:tcPr>
                  <w:tcW w:w="26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闭坑回填</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m</w:t>
                  </w:r>
                  <w:r>
                    <w:rPr>
                      <w:rFonts w:hint="eastAsia"/>
                      <w:color w:val="auto"/>
                      <w:highlight w:val="none"/>
                      <w:vertAlign w:val="superscript"/>
                      <w:lang w:val="en-US" w:eastAsia="zh-CN"/>
                    </w:rPr>
                    <w:t>3</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285</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285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37" w:hRule="atLeast"/>
                <w:jc w:val="center"/>
              </w:trPr>
              <w:tc>
                <w:tcPr>
                  <w:tcW w:w="1672" w:type="dxa"/>
                  <w:gridSpan w:val="2"/>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26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闭坑拆除</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m</w:t>
                  </w:r>
                  <w:r>
                    <w:rPr>
                      <w:rFonts w:hint="eastAsia"/>
                      <w:color w:val="auto"/>
                      <w:highlight w:val="none"/>
                      <w:vertAlign w:val="superscript"/>
                      <w:lang w:val="en-US" w:eastAsia="zh-CN"/>
                    </w:rPr>
                    <w:t>3</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900</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900</w:t>
                  </w:r>
                </w:p>
              </w:tc>
            </w:tr>
          </w:tbl>
          <w:p>
            <w:pPr>
              <w:bidi w:val="0"/>
              <w:rPr>
                <w:rFonts w:hint="default"/>
                <w:color w:val="auto"/>
                <w:highlight w:val="none"/>
                <w:lang w:val="en-US" w:eastAsia="zh-CN"/>
              </w:rPr>
            </w:pPr>
            <w:r>
              <w:rPr>
                <w:rFonts w:hint="eastAsia"/>
                <w:color w:val="auto"/>
                <w:highlight w:val="none"/>
                <w:lang w:val="en-US" w:eastAsia="zh-CN"/>
              </w:rPr>
              <w:t>2、经费估算</w:t>
            </w:r>
          </w:p>
          <w:p>
            <w:pPr>
              <w:bidi w:val="0"/>
              <w:rPr>
                <w:color w:val="auto"/>
                <w:highlight w:val="none"/>
              </w:rPr>
            </w:pPr>
            <w:r>
              <w:rPr>
                <w:rFonts w:hint="eastAsia"/>
                <w:color w:val="auto"/>
                <w:highlight w:val="none"/>
              </w:rPr>
              <w:t>近期费用、中远期费用估算和总费用估算见表</w:t>
            </w:r>
            <w:r>
              <w:rPr>
                <w:rFonts w:hint="eastAsia"/>
                <w:color w:val="auto"/>
                <w:highlight w:val="none"/>
                <w:lang w:val="en-US" w:eastAsia="zh-CN"/>
              </w:rPr>
              <w:t>10、11</w:t>
            </w:r>
            <w:r>
              <w:rPr>
                <w:color w:val="auto"/>
                <w:highlight w:val="none"/>
              </w:rPr>
              <w:t>。</w:t>
            </w:r>
          </w:p>
          <w:p>
            <w:pPr>
              <w:spacing w:line="240" w:lineRule="auto"/>
              <w:ind w:firstLine="0" w:firstLineChars="0"/>
              <w:jc w:val="center"/>
              <w:rPr>
                <w:rFonts w:hint="eastAsia" w:ascii="仿宋" w:hAnsi="仿宋" w:eastAsia="仿宋" w:cs="仿宋"/>
                <w:b/>
                <w:bCs/>
                <w:color w:val="FF0000"/>
                <w:lang w:val="en-US" w:eastAsia="zh-CN"/>
              </w:rPr>
            </w:pPr>
            <w:r>
              <w:rPr>
                <w:rFonts w:hint="eastAsia" w:ascii="仿宋" w:hAnsi="仿宋" w:eastAsia="仿宋" w:cs="仿宋"/>
                <w:b/>
                <w:bCs/>
                <w:color w:val="auto"/>
                <w:lang w:val="en-US" w:eastAsia="zh-CN"/>
              </w:rPr>
              <w:t xml:space="preserve">近期（2022年10月～2027年9月）矿山地质环境治理费用  表10 </w:t>
            </w:r>
          </w:p>
          <w:tbl>
            <w:tblPr>
              <w:tblStyle w:val="14"/>
              <w:tblW w:w="8297"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1"/>
              <w:gridCol w:w="3757"/>
              <w:gridCol w:w="695"/>
              <w:gridCol w:w="696"/>
              <w:gridCol w:w="1240"/>
              <w:gridCol w:w="125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序号</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项目工程名称</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单位</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数量</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单价（元）</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合计（元）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1</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地热井水位、用水量、水温监测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605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80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48400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2</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地热水水质监测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2500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12500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3</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回灌井水位、回灌水量、水温监测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605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80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48400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4</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回灌井水质监测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2500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12500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5</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输水管线巡查监测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605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30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18150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6</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地面沉降监测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1000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5000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039" w:type="dxa"/>
                  <w:gridSpan w:val="5"/>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eastAsia"/>
                      <w:color w:val="auto"/>
                      <w:highlight w:val="none"/>
                      <w:lang w:val="en-US" w:eastAsia="zh-CN"/>
                    </w:rPr>
                    <w:t>小  计</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auto"/>
                      <w:highlight w:val="none"/>
                      <w:lang w:val="en-US" w:eastAsia="zh-CN"/>
                    </w:rPr>
                  </w:pPr>
                  <w:r>
                    <w:rPr>
                      <w:rFonts w:hint="default"/>
                      <w:color w:val="auto"/>
                      <w:highlight w:val="none"/>
                      <w:lang w:val="en-US" w:eastAsia="zh-CN"/>
                    </w:rPr>
                    <w:t>144950</w:t>
                  </w:r>
                </w:p>
              </w:tc>
            </w:tr>
          </w:tbl>
          <w:p>
            <w:pPr>
              <w:spacing w:line="240" w:lineRule="auto"/>
              <w:ind w:firstLine="0" w:firstLineChars="0"/>
              <w:jc w:val="center"/>
              <w:rPr>
                <w:rFonts w:hint="eastAsia" w:ascii="仿宋" w:hAnsi="仿宋" w:eastAsia="仿宋" w:cs="仿宋"/>
                <w:b/>
                <w:bCs/>
                <w:color w:val="auto"/>
                <w:lang w:val="en-US" w:eastAsia="zh-CN"/>
              </w:rPr>
            </w:pPr>
            <w:r>
              <w:rPr>
                <w:rFonts w:hint="eastAsia" w:ascii="仿宋" w:hAnsi="仿宋" w:eastAsia="仿宋" w:cs="仿宋"/>
                <w:b/>
                <w:bCs/>
                <w:color w:val="auto"/>
                <w:lang w:val="en-US" w:eastAsia="zh-CN"/>
              </w:rPr>
              <w:t>中、远期（2027年10月～2040年9月）矿山地质环境治理费用  表11</w:t>
            </w:r>
          </w:p>
          <w:tbl>
            <w:tblPr>
              <w:tblStyle w:val="14"/>
              <w:tblW w:w="8277"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5"/>
              <w:gridCol w:w="3763"/>
              <w:gridCol w:w="613"/>
              <w:gridCol w:w="1011"/>
              <w:gridCol w:w="1007"/>
              <w:gridCol w:w="123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645"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序号</w:t>
                  </w:r>
                </w:p>
              </w:tc>
              <w:tc>
                <w:tcPr>
                  <w:tcW w:w="376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项目工程名称</w:t>
                  </w:r>
                </w:p>
              </w:tc>
              <w:tc>
                <w:tcPr>
                  <w:tcW w:w="61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单位</w:t>
                  </w:r>
                </w:p>
              </w:tc>
              <w:tc>
                <w:tcPr>
                  <w:tcW w:w="1011"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数量</w:t>
                  </w:r>
                </w:p>
              </w:tc>
              <w:tc>
                <w:tcPr>
                  <w:tcW w:w="1007"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单价（元）</w:t>
                  </w:r>
                </w:p>
              </w:tc>
              <w:tc>
                <w:tcPr>
                  <w:tcW w:w="1238"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合计（元）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645"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1</w:t>
                  </w:r>
                </w:p>
              </w:tc>
              <w:tc>
                <w:tcPr>
                  <w:tcW w:w="376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地热井水位、用水量、水温监测</w:t>
                  </w:r>
                </w:p>
              </w:tc>
              <w:tc>
                <w:tcPr>
                  <w:tcW w:w="61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次</w:t>
                  </w:r>
                </w:p>
              </w:tc>
              <w:tc>
                <w:tcPr>
                  <w:tcW w:w="1011"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1573</w:t>
                  </w:r>
                </w:p>
              </w:tc>
              <w:tc>
                <w:tcPr>
                  <w:tcW w:w="1007"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80</w:t>
                  </w:r>
                </w:p>
              </w:tc>
              <w:tc>
                <w:tcPr>
                  <w:tcW w:w="1238"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125840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5"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2</w:t>
                  </w:r>
                </w:p>
              </w:tc>
              <w:tc>
                <w:tcPr>
                  <w:tcW w:w="376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地热水水质监测</w:t>
                  </w:r>
                </w:p>
              </w:tc>
              <w:tc>
                <w:tcPr>
                  <w:tcW w:w="61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次</w:t>
                  </w:r>
                </w:p>
              </w:tc>
              <w:tc>
                <w:tcPr>
                  <w:tcW w:w="1011"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13</w:t>
                  </w:r>
                </w:p>
              </w:tc>
              <w:tc>
                <w:tcPr>
                  <w:tcW w:w="1007"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3000</w:t>
                  </w:r>
                </w:p>
              </w:tc>
              <w:tc>
                <w:tcPr>
                  <w:tcW w:w="1238"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39000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645"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3</w:t>
                  </w:r>
                </w:p>
              </w:tc>
              <w:tc>
                <w:tcPr>
                  <w:tcW w:w="376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回灌井水位、回灌水量、水温监测</w:t>
                  </w:r>
                </w:p>
              </w:tc>
              <w:tc>
                <w:tcPr>
                  <w:tcW w:w="61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次</w:t>
                  </w:r>
                </w:p>
              </w:tc>
              <w:tc>
                <w:tcPr>
                  <w:tcW w:w="1011"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1573</w:t>
                  </w:r>
                </w:p>
              </w:tc>
              <w:tc>
                <w:tcPr>
                  <w:tcW w:w="1007"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80</w:t>
                  </w:r>
                </w:p>
              </w:tc>
              <w:tc>
                <w:tcPr>
                  <w:tcW w:w="1238"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125840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5"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4</w:t>
                  </w:r>
                </w:p>
              </w:tc>
              <w:tc>
                <w:tcPr>
                  <w:tcW w:w="376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回灌井水质监测</w:t>
                  </w:r>
                </w:p>
              </w:tc>
              <w:tc>
                <w:tcPr>
                  <w:tcW w:w="61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次</w:t>
                  </w:r>
                </w:p>
              </w:tc>
              <w:tc>
                <w:tcPr>
                  <w:tcW w:w="1011"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13</w:t>
                  </w:r>
                </w:p>
              </w:tc>
              <w:tc>
                <w:tcPr>
                  <w:tcW w:w="1007"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3000</w:t>
                  </w:r>
                </w:p>
              </w:tc>
              <w:tc>
                <w:tcPr>
                  <w:tcW w:w="1238"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39000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5"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5</w:t>
                  </w:r>
                </w:p>
              </w:tc>
              <w:tc>
                <w:tcPr>
                  <w:tcW w:w="376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输水管线巡查监测</w:t>
                  </w:r>
                </w:p>
              </w:tc>
              <w:tc>
                <w:tcPr>
                  <w:tcW w:w="61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次</w:t>
                  </w:r>
                </w:p>
              </w:tc>
              <w:tc>
                <w:tcPr>
                  <w:tcW w:w="1011"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1573</w:t>
                  </w:r>
                </w:p>
              </w:tc>
              <w:tc>
                <w:tcPr>
                  <w:tcW w:w="1007"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50</w:t>
                  </w:r>
                </w:p>
              </w:tc>
              <w:tc>
                <w:tcPr>
                  <w:tcW w:w="1238"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78650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5"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6</w:t>
                  </w:r>
                </w:p>
              </w:tc>
              <w:tc>
                <w:tcPr>
                  <w:tcW w:w="376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地面沉降监测</w:t>
                  </w:r>
                </w:p>
              </w:tc>
              <w:tc>
                <w:tcPr>
                  <w:tcW w:w="61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次</w:t>
                  </w:r>
                </w:p>
              </w:tc>
              <w:tc>
                <w:tcPr>
                  <w:tcW w:w="1011"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13</w:t>
                  </w:r>
                </w:p>
              </w:tc>
              <w:tc>
                <w:tcPr>
                  <w:tcW w:w="1007"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1000</w:t>
                  </w:r>
                </w:p>
              </w:tc>
              <w:tc>
                <w:tcPr>
                  <w:tcW w:w="1238"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13000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645"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7</w:t>
                  </w:r>
                </w:p>
              </w:tc>
              <w:tc>
                <w:tcPr>
                  <w:tcW w:w="376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闭坑回填</w:t>
                  </w:r>
                </w:p>
              </w:tc>
              <w:tc>
                <w:tcPr>
                  <w:tcW w:w="61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m</w:t>
                  </w:r>
                  <w:r>
                    <w:rPr>
                      <w:rFonts w:hint="default" w:ascii="Times New Roman" w:hAnsi="Times New Roman" w:eastAsia="宋体" w:cs="Times New Roman"/>
                      <w:i w:val="0"/>
                      <w:iCs w:val="0"/>
                      <w:color w:val="auto"/>
                      <w:kern w:val="0"/>
                      <w:sz w:val="24"/>
                      <w:szCs w:val="24"/>
                      <w:u w:val="none"/>
                      <w:vertAlign w:val="superscript"/>
                      <w:lang w:val="en-US" w:eastAsia="zh-CN" w:bidi="ar"/>
                    </w:rPr>
                    <w:t>3</w:t>
                  </w:r>
                </w:p>
              </w:tc>
              <w:tc>
                <w:tcPr>
                  <w:tcW w:w="1011"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285</w:t>
                  </w:r>
                </w:p>
              </w:tc>
              <w:tc>
                <w:tcPr>
                  <w:tcW w:w="1007"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13.34</w:t>
                  </w:r>
                </w:p>
              </w:tc>
              <w:tc>
                <w:tcPr>
                  <w:tcW w:w="1238"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3801.9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645"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8</w:t>
                  </w:r>
                </w:p>
              </w:tc>
              <w:tc>
                <w:tcPr>
                  <w:tcW w:w="376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闭坑拆除</w:t>
                  </w:r>
                </w:p>
              </w:tc>
              <w:tc>
                <w:tcPr>
                  <w:tcW w:w="61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m</w:t>
                  </w:r>
                  <w:r>
                    <w:rPr>
                      <w:rFonts w:hint="default" w:ascii="Times New Roman" w:hAnsi="Times New Roman" w:eastAsia="宋体" w:cs="Times New Roman"/>
                      <w:i w:val="0"/>
                      <w:iCs w:val="0"/>
                      <w:color w:val="auto"/>
                      <w:kern w:val="0"/>
                      <w:sz w:val="24"/>
                      <w:szCs w:val="24"/>
                      <w:u w:val="none"/>
                      <w:vertAlign w:val="superscript"/>
                      <w:lang w:val="en-US" w:eastAsia="zh-CN" w:bidi="ar"/>
                    </w:rPr>
                    <w:t>3</w:t>
                  </w:r>
                </w:p>
              </w:tc>
              <w:tc>
                <w:tcPr>
                  <w:tcW w:w="1011"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900</w:t>
                  </w:r>
                </w:p>
              </w:tc>
              <w:tc>
                <w:tcPr>
                  <w:tcW w:w="1007"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61.81</w:t>
                  </w:r>
                </w:p>
              </w:tc>
              <w:tc>
                <w:tcPr>
                  <w:tcW w:w="1238"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55629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7039"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eastAsia" w:ascii="宋体" w:hAnsi="宋体" w:eastAsia="宋体" w:cs="宋体"/>
                      <w:i w:val="0"/>
                      <w:iCs w:val="0"/>
                      <w:color w:val="auto"/>
                      <w:kern w:val="0"/>
                      <w:sz w:val="24"/>
                      <w:szCs w:val="24"/>
                      <w:u w:val="none"/>
                      <w:lang w:val="en-US" w:eastAsia="zh-CN" w:bidi="ar"/>
                    </w:rPr>
                    <w:t>小</w:t>
                  </w:r>
                  <w:r>
                    <w:rPr>
                      <w:rFonts w:hint="default" w:ascii="Times New Roman" w:hAnsi="Times New Roman" w:eastAsia="宋体" w:cs="Times New Roman"/>
                      <w:i w:val="0"/>
                      <w:iCs w:val="0"/>
                      <w:color w:val="auto"/>
                      <w:kern w:val="0"/>
                      <w:sz w:val="24"/>
                      <w:szCs w:val="24"/>
                      <w:u w:val="none"/>
                      <w:lang w:val="en-US" w:eastAsia="zh-CN" w:bidi="ar"/>
                    </w:rPr>
                    <w:t xml:space="preserve">  </w:t>
                  </w:r>
                  <w:r>
                    <w:rPr>
                      <w:rFonts w:hint="eastAsia" w:ascii="宋体" w:hAnsi="宋体" w:eastAsia="宋体" w:cs="宋体"/>
                      <w:i w:val="0"/>
                      <w:iCs w:val="0"/>
                      <w:color w:val="auto"/>
                      <w:kern w:val="0"/>
                      <w:sz w:val="24"/>
                      <w:szCs w:val="24"/>
                      <w:u w:val="none"/>
                      <w:lang w:val="en-US" w:eastAsia="zh-CN" w:bidi="ar"/>
                    </w:rPr>
                    <w:t>计</w:t>
                  </w:r>
                </w:p>
              </w:tc>
              <w:tc>
                <w:tcPr>
                  <w:tcW w:w="1238"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4"/>
                      <w:szCs w:val="24"/>
                      <w:u w:val="none"/>
                      <w:lang w:val="en-US" w:eastAsia="zh-CN" w:bidi="ar"/>
                    </w:rPr>
                    <w:t>480760.9</w:t>
                  </w:r>
                </w:p>
              </w:tc>
            </w:tr>
          </w:tbl>
          <w:p>
            <w:pPr>
              <w:pStyle w:val="4"/>
              <w:bidi w:val="0"/>
              <w:rPr>
                <w:rFonts w:hint="default"/>
                <w:color w:val="auto"/>
                <w:lang w:val="en-US" w:eastAsia="zh-CN"/>
              </w:rPr>
            </w:pPr>
            <w:r>
              <w:rPr>
                <w:rFonts w:hint="eastAsia"/>
                <w:color w:val="auto"/>
                <w:lang w:val="en-US" w:eastAsia="zh-CN"/>
              </w:rPr>
              <w:t>（二）资金来源</w:t>
            </w:r>
          </w:p>
          <w:p>
            <w:pPr>
              <w:bidi w:val="0"/>
              <w:rPr>
                <w:rFonts w:hint="default"/>
                <w:color w:val="auto"/>
                <w:highlight w:val="none"/>
              </w:rPr>
            </w:pPr>
            <w:r>
              <w:rPr>
                <w:rFonts w:hint="default"/>
                <w:color w:val="auto"/>
                <w:highlight w:val="none"/>
              </w:rPr>
              <w:t>本方案矿山地质环境治理估算总费用</w:t>
            </w:r>
            <w:r>
              <w:rPr>
                <w:rFonts w:hint="eastAsia"/>
                <w:color w:val="auto"/>
                <w:highlight w:val="none"/>
                <w:lang w:val="en-US" w:eastAsia="zh-CN"/>
              </w:rPr>
              <w:t>62.57</w:t>
            </w:r>
            <w:r>
              <w:rPr>
                <w:rFonts w:hint="default"/>
                <w:color w:val="auto"/>
                <w:highlight w:val="none"/>
              </w:rPr>
              <w:t>万元</w:t>
            </w:r>
            <w:r>
              <w:rPr>
                <w:rFonts w:hint="eastAsia"/>
                <w:color w:val="auto"/>
                <w:highlight w:val="none"/>
                <w:lang w:eastAsia="zh-CN"/>
              </w:rPr>
              <w:t>（包括近期、中期、远期）</w:t>
            </w:r>
            <w:r>
              <w:rPr>
                <w:rFonts w:hint="default"/>
                <w:color w:val="auto"/>
                <w:highlight w:val="none"/>
                <w:lang w:eastAsia="zh-CN"/>
              </w:rPr>
              <w:t>；适用</w:t>
            </w:r>
            <w:r>
              <w:rPr>
                <w:rFonts w:hint="eastAsia"/>
                <w:color w:val="auto"/>
                <w:highlight w:val="none"/>
                <w:lang w:eastAsia="zh-CN"/>
              </w:rPr>
              <w:t>期内</w:t>
            </w:r>
            <w:r>
              <w:rPr>
                <w:rFonts w:hint="default"/>
                <w:color w:val="auto"/>
                <w:highlight w:val="none"/>
              </w:rPr>
              <w:t>地质环境治理估算总费用</w:t>
            </w:r>
            <w:r>
              <w:rPr>
                <w:rFonts w:hint="eastAsia"/>
                <w:color w:val="auto"/>
                <w:highlight w:val="none"/>
                <w:lang w:val="en-US" w:eastAsia="zh-CN"/>
              </w:rPr>
              <w:t>14.50</w:t>
            </w:r>
            <w:r>
              <w:rPr>
                <w:rFonts w:hint="default"/>
                <w:color w:val="auto"/>
                <w:highlight w:val="none"/>
              </w:rPr>
              <w:t>万元</w:t>
            </w:r>
            <w:r>
              <w:rPr>
                <w:rFonts w:hint="eastAsia"/>
                <w:color w:val="auto"/>
                <w:highlight w:val="none"/>
                <w:lang w:eastAsia="zh-CN"/>
              </w:rPr>
              <w:t>，适用期</w:t>
            </w:r>
            <w:r>
              <w:rPr>
                <w:rFonts w:hint="default"/>
                <w:color w:val="auto"/>
                <w:highlight w:val="none"/>
                <w:lang w:eastAsia="zh-CN"/>
              </w:rPr>
              <w:t>年平均费用</w:t>
            </w:r>
            <w:r>
              <w:rPr>
                <w:rFonts w:hint="eastAsia"/>
                <w:color w:val="auto"/>
                <w:highlight w:val="none"/>
                <w:lang w:val="en-US" w:eastAsia="zh-CN"/>
              </w:rPr>
              <w:t>2.90</w:t>
            </w:r>
            <w:r>
              <w:rPr>
                <w:rFonts w:hint="default"/>
                <w:color w:val="auto"/>
                <w:highlight w:val="none"/>
                <w:lang w:val="en-US" w:eastAsia="zh-CN"/>
              </w:rPr>
              <w:t>万元</w:t>
            </w:r>
            <w:r>
              <w:rPr>
                <w:rFonts w:hint="default"/>
                <w:color w:val="auto"/>
                <w:highlight w:val="none"/>
                <w:lang w:eastAsia="zh-CN"/>
              </w:rPr>
              <w:t>。</w:t>
            </w:r>
            <w:r>
              <w:rPr>
                <w:rFonts w:hint="default"/>
                <w:color w:val="auto"/>
                <w:highlight w:val="none"/>
              </w:rPr>
              <w:t>据</w:t>
            </w:r>
            <w:r>
              <w:rPr>
                <w:rFonts w:hint="eastAsia"/>
                <w:color w:val="auto"/>
                <w:highlight w:val="none"/>
                <w:lang w:eastAsia="zh-CN"/>
              </w:rPr>
              <w:t>“</w:t>
            </w:r>
            <w:r>
              <w:rPr>
                <w:rFonts w:hint="default"/>
                <w:color w:val="auto"/>
                <w:highlight w:val="none"/>
              </w:rPr>
              <w:t>陕西省矿山地质环境治理恢复与土地复垦基金实施办法</w:t>
            </w:r>
            <w:r>
              <w:rPr>
                <w:rFonts w:hint="eastAsia"/>
                <w:color w:val="auto"/>
                <w:highlight w:val="none"/>
                <w:lang w:eastAsia="zh-CN"/>
              </w:rPr>
              <w:t>”</w:t>
            </w:r>
            <w:r>
              <w:rPr>
                <w:rFonts w:hint="default"/>
                <w:color w:val="auto"/>
                <w:highlight w:val="none"/>
              </w:rPr>
              <w:t>，</w:t>
            </w:r>
            <w:r>
              <w:rPr>
                <w:rFonts w:hint="default" w:ascii="Times New Roman" w:hAnsi="Times New Roman" w:eastAsia="宋体" w:cs="Times New Roman"/>
                <w:color w:val="auto"/>
                <w:sz w:val="24"/>
                <w:szCs w:val="24"/>
              </w:rPr>
              <w:t>地热</w:t>
            </w:r>
            <w:r>
              <w:rPr>
                <w:rFonts w:hint="default" w:ascii="Times New Roman" w:hAnsi="Times New Roman" w:eastAsia="宋体" w:cs="Times New Roman"/>
                <w:color w:val="auto"/>
                <w:sz w:val="24"/>
                <w:szCs w:val="24"/>
                <w:lang w:eastAsia="zh-CN"/>
              </w:rPr>
              <w:t>月</w:t>
            </w:r>
            <w:r>
              <w:rPr>
                <w:rFonts w:hint="default" w:ascii="Times New Roman" w:hAnsi="Times New Roman" w:eastAsia="宋体" w:cs="Times New Roman"/>
                <w:color w:val="auto"/>
                <w:sz w:val="24"/>
                <w:szCs w:val="24"/>
              </w:rPr>
              <w:t>基金计提数额为</w:t>
            </w:r>
            <w:r>
              <w:rPr>
                <w:rFonts w:hint="eastAsia" w:eastAsia="宋体" w:cs="Times New Roman"/>
                <w:color w:val="auto"/>
                <w:sz w:val="24"/>
                <w:szCs w:val="24"/>
                <w:lang w:val="en-US" w:eastAsia="zh-CN"/>
              </w:rPr>
              <w:t>1388.73</w:t>
            </w:r>
            <w:r>
              <w:rPr>
                <w:rFonts w:hint="default" w:ascii="Times New Roman" w:hAnsi="Times New Roman" w:eastAsia="宋体" w:cs="Times New Roman"/>
                <w:color w:val="auto"/>
                <w:sz w:val="24"/>
                <w:szCs w:val="24"/>
              </w:rPr>
              <w:t>元/</w:t>
            </w:r>
            <w:r>
              <w:rPr>
                <w:rFonts w:hint="default" w:ascii="Times New Roman" w:hAnsi="Times New Roman" w:eastAsia="宋体" w:cs="Times New Roman"/>
                <w:color w:val="auto"/>
                <w:sz w:val="24"/>
                <w:szCs w:val="24"/>
                <w:lang w:eastAsia="zh-CN"/>
              </w:rPr>
              <w:t>月，累计年计提基金数</w:t>
            </w:r>
            <w:r>
              <w:rPr>
                <w:rFonts w:hint="eastAsia" w:eastAsia="宋体" w:cs="Times New Roman"/>
                <w:color w:val="auto"/>
                <w:sz w:val="24"/>
                <w:szCs w:val="24"/>
                <w:lang w:val="en-US" w:eastAsia="zh-CN"/>
              </w:rPr>
              <w:t>16664.76</w:t>
            </w:r>
            <w:r>
              <w:rPr>
                <w:rFonts w:hint="default" w:ascii="Times New Roman" w:hAnsi="Times New Roman" w:eastAsia="宋体" w:cs="Times New Roman"/>
                <w:color w:val="auto"/>
                <w:sz w:val="24"/>
                <w:szCs w:val="24"/>
                <w:lang w:val="en-US" w:eastAsia="zh-CN"/>
              </w:rPr>
              <w:t>元</w:t>
            </w:r>
            <w:r>
              <w:rPr>
                <w:rFonts w:hint="default"/>
                <w:color w:val="auto"/>
                <w:highlight w:val="none"/>
              </w:rPr>
              <w:t>；由于本方案估算的所需费用大于计提基金数，按照本方案估算的所需费用计提。矿山地质环境治理经费均由矿山单位自筹。</w:t>
            </w:r>
          </w:p>
          <w:p>
            <w:pPr>
              <w:pStyle w:val="3"/>
              <w:bidi w:val="0"/>
              <w:rPr>
                <w:rFonts w:hint="eastAsia"/>
                <w:color w:val="auto"/>
              </w:rPr>
            </w:pPr>
            <w:bookmarkStart w:id="37" w:name="_Toc609"/>
            <w:bookmarkStart w:id="38" w:name="_Toc25783"/>
            <w:bookmarkStart w:id="39" w:name="_Toc11803"/>
            <w:r>
              <w:rPr>
                <w:rFonts w:hint="eastAsia"/>
                <w:color w:val="auto"/>
                <w:lang w:eastAsia="zh-CN"/>
              </w:rPr>
              <w:t>七、保证措施及</w:t>
            </w:r>
            <w:r>
              <w:rPr>
                <w:rFonts w:hint="eastAsia"/>
                <w:color w:val="auto"/>
              </w:rPr>
              <w:t>效益分析</w:t>
            </w:r>
            <w:bookmarkEnd w:id="37"/>
            <w:bookmarkEnd w:id="38"/>
            <w:bookmarkEnd w:id="39"/>
          </w:p>
          <w:p>
            <w:pPr>
              <w:pStyle w:val="4"/>
              <w:bidi w:val="0"/>
              <w:rPr>
                <w:rFonts w:hint="eastAsia"/>
                <w:color w:val="auto"/>
                <w:lang w:eastAsia="zh-CN"/>
              </w:rPr>
            </w:pPr>
            <w:bookmarkStart w:id="40" w:name="_Toc360615408"/>
            <w:bookmarkStart w:id="41" w:name="_Toc347090411"/>
            <w:bookmarkStart w:id="42" w:name="_Toc376602576"/>
            <w:bookmarkStart w:id="43" w:name="_Toc376602657"/>
            <w:bookmarkStart w:id="44" w:name="_Toc344990010"/>
            <w:bookmarkStart w:id="45" w:name="_Toc369190161"/>
            <w:r>
              <w:rPr>
                <w:rFonts w:hint="eastAsia"/>
                <w:color w:val="auto"/>
                <w:lang w:eastAsia="zh-CN"/>
              </w:rPr>
              <w:t>（一）保证措施</w:t>
            </w:r>
          </w:p>
          <w:p>
            <w:pPr>
              <w:pStyle w:val="5"/>
              <w:bidi w:val="0"/>
              <w:rPr>
                <w:rFonts w:hint="default"/>
                <w:color w:val="auto"/>
                <w:lang w:val="en-US" w:eastAsia="zh-CN"/>
              </w:rPr>
            </w:pPr>
            <w:r>
              <w:rPr>
                <w:rFonts w:hint="eastAsia"/>
                <w:color w:val="auto"/>
                <w:lang w:val="en-US" w:eastAsia="zh-CN"/>
              </w:rPr>
              <w:t>1、组织措施</w:t>
            </w:r>
          </w:p>
          <w:p>
            <w:pPr>
              <w:spacing w:before="211" w:line="359" w:lineRule="auto"/>
              <w:ind w:left="141" w:right="105" w:firstLine="538"/>
              <w:rPr>
                <w:rFonts w:ascii="宋体" w:hAnsi="宋体" w:eastAsia="宋体" w:cs="宋体"/>
                <w:color w:val="auto"/>
                <w:sz w:val="24"/>
                <w:szCs w:val="24"/>
              </w:rPr>
            </w:pPr>
            <w:r>
              <w:rPr>
                <w:rFonts w:ascii="宋体" w:hAnsi="宋体" w:eastAsia="宋体" w:cs="宋体"/>
                <w:color w:val="auto"/>
                <w:spacing w:val="-11"/>
                <w:sz w:val="24"/>
                <w:szCs w:val="24"/>
              </w:rPr>
              <w:t>按照“谁开发，谁保护，谁治理，谁复垦”的原则，明确本方案实施</w:t>
            </w:r>
            <w:r>
              <w:rPr>
                <w:rFonts w:ascii="宋体" w:hAnsi="宋体" w:eastAsia="宋体" w:cs="宋体"/>
                <w:color w:val="auto"/>
                <w:sz w:val="24"/>
                <w:szCs w:val="24"/>
              </w:rPr>
              <w:t xml:space="preserve"> </w:t>
            </w:r>
            <w:r>
              <w:rPr>
                <w:rFonts w:ascii="宋体" w:hAnsi="宋体" w:eastAsia="宋体" w:cs="宋体"/>
                <w:color w:val="auto"/>
                <w:spacing w:val="-9"/>
                <w:sz w:val="24"/>
                <w:szCs w:val="24"/>
              </w:rPr>
              <w:t>的</w:t>
            </w:r>
            <w:r>
              <w:rPr>
                <w:rFonts w:ascii="宋体" w:hAnsi="宋体" w:eastAsia="宋体" w:cs="宋体"/>
                <w:color w:val="auto"/>
                <w:spacing w:val="-5"/>
                <w:sz w:val="24"/>
                <w:szCs w:val="24"/>
              </w:rPr>
              <w:t>组织机构及其职责。</w:t>
            </w:r>
          </w:p>
          <w:p>
            <w:pPr>
              <w:spacing w:line="359" w:lineRule="auto"/>
              <w:ind w:left="120" w:right="106" w:firstLine="577"/>
              <w:rPr>
                <w:rFonts w:ascii="宋体" w:hAnsi="宋体" w:eastAsia="宋体" w:cs="宋体"/>
                <w:color w:val="auto"/>
                <w:sz w:val="24"/>
                <w:szCs w:val="24"/>
              </w:rPr>
            </w:pPr>
            <w:r>
              <w:rPr>
                <w:rFonts w:hint="eastAsia" w:ascii="宋体" w:hAnsi="宋体" w:eastAsia="宋体" w:cs="宋体"/>
                <w:color w:val="auto"/>
                <w:spacing w:val="-6"/>
                <w:sz w:val="24"/>
                <w:szCs w:val="24"/>
                <w:lang w:eastAsia="zh-CN"/>
              </w:rPr>
              <w:t>（</w:t>
            </w:r>
            <w:r>
              <w:rPr>
                <w:rFonts w:hint="eastAsia" w:ascii="宋体" w:hAnsi="宋体" w:eastAsia="宋体" w:cs="宋体"/>
                <w:color w:val="auto"/>
                <w:spacing w:val="-6"/>
                <w:sz w:val="24"/>
                <w:szCs w:val="24"/>
                <w:lang w:val="en-US" w:eastAsia="zh-CN"/>
              </w:rPr>
              <w:t>1</w:t>
            </w:r>
            <w:r>
              <w:rPr>
                <w:rFonts w:hint="eastAsia" w:ascii="宋体" w:hAnsi="宋体" w:eastAsia="宋体" w:cs="宋体"/>
                <w:color w:val="auto"/>
                <w:spacing w:val="-6"/>
                <w:sz w:val="24"/>
                <w:szCs w:val="24"/>
                <w:lang w:eastAsia="zh-CN"/>
              </w:rPr>
              <w:t>）</w:t>
            </w:r>
            <w:r>
              <w:rPr>
                <w:rFonts w:ascii="宋体" w:hAnsi="宋体" w:eastAsia="宋体" w:cs="宋体"/>
                <w:color w:val="auto"/>
                <w:spacing w:val="-6"/>
                <w:sz w:val="24"/>
                <w:szCs w:val="24"/>
              </w:rPr>
              <w:t>把矿</w:t>
            </w:r>
            <w:r>
              <w:rPr>
                <w:rFonts w:ascii="宋体" w:hAnsi="宋体" w:eastAsia="宋体" w:cs="宋体"/>
                <w:color w:val="auto"/>
                <w:spacing w:val="-4"/>
                <w:sz w:val="24"/>
                <w:szCs w:val="24"/>
              </w:rPr>
              <w:t>山</w:t>
            </w:r>
            <w:r>
              <w:rPr>
                <w:rFonts w:ascii="宋体" w:hAnsi="宋体" w:eastAsia="宋体" w:cs="宋体"/>
                <w:color w:val="auto"/>
                <w:spacing w:val="-3"/>
                <w:sz w:val="24"/>
                <w:szCs w:val="24"/>
              </w:rPr>
              <w:t>地质环境保护和土地复垦工作列为矿山管理工作的重点。实</w:t>
            </w:r>
            <w:r>
              <w:rPr>
                <w:rFonts w:ascii="宋体" w:hAnsi="宋体" w:eastAsia="宋体" w:cs="宋体"/>
                <w:color w:val="auto"/>
                <w:sz w:val="24"/>
                <w:szCs w:val="24"/>
              </w:rPr>
              <w:t xml:space="preserve"> </w:t>
            </w:r>
            <w:r>
              <w:rPr>
                <w:rFonts w:ascii="宋体" w:hAnsi="宋体" w:eastAsia="宋体" w:cs="宋体"/>
                <w:color w:val="auto"/>
                <w:spacing w:val="2"/>
                <w:sz w:val="24"/>
                <w:szCs w:val="24"/>
              </w:rPr>
              <w:t>行法人负责制，矿山企业法人是矿山地质环境保护与</w:t>
            </w:r>
            <w:r>
              <w:rPr>
                <w:rFonts w:ascii="宋体" w:hAnsi="宋体" w:eastAsia="宋体" w:cs="宋体"/>
                <w:color w:val="auto"/>
                <w:spacing w:val="1"/>
                <w:sz w:val="24"/>
                <w:szCs w:val="24"/>
              </w:rPr>
              <w:t>土地复垦的第一责任</w:t>
            </w:r>
            <w:r>
              <w:rPr>
                <w:rFonts w:ascii="宋体" w:hAnsi="宋体" w:eastAsia="宋体" w:cs="宋体"/>
                <w:color w:val="auto"/>
                <w:spacing w:val="-13"/>
                <w:sz w:val="24"/>
                <w:szCs w:val="24"/>
              </w:rPr>
              <w:t>人。</w:t>
            </w:r>
          </w:p>
          <w:p>
            <w:pPr>
              <w:spacing w:before="1" w:line="359" w:lineRule="auto"/>
              <w:ind w:left="119" w:right="110" w:firstLine="561"/>
              <w:rPr>
                <w:rFonts w:ascii="宋体" w:hAnsi="宋体" w:eastAsia="宋体" w:cs="宋体"/>
                <w:color w:val="auto"/>
                <w:sz w:val="24"/>
                <w:szCs w:val="24"/>
              </w:rPr>
            </w:pPr>
            <w:r>
              <w:rPr>
                <w:rFonts w:hint="eastAsia" w:ascii="宋体" w:hAnsi="宋体" w:eastAsia="宋体" w:cs="宋体"/>
                <w:color w:val="auto"/>
                <w:spacing w:val="-3"/>
                <w:sz w:val="24"/>
                <w:szCs w:val="24"/>
                <w:lang w:eastAsia="zh-CN"/>
              </w:rPr>
              <w:t>（</w:t>
            </w:r>
            <w:r>
              <w:rPr>
                <w:rFonts w:hint="eastAsia" w:ascii="宋体" w:hAnsi="宋体" w:eastAsia="宋体" w:cs="宋体"/>
                <w:color w:val="auto"/>
                <w:spacing w:val="-3"/>
                <w:sz w:val="24"/>
                <w:szCs w:val="24"/>
                <w:lang w:val="en-US" w:eastAsia="zh-CN"/>
              </w:rPr>
              <w:t>2</w:t>
            </w:r>
            <w:r>
              <w:rPr>
                <w:rFonts w:hint="eastAsia" w:ascii="宋体" w:hAnsi="宋体" w:eastAsia="宋体" w:cs="宋体"/>
                <w:color w:val="auto"/>
                <w:spacing w:val="-3"/>
                <w:sz w:val="24"/>
                <w:szCs w:val="24"/>
                <w:lang w:eastAsia="zh-CN"/>
              </w:rPr>
              <w:t>）</w:t>
            </w:r>
            <w:r>
              <w:rPr>
                <w:rFonts w:ascii="宋体" w:hAnsi="宋体" w:eastAsia="宋体" w:cs="宋体"/>
                <w:color w:val="auto"/>
                <w:spacing w:val="-3"/>
                <w:sz w:val="24"/>
                <w:szCs w:val="24"/>
              </w:rPr>
              <w:t>成立地质环境保护与土地复垦项目领导机构，负责该矿山地质</w:t>
            </w:r>
            <w:r>
              <w:rPr>
                <w:rFonts w:ascii="宋体" w:hAnsi="宋体" w:eastAsia="宋体" w:cs="宋体"/>
                <w:color w:val="auto"/>
                <w:spacing w:val="-2"/>
                <w:sz w:val="24"/>
                <w:szCs w:val="24"/>
              </w:rPr>
              <w:t>环</w:t>
            </w:r>
            <w:r>
              <w:rPr>
                <w:rFonts w:ascii="宋体" w:hAnsi="宋体" w:eastAsia="宋体" w:cs="宋体"/>
                <w:color w:val="auto"/>
                <w:sz w:val="24"/>
                <w:szCs w:val="24"/>
              </w:rPr>
              <w:t xml:space="preserve">境 </w:t>
            </w:r>
            <w:r>
              <w:rPr>
                <w:rFonts w:ascii="宋体" w:hAnsi="宋体" w:eastAsia="宋体" w:cs="宋体"/>
                <w:color w:val="auto"/>
                <w:spacing w:val="-4"/>
                <w:sz w:val="24"/>
                <w:szCs w:val="24"/>
              </w:rPr>
              <w:t>保护与</w:t>
            </w:r>
            <w:r>
              <w:rPr>
                <w:rFonts w:ascii="宋体" w:hAnsi="宋体" w:eastAsia="宋体" w:cs="宋体"/>
                <w:color w:val="auto"/>
                <w:spacing w:val="-3"/>
                <w:sz w:val="24"/>
                <w:szCs w:val="24"/>
              </w:rPr>
              <w:t>土</w:t>
            </w:r>
            <w:r>
              <w:rPr>
                <w:rFonts w:ascii="宋体" w:hAnsi="宋体" w:eastAsia="宋体" w:cs="宋体"/>
                <w:color w:val="auto"/>
                <w:spacing w:val="-2"/>
                <w:sz w:val="24"/>
                <w:szCs w:val="24"/>
              </w:rPr>
              <w:t>地复垦工作组织和实施。</w:t>
            </w:r>
          </w:p>
          <w:p>
            <w:pPr>
              <w:spacing w:before="1" w:line="359" w:lineRule="auto"/>
              <w:ind w:left="117" w:right="12" w:firstLine="565"/>
              <w:rPr>
                <w:rFonts w:ascii="宋体" w:hAnsi="宋体" w:eastAsia="宋体" w:cs="宋体"/>
                <w:color w:val="auto"/>
                <w:sz w:val="24"/>
                <w:szCs w:val="24"/>
              </w:rPr>
            </w:pPr>
            <w:r>
              <w:rPr>
                <w:rFonts w:hint="eastAsia" w:ascii="宋体" w:hAnsi="宋体" w:eastAsia="宋体" w:cs="宋体"/>
                <w:color w:val="auto"/>
                <w:spacing w:val="-3"/>
                <w:sz w:val="24"/>
                <w:szCs w:val="24"/>
                <w:lang w:eastAsia="zh-CN"/>
              </w:rPr>
              <w:t>（</w:t>
            </w:r>
            <w:r>
              <w:rPr>
                <w:rFonts w:hint="eastAsia" w:ascii="宋体" w:hAnsi="宋体" w:eastAsia="宋体" w:cs="宋体"/>
                <w:color w:val="auto"/>
                <w:spacing w:val="-3"/>
                <w:sz w:val="24"/>
                <w:szCs w:val="24"/>
                <w:lang w:val="en-US" w:eastAsia="zh-CN"/>
              </w:rPr>
              <w:t>3</w:t>
            </w:r>
            <w:r>
              <w:rPr>
                <w:rFonts w:hint="eastAsia" w:ascii="宋体" w:hAnsi="宋体" w:eastAsia="宋体" w:cs="宋体"/>
                <w:color w:val="auto"/>
                <w:spacing w:val="-3"/>
                <w:sz w:val="24"/>
                <w:szCs w:val="24"/>
                <w:lang w:eastAsia="zh-CN"/>
              </w:rPr>
              <w:t>）</w:t>
            </w:r>
            <w:r>
              <w:rPr>
                <w:rFonts w:ascii="宋体" w:hAnsi="宋体" w:eastAsia="宋体" w:cs="宋体"/>
                <w:color w:val="auto"/>
                <w:spacing w:val="-3"/>
                <w:sz w:val="24"/>
                <w:szCs w:val="24"/>
              </w:rPr>
              <w:t>接受行政主管部门的监督、管理。了解项目所在地国土资源行政</w:t>
            </w:r>
            <w:r>
              <w:rPr>
                <w:rFonts w:ascii="宋体" w:hAnsi="宋体" w:eastAsia="宋体" w:cs="宋体"/>
                <w:color w:val="auto"/>
                <w:spacing w:val="-1"/>
                <w:sz w:val="24"/>
                <w:szCs w:val="24"/>
              </w:rPr>
              <w:t>主</w:t>
            </w:r>
            <w:r>
              <w:rPr>
                <w:rFonts w:ascii="宋体" w:hAnsi="宋体" w:eastAsia="宋体" w:cs="宋体"/>
                <w:color w:val="auto"/>
                <w:sz w:val="24"/>
                <w:szCs w:val="24"/>
              </w:rPr>
              <w:t xml:space="preserve"> </w:t>
            </w:r>
            <w:r>
              <w:rPr>
                <w:rFonts w:ascii="宋体" w:hAnsi="宋体" w:eastAsia="宋体" w:cs="宋体"/>
                <w:color w:val="auto"/>
                <w:spacing w:val="2"/>
                <w:sz w:val="24"/>
                <w:szCs w:val="24"/>
              </w:rPr>
              <w:t>管部门的职责，积极加强国土资源部门的沟通、联系，按计划实施</w:t>
            </w:r>
            <w:r>
              <w:rPr>
                <w:rFonts w:ascii="宋体" w:hAnsi="宋体" w:eastAsia="宋体" w:cs="宋体"/>
                <w:color w:val="auto"/>
                <w:sz w:val="24"/>
                <w:szCs w:val="24"/>
              </w:rPr>
              <w:t>矿山企</w:t>
            </w:r>
            <w:r>
              <w:rPr>
                <w:rFonts w:ascii="宋体" w:hAnsi="宋体" w:eastAsia="宋体" w:cs="宋体"/>
                <w:color w:val="auto"/>
                <w:spacing w:val="-8"/>
                <w:sz w:val="24"/>
                <w:szCs w:val="24"/>
              </w:rPr>
              <w:t>业地质环境保护与土地复垦工作，同时接受</w:t>
            </w:r>
            <w:r>
              <w:rPr>
                <w:rFonts w:hint="eastAsia" w:ascii="宋体" w:hAnsi="宋体" w:eastAsia="宋体" w:cs="宋体"/>
                <w:color w:val="auto"/>
                <w:spacing w:val="-8"/>
                <w:sz w:val="24"/>
                <w:szCs w:val="24"/>
                <w:lang w:eastAsia="zh-CN"/>
              </w:rPr>
              <w:t>自然资源</w:t>
            </w:r>
            <w:r>
              <w:rPr>
                <w:rFonts w:ascii="宋体" w:hAnsi="宋体" w:eastAsia="宋体" w:cs="宋体"/>
                <w:color w:val="auto"/>
                <w:spacing w:val="-8"/>
                <w:sz w:val="24"/>
                <w:szCs w:val="24"/>
              </w:rPr>
              <w:t>资源行政管理部门的管理</w:t>
            </w:r>
            <w:r>
              <w:rPr>
                <w:rFonts w:ascii="宋体" w:hAnsi="宋体" w:eastAsia="宋体" w:cs="宋体"/>
                <w:color w:val="auto"/>
                <w:spacing w:val="-3"/>
                <w:sz w:val="24"/>
                <w:szCs w:val="24"/>
              </w:rPr>
              <w:t>、</w:t>
            </w:r>
            <w:r>
              <w:rPr>
                <w:rFonts w:ascii="宋体" w:hAnsi="宋体" w:eastAsia="宋体" w:cs="宋体"/>
                <w:color w:val="auto"/>
                <w:spacing w:val="-1"/>
                <w:sz w:val="24"/>
                <w:szCs w:val="24"/>
              </w:rPr>
              <w:t>监督、技术指导和审核</w:t>
            </w:r>
            <w:r>
              <w:rPr>
                <w:rFonts w:ascii="宋体" w:hAnsi="宋体" w:eastAsia="宋体" w:cs="宋体"/>
                <w:color w:val="auto"/>
                <w:sz w:val="24"/>
                <w:szCs w:val="24"/>
              </w:rPr>
              <w:t>、验收等工作。</w:t>
            </w:r>
          </w:p>
          <w:p>
            <w:pPr>
              <w:pStyle w:val="5"/>
              <w:bidi w:val="0"/>
              <w:rPr>
                <w:rFonts w:hint="eastAsia" w:ascii="Times New Roman" w:hAnsi="Times New Roman" w:eastAsia="宋体" w:cs="Times New Roman"/>
                <w:b/>
                <w:color w:val="auto"/>
                <w:lang w:val="en-US" w:eastAsia="zh-CN"/>
              </w:rPr>
            </w:pPr>
            <w:r>
              <w:rPr>
                <w:rFonts w:hint="eastAsia" w:ascii="Times New Roman" w:hAnsi="Times New Roman" w:eastAsia="宋体" w:cs="Times New Roman"/>
                <w:b/>
                <w:color w:val="auto"/>
                <w:lang w:val="en-US" w:eastAsia="zh-CN"/>
              </w:rPr>
              <w:t>2、技术保障</w:t>
            </w:r>
          </w:p>
          <w:p>
            <w:pPr>
              <w:spacing w:before="1" w:line="359" w:lineRule="auto"/>
              <w:ind w:left="117" w:right="12" w:firstLine="565"/>
              <w:rPr>
                <w:rFonts w:hint="eastAsia" w:ascii="宋体" w:hAnsi="宋体" w:eastAsia="宋体" w:cs="宋体"/>
                <w:color w:val="auto"/>
                <w:spacing w:val="-3"/>
                <w:sz w:val="24"/>
                <w:szCs w:val="24"/>
                <w:lang w:eastAsia="zh-CN"/>
              </w:rPr>
            </w:pPr>
            <w:r>
              <w:rPr>
                <w:rFonts w:hint="eastAsia" w:ascii="宋体" w:hAnsi="宋体" w:eastAsia="宋体" w:cs="宋体"/>
                <w:color w:val="auto"/>
                <w:spacing w:val="-3"/>
                <w:sz w:val="24"/>
                <w:szCs w:val="24"/>
                <w:lang w:eastAsia="zh-CN"/>
              </w:rPr>
              <w:t>（</w:t>
            </w:r>
            <w:r>
              <w:rPr>
                <w:rFonts w:hint="eastAsia" w:ascii="宋体" w:hAnsi="宋体" w:eastAsia="宋体" w:cs="宋体"/>
                <w:color w:val="auto"/>
                <w:spacing w:val="-3"/>
                <w:sz w:val="24"/>
                <w:szCs w:val="24"/>
                <w:lang w:val="en-US" w:eastAsia="zh-CN"/>
              </w:rPr>
              <w:t>1</w:t>
            </w:r>
            <w:r>
              <w:rPr>
                <w:rFonts w:hint="eastAsia" w:ascii="宋体" w:hAnsi="宋体" w:eastAsia="宋体" w:cs="宋体"/>
                <w:color w:val="auto"/>
                <w:spacing w:val="-3"/>
                <w:sz w:val="24"/>
                <w:szCs w:val="24"/>
                <w:lang w:eastAsia="zh-CN"/>
              </w:rPr>
              <w:t>）方案实施中，应根据矿山地质环境保护与土复垦内容相关力雄厚的技术单位合作，编制阶段计划和年度及时总结性经验的技术单位合作，编制阶段计划和年度及时总结性经验的技术单位合作，编制阶段计划和年度 及时总结性经验修订本方案，并用于后期恢复治理实践中；</w:t>
            </w:r>
          </w:p>
          <w:p>
            <w:pPr>
              <w:spacing w:before="1" w:line="359" w:lineRule="auto"/>
              <w:ind w:left="117" w:right="12" w:firstLine="565"/>
              <w:rPr>
                <w:rFonts w:hint="eastAsia" w:ascii="宋体" w:hAnsi="宋体" w:eastAsia="宋体" w:cs="宋体"/>
                <w:color w:val="auto"/>
                <w:spacing w:val="-3"/>
                <w:sz w:val="24"/>
                <w:szCs w:val="24"/>
                <w:lang w:eastAsia="zh-CN"/>
              </w:rPr>
            </w:pPr>
            <w:r>
              <w:rPr>
                <w:rFonts w:hint="eastAsia" w:ascii="宋体" w:hAnsi="宋体" w:eastAsia="宋体" w:cs="宋体"/>
                <w:color w:val="auto"/>
                <w:spacing w:val="-3"/>
                <w:sz w:val="24"/>
                <w:szCs w:val="24"/>
                <w:lang w:eastAsia="zh-CN"/>
              </w:rPr>
              <w:t>（</w:t>
            </w:r>
            <w:r>
              <w:rPr>
                <w:rFonts w:hint="eastAsia" w:ascii="宋体" w:hAnsi="宋体" w:eastAsia="宋体" w:cs="宋体"/>
                <w:color w:val="auto"/>
                <w:spacing w:val="-3"/>
                <w:sz w:val="24"/>
                <w:szCs w:val="24"/>
                <w:lang w:val="en-US" w:eastAsia="zh-CN"/>
              </w:rPr>
              <w:t>2</w:t>
            </w:r>
            <w:r>
              <w:rPr>
                <w:rFonts w:hint="eastAsia" w:ascii="宋体" w:hAnsi="宋体" w:eastAsia="宋体" w:cs="宋体"/>
                <w:color w:val="auto"/>
                <w:spacing w:val="-3"/>
                <w:sz w:val="24"/>
                <w:szCs w:val="24"/>
                <w:lang w:eastAsia="zh-CN"/>
              </w:rPr>
              <w:t>）加强与相关技术单位的合作，对国内外具有先进复垦治理学习研究，及时吸取经验完善复垦治理措施；</w:t>
            </w:r>
          </w:p>
          <w:p>
            <w:pPr>
              <w:spacing w:before="1" w:line="359" w:lineRule="auto"/>
              <w:ind w:left="117" w:right="12" w:firstLine="565"/>
              <w:rPr>
                <w:rFonts w:hint="eastAsia" w:ascii="宋体" w:hAnsi="宋体" w:eastAsia="宋体" w:cs="宋体"/>
                <w:color w:val="auto"/>
                <w:spacing w:val="-3"/>
                <w:sz w:val="24"/>
                <w:szCs w:val="24"/>
                <w:lang w:eastAsia="zh-CN"/>
              </w:rPr>
            </w:pPr>
            <w:r>
              <w:rPr>
                <w:rFonts w:hint="eastAsia" w:ascii="宋体" w:hAnsi="宋体" w:eastAsia="宋体" w:cs="宋体"/>
                <w:color w:val="auto"/>
                <w:spacing w:val="-3"/>
                <w:sz w:val="24"/>
                <w:szCs w:val="24"/>
                <w:lang w:eastAsia="zh-CN"/>
              </w:rPr>
              <w:t>（</w:t>
            </w:r>
            <w:r>
              <w:rPr>
                <w:rFonts w:hint="eastAsia" w:ascii="宋体" w:hAnsi="宋体" w:eastAsia="宋体" w:cs="宋体"/>
                <w:color w:val="auto"/>
                <w:spacing w:val="-3"/>
                <w:sz w:val="24"/>
                <w:szCs w:val="24"/>
                <w:lang w:val="en-US" w:eastAsia="zh-CN"/>
              </w:rPr>
              <w:t>3</w:t>
            </w:r>
            <w:r>
              <w:rPr>
                <w:rFonts w:hint="eastAsia" w:ascii="宋体" w:hAnsi="宋体" w:eastAsia="宋体" w:cs="宋体"/>
                <w:color w:val="auto"/>
                <w:spacing w:val="-3"/>
                <w:sz w:val="24"/>
                <w:szCs w:val="24"/>
                <w:lang w:eastAsia="zh-CN"/>
              </w:rPr>
              <w:t>）根据实际生产情况，进一步完善地质环境保护与恢复治理方案，拓 展报告编制的深度和广做到所有治理工程遵循地质环境保护与恢复治理方案；</w:t>
            </w:r>
          </w:p>
          <w:p>
            <w:pPr>
              <w:spacing w:before="1" w:line="359" w:lineRule="auto"/>
              <w:ind w:left="117" w:right="12" w:firstLine="565"/>
              <w:rPr>
                <w:rFonts w:hint="eastAsia" w:ascii="宋体" w:hAnsi="宋体" w:eastAsia="宋体" w:cs="宋体"/>
                <w:color w:val="auto"/>
                <w:spacing w:val="-3"/>
                <w:sz w:val="24"/>
                <w:szCs w:val="24"/>
                <w:lang w:eastAsia="zh-CN"/>
              </w:rPr>
            </w:pPr>
            <w:r>
              <w:rPr>
                <w:rFonts w:hint="eastAsia" w:ascii="宋体" w:hAnsi="宋体" w:eastAsia="宋体" w:cs="宋体"/>
                <w:color w:val="auto"/>
                <w:spacing w:val="-3"/>
                <w:sz w:val="24"/>
                <w:szCs w:val="24"/>
                <w:lang w:eastAsia="zh-CN"/>
              </w:rPr>
              <w:t>（</w:t>
            </w:r>
            <w:r>
              <w:rPr>
                <w:rFonts w:hint="eastAsia" w:ascii="宋体" w:hAnsi="宋体" w:eastAsia="宋体" w:cs="宋体"/>
                <w:color w:val="auto"/>
                <w:spacing w:val="-3"/>
                <w:sz w:val="24"/>
                <w:szCs w:val="24"/>
                <w:lang w:val="en-US" w:eastAsia="zh-CN"/>
              </w:rPr>
              <w:t>4</w:t>
            </w:r>
            <w:r>
              <w:rPr>
                <w:rFonts w:hint="eastAsia" w:ascii="宋体" w:hAnsi="宋体" w:eastAsia="宋体" w:cs="宋体"/>
                <w:color w:val="auto"/>
                <w:spacing w:val="-3"/>
                <w:sz w:val="24"/>
                <w:szCs w:val="24"/>
                <w:lang w:eastAsia="zh-CN"/>
              </w:rPr>
              <w:t>）建设、施工等各项工作严格按照有关规定，按年度有序进行。</w:t>
            </w:r>
          </w:p>
          <w:p>
            <w:pPr>
              <w:spacing w:before="1" w:line="359" w:lineRule="auto"/>
              <w:ind w:left="117" w:right="12" w:firstLine="565"/>
              <w:rPr>
                <w:rFonts w:hint="eastAsia" w:ascii="宋体" w:hAnsi="宋体" w:cs="宋体"/>
                <w:color w:val="auto"/>
                <w:spacing w:val="-3"/>
                <w:sz w:val="24"/>
                <w:szCs w:val="24"/>
                <w:lang w:eastAsia="zh-CN"/>
              </w:rPr>
            </w:pPr>
            <w:r>
              <w:rPr>
                <w:rFonts w:hint="eastAsia" w:ascii="宋体" w:hAnsi="宋体" w:cs="宋体"/>
                <w:color w:val="auto"/>
                <w:spacing w:val="-3"/>
                <w:sz w:val="24"/>
                <w:szCs w:val="24"/>
                <w:lang w:eastAsia="zh-CN"/>
              </w:rPr>
              <w:t>（</w:t>
            </w:r>
            <w:r>
              <w:rPr>
                <w:rFonts w:hint="eastAsia" w:ascii="宋体" w:hAnsi="宋体" w:cs="宋体"/>
                <w:color w:val="auto"/>
                <w:spacing w:val="-3"/>
                <w:sz w:val="24"/>
                <w:szCs w:val="24"/>
                <w:lang w:val="en-US" w:eastAsia="zh-CN"/>
              </w:rPr>
              <w:t>5</w:t>
            </w:r>
            <w:r>
              <w:rPr>
                <w:rFonts w:hint="eastAsia" w:ascii="宋体" w:hAnsi="宋体" w:cs="宋体"/>
                <w:color w:val="auto"/>
                <w:spacing w:val="-3"/>
                <w:sz w:val="24"/>
                <w:szCs w:val="24"/>
                <w:lang w:eastAsia="zh-CN"/>
              </w:rPr>
              <w:t>）</w:t>
            </w:r>
            <w:r>
              <w:rPr>
                <w:rFonts w:hint="eastAsia" w:ascii="宋体" w:hAnsi="宋体" w:eastAsia="宋体" w:cs="宋体"/>
                <w:color w:val="auto"/>
                <w:spacing w:val="-3"/>
                <w:sz w:val="24"/>
                <w:szCs w:val="24"/>
                <w:lang w:eastAsia="zh-CN"/>
              </w:rPr>
              <w:t>选择有技术优势和较强社会责任感的监理单位，委派技术人员与</w:t>
            </w:r>
            <w:r>
              <w:rPr>
                <w:rFonts w:hint="eastAsia" w:ascii="宋体" w:hAnsi="宋体" w:cs="宋体"/>
                <w:color w:val="auto"/>
                <w:spacing w:val="-3"/>
                <w:sz w:val="24"/>
                <w:szCs w:val="24"/>
                <w:lang w:eastAsia="zh-CN"/>
              </w:rPr>
              <w:t>矿权单位</w:t>
            </w:r>
            <w:r>
              <w:rPr>
                <w:rFonts w:hint="eastAsia" w:ascii="宋体" w:hAnsi="宋体" w:eastAsia="宋体" w:cs="宋体"/>
                <w:color w:val="auto"/>
                <w:spacing w:val="-3"/>
                <w:sz w:val="24"/>
                <w:szCs w:val="24"/>
                <w:lang w:eastAsia="zh-CN"/>
              </w:rPr>
              <w:t>密切合作，确保质量</w:t>
            </w:r>
            <w:r>
              <w:rPr>
                <w:rFonts w:hint="eastAsia" w:ascii="宋体" w:hAnsi="宋体" w:cs="宋体"/>
                <w:color w:val="auto"/>
                <w:spacing w:val="-3"/>
                <w:sz w:val="24"/>
                <w:szCs w:val="24"/>
                <w:lang w:eastAsia="zh-CN"/>
              </w:rPr>
              <w:t>；</w:t>
            </w:r>
          </w:p>
          <w:p>
            <w:pPr>
              <w:spacing w:before="1" w:line="359" w:lineRule="auto"/>
              <w:ind w:left="117" w:right="12" w:firstLine="565"/>
              <w:rPr>
                <w:rFonts w:hint="eastAsia" w:ascii="宋体" w:hAnsi="宋体" w:cs="宋体"/>
                <w:color w:val="auto"/>
                <w:spacing w:val="-3"/>
                <w:sz w:val="24"/>
                <w:szCs w:val="24"/>
                <w:lang w:eastAsia="zh-CN"/>
              </w:rPr>
            </w:pPr>
            <w:r>
              <w:rPr>
                <w:rFonts w:hint="eastAsia" w:ascii="宋体" w:hAnsi="宋体" w:eastAsia="宋体" w:cs="宋体"/>
                <w:color w:val="auto"/>
                <w:spacing w:val="-3"/>
                <w:sz w:val="24"/>
                <w:szCs w:val="24"/>
                <w:lang w:eastAsia="zh-CN"/>
              </w:rPr>
              <w:t>（</w:t>
            </w:r>
            <w:r>
              <w:rPr>
                <w:rFonts w:hint="eastAsia" w:ascii="宋体" w:hAnsi="宋体" w:eastAsia="宋体" w:cs="宋体"/>
                <w:color w:val="auto"/>
                <w:spacing w:val="-3"/>
                <w:sz w:val="24"/>
                <w:szCs w:val="24"/>
                <w:lang w:val="en-US" w:eastAsia="zh-CN"/>
              </w:rPr>
              <w:t>6</w:t>
            </w:r>
            <w:r>
              <w:rPr>
                <w:rFonts w:hint="eastAsia" w:ascii="宋体" w:hAnsi="宋体" w:eastAsia="宋体" w:cs="宋体"/>
                <w:color w:val="auto"/>
                <w:spacing w:val="-3"/>
                <w:sz w:val="24"/>
                <w:szCs w:val="24"/>
                <w:lang w:eastAsia="zh-CN"/>
              </w:rPr>
              <w:t>）定期培训技术人员、咨询相关专家开展科学实验、引进先进技术，以及对地质环境保护与恢复治理情况进行动态监测和评价</w:t>
            </w:r>
            <w:r>
              <w:rPr>
                <w:rFonts w:hint="eastAsia" w:ascii="宋体" w:hAnsi="宋体" w:cs="宋体"/>
                <w:color w:val="auto"/>
                <w:spacing w:val="-3"/>
                <w:sz w:val="24"/>
                <w:szCs w:val="24"/>
                <w:lang w:eastAsia="zh-CN"/>
              </w:rPr>
              <w:t>。</w:t>
            </w:r>
          </w:p>
          <w:p>
            <w:pPr>
              <w:pStyle w:val="4"/>
              <w:bidi w:val="0"/>
              <w:rPr>
                <w:rFonts w:hint="eastAsia"/>
                <w:color w:val="auto"/>
                <w:lang w:eastAsia="zh-CN"/>
              </w:rPr>
            </w:pPr>
            <w:r>
              <w:rPr>
                <w:rFonts w:hint="eastAsia"/>
                <w:color w:val="auto"/>
                <w:lang w:eastAsia="zh-CN"/>
              </w:rPr>
              <w:t>（二）资金保障</w:t>
            </w:r>
          </w:p>
          <w:p>
            <w:pPr>
              <w:pStyle w:val="5"/>
              <w:bidi w:val="0"/>
              <w:rPr>
                <w:rFonts w:hint="eastAsia"/>
                <w:color w:val="auto"/>
                <w:lang w:eastAsia="zh-CN"/>
              </w:rPr>
            </w:pPr>
            <w:r>
              <w:rPr>
                <w:rFonts w:hint="eastAsia"/>
                <w:color w:val="auto"/>
                <w:lang w:eastAsia="zh-CN"/>
              </w:rPr>
              <w:t>1、资金来源</w:t>
            </w:r>
          </w:p>
          <w:p>
            <w:pPr>
              <w:spacing w:before="1" w:line="359" w:lineRule="auto"/>
              <w:ind w:left="117" w:right="12" w:firstLine="565"/>
              <w:rPr>
                <w:rFonts w:hint="eastAsia" w:ascii="宋体" w:hAnsi="宋体" w:cs="宋体"/>
                <w:color w:val="auto"/>
                <w:spacing w:val="-3"/>
                <w:sz w:val="24"/>
                <w:szCs w:val="24"/>
                <w:lang w:val="en-US" w:eastAsia="zh-CN"/>
              </w:rPr>
            </w:pPr>
            <w:r>
              <w:rPr>
                <w:rFonts w:hint="eastAsia" w:ascii="宋体" w:hAnsi="宋体" w:cs="宋体"/>
                <w:color w:val="auto"/>
                <w:spacing w:val="-3"/>
                <w:sz w:val="24"/>
                <w:szCs w:val="24"/>
                <w:lang w:val="en-US" w:eastAsia="zh-CN"/>
              </w:rPr>
              <w:t>根据“谁损毁谁复垦”及“谁开发谁保护，谁破坏谁治理，谁投资谁受益"的原则，矿山地质环境保护与土地复垦资金来源为矿山开采企业所提取的治理恢复基金。根据陕西省自然资源厅、财政厅、环境保护厅2018年7月12日印发的《陕西省矿山地质环境治理恢复与土地复垦基金实施办法》的通知(陕国土资发【2018】92号)，矿山企业应在银行设立专用账户，单独设置“矿山地质环境治理恢复与土地复垦基金”会计科目，反映基金的提取与使用情况。</w:t>
            </w:r>
          </w:p>
          <w:p>
            <w:pPr>
              <w:pStyle w:val="5"/>
              <w:bidi w:val="0"/>
              <w:rPr>
                <w:rFonts w:hint="eastAsia"/>
                <w:color w:val="auto"/>
                <w:lang w:eastAsia="zh-CN"/>
              </w:rPr>
            </w:pPr>
            <w:r>
              <w:rPr>
                <w:rFonts w:hint="eastAsia"/>
                <w:color w:val="auto"/>
                <w:lang w:eastAsia="zh-CN"/>
              </w:rPr>
              <w:t>2、资金的管理与使用</w:t>
            </w:r>
          </w:p>
          <w:p>
            <w:pPr>
              <w:spacing w:before="1" w:line="359" w:lineRule="auto"/>
              <w:ind w:left="117" w:right="12" w:firstLine="565"/>
              <w:rPr>
                <w:rFonts w:hint="eastAsia" w:ascii="宋体" w:hAnsi="宋体" w:cs="宋体"/>
                <w:color w:val="auto"/>
                <w:spacing w:val="-3"/>
                <w:sz w:val="24"/>
                <w:szCs w:val="24"/>
                <w:lang w:val="en-US" w:eastAsia="zh-CN"/>
              </w:rPr>
            </w:pPr>
            <w:r>
              <w:rPr>
                <w:rFonts w:hint="eastAsia" w:ascii="宋体" w:hAnsi="宋体" w:cs="宋体"/>
                <w:color w:val="auto"/>
                <w:spacing w:val="-3"/>
                <w:sz w:val="24"/>
                <w:szCs w:val="24"/>
                <w:lang w:val="en-US" w:eastAsia="zh-CN"/>
              </w:rPr>
              <w:t>矿山地质环境保护与土地复垦工程涉及资金量较大，要保证资金和项目发挥最佳效益，就必须制定好矿山开采方案，严格规范项目的设计和施工管理，因此，本矿山地质环境保护与恢复治理方案的资金管理与使用必须按下列规定执行：</w:t>
            </w:r>
          </w:p>
          <w:p>
            <w:pPr>
              <w:spacing w:before="1" w:line="359" w:lineRule="auto"/>
              <w:ind w:left="117" w:right="12" w:firstLine="565"/>
              <w:rPr>
                <w:rFonts w:hint="eastAsia" w:ascii="宋体" w:hAnsi="宋体" w:cs="宋体"/>
                <w:color w:val="auto"/>
                <w:spacing w:val="-3"/>
                <w:sz w:val="24"/>
                <w:szCs w:val="24"/>
                <w:lang w:val="en-US" w:eastAsia="zh-CN"/>
              </w:rPr>
            </w:pPr>
            <w:r>
              <w:rPr>
                <w:rFonts w:hint="eastAsia" w:ascii="宋体" w:hAnsi="宋体" w:cs="宋体"/>
                <w:color w:val="auto"/>
                <w:spacing w:val="-3"/>
                <w:sz w:val="24"/>
                <w:szCs w:val="24"/>
                <w:lang w:val="en-US" w:eastAsia="zh-CN"/>
              </w:rPr>
              <w:t>（1）资金管理与使用应遵循“企业所有、政府监管、专户存储、专款专用”的原则，任何单位和个人不得截留和挪用项目资金；</w:t>
            </w:r>
          </w:p>
          <w:p>
            <w:pPr>
              <w:spacing w:before="1" w:line="359" w:lineRule="auto"/>
              <w:ind w:left="117" w:right="12" w:firstLine="565"/>
              <w:rPr>
                <w:rFonts w:hint="eastAsia" w:ascii="宋体" w:hAnsi="宋体" w:cs="宋体"/>
                <w:color w:val="auto"/>
                <w:spacing w:val="-3"/>
                <w:sz w:val="24"/>
                <w:szCs w:val="24"/>
                <w:lang w:val="en-US" w:eastAsia="zh-CN"/>
              </w:rPr>
            </w:pPr>
            <w:r>
              <w:rPr>
                <w:rFonts w:hint="eastAsia" w:ascii="宋体" w:hAnsi="宋体" w:cs="宋体"/>
                <w:color w:val="auto"/>
                <w:spacing w:val="-3"/>
                <w:sz w:val="24"/>
                <w:szCs w:val="24"/>
                <w:lang w:val="en-US" w:eastAsia="zh-CN"/>
              </w:rPr>
              <w:t>（2）矿山地质环境与土地复垦资金先计划后使用；要建立、健全项目会计核算和内部稽核制度，对项目资金实行全过程的财务管理与监督，要严格项目资金竣工决算；</w:t>
            </w:r>
          </w:p>
          <w:p>
            <w:pPr>
              <w:spacing w:before="1" w:line="359" w:lineRule="auto"/>
              <w:ind w:left="117" w:right="12" w:firstLine="565"/>
              <w:rPr>
                <w:rFonts w:hint="eastAsia" w:ascii="宋体" w:hAnsi="宋体" w:cs="宋体"/>
                <w:color w:val="auto"/>
                <w:spacing w:val="-3"/>
                <w:sz w:val="24"/>
                <w:szCs w:val="24"/>
                <w:lang w:val="en-US" w:eastAsia="zh-CN"/>
              </w:rPr>
            </w:pPr>
            <w:r>
              <w:rPr>
                <w:rFonts w:hint="eastAsia" w:ascii="宋体" w:hAnsi="宋体" w:cs="宋体"/>
                <w:color w:val="auto"/>
                <w:spacing w:val="-3"/>
                <w:sz w:val="24"/>
                <w:szCs w:val="24"/>
                <w:lang w:val="en-US" w:eastAsia="zh-CN"/>
              </w:rPr>
              <w:t>（3）国土资源行政主管部门县审核批准矿山地质环境保护与恢复治理计划，然后按照批复的治理计划使用资金；</w:t>
            </w:r>
          </w:p>
          <w:p>
            <w:pPr>
              <w:spacing w:before="1" w:line="359" w:lineRule="auto"/>
              <w:ind w:left="117" w:right="12" w:firstLine="565"/>
              <w:rPr>
                <w:rFonts w:hint="eastAsia" w:ascii="宋体" w:hAnsi="宋体" w:cs="宋体"/>
                <w:color w:val="auto"/>
                <w:spacing w:val="-3"/>
                <w:sz w:val="24"/>
                <w:szCs w:val="24"/>
                <w:lang w:val="en-US" w:eastAsia="zh-CN"/>
              </w:rPr>
            </w:pPr>
            <w:r>
              <w:rPr>
                <w:rFonts w:hint="eastAsia" w:ascii="宋体" w:hAnsi="宋体" w:cs="宋体"/>
                <w:color w:val="auto"/>
                <w:spacing w:val="-3"/>
                <w:sz w:val="24"/>
                <w:szCs w:val="24"/>
                <w:lang w:val="en-US" w:eastAsia="zh-CN"/>
              </w:rPr>
              <w:t>（4）矿山地质环境保护与恢复治理资金使用，接受社会和群众监督。</w:t>
            </w:r>
          </w:p>
          <w:p>
            <w:pPr>
              <w:pStyle w:val="4"/>
              <w:bidi w:val="0"/>
              <w:rPr>
                <w:rFonts w:hint="eastAsia"/>
                <w:color w:val="auto"/>
                <w:lang w:eastAsia="zh-CN"/>
              </w:rPr>
            </w:pPr>
            <w:r>
              <w:rPr>
                <w:rFonts w:hint="eastAsia"/>
                <w:color w:val="auto"/>
                <w:lang w:eastAsia="zh-CN"/>
              </w:rPr>
              <w:t>（三）监管保障</w:t>
            </w:r>
          </w:p>
          <w:p>
            <w:pPr>
              <w:spacing w:before="1" w:line="359" w:lineRule="auto"/>
              <w:ind w:left="117" w:right="12" w:firstLine="565"/>
              <w:rPr>
                <w:rFonts w:hint="eastAsia" w:ascii="宋体" w:hAnsi="宋体" w:cs="宋体"/>
                <w:color w:val="auto"/>
                <w:spacing w:val="-3"/>
                <w:sz w:val="24"/>
                <w:szCs w:val="24"/>
                <w:lang w:val="en-US" w:eastAsia="zh-CN"/>
              </w:rPr>
            </w:pPr>
            <w:r>
              <w:rPr>
                <w:rFonts w:hint="eastAsia" w:ascii="宋体" w:hAnsi="宋体" w:cs="宋体"/>
                <w:color w:val="auto"/>
                <w:spacing w:val="-3"/>
                <w:sz w:val="24"/>
                <w:szCs w:val="24"/>
                <w:lang w:val="en-US" w:eastAsia="zh-CN"/>
              </w:rPr>
              <w:t>1、建设单位要加强对开发建设活动的监督管理，成立专业的技术监督队伍，预防人为活动造成新的矿山地质环境问题和土地损毁，并及时对开发建设活动造成的矿山地质环境问题和土地损毁进行治理，确保工程质量。</w:t>
            </w:r>
          </w:p>
          <w:p>
            <w:pPr>
              <w:spacing w:before="1" w:line="359" w:lineRule="auto"/>
              <w:ind w:left="117" w:right="12" w:firstLine="565"/>
              <w:rPr>
                <w:rFonts w:hint="eastAsia" w:ascii="宋体" w:hAnsi="宋体" w:cs="宋体"/>
                <w:color w:val="auto"/>
                <w:spacing w:val="-3"/>
                <w:sz w:val="24"/>
                <w:szCs w:val="24"/>
                <w:lang w:val="en-US" w:eastAsia="zh-CN"/>
              </w:rPr>
            </w:pPr>
            <w:r>
              <w:rPr>
                <w:rFonts w:hint="eastAsia" w:ascii="宋体" w:hAnsi="宋体" w:cs="宋体"/>
                <w:color w:val="auto"/>
                <w:spacing w:val="-3"/>
                <w:sz w:val="24"/>
                <w:szCs w:val="24"/>
                <w:lang w:val="en-US" w:eastAsia="zh-CN"/>
              </w:rPr>
              <w:t>2、方案经批准后，建设单位应主动与各级国土资源行政主管部门联系，接受地方国土资源行政主管部门的监督检查。</w:t>
            </w:r>
          </w:p>
          <w:p>
            <w:pPr>
              <w:spacing w:before="1" w:line="359" w:lineRule="auto"/>
              <w:ind w:left="117" w:right="12" w:firstLine="565"/>
              <w:rPr>
                <w:rFonts w:hint="eastAsia" w:ascii="宋体" w:hAnsi="宋体" w:cs="宋体"/>
                <w:color w:val="auto"/>
                <w:spacing w:val="-3"/>
                <w:sz w:val="24"/>
                <w:szCs w:val="24"/>
                <w:lang w:val="en-US" w:eastAsia="zh-CN"/>
              </w:rPr>
            </w:pPr>
            <w:r>
              <w:rPr>
                <w:rFonts w:hint="eastAsia" w:ascii="宋体" w:hAnsi="宋体" w:cs="宋体"/>
                <w:color w:val="auto"/>
                <w:spacing w:val="-3"/>
                <w:sz w:val="24"/>
                <w:szCs w:val="24"/>
                <w:lang w:val="en-US" w:eastAsia="zh-CN"/>
              </w:rPr>
              <w:t>3、当地国土资源行政主管部门确定专人负责该方案的实施情况监督和检查，采取定期与不定期相结合的办法，检查方案实施进度和施工质量。</w:t>
            </w:r>
          </w:p>
          <w:p>
            <w:pPr>
              <w:spacing w:before="1" w:line="359" w:lineRule="auto"/>
              <w:ind w:left="117" w:right="12" w:firstLine="565"/>
              <w:rPr>
                <w:rFonts w:hint="eastAsia"/>
                <w:color w:val="auto"/>
                <w:lang w:val="en-US" w:eastAsia="zh-CN"/>
              </w:rPr>
            </w:pPr>
            <w:r>
              <w:rPr>
                <w:rFonts w:hint="eastAsia" w:ascii="宋体" w:hAnsi="宋体" w:cs="宋体"/>
                <w:color w:val="auto"/>
                <w:spacing w:val="-3"/>
                <w:sz w:val="24"/>
                <w:szCs w:val="24"/>
                <w:lang w:val="en-US" w:eastAsia="zh-CN"/>
              </w:rPr>
              <w:t>4、建立一整套完善的监督机制，做好矿山地质环境保护的监督，对工程管护质量差，要追究有关单位的责任，并对直接负责人也要予以追究。</w:t>
            </w:r>
          </w:p>
          <w:p>
            <w:pPr>
              <w:pStyle w:val="4"/>
              <w:bidi w:val="0"/>
              <w:rPr>
                <w:rFonts w:hint="eastAsia"/>
                <w:color w:val="auto"/>
                <w:lang w:eastAsia="zh-CN"/>
              </w:rPr>
            </w:pPr>
            <w:r>
              <w:rPr>
                <w:rFonts w:hint="eastAsia"/>
                <w:color w:val="auto"/>
                <w:lang w:eastAsia="zh-CN"/>
              </w:rPr>
              <w:t>（四）经济效益分析</w:t>
            </w:r>
          </w:p>
          <w:p>
            <w:pPr>
              <w:pStyle w:val="5"/>
              <w:bidi w:val="0"/>
              <w:rPr>
                <w:rFonts w:hint="eastAsia"/>
                <w:color w:val="auto"/>
                <w:lang w:val="en-US" w:eastAsia="zh-CN"/>
              </w:rPr>
            </w:pPr>
            <w:r>
              <w:rPr>
                <w:rFonts w:hint="eastAsia"/>
                <w:color w:val="auto"/>
                <w:lang w:val="en-US" w:eastAsia="zh-CN"/>
              </w:rPr>
              <w:t>1、社会效益</w:t>
            </w:r>
            <w:bookmarkEnd w:id="40"/>
            <w:bookmarkEnd w:id="41"/>
            <w:bookmarkEnd w:id="42"/>
            <w:bookmarkEnd w:id="43"/>
            <w:bookmarkEnd w:id="44"/>
            <w:bookmarkEnd w:id="45"/>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本次矿山地质环境治理可以有效保证矿产资源开发利用与生态环境的可持续发展，促进生态文明的建设；可以预防地质环境问题的发生，保护人民生命财产的安全；有利于社会的团结和稳定，促进社会进步。</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eastAsia" w:ascii="Times New Roman" w:hAnsi="Times New Roman" w:eastAsia="宋体" w:cs="Times New Roman"/>
                <w:snapToGrid w:val="0"/>
                <w:color w:val="auto"/>
                <w:sz w:val="24"/>
                <w:szCs w:val="24"/>
                <w:lang w:eastAsia="zh-CN"/>
              </w:rPr>
              <w:t>项目采用采灌井组进行地热供暖，仅利用地热能</w:t>
            </w:r>
            <w:r>
              <w:rPr>
                <w:rFonts w:hint="default" w:ascii="Times New Roman" w:hAnsi="Times New Roman" w:eastAsia="宋体" w:cs="Times New Roman"/>
                <w:snapToGrid w:val="0"/>
                <w:color w:val="auto"/>
                <w:sz w:val="24"/>
                <w:szCs w:val="24"/>
              </w:rPr>
              <w:t>资源</w:t>
            </w:r>
            <w:r>
              <w:rPr>
                <w:rFonts w:hint="eastAsia" w:ascii="Times New Roman" w:hAnsi="Times New Roman" w:eastAsia="宋体" w:cs="Times New Roman"/>
                <w:snapToGrid w:val="0"/>
                <w:color w:val="auto"/>
                <w:sz w:val="24"/>
                <w:szCs w:val="24"/>
                <w:lang w:eastAsia="zh-CN"/>
              </w:rPr>
              <w:t>，“取水不耗水”，</w:t>
            </w:r>
            <w:r>
              <w:rPr>
                <w:rFonts w:hint="default" w:ascii="Times New Roman" w:hAnsi="Times New Roman" w:eastAsia="宋体" w:cs="Times New Roman"/>
                <w:snapToGrid w:val="0"/>
                <w:color w:val="auto"/>
                <w:sz w:val="24"/>
                <w:szCs w:val="24"/>
              </w:rPr>
              <w:t>取用的地热</w:t>
            </w:r>
            <w:r>
              <w:rPr>
                <w:rFonts w:hint="eastAsia" w:ascii="Times New Roman" w:hAnsi="Times New Roman" w:eastAsia="宋体" w:cs="Times New Roman"/>
                <w:snapToGrid w:val="0"/>
                <w:color w:val="auto"/>
                <w:sz w:val="24"/>
                <w:szCs w:val="24"/>
                <w:lang w:eastAsia="zh-CN"/>
              </w:rPr>
              <w:t>能</w:t>
            </w:r>
            <w:r>
              <w:rPr>
                <w:rFonts w:hint="default" w:ascii="Times New Roman" w:hAnsi="Times New Roman" w:eastAsia="宋体" w:cs="Times New Roman"/>
                <w:snapToGrid w:val="0"/>
                <w:color w:val="auto"/>
                <w:sz w:val="24"/>
                <w:szCs w:val="24"/>
              </w:rPr>
              <w:t>资源属新型</w:t>
            </w:r>
            <w:r>
              <w:rPr>
                <w:rFonts w:hint="eastAsia" w:ascii="Times New Roman" w:hAnsi="Times New Roman" w:eastAsia="宋体" w:cs="Times New Roman"/>
                <w:snapToGrid w:val="0"/>
                <w:color w:val="auto"/>
                <w:sz w:val="24"/>
                <w:szCs w:val="24"/>
                <w:lang w:eastAsia="zh-CN"/>
              </w:rPr>
              <w:t>可再生</w:t>
            </w:r>
            <w:r>
              <w:rPr>
                <w:rFonts w:hint="default" w:ascii="Times New Roman" w:hAnsi="Times New Roman" w:eastAsia="宋体" w:cs="Times New Roman"/>
                <w:snapToGrid w:val="0"/>
                <w:color w:val="auto"/>
                <w:sz w:val="24"/>
                <w:szCs w:val="24"/>
              </w:rPr>
              <w:t>能源，与</w:t>
            </w:r>
            <w:r>
              <w:rPr>
                <w:rFonts w:hint="eastAsia" w:ascii="Times New Roman" w:hAnsi="Times New Roman" w:eastAsia="宋体" w:cs="Times New Roman"/>
                <w:snapToGrid w:val="0"/>
                <w:color w:val="auto"/>
                <w:sz w:val="24"/>
                <w:szCs w:val="24"/>
                <w:lang w:val="en-US" w:eastAsia="zh-CN"/>
              </w:rPr>
              <w:t>煤炭</w:t>
            </w:r>
            <w:r>
              <w:rPr>
                <w:rFonts w:hint="default" w:ascii="Times New Roman" w:hAnsi="Times New Roman" w:eastAsia="宋体" w:cs="Times New Roman"/>
                <w:snapToGrid w:val="0"/>
                <w:color w:val="auto"/>
                <w:sz w:val="24"/>
                <w:szCs w:val="24"/>
              </w:rPr>
              <w:t>、石油和天然气等传统能源相比，具有投资少、见效快</w:t>
            </w:r>
            <w:r>
              <w:rPr>
                <w:rFonts w:hint="eastAsia" w:ascii="Times New Roman" w:hAnsi="Times New Roman" w:eastAsia="宋体" w:cs="Times New Roman"/>
                <w:snapToGrid w:val="0"/>
                <w:color w:val="auto"/>
                <w:sz w:val="24"/>
                <w:szCs w:val="24"/>
                <w:lang w:eastAsia="zh-CN"/>
              </w:rPr>
              <w:t>、</w:t>
            </w:r>
            <w:r>
              <w:rPr>
                <w:rFonts w:hint="default" w:ascii="Times New Roman" w:hAnsi="Times New Roman" w:eastAsia="宋体" w:cs="Times New Roman"/>
                <w:snapToGrid w:val="0"/>
                <w:color w:val="auto"/>
                <w:sz w:val="24"/>
                <w:szCs w:val="24"/>
                <w:lang w:val="en-US" w:eastAsia="zh-CN"/>
              </w:rPr>
              <w:t>清洁环保、稳定可靠</w:t>
            </w:r>
            <w:r>
              <w:rPr>
                <w:rFonts w:hint="default" w:ascii="Times New Roman" w:hAnsi="Times New Roman" w:eastAsia="宋体" w:cs="Times New Roman"/>
                <w:snapToGrid w:val="0"/>
                <w:color w:val="auto"/>
                <w:sz w:val="24"/>
                <w:szCs w:val="24"/>
              </w:rPr>
              <w:t>和可持续利用的特点。</w:t>
            </w:r>
          </w:p>
          <w:p>
            <w:pPr>
              <w:pStyle w:val="5"/>
              <w:bidi w:val="0"/>
              <w:rPr>
                <w:rFonts w:hint="eastAsia"/>
                <w:color w:val="auto"/>
              </w:rPr>
            </w:pPr>
            <w:bookmarkStart w:id="46" w:name="_Toc376602577"/>
            <w:bookmarkStart w:id="47" w:name="_Toc376602658"/>
            <w:bookmarkStart w:id="48" w:name="_Toc347090412"/>
            <w:bookmarkStart w:id="49" w:name="_Toc369190162"/>
            <w:bookmarkStart w:id="50" w:name="_Toc360615409"/>
            <w:bookmarkStart w:id="51" w:name="_Toc344990011"/>
            <w:r>
              <w:rPr>
                <w:rFonts w:hint="eastAsia"/>
                <w:color w:val="auto"/>
                <w:lang w:val="en-US" w:eastAsia="zh-CN"/>
              </w:rPr>
              <w:t>2、</w:t>
            </w:r>
            <w:r>
              <w:rPr>
                <w:rFonts w:hint="eastAsia"/>
                <w:color w:val="auto"/>
              </w:rPr>
              <w:t>环境效益</w:t>
            </w:r>
            <w:bookmarkEnd w:id="46"/>
            <w:bookmarkEnd w:id="47"/>
            <w:bookmarkEnd w:id="48"/>
            <w:bookmarkEnd w:id="49"/>
            <w:bookmarkEnd w:id="50"/>
            <w:bookmarkEnd w:id="51"/>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本次矿山地质环境治理可以有效预防地质环境问题的发生，以避免对含水层、地形地貌景观、水土环境等造成不良影响。</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本次矿山地质环境治理可以建设生态文明矿区，可以有效促进区域经济与环境的协调发展，</w:t>
            </w:r>
            <w:r>
              <w:rPr>
                <w:rFonts w:hint="eastAsia" w:cs="Times New Roman"/>
                <w:snapToGrid w:val="0"/>
                <w:color w:val="auto"/>
                <w:sz w:val="24"/>
                <w:szCs w:val="24"/>
                <w:lang w:eastAsia="zh-CN"/>
              </w:rPr>
              <w:t>使西咸新区秦汉新城</w:t>
            </w:r>
            <w:r>
              <w:rPr>
                <w:rFonts w:hint="default" w:ascii="Times New Roman" w:hAnsi="Times New Roman" w:eastAsia="宋体" w:cs="Times New Roman"/>
                <w:snapToGrid w:val="0"/>
                <w:color w:val="auto"/>
                <w:sz w:val="24"/>
                <w:szCs w:val="24"/>
              </w:rPr>
              <w:t>整体环境优美、生态文明的有利保障。</w:t>
            </w:r>
          </w:p>
          <w:p>
            <w:pPr>
              <w:pStyle w:val="5"/>
              <w:bidi w:val="0"/>
              <w:rPr>
                <w:rFonts w:hint="eastAsia"/>
                <w:color w:val="auto"/>
              </w:rPr>
            </w:pPr>
            <w:bookmarkStart w:id="52" w:name="_Toc376602578"/>
            <w:bookmarkStart w:id="53" w:name="_Toc376602659"/>
            <w:bookmarkStart w:id="54" w:name="_Toc347090413"/>
            <w:bookmarkStart w:id="55" w:name="_Toc344990012"/>
            <w:bookmarkStart w:id="56" w:name="_Toc360615410"/>
            <w:bookmarkStart w:id="57" w:name="_Toc369190163"/>
            <w:r>
              <w:rPr>
                <w:rFonts w:hint="eastAsia"/>
                <w:color w:val="auto"/>
                <w:lang w:val="en-US" w:eastAsia="zh-CN"/>
              </w:rPr>
              <w:t>3、</w:t>
            </w:r>
            <w:r>
              <w:rPr>
                <w:rFonts w:hint="eastAsia"/>
                <w:color w:val="auto"/>
              </w:rPr>
              <w:t>经济效益</w:t>
            </w:r>
            <w:bookmarkEnd w:id="52"/>
            <w:bookmarkEnd w:id="53"/>
            <w:bookmarkEnd w:id="54"/>
            <w:bookmarkEnd w:id="55"/>
            <w:bookmarkEnd w:id="56"/>
            <w:bookmarkEnd w:id="57"/>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（1）矿山地质环境治理的实施，需要人力、物力，在一定程度上可以增加当地居民就业，增加当地居民的收入。</w:t>
            </w:r>
          </w:p>
          <w:p>
            <w:pPr>
              <w:pStyle w:val="2"/>
              <w:rPr>
                <w:rFonts w:hint="default"/>
                <w:color w:val="FF0000"/>
                <w:lang w:val="en-US" w:eastAsia="zh-CN"/>
              </w:rPr>
            </w:pPr>
            <w:r>
              <w:rPr>
                <w:rFonts w:hint="default" w:ascii="Times New Roman" w:hAnsi="Times New Roman" w:eastAsia="宋体" w:cs="Times New Roman"/>
                <w:color w:val="auto"/>
                <w:sz w:val="24"/>
                <w:szCs w:val="24"/>
              </w:rPr>
              <w:t>（2）</w:t>
            </w:r>
            <w:r>
              <w:rPr>
                <w:rFonts w:hint="default" w:ascii="Times New Roman" w:hAnsi="Times New Roman" w:eastAsia="宋体" w:cs="Times New Roman"/>
                <w:bCs/>
                <w:color w:val="auto"/>
                <w:sz w:val="24"/>
                <w:szCs w:val="24"/>
              </w:rPr>
              <w:t>本次</w:t>
            </w:r>
            <w:r>
              <w:rPr>
                <w:rFonts w:hint="default" w:ascii="Times New Roman" w:hAnsi="Times New Roman" w:eastAsia="宋体" w:cs="Times New Roman"/>
                <w:bCs/>
                <w:color w:val="auto"/>
                <w:sz w:val="24"/>
                <w:szCs w:val="24"/>
                <w:lang w:eastAsia="zh-CN"/>
              </w:rPr>
              <w:t>地热井工程位于</w:t>
            </w:r>
            <w:r>
              <w:rPr>
                <w:rFonts w:hint="eastAsia" w:cs="Times New Roman"/>
                <w:bCs/>
                <w:color w:val="auto"/>
                <w:sz w:val="24"/>
                <w:szCs w:val="24"/>
                <w:lang w:eastAsia="zh-CN"/>
              </w:rPr>
              <w:t>西咸新区</w:t>
            </w:r>
            <w:r>
              <w:rPr>
                <w:rFonts w:hint="default" w:ascii="Times New Roman" w:hAnsi="Times New Roman" w:eastAsia="宋体" w:cs="Times New Roman"/>
                <w:bCs/>
                <w:color w:val="auto"/>
                <w:sz w:val="24"/>
                <w:szCs w:val="24"/>
                <w:lang w:eastAsia="zh-CN"/>
              </w:rPr>
              <w:t>内，</w:t>
            </w:r>
            <w:r>
              <w:rPr>
                <w:rFonts w:hint="eastAsia" w:cs="Times New Roman"/>
                <w:bCs/>
                <w:color w:val="auto"/>
                <w:sz w:val="24"/>
                <w:szCs w:val="24"/>
                <w:lang w:eastAsia="zh-CN"/>
              </w:rPr>
              <w:t>曾是我国首批旅游城市、全国地热城、全国十佳宜居城市，</w:t>
            </w:r>
            <w:r>
              <w:rPr>
                <w:rFonts w:hint="default" w:ascii="Times New Roman" w:hAnsi="Times New Roman" w:eastAsia="宋体" w:cs="Times New Roman"/>
                <w:color w:val="auto"/>
                <w:sz w:val="24"/>
                <w:szCs w:val="24"/>
              </w:rPr>
              <w:t>是集</w:t>
            </w:r>
            <w:r>
              <w:rPr>
                <w:rFonts w:hint="default" w:ascii="Times New Roman" w:hAnsi="Times New Roman" w:eastAsia="宋体" w:cs="Times New Roman"/>
                <w:bCs/>
                <w:color w:val="auto"/>
                <w:sz w:val="24"/>
                <w:szCs w:val="24"/>
              </w:rPr>
              <w:t>观光、购物、娱乐于一体的综合旅游度假</w:t>
            </w:r>
            <w:r>
              <w:rPr>
                <w:rFonts w:hint="eastAsia" w:cs="Times New Roman"/>
                <w:bCs/>
                <w:color w:val="auto"/>
                <w:sz w:val="24"/>
                <w:szCs w:val="24"/>
                <w:lang w:eastAsia="zh-CN"/>
              </w:rPr>
              <w:t>城市</w:t>
            </w:r>
            <w:r>
              <w:rPr>
                <w:rFonts w:hint="default" w:ascii="Times New Roman" w:hAnsi="Times New Roman" w:eastAsia="宋体" w:cs="Times New Roman"/>
                <w:color w:val="auto"/>
                <w:sz w:val="24"/>
                <w:szCs w:val="24"/>
              </w:rPr>
              <w:t>，对地热水的需求十分强烈</w:t>
            </w:r>
            <w:r>
              <w:rPr>
                <w:rFonts w:hint="default" w:ascii="Times New Roman" w:hAnsi="Times New Roman" w:eastAsia="宋体" w:cs="Times New Roman"/>
                <w:bCs/>
                <w:color w:val="auto"/>
                <w:sz w:val="24"/>
                <w:szCs w:val="24"/>
              </w:rPr>
              <w:t>。</w:t>
            </w:r>
          </w:p>
        </w:tc>
      </w:tr>
    </w:tbl>
    <w:p>
      <w:pPr>
        <w:pStyle w:val="2"/>
        <w:ind w:left="0" w:leftChars="0" w:firstLine="0" w:firstLineChars="0"/>
        <w:rPr>
          <w:rFonts w:hint="eastAsia" w:eastAsia="宋体"/>
          <w:lang w:eastAsia="zh-CN"/>
        </w:rPr>
        <w:sectPr>
          <w:footerReference r:id="rId6" w:type="default"/>
          <w:pgSz w:w="11906" w:h="16838"/>
          <w:pgMar w:top="1440" w:right="1800" w:bottom="1440" w:left="1800" w:header="851" w:footer="992" w:gutter="0"/>
          <w:pgNumType w:fmt="decimal" w:start="1"/>
          <w:cols w:space="425" w:num="1"/>
          <w:docGrid w:type="lines" w:linePitch="312" w:charSpace="0"/>
        </w:sectPr>
      </w:pPr>
    </w:p>
    <w:p>
      <w:pPr>
        <w:ind w:left="0" w:leftChars="0" w:firstLine="0" w:firstLineChars="0"/>
        <w:jc w:val="left"/>
        <w:rPr>
          <w:rFonts w:hint="eastAsia"/>
          <w:sz w:val="28"/>
          <w:lang w:val="en-US" w:eastAsia="zh-CN"/>
        </w:rPr>
      </w:pPr>
      <w:r>
        <w:rPr>
          <w:rFonts w:hint="eastAsia"/>
          <w:sz w:val="28"/>
          <w:lang w:val="en-US" w:eastAsia="zh-CN"/>
        </w:rPr>
        <w:t>附表1</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宋体" w:eastAsia="黑体"/>
          <w:bCs/>
          <w:sz w:val="28"/>
          <w:szCs w:val="28"/>
        </w:rPr>
      </w:pPr>
      <w:r>
        <w:rPr>
          <w:rFonts w:hint="eastAsia" w:ascii="黑体" w:hAnsi="宋体" w:eastAsia="黑体"/>
          <w:bCs/>
          <w:sz w:val="28"/>
          <w:szCs w:val="28"/>
        </w:rPr>
        <w:t>矿山地质环境现状调查表</w:t>
      </w:r>
    </w:p>
    <w:tbl>
      <w:tblPr>
        <w:tblStyle w:val="14"/>
        <w:tblW w:w="1471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0"/>
        <w:gridCol w:w="581"/>
        <w:gridCol w:w="497"/>
        <w:gridCol w:w="662"/>
        <w:gridCol w:w="716"/>
        <w:gridCol w:w="297"/>
        <w:gridCol w:w="589"/>
        <w:gridCol w:w="821"/>
        <w:gridCol w:w="745"/>
        <w:gridCol w:w="80"/>
        <w:gridCol w:w="832"/>
        <w:gridCol w:w="187"/>
        <w:gridCol w:w="240"/>
        <w:gridCol w:w="160"/>
        <w:gridCol w:w="589"/>
        <w:gridCol w:w="589"/>
        <w:gridCol w:w="907"/>
        <w:gridCol w:w="589"/>
        <w:gridCol w:w="319"/>
        <w:gridCol w:w="753"/>
        <w:gridCol w:w="146"/>
        <w:gridCol w:w="707"/>
        <w:gridCol w:w="213"/>
        <w:gridCol w:w="9"/>
        <w:gridCol w:w="602"/>
        <w:gridCol w:w="1239"/>
        <w:gridCol w:w="7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矿山</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概况</w:t>
            </w: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企业名称</w:t>
            </w:r>
          </w:p>
        </w:tc>
        <w:tc>
          <w:tcPr>
            <w:tcW w:w="3830"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中石化绿源地热能（陕西）开发有限公司</w:t>
            </w:r>
          </w:p>
        </w:tc>
        <w:tc>
          <w:tcPr>
            <w:tcW w:w="109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通讯地址</w:t>
            </w:r>
          </w:p>
        </w:tc>
        <w:tc>
          <w:tcPr>
            <w:tcW w:w="4146" w:type="dxa"/>
            <w:gridSpan w:val="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陕西省咸阳市秦都区中华西路4号建设大厦14层</w:t>
            </w:r>
          </w:p>
        </w:tc>
        <w:tc>
          <w:tcPr>
            <w:tcW w:w="8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邮编</w:t>
            </w:r>
          </w:p>
        </w:tc>
        <w:tc>
          <w:tcPr>
            <w:tcW w:w="82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712000</w:t>
            </w:r>
          </w:p>
        </w:tc>
        <w:tc>
          <w:tcPr>
            <w:tcW w:w="12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法人代表</w:t>
            </w:r>
          </w:p>
        </w:tc>
        <w:tc>
          <w:tcPr>
            <w:tcW w:w="7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刘斌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电    话</w:t>
            </w:r>
          </w:p>
        </w:tc>
        <w:tc>
          <w:tcPr>
            <w:tcW w:w="13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029-38037700</w:t>
            </w:r>
          </w:p>
        </w:tc>
        <w:tc>
          <w:tcPr>
            <w:tcW w:w="88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传真</w:t>
            </w:r>
          </w:p>
        </w:tc>
        <w:tc>
          <w:tcPr>
            <w:tcW w:w="8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029-33258003</w:t>
            </w:r>
          </w:p>
        </w:tc>
        <w:tc>
          <w:tcPr>
            <w:tcW w:w="82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坐标</w:t>
            </w:r>
          </w:p>
        </w:tc>
        <w:tc>
          <w:tcPr>
            <w:tcW w:w="5165" w:type="dxa"/>
            <w:gridSpan w:val="10"/>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X</w:t>
            </w:r>
            <w:r>
              <w:rPr>
                <w:rFonts w:hint="default" w:ascii="Times New Roman" w:hAnsi="Times New Roman" w:cs="Times New Roman"/>
                <w:bCs/>
                <w:sz w:val="18"/>
                <w:szCs w:val="18"/>
              </w:rPr>
              <w:t>：</w:t>
            </w:r>
            <w:r>
              <w:rPr>
                <w:rFonts w:hint="default" w:ascii="Times New Roman" w:hAnsi="Times New Roman" w:eastAsia="宋体" w:cs="Times New Roman"/>
                <w:color w:val="000000"/>
                <w:kern w:val="0"/>
                <w:sz w:val="18"/>
                <w:szCs w:val="18"/>
                <w:lang w:val="en-US" w:eastAsia="zh-CN" w:bidi="ar"/>
              </w:rPr>
              <w:t>3796384.03</w:t>
            </w:r>
            <w:r>
              <w:rPr>
                <w:rFonts w:hint="default" w:ascii="Times New Roman" w:hAnsi="Times New Roman" w:cs="Times New Roman"/>
                <w:bCs/>
                <w:sz w:val="18"/>
                <w:szCs w:val="18"/>
              </w:rPr>
              <w:t>～</w:t>
            </w:r>
            <w:r>
              <w:rPr>
                <w:rFonts w:hint="default" w:ascii="Times New Roman" w:hAnsi="Times New Roman" w:eastAsia="宋体" w:cs="Times New Roman"/>
                <w:color w:val="000000"/>
                <w:kern w:val="0"/>
                <w:sz w:val="18"/>
                <w:szCs w:val="18"/>
                <w:lang w:val="en-US" w:eastAsia="zh-CN" w:bidi="ar"/>
              </w:rPr>
              <w:t>3796784.03</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Y</w:t>
            </w:r>
            <w:r>
              <w:rPr>
                <w:rFonts w:hint="default" w:ascii="Times New Roman" w:hAnsi="Times New Roman" w:cs="Times New Roman"/>
                <w:bCs/>
                <w:sz w:val="18"/>
                <w:szCs w:val="18"/>
              </w:rPr>
              <w:t>：36567201.22～36567601.21</w:t>
            </w:r>
          </w:p>
        </w:tc>
        <w:tc>
          <w:tcPr>
            <w:tcW w:w="8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矿类</w:t>
            </w:r>
          </w:p>
        </w:tc>
        <w:tc>
          <w:tcPr>
            <w:tcW w:w="82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液体</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矿产</w:t>
            </w:r>
          </w:p>
        </w:tc>
        <w:tc>
          <w:tcPr>
            <w:tcW w:w="12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    种</w:t>
            </w:r>
          </w:p>
        </w:tc>
        <w:tc>
          <w:tcPr>
            <w:tcW w:w="7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企业规模</w:t>
            </w:r>
          </w:p>
        </w:tc>
        <w:tc>
          <w:tcPr>
            <w:tcW w:w="170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小型</w:t>
            </w:r>
          </w:p>
        </w:tc>
        <w:tc>
          <w:tcPr>
            <w:tcW w:w="2084" w:type="dxa"/>
            <w:gridSpan w:val="5"/>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设计生产能力/10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t/a</w:t>
            </w:r>
          </w:p>
        </w:tc>
        <w:tc>
          <w:tcPr>
            <w:tcW w:w="2245" w:type="dxa"/>
            <w:gridSpan w:val="4"/>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20</w:t>
            </w:r>
          </w:p>
        </w:tc>
        <w:tc>
          <w:tcPr>
            <w:tcW w:w="1661" w:type="dxa"/>
            <w:gridSpan w:val="3"/>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设计服务年限</w:t>
            </w:r>
          </w:p>
        </w:tc>
        <w:tc>
          <w:tcPr>
            <w:tcW w:w="3673" w:type="dxa"/>
            <w:gridSpan w:val="7"/>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30</w:t>
            </w:r>
            <w:r>
              <w:rPr>
                <w:rFonts w:hint="default" w:ascii="Times New Roman" w:hAnsi="Times New Roman" w:cs="Times New Roman"/>
                <w:bCs/>
                <w:sz w:val="18"/>
                <w:szCs w:val="18"/>
              </w:rPr>
              <w:t>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经济类型</w:t>
            </w:r>
          </w:p>
        </w:tc>
        <w:tc>
          <w:tcPr>
            <w:tcW w:w="170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中外合</w:t>
            </w:r>
            <w:r>
              <w:rPr>
                <w:rFonts w:hint="default" w:ascii="Times New Roman" w:hAnsi="Times New Roman" w:cs="Times New Roman"/>
                <w:bCs/>
                <w:sz w:val="18"/>
                <w:szCs w:val="18"/>
              </w:rPr>
              <w:t>资</w:t>
            </w:r>
          </w:p>
        </w:tc>
        <w:tc>
          <w:tcPr>
            <w:tcW w:w="2084" w:type="dxa"/>
            <w:gridSpan w:val="5"/>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245" w:type="dxa"/>
            <w:gridSpan w:val="4"/>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661"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3673" w:type="dxa"/>
            <w:gridSpan w:val="7"/>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矿山面积/Km</w:t>
            </w:r>
            <w:r>
              <w:rPr>
                <w:rFonts w:hint="default" w:ascii="Times New Roman" w:hAnsi="Times New Roman" w:cs="Times New Roman"/>
                <w:bCs/>
                <w:sz w:val="18"/>
                <w:szCs w:val="18"/>
                <w:vertAlign w:val="superscript"/>
              </w:rPr>
              <w:t>2</w:t>
            </w:r>
          </w:p>
        </w:tc>
        <w:tc>
          <w:tcPr>
            <w:tcW w:w="170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default" w:ascii="Times New Roman" w:hAnsi="Times New Roman" w:cs="Times New Roman"/>
                <w:bCs/>
                <w:sz w:val="18"/>
                <w:szCs w:val="18"/>
              </w:rPr>
              <w:t>0.</w:t>
            </w:r>
            <w:r>
              <w:rPr>
                <w:rFonts w:hint="eastAsia" w:cs="Times New Roman"/>
                <w:bCs/>
                <w:sz w:val="18"/>
                <w:szCs w:val="18"/>
                <w:lang w:val="en-US" w:eastAsia="zh-CN"/>
              </w:rPr>
              <w:t>16</w:t>
            </w:r>
          </w:p>
        </w:tc>
        <w:tc>
          <w:tcPr>
            <w:tcW w:w="208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实际生产能力/10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t/a</w:t>
            </w:r>
          </w:p>
        </w:tc>
        <w:tc>
          <w:tcPr>
            <w:tcW w:w="224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20</w:t>
            </w:r>
          </w:p>
        </w:tc>
        <w:tc>
          <w:tcPr>
            <w:tcW w:w="1661"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已服务年限</w:t>
            </w:r>
          </w:p>
        </w:tc>
        <w:tc>
          <w:tcPr>
            <w:tcW w:w="8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13</w:t>
            </w:r>
            <w:r>
              <w:rPr>
                <w:rFonts w:hint="default" w:ascii="Times New Roman" w:hAnsi="Times New Roman" w:cs="Times New Roman"/>
                <w:bCs/>
                <w:sz w:val="18"/>
                <w:szCs w:val="18"/>
              </w:rPr>
              <w:t>年</w:t>
            </w:r>
          </w:p>
        </w:tc>
        <w:tc>
          <w:tcPr>
            <w:tcW w:w="824" w:type="dxa"/>
            <w:gridSpan w:val="3"/>
            <w:tcBorders>
              <w:right w:val="single" w:color="auto" w:sz="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开采深度/m</w:t>
            </w:r>
          </w:p>
        </w:tc>
        <w:tc>
          <w:tcPr>
            <w:tcW w:w="1996" w:type="dxa"/>
            <w:gridSpan w:val="2"/>
            <w:tcBorders>
              <w:left w:val="single" w:color="auto" w:sz="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Cs/>
                <w:sz w:val="15"/>
                <w:szCs w:val="15"/>
                <w:lang w:eastAsia="zh-CN"/>
              </w:rPr>
            </w:pPr>
            <w:r>
              <w:rPr>
                <w:rFonts w:hint="eastAsia"/>
                <w:sz w:val="18"/>
                <w:szCs w:val="18"/>
              </w:rPr>
              <w:t>2598.7-3600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2"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建矿时间</w:t>
            </w:r>
          </w:p>
        </w:tc>
        <w:tc>
          <w:tcPr>
            <w:tcW w:w="1707" w:type="dxa"/>
            <w:gridSpan w:val="3"/>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2009.08</w:t>
            </w:r>
          </w:p>
        </w:tc>
        <w:tc>
          <w:tcPr>
            <w:tcW w:w="208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生产现状</w:t>
            </w:r>
          </w:p>
        </w:tc>
        <w:tc>
          <w:tcPr>
            <w:tcW w:w="224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正常生产</w:t>
            </w:r>
          </w:p>
        </w:tc>
        <w:tc>
          <w:tcPr>
            <w:tcW w:w="1661"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FF0000"/>
                <w:sz w:val="18"/>
                <w:szCs w:val="18"/>
              </w:rPr>
            </w:pPr>
            <w:r>
              <w:rPr>
                <w:rFonts w:hint="default" w:ascii="Times New Roman" w:hAnsi="Times New Roman" w:cs="Times New Roman"/>
                <w:bCs/>
                <w:sz w:val="18"/>
                <w:szCs w:val="18"/>
              </w:rPr>
              <w:t>采空区面积/m</w:t>
            </w:r>
            <w:r>
              <w:rPr>
                <w:rFonts w:hint="default" w:ascii="Times New Roman" w:hAnsi="Times New Roman" w:cs="Times New Roman"/>
                <w:bCs/>
                <w:sz w:val="18"/>
                <w:szCs w:val="18"/>
                <w:vertAlign w:val="superscript"/>
              </w:rPr>
              <w:t>2</w:t>
            </w:r>
          </w:p>
        </w:tc>
        <w:tc>
          <w:tcPr>
            <w:tcW w:w="3673"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2"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07"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08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采矿方式</w:t>
            </w:r>
          </w:p>
        </w:tc>
        <w:tc>
          <w:tcPr>
            <w:tcW w:w="224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地下开采</w:t>
            </w:r>
          </w:p>
        </w:tc>
        <w:tc>
          <w:tcPr>
            <w:tcW w:w="1661"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开采层位</w:t>
            </w:r>
          </w:p>
        </w:tc>
        <w:tc>
          <w:tcPr>
            <w:tcW w:w="3673"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蓝田灞河组、高陵群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占用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土地</w:t>
            </w: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工业场地</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排土场</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固体废弃物堆</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地面塌陷</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总计</w:t>
            </w:r>
          </w:p>
        </w:tc>
        <w:tc>
          <w:tcPr>
            <w:tcW w:w="1996"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已治理面积/m</w:t>
            </w:r>
            <w:r>
              <w:rPr>
                <w:rFonts w:hint="default" w:ascii="Times New Roman" w:hAnsi="Times New Roman" w:cs="Times New Roman"/>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67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141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6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117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4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90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81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199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67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41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6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17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4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90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1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占用土地情况/m</w:t>
            </w:r>
            <w:r>
              <w:rPr>
                <w:rFonts w:hint="default" w:ascii="Times New Roman" w:hAnsi="Times New Roman" w:cs="Times New Roman"/>
                <w:bCs/>
                <w:sz w:val="18"/>
                <w:szCs w:val="18"/>
                <w:vertAlign w:val="superscript"/>
              </w:rPr>
              <w:t>2</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占用土地情况/m</w:t>
            </w:r>
            <w:r>
              <w:rPr>
                <w:rFonts w:hint="default" w:ascii="Times New Roman" w:hAnsi="Times New Roman" w:cs="Times New Roman"/>
                <w:bCs/>
                <w:sz w:val="18"/>
                <w:szCs w:val="18"/>
                <w:vertAlign w:val="superscript"/>
              </w:rPr>
              <w:t>2</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FF0000"/>
                <w:sz w:val="18"/>
                <w:szCs w:val="18"/>
              </w:rPr>
            </w:pPr>
            <w:r>
              <w:rPr>
                <w:rFonts w:hint="default" w:ascii="Times New Roman" w:hAnsi="Times New Roman" w:cs="Times New Roman"/>
                <w:bCs/>
                <w:sz w:val="18"/>
                <w:szCs w:val="18"/>
              </w:rPr>
              <w:t>占用土地情况/m</w:t>
            </w:r>
            <w:r>
              <w:rPr>
                <w:rFonts w:hint="default" w:ascii="Times New Roman" w:hAnsi="Times New Roman" w:cs="Times New Roman"/>
                <w:bCs/>
                <w:sz w:val="18"/>
                <w:szCs w:val="18"/>
                <w:vertAlign w:val="superscript"/>
              </w:rPr>
              <w:t>2</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破坏土地情况/m</w:t>
            </w:r>
            <w:r>
              <w:rPr>
                <w:rFonts w:hint="default" w:ascii="Times New Roman" w:hAnsi="Times New Roman" w:cs="Times New Roman"/>
                <w:bCs/>
                <w:sz w:val="18"/>
                <w:szCs w:val="18"/>
                <w:vertAlign w:val="superscript"/>
              </w:rPr>
              <w:t>2</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15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64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7" w:type="dxa"/>
            <w:gridSpan w:val="3"/>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21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64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7"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1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64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7"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1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4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23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765"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92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4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23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765"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92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4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23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765"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92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采矿固体废弃物排放</w:t>
            </w: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类 型</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年排放量/10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年综合利用量/10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累计积存量/10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主要利用方式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废石（土）</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煤矸石</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宋体" w:eastAsia="黑体"/>
          <w:bCs/>
          <w:szCs w:val="21"/>
        </w:rPr>
      </w:pPr>
      <w:r>
        <w:rPr>
          <w:rFonts w:hint="eastAsia" w:ascii="黑体" w:hAnsi="宋体" w:eastAsia="黑体"/>
          <w:bCs/>
          <w:sz w:val="28"/>
          <w:szCs w:val="28"/>
        </w:rPr>
        <w:t>矿山地质环境现状调查表（续）</w:t>
      </w:r>
    </w:p>
    <w:tbl>
      <w:tblPr>
        <w:tblStyle w:val="14"/>
        <w:tblW w:w="145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36"/>
        <w:gridCol w:w="803"/>
        <w:gridCol w:w="630"/>
        <w:gridCol w:w="930"/>
        <w:gridCol w:w="1159"/>
        <w:gridCol w:w="832"/>
        <w:gridCol w:w="789"/>
        <w:gridCol w:w="588"/>
        <w:gridCol w:w="534"/>
        <w:gridCol w:w="920"/>
        <w:gridCol w:w="367"/>
        <w:gridCol w:w="553"/>
        <w:gridCol w:w="37"/>
        <w:gridCol w:w="45"/>
        <w:gridCol w:w="625"/>
        <w:gridCol w:w="266"/>
        <w:gridCol w:w="809"/>
        <w:gridCol w:w="111"/>
        <w:gridCol w:w="336"/>
        <w:gridCol w:w="791"/>
        <w:gridCol w:w="816"/>
        <w:gridCol w:w="880"/>
        <w:gridCol w:w="9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6"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含水层</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破  坏</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情  况</w:t>
            </w: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影响含水层的类型</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区域含水层遭受影响或破坏的面积/ km</w:t>
            </w:r>
            <w:r>
              <w:rPr>
                <w:rFonts w:hint="eastAsia" w:ascii="宋体" w:hAnsi="宋体"/>
                <w:bCs/>
                <w:sz w:val="18"/>
                <w:szCs w:val="18"/>
                <w:vertAlign w:val="superscript"/>
              </w:rPr>
              <w:t>2</w:t>
            </w:r>
          </w:p>
        </w:tc>
        <w:tc>
          <w:tcPr>
            <w:tcW w:w="2456"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地下水位最大下降幅度/m</w:t>
            </w:r>
          </w:p>
        </w:tc>
        <w:tc>
          <w:tcPr>
            <w:tcW w:w="214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vertAlign w:val="superscript"/>
              </w:rPr>
            </w:pPr>
            <w:r>
              <w:rPr>
                <w:rFonts w:hint="eastAsia" w:ascii="宋体" w:hAnsi="宋体"/>
                <w:bCs/>
                <w:sz w:val="18"/>
                <w:szCs w:val="18"/>
              </w:rPr>
              <w:t>含水层被疏干的面积/m</w:t>
            </w:r>
            <w:r>
              <w:rPr>
                <w:rFonts w:hint="eastAsia" w:ascii="宋体" w:hAnsi="宋体"/>
                <w:bCs/>
                <w:sz w:val="18"/>
                <w:szCs w:val="18"/>
                <w:vertAlign w:val="superscript"/>
              </w:rPr>
              <w:t>2</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受影响的对象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87"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基岩裂隙含水层</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0</w:t>
            </w:r>
          </w:p>
        </w:tc>
        <w:tc>
          <w:tcPr>
            <w:tcW w:w="2456"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0</w:t>
            </w:r>
          </w:p>
        </w:tc>
        <w:tc>
          <w:tcPr>
            <w:tcW w:w="214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0</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23"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地形地貌景观破  坏</w:t>
            </w: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破坏的地形地貌景观类型</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被破坏的面积/m</w:t>
            </w:r>
            <w:r>
              <w:rPr>
                <w:rFonts w:hint="eastAsia" w:ascii="宋体" w:hAnsi="宋体"/>
                <w:bCs/>
                <w:sz w:val="18"/>
                <w:szCs w:val="18"/>
                <w:vertAlign w:val="superscript"/>
              </w:rPr>
              <w:t>2</w:t>
            </w:r>
          </w:p>
        </w:tc>
        <w:tc>
          <w:tcPr>
            <w:tcW w:w="4603"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破坏程度</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修复的难易程度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7"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无</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0</w:t>
            </w:r>
          </w:p>
        </w:tc>
        <w:tc>
          <w:tcPr>
            <w:tcW w:w="4603"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06"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采矿引起的崩塌、滑坡、泥石流等情  况</w:t>
            </w:r>
          </w:p>
        </w:tc>
        <w:tc>
          <w:tcPr>
            <w:tcW w:w="80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种类</w:t>
            </w:r>
          </w:p>
        </w:tc>
        <w:tc>
          <w:tcPr>
            <w:tcW w:w="6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发生时间</w:t>
            </w:r>
          </w:p>
        </w:tc>
        <w:tc>
          <w:tcPr>
            <w:tcW w:w="9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地点</w:t>
            </w:r>
          </w:p>
        </w:tc>
        <w:tc>
          <w:tcPr>
            <w:tcW w:w="11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规模</w:t>
            </w:r>
          </w:p>
        </w:tc>
        <w:tc>
          <w:tcPr>
            <w:tcW w:w="83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影响</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范围/m</w:t>
            </w:r>
            <w:r>
              <w:rPr>
                <w:rFonts w:hint="eastAsia" w:ascii="宋体" w:hAnsi="宋体"/>
                <w:bCs/>
                <w:sz w:val="18"/>
                <w:szCs w:val="18"/>
                <w:vertAlign w:val="superscript"/>
              </w:rPr>
              <w:t>2</w:t>
            </w:r>
          </w:p>
        </w:tc>
        <w:tc>
          <w:tcPr>
            <w:tcW w:w="7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体积</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/m</w:t>
            </w:r>
            <w:r>
              <w:rPr>
                <w:rFonts w:hint="eastAsia" w:ascii="宋体" w:hAnsi="宋体"/>
                <w:bCs/>
                <w:sz w:val="18"/>
                <w:szCs w:val="18"/>
                <w:vertAlign w:val="superscript"/>
              </w:rPr>
              <w:t>3</w:t>
            </w:r>
          </w:p>
        </w:tc>
        <w:tc>
          <w:tcPr>
            <w:tcW w:w="5982" w:type="dxa"/>
            <w:gridSpan w:val="1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危    害</w:t>
            </w:r>
          </w:p>
        </w:tc>
        <w:tc>
          <w:tcPr>
            <w:tcW w:w="81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原因</w:t>
            </w: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防治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情况</w:t>
            </w: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治理面积/m</w:t>
            </w:r>
            <w:r>
              <w:rPr>
                <w:rFonts w:hint="eastAsia" w:ascii="宋体" w:hAnsi="宋体"/>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87"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死亡人数</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/人</w:t>
            </w: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受伤人数</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/人</w:t>
            </w: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破坏房屋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/间</w:t>
            </w: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毁坏土地/m</w:t>
            </w:r>
            <w:r>
              <w:rPr>
                <w:rFonts w:hint="eastAsia" w:ascii="宋体" w:hAnsi="宋体"/>
                <w:bCs/>
                <w:sz w:val="18"/>
                <w:szCs w:val="18"/>
                <w:vertAlign w:val="superscript"/>
              </w:rPr>
              <w:t>2</w:t>
            </w: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直接经济损失/万元</w:t>
            </w:r>
          </w:p>
        </w:tc>
        <w:tc>
          <w:tcPr>
            <w:tcW w:w="81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24"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无</w:t>
            </w: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94"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50"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采矿引起的地面塌陷情  况</w:t>
            </w:r>
          </w:p>
        </w:tc>
        <w:tc>
          <w:tcPr>
            <w:tcW w:w="80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时间</w:t>
            </w:r>
          </w:p>
        </w:tc>
        <w:tc>
          <w:tcPr>
            <w:tcW w:w="6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发生地点</w:t>
            </w:r>
          </w:p>
        </w:tc>
        <w:tc>
          <w:tcPr>
            <w:tcW w:w="9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规模</w:t>
            </w:r>
          </w:p>
        </w:tc>
        <w:tc>
          <w:tcPr>
            <w:tcW w:w="11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塌陷坑/个</w:t>
            </w:r>
          </w:p>
        </w:tc>
        <w:tc>
          <w:tcPr>
            <w:tcW w:w="83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影响</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范围</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/m</w:t>
            </w:r>
            <w:r>
              <w:rPr>
                <w:rFonts w:hint="eastAsia" w:ascii="宋体" w:hAnsi="宋体"/>
                <w:bCs/>
                <w:sz w:val="18"/>
                <w:szCs w:val="18"/>
                <w:vertAlign w:val="superscript"/>
              </w:rPr>
              <w:t>2</w:t>
            </w:r>
          </w:p>
        </w:tc>
        <w:tc>
          <w:tcPr>
            <w:tcW w:w="7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最大长度</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/m</w:t>
            </w:r>
          </w:p>
        </w:tc>
        <w:tc>
          <w:tcPr>
            <w:tcW w:w="1122"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最大</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深度</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/m</w:t>
            </w:r>
          </w:p>
        </w:tc>
        <w:tc>
          <w:tcPr>
            <w:tcW w:w="4860"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危    害</w:t>
            </w:r>
          </w:p>
        </w:tc>
        <w:tc>
          <w:tcPr>
            <w:tcW w:w="81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原因</w:t>
            </w: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防治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情况</w:t>
            </w: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治理面积/m</w:t>
            </w:r>
            <w:r>
              <w:rPr>
                <w:rFonts w:hint="eastAsia" w:ascii="宋体" w:hAnsi="宋体"/>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99"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死亡人数/人</w:t>
            </w: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受伤人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数/人</w:t>
            </w: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破坏房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屋/间</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毁坏土地/m</w:t>
            </w:r>
            <w:r>
              <w:rPr>
                <w:rFonts w:hint="eastAsia" w:ascii="宋体" w:hAnsi="宋体"/>
                <w:bCs/>
                <w:sz w:val="18"/>
                <w:szCs w:val="18"/>
                <w:vertAlign w:val="superscript"/>
              </w:rPr>
              <w:t>2</w:t>
            </w: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直接经济损失/万元</w:t>
            </w:r>
          </w:p>
        </w:tc>
        <w:tc>
          <w:tcPr>
            <w:tcW w:w="81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无</w:t>
            </w: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02"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采矿引起的地裂  缝</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情  况</w:t>
            </w:r>
          </w:p>
        </w:tc>
        <w:tc>
          <w:tcPr>
            <w:tcW w:w="80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时间</w:t>
            </w:r>
          </w:p>
        </w:tc>
        <w:tc>
          <w:tcPr>
            <w:tcW w:w="6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发生地点</w:t>
            </w:r>
          </w:p>
        </w:tc>
        <w:tc>
          <w:tcPr>
            <w:tcW w:w="9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数量/个</w:t>
            </w:r>
          </w:p>
        </w:tc>
        <w:tc>
          <w:tcPr>
            <w:tcW w:w="11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最大长度/m</w:t>
            </w:r>
          </w:p>
        </w:tc>
        <w:tc>
          <w:tcPr>
            <w:tcW w:w="83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最大宽度/m</w:t>
            </w:r>
          </w:p>
        </w:tc>
        <w:tc>
          <w:tcPr>
            <w:tcW w:w="7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最大深度/m</w:t>
            </w:r>
          </w:p>
        </w:tc>
        <w:tc>
          <w:tcPr>
            <w:tcW w:w="1122"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走向</w:t>
            </w:r>
          </w:p>
        </w:tc>
        <w:tc>
          <w:tcPr>
            <w:tcW w:w="4860"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危    害</w:t>
            </w:r>
          </w:p>
        </w:tc>
        <w:tc>
          <w:tcPr>
            <w:tcW w:w="81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原因</w:t>
            </w: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防治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情况</w:t>
            </w: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治理面积/m</w:t>
            </w:r>
            <w:r>
              <w:rPr>
                <w:rFonts w:hint="eastAsia" w:ascii="宋体" w:hAnsi="宋体"/>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死亡人数/人</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受伤人数/人</w:t>
            </w: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破坏房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屋/间</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毁坏土地/m</w:t>
            </w:r>
            <w:r>
              <w:rPr>
                <w:rFonts w:hint="eastAsia" w:ascii="宋体" w:hAnsi="宋体"/>
                <w:bCs/>
                <w:sz w:val="18"/>
                <w:szCs w:val="18"/>
                <w:vertAlign w:val="superscript"/>
              </w:rPr>
              <w:t>2</w:t>
            </w: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直接经济损失/万元</w:t>
            </w:r>
          </w:p>
        </w:tc>
        <w:tc>
          <w:tcPr>
            <w:tcW w:w="81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无</w:t>
            </w: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bl>
    <w:p>
      <w:pPr>
        <w:rPr>
          <w:rFonts w:hint="default" w:ascii="Times New Roman" w:hAnsi="Times New Roman" w:cs="Times New Roman"/>
          <w:bCs/>
          <w:sz w:val="18"/>
          <w:szCs w:val="18"/>
        </w:rPr>
      </w:pPr>
      <w:r>
        <w:rPr>
          <w:rFonts w:hint="eastAsia" w:ascii="宋体" w:hAnsi="宋体"/>
          <w:bCs/>
          <w:sz w:val="18"/>
          <w:szCs w:val="18"/>
        </w:rPr>
        <w:t>矿山企业（盖章）：中石化绿源地热能（陕西）开发有限公司      填表单位（盖章）：陕西工程勘察研究院有限公司      填表人：</w:t>
      </w:r>
      <w:r>
        <w:rPr>
          <w:rFonts w:hint="eastAsia" w:ascii="宋体" w:hAnsi="宋体"/>
          <w:bCs/>
          <w:sz w:val="18"/>
          <w:szCs w:val="18"/>
          <w:lang w:val="en-US" w:eastAsia="zh-CN"/>
        </w:rPr>
        <w:t>高超</w:t>
      </w:r>
      <w:r>
        <w:rPr>
          <w:rFonts w:hint="eastAsia" w:ascii="宋体" w:hAnsi="宋体"/>
          <w:bCs/>
          <w:sz w:val="18"/>
          <w:szCs w:val="18"/>
        </w:rPr>
        <w:t xml:space="preserve">     填表日期：</w:t>
      </w:r>
      <w:r>
        <w:rPr>
          <w:rFonts w:hint="default" w:ascii="Times New Roman" w:hAnsi="Times New Roman" w:cs="Times New Roman"/>
          <w:bCs/>
          <w:sz w:val="18"/>
          <w:szCs w:val="18"/>
        </w:rPr>
        <w:t>202</w:t>
      </w:r>
      <w:r>
        <w:rPr>
          <w:rFonts w:hint="default" w:ascii="Times New Roman" w:hAnsi="Times New Roman" w:cs="Times New Roman"/>
          <w:bCs/>
          <w:sz w:val="18"/>
          <w:szCs w:val="18"/>
          <w:lang w:val="en-US" w:eastAsia="zh-CN"/>
        </w:rPr>
        <w:t>2</w:t>
      </w:r>
      <w:r>
        <w:rPr>
          <w:rFonts w:hint="default" w:ascii="Times New Roman" w:hAnsi="Times New Roman" w:cs="Times New Roman"/>
          <w:bCs/>
          <w:sz w:val="18"/>
          <w:szCs w:val="18"/>
        </w:rPr>
        <w:t>年</w:t>
      </w:r>
      <w:r>
        <w:rPr>
          <w:rFonts w:hint="default" w:ascii="Times New Roman" w:hAnsi="Times New Roman" w:cs="Times New Roman"/>
          <w:bCs/>
          <w:sz w:val="18"/>
          <w:szCs w:val="18"/>
          <w:lang w:val="en-US" w:eastAsia="zh-CN"/>
        </w:rPr>
        <w:t>7</w:t>
      </w:r>
      <w:r>
        <w:rPr>
          <w:rFonts w:hint="default" w:ascii="Times New Roman" w:hAnsi="Times New Roman" w:cs="Times New Roman"/>
          <w:bCs/>
          <w:sz w:val="18"/>
          <w:szCs w:val="18"/>
        </w:rPr>
        <w:t>月</w:t>
      </w:r>
      <w:r>
        <w:rPr>
          <w:rFonts w:hint="default" w:ascii="Times New Roman" w:hAnsi="Times New Roman" w:cs="Times New Roman"/>
          <w:bCs/>
          <w:sz w:val="18"/>
          <w:szCs w:val="18"/>
          <w:lang w:val="en-US" w:eastAsia="zh-CN"/>
        </w:rPr>
        <w:t>22</w:t>
      </w:r>
      <w:r>
        <w:rPr>
          <w:rFonts w:hint="default" w:ascii="Times New Roman" w:hAnsi="Times New Roman" w:cs="Times New Roman"/>
          <w:bCs/>
          <w:sz w:val="18"/>
          <w:szCs w:val="18"/>
        </w:rPr>
        <w:t>日</w:t>
      </w:r>
    </w:p>
    <w:p>
      <w:pPr>
        <w:sectPr>
          <w:pgSz w:w="16838" w:h="11906" w:orient="landscape"/>
          <w:pgMar w:top="1247" w:right="1134" w:bottom="850" w:left="1134" w:header="851" w:footer="992" w:gutter="0"/>
          <w:cols w:space="425" w:num="1"/>
          <w:docGrid w:type="lines" w:linePitch="312" w:charSpace="0"/>
        </w:sectPr>
      </w:pPr>
    </w:p>
    <w:p>
      <w:pPr>
        <w:pStyle w:val="2"/>
        <w:rPr>
          <w:rFonts w:hint="eastAsia"/>
          <w:sz w:val="28"/>
          <w:szCs w:val="22"/>
          <w:lang w:val="en-US" w:eastAsia="zh-CN"/>
        </w:rPr>
      </w:pPr>
      <w:r>
        <w:rPr>
          <w:rFonts w:hint="eastAsia"/>
          <w:sz w:val="28"/>
          <w:szCs w:val="22"/>
          <w:lang w:val="en-US" w:eastAsia="zh-CN"/>
        </w:rPr>
        <w:t>附件1</w:t>
      </w:r>
    </w:p>
    <w:p>
      <w:pPr>
        <w:pStyle w:val="2"/>
        <w:keepNext w:val="0"/>
        <w:keepLines w:val="0"/>
        <w:pageBreakBefore w:val="0"/>
        <w:widowControl w:val="0"/>
        <w:kinsoku/>
        <w:wordWrap/>
        <w:overflowPunct/>
        <w:topLinePunct w:val="0"/>
        <w:autoSpaceDE/>
        <w:autoSpaceDN/>
        <w:bidi w:val="0"/>
        <w:adjustRightInd/>
        <w:snapToGrid/>
        <w:ind w:firstLine="0" w:firstLineChars="0"/>
        <w:jc w:val="center"/>
        <w:textAlignment w:val="auto"/>
        <w:sectPr>
          <w:pgSz w:w="11906" w:h="16838"/>
          <w:pgMar w:top="1134" w:right="850" w:bottom="1134" w:left="1247" w:header="851" w:footer="992" w:gutter="0"/>
          <w:cols w:space="425" w:num="1"/>
          <w:docGrid w:type="lines" w:linePitch="312" w:charSpace="0"/>
        </w:sectPr>
      </w:pPr>
      <w:r>
        <w:drawing>
          <wp:inline distT="0" distB="0" distL="114300" distR="114300">
            <wp:extent cx="5829300" cy="8277225"/>
            <wp:effectExtent l="0" t="0" r="0" b="9525"/>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20"/>
                    <a:stretch>
                      <a:fillRect/>
                    </a:stretch>
                  </pic:blipFill>
                  <pic:spPr>
                    <a:xfrm>
                      <a:off x="0" y="0"/>
                      <a:ext cx="5829300" cy="8277225"/>
                    </a:xfrm>
                    <a:prstGeom prst="rect">
                      <a:avLst/>
                    </a:prstGeom>
                    <a:noFill/>
                    <a:ln>
                      <a:noFill/>
                    </a:ln>
                  </pic:spPr>
                </pic:pic>
              </a:graphicData>
            </a:graphic>
          </wp:inline>
        </w:drawing>
      </w:r>
    </w:p>
    <w:p>
      <w:pPr>
        <w:pStyle w:val="2"/>
        <w:rPr>
          <w:rFonts w:hint="default"/>
          <w:sz w:val="28"/>
          <w:szCs w:val="22"/>
          <w:lang w:val="en-US" w:eastAsia="zh-CN"/>
        </w:rPr>
      </w:pPr>
      <w:r>
        <w:rPr>
          <w:rFonts w:hint="eastAsia"/>
          <w:sz w:val="28"/>
          <w:szCs w:val="22"/>
          <w:lang w:val="en-US" w:eastAsia="zh-CN"/>
        </w:rPr>
        <w:t>附件2</w:t>
      </w:r>
    </w:p>
    <w:p>
      <w:pPr>
        <w:pStyle w:val="2"/>
        <w:jc w:val="center"/>
        <w:rPr>
          <w:color w:val="FF0000"/>
        </w:rPr>
        <w:sectPr>
          <w:pgSz w:w="16838" w:h="11906" w:orient="landscape"/>
          <w:pgMar w:top="1247" w:right="1134" w:bottom="850" w:left="1134" w:header="851" w:footer="992" w:gutter="0"/>
          <w:cols w:space="425" w:num="1"/>
          <w:docGrid w:type="lines" w:linePitch="312" w:charSpace="0"/>
        </w:sectPr>
      </w:pPr>
      <w:r>
        <w:rPr>
          <w:color w:val="FF0000"/>
        </w:rPr>
        <w:drawing>
          <wp:inline distT="0" distB="0" distL="114300" distR="114300">
            <wp:extent cx="5215890" cy="7357110"/>
            <wp:effectExtent l="0" t="0" r="15240" b="3810"/>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21"/>
                    <a:srcRect t="2108" r="5900" b="4056"/>
                    <a:stretch>
                      <a:fillRect/>
                    </a:stretch>
                  </pic:blipFill>
                  <pic:spPr>
                    <a:xfrm rot="16200000">
                      <a:off x="0" y="0"/>
                      <a:ext cx="5215890" cy="735711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color w:val="auto"/>
          <w:sz w:val="28"/>
          <w:szCs w:val="22"/>
          <w:lang w:val="en-US" w:eastAsia="zh-CN"/>
        </w:rPr>
      </w:pPr>
      <w:r>
        <w:rPr>
          <w:rFonts w:hint="eastAsia"/>
          <w:color w:val="auto"/>
          <w:sz w:val="28"/>
          <w:szCs w:val="22"/>
          <w:lang w:val="en-US" w:eastAsia="zh-CN"/>
        </w:rPr>
        <w:t>附件3</w:t>
      </w:r>
    </w:p>
    <w:p>
      <w:pPr>
        <w:pStyle w:val="2"/>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FF0000"/>
        </w:rPr>
        <w:sectPr>
          <w:pgSz w:w="16838" w:h="11906" w:orient="landscape"/>
          <w:pgMar w:top="1247" w:right="1134" w:bottom="850" w:left="1134" w:header="851" w:footer="992" w:gutter="0"/>
          <w:cols w:space="425" w:num="1"/>
          <w:docGrid w:type="lines" w:linePitch="312" w:charSpace="0"/>
        </w:sectPr>
      </w:pPr>
      <w:r>
        <w:drawing>
          <wp:inline distT="0" distB="0" distL="114300" distR="114300">
            <wp:extent cx="7452995" cy="5349875"/>
            <wp:effectExtent l="0" t="0" r="14605" b="317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22"/>
                    <a:srcRect l="5733" t="3456" r="2455" b="3098"/>
                    <a:stretch>
                      <a:fillRect/>
                    </a:stretch>
                  </pic:blipFill>
                  <pic:spPr>
                    <a:xfrm>
                      <a:off x="0" y="0"/>
                      <a:ext cx="7452995" cy="5349875"/>
                    </a:xfrm>
                    <a:prstGeom prst="rect">
                      <a:avLst/>
                    </a:prstGeom>
                    <a:noFill/>
                    <a:ln>
                      <a:noFill/>
                    </a:ln>
                  </pic:spPr>
                </pic:pic>
              </a:graphicData>
            </a:graphic>
          </wp:inline>
        </w:drawing>
      </w:r>
      <w:r>
        <w:drawing>
          <wp:inline distT="0" distB="0" distL="114300" distR="114300">
            <wp:extent cx="7801610" cy="5525770"/>
            <wp:effectExtent l="0" t="0" r="8890" b="177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3"/>
                    <a:stretch>
                      <a:fillRect/>
                    </a:stretch>
                  </pic:blipFill>
                  <pic:spPr>
                    <a:xfrm>
                      <a:off x="0" y="0"/>
                      <a:ext cx="7801610" cy="552577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auto"/>
          <w:sz w:val="28"/>
          <w:szCs w:val="22"/>
          <w:lang w:val="en-US" w:eastAsia="zh-CN"/>
        </w:rPr>
      </w:pPr>
      <w:r>
        <w:rPr>
          <w:rFonts w:hint="eastAsia"/>
          <w:color w:val="auto"/>
          <w:sz w:val="28"/>
          <w:szCs w:val="22"/>
          <w:lang w:val="en-US" w:eastAsia="zh-CN"/>
        </w:rPr>
        <w:t>附件4</w:t>
      </w: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auto"/>
          <w:sz w:val="28"/>
          <w:szCs w:val="22"/>
          <w:lang w:val="en-US" w:eastAsia="zh-CN"/>
        </w:rPr>
        <w:sectPr>
          <w:pgSz w:w="11906" w:h="16838"/>
          <w:pgMar w:top="1134" w:right="850" w:bottom="1134" w:left="1247" w:header="851" w:footer="992" w:gutter="0"/>
          <w:cols w:space="425" w:num="1"/>
          <w:docGrid w:type="lines" w:linePitch="312" w:charSpace="0"/>
        </w:sectPr>
      </w:pPr>
      <w:r>
        <w:drawing>
          <wp:inline distT="0" distB="0" distL="114300" distR="114300">
            <wp:extent cx="5762625" cy="8172450"/>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4"/>
                    <a:stretch>
                      <a:fillRect/>
                    </a:stretch>
                  </pic:blipFill>
                  <pic:spPr>
                    <a:xfrm>
                      <a:off x="0" y="0"/>
                      <a:ext cx="5762625" cy="8172450"/>
                    </a:xfrm>
                    <a:prstGeom prst="rect">
                      <a:avLst/>
                    </a:prstGeom>
                    <a:noFill/>
                    <a:ln>
                      <a:noFill/>
                    </a:ln>
                  </pic:spPr>
                </pic:pic>
              </a:graphicData>
            </a:graphic>
          </wp:inline>
        </w:drawing>
      </w:r>
      <w:r>
        <w:drawing>
          <wp:inline distT="0" distB="0" distL="114300" distR="114300">
            <wp:extent cx="5762625" cy="7734300"/>
            <wp:effectExtent l="0" t="0" r="9525" b="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25"/>
                    <a:stretch>
                      <a:fillRect/>
                    </a:stretch>
                  </pic:blipFill>
                  <pic:spPr>
                    <a:xfrm>
                      <a:off x="0" y="0"/>
                      <a:ext cx="5762625" cy="7734300"/>
                    </a:xfrm>
                    <a:prstGeom prst="rect">
                      <a:avLst/>
                    </a:prstGeom>
                    <a:noFill/>
                    <a:ln>
                      <a:noFill/>
                    </a:ln>
                  </pic:spPr>
                </pic:pic>
              </a:graphicData>
            </a:graphic>
          </wp:inline>
        </w:drawing>
      </w:r>
      <w:r>
        <w:drawing>
          <wp:inline distT="0" distB="0" distL="114300" distR="114300">
            <wp:extent cx="6514465" cy="8743950"/>
            <wp:effectExtent l="0" t="0" r="635" b="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26"/>
                    <a:stretch>
                      <a:fillRect/>
                    </a:stretch>
                  </pic:blipFill>
                  <pic:spPr>
                    <a:xfrm>
                      <a:off x="0" y="0"/>
                      <a:ext cx="6514465" cy="8743950"/>
                    </a:xfrm>
                    <a:prstGeom prst="rect">
                      <a:avLst/>
                    </a:prstGeom>
                    <a:noFill/>
                    <a:ln>
                      <a:noFill/>
                    </a:ln>
                  </pic:spPr>
                </pic:pic>
              </a:graphicData>
            </a:graphic>
          </wp:inline>
        </w:drawing>
      </w:r>
      <w:r>
        <w:drawing>
          <wp:inline distT="0" distB="0" distL="114300" distR="114300">
            <wp:extent cx="6410325" cy="8940165"/>
            <wp:effectExtent l="0" t="0" r="9525" b="1333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7"/>
                    <a:stretch>
                      <a:fillRect/>
                    </a:stretch>
                  </pic:blipFill>
                  <pic:spPr>
                    <a:xfrm>
                      <a:off x="0" y="0"/>
                      <a:ext cx="6410325" cy="8940165"/>
                    </a:xfrm>
                    <a:prstGeom prst="rect">
                      <a:avLst/>
                    </a:prstGeom>
                    <a:noFill/>
                    <a:ln>
                      <a:noFill/>
                    </a:ln>
                  </pic:spPr>
                </pic:pic>
              </a:graphicData>
            </a:graphic>
          </wp:inline>
        </w:drawing>
      </w:r>
      <w:r>
        <w:drawing>
          <wp:inline distT="0" distB="0" distL="114300" distR="114300">
            <wp:extent cx="6756400" cy="9190990"/>
            <wp:effectExtent l="0" t="0" r="6350" b="1016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28"/>
                    <a:stretch>
                      <a:fillRect/>
                    </a:stretch>
                  </pic:blipFill>
                  <pic:spPr>
                    <a:xfrm>
                      <a:off x="0" y="0"/>
                      <a:ext cx="6756400" cy="9190990"/>
                    </a:xfrm>
                    <a:prstGeom prst="rect">
                      <a:avLst/>
                    </a:prstGeom>
                    <a:noFill/>
                    <a:ln>
                      <a:noFill/>
                    </a:ln>
                  </pic:spPr>
                </pic:pic>
              </a:graphicData>
            </a:graphic>
          </wp:inline>
        </w:drawing>
      </w:r>
    </w:p>
    <w:p>
      <w:pPr>
        <w:ind w:left="0" w:leftChars="0" w:firstLine="0" w:firstLineChars="0"/>
        <w:rPr>
          <w:rFonts w:hint="eastAsia"/>
          <w:color w:val="auto"/>
          <w:sz w:val="28"/>
          <w:szCs w:val="22"/>
          <w:lang w:val="en-US" w:eastAsia="zh-CN"/>
        </w:rPr>
      </w:pPr>
      <w:r>
        <w:rPr>
          <w:rFonts w:hint="eastAsia"/>
          <w:color w:val="auto"/>
          <w:sz w:val="28"/>
          <w:szCs w:val="22"/>
          <w:lang w:val="en-US" w:eastAsia="zh-CN"/>
        </w:rPr>
        <w:t>附件5</w:t>
      </w:r>
    </w:p>
    <w:p>
      <w:pPr>
        <w:ind w:left="0" w:leftChars="0" w:firstLine="0" w:firstLineChars="0"/>
        <w:rPr>
          <w:rFonts w:hint="eastAsia"/>
          <w:color w:val="auto"/>
          <w:sz w:val="28"/>
          <w:szCs w:val="22"/>
          <w:lang w:val="en-US" w:eastAsia="zh-CN"/>
        </w:rPr>
      </w:pPr>
      <w:r>
        <w:drawing>
          <wp:inline distT="0" distB="0" distL="114300" distR="114300">
            <wp:extent cx="6207125" cy="8731250"/>
            <wp:effectExtent l="0" t="0" r="3175" b="1270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29"/>
                    <a:stretch>
                      <a:fillRect/>
                    </a:stretch>
                  </pic:blipFill>
                  <pic:spPr>
                    <a:xfrm>
                      <a:off x="0" y="0"/>
                      <a:ext cx="6207125" cy="8731250"/>
                    </a:xfrm>
                    <a:prstGeom prst="rect">
                      <a:avLst/>
                    </a:prstGeom>
                    <a:noFill/>
                    <a:ln>
                      <a:noFill/>
                    </a:ln>
                  </pic:spPr>
                </pic:pic>
              </a:graphicData>
            </a:graphic>
          </wp:inline>
        </w:drawing>
      </w:r>
      <w:r>
        <w:drawing>
          <wp:inline distT="0" distB="0" distL="114300" distR="114300">
            <wp:extent cx="6108065" cy="8581390"/>
            <wp:effectExtent l="0" t="0" r="6985" b="1016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30"/>
                    <a:srcRect t="970"/>
                    <a:stretch>
                      <a:fillRect/>
                    </a:stretch>
                  </pic:blipFill>
                  <pic:spPr>
                    <a:xfrm>
                      <a:off x="0" y="0"/>
                      <a:ext cx="6108065" cy="8581390"/>
                    </a:xfrm>
                    <a:prstGeom prst="rect">
                      <a:avLst/>
                    </a:prstGeom>
                    <a:noFill/>
                    <a:ln>
                      <a:noFill/>
                    </a:ln>
                  </pic:spPr>
                </pic:pic>
              </a:graphicData>
            </a:graphic>
          </wp:inline>
        </w:drawing>
      </w:r>
      <w:r>
        <w:drawing>
          <wp:inline distT="0" distB="0" distL="114300" distR="114300">
            <wp:extent cx="6084570" cy="8547100"/>
            <wp:effectExtent l="0" t="0" r="11430" b="635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31"/>
                    <a:stretch>
                      <a:fillRect/>
                    </a:stretch>
                  </pic:blipFill>
                  <pic:spPr>
                    <a:xfrm>
                      <a:off x="0" y="0"/>
                      <a:ext cx="6084570" cy="8547100"/>
                    </a:xfrm>
                    <a:prstGeom prst="rect">
                      <a:avLst/>
                    </a:prstGeom>
                    <a:noFill/>
                    <a:ln>
                      <a:noFill/>
                    </a:ln>
                  </pic:spPr>
                </pic:pic>
              </a:graphicData>
            </a:graphic>
          </wp:inline>
        </w:drawing>
      </w:r>
      <w:r>
        <w:drawing>
          <wp:inline distT="0" distB="0" distL="114300" distR="114300">
            <wp:extent cx="6155690" cy="8699500"/>
            <wp:effectExtent l="0" t="0" r="16510" b="635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32"/>
                    <a:stretch>
                      <a:fillRect/>
                    </a:stretch>
                  </pic:blipFill>
                  <pic:spPr>
                    <a:xfrm>
                      <a:off x="0" y="0"/>
                      <a:ext cx="6155690" cy="8699500"/>
                    </a:xfrm>
                    <a:prstGeom prst="rect">
                      <a:avLst/>
                    </a:prstGeom>
                    <a:noFill/>
                    <a:ln>
                      <a:noFill/>
                    </a:ln>
                  </pic:spPr>
                </pic:pic>
              </a:graphicData>
            </a:graphic>
          </wp:inline>
        </w:drawing>
      </w:r>
      <w:r>
        <w:drawing>
          <wp:inline distT="0" distB="0" distL="114300" distR="114300">
            <wp:extent cx="6083300" cy="8540750"/>
            <wp:effectExtent l="0" t="0" r="12700" b="1270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33"/>
                    <a:stretch>
                      <a:fillRect/>
                    </a:stretch>
                  </pic:blipFill>
                  <pic:spPr>
                    <a:xfrm>
                      <a:off x="0" y="0"/>
                      <a:ext cx="6083300" cy="8540750"/>
                    </a:xfrm>
                    <a:prstGeom prst="rect">
                      <a:avLst/>
                    </a:prstGeom>
                    <a:noFill/>
                    <a:ln>
                      <a:noFill/>
                    </a:ln>
                  </pic:spPr>
                </pic:pic>
              </a:graphicData>
            </a:graphic>
          </wp:inline>
        </w:drawing>
      </w:r>
      <w:r>
        <w:drawing>
          <wp:inline distT="0" distB="0" distL="114300" distR="114300">
            <wp:extent cx="5810250" cy="8172450"/>
            <wp:effectExtent l="0" t="0" r="0" b="0"/>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34"/>
                    <a:stretch>
                      <a:fillRect/>
                    </a:stretch>
                  </pic:blipFill>
                  <pic:spPr>
                    <a:xfrm>
                      <a:off x="0" y="0"/>
                      <a:ext cx="5810250" cy="8172450"/>
                    </a:xfrm>
                    <a:prstGeom prst="rect">
                      <a:avLst/>
                    </a:prstGeom>
                    <a:noFill/>
                    <a:ln>
                      <a:noFill/>
                    </a:ln>
                  </pic:spPr>
                </pic:pic>
              </a:graphicData>
            </a:graphic>
          </wp:inline>
        </w:drawing>
      </w:r>
      <w:r>
        <w:rPr>
          <w:rFonts w:hint="eastAsia"/>
          <w:color w:val="auto"/>
          <w:sz w:val="28"/>
          <w:szCs w:val="22"/>
          <w:lang w:val="en-US" w:eastAsia="zh-CN"/>
        </w:rPr>
        <w:br w:type="page"/>
      </w: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auto"/>
          <w:sz w:val="28"/>
          <w:szCs w:val="22"/>
          <w:lang w:val="en-US" w:eastAsia="zh-CN"/>
        </w:rPr>
      </w:pPr>
      <w:r>
        <w:rPr>
          <w:rFonts w:hint="eastAsia"/>
          <w:color w:val="auto"/>
          <w:sz w:val="28"/>
          <w:szCs w:val="22"/>
          <w:lang w:val="en-US" w:eastAsia="zh-CN"/>
        </w:rPr>
        <w:t>附件6</w:t>
      </w:r>
    </w:p>
    <w:p>
      <w:pPr>
        <w:widowControl/>
        <w:jc w:val="left"/>
        <w:rPr>
          <w:color w:val="FF0000"/>
          <w:sz w:val="28"/>
        </w:rPr>
      </w:pPr>
      <w:r>
        <w:drawing>
          <wp:inline distT="0" distB="0" distL="114300" distR="114300">
            <wp:extent cx="5647055" cy="7987665"/>
            <wp:effectExtent l="0" t="0" r="10795" b="13335"/>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35"/>
                    <a:stretch>
                      <a:fillRect/>
                    </a:stretch>
                  </pic:blipFill>
                  <pic:spPr>
                    <a:xfrm>
                      <a:off x="0" y="0"/>
                      <a:ext cx="5647055" cy="7987665"/>
                    </a:xfrm>
                    <a:prstGeom prst="rect">
                      <a:avLst/>
                    </a:prstGeom>
                    <a:noFill/>
                    <a:ln>
                      <a:noFill/>
                    </a:ln>
                  </pic:spPr>
                </pic:pic>
              </a:graphicData>
            </a:graphic>
          </wp:inline>
        </w:drawing>
      </w:r>
    </w:p>
    <w:p>
      <w:pPr>
        <w:widowControl/>
        <w:jc w:val="left"/>
        <w:rPr>
          <w:color w:val="FF0000"/>
          <w:sz w:val="28"/>
        </w:rPr>
      </w:pP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pPr>
      <w:r>
        <w:drawing>
          <wp:inline distT="0" distB="0" distL="114300" distR="114300">
            <wp:extent cx="6118860" cy="8655050"/>
            <wp:effectExtent l="0" t="0" r="15240" b="1270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36"/>
                    <a:stretch>
                      <a:fillRect/>
                    </a:stretch>
                  </pic:blipFill>
                  <pic:spPr>
                    <a:xfrm>
                      <a:off x="0" y="0"/>
                      <a:ext cx="6118860" cy="865505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sectPr>
          <w:pgSz w:w="11906" w:h="16838"/>
          <w:pgMar w:top="1134" w:right="850" w:bottom="1134" w:left="1247" w:header="851" w:footer="992" w:gutter="0"/>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lang w:val="en-US" w:eastAsia="zh-CN"/>
        </w:rPr>
      </w:pPr>
      <w:r>
        <w:rPr>
          <w:rFonts w:hint="eastAsia"/>
          <w:lang w:val="en-US" w:eastAsia="zh-CN"/>
        </w:rPr>
        <w:t>附件7 公众问卷调查表</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lang w:val="en-US" w:eastAsia="zh-CN"/>
        </w:rPr>
      </w:pPr>
      <w:r>
        <w:drawing>
          <wp:inline distT="0" distB="0" distL="114300" distR="114300">
            <wp:extent cx="5997575" cy="8427085"/>
            <wp:effectExtent l="0" t="0" r="3175" b="12065"/>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37"/>
                    <a:stretch>
                      <a:fillRect/>
                    </a:stretch>
                  </pic:blipFill>
                  <pic:spPr>
                    <a:xfrm>
                      <a:off x="0" y="0"/>
                      <a:ext cx="5997575" cy="8427085"/>
                    </a:xfrm>
                    <a:prstGeom prst="rect">
                      <a:avLst/>
                    </a:prstGeom>
                    <a:noFill/>
                    <a:ln>
                      <a:noFill/>
                    </a:ln>
                  </pic:spPr>
                </pic:pic>
              </a:graphicData>
            </a:graphic>
          </wp:inline>
        </w:drawing>
      </w:r>
      <w:r>
        <w:drawing>
          <wp:inline distT="0" distB="0" distL="114300" distR="114300">
            <wp:extent cx="5750560" cy="8080375"/>
            <wp:effectExtent l="0" t="0" r="2540" b="15875"/>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38"/>
                    <a:stretch>
                      <a:fillRect/>
                    </a:stretch>
                  </pic:blipFill>
                  <pic:spPr>
                    <a:xfrm>
                      <a:off x="0" y="0"/>
                      <a:ext cx="5750560" cy="8080375"/>
                    </a:xfrm>
                    <a:prstGeom prst="rect">
                      <a:avLst/>
                    </a:prstGeom>
                    <a:noFill/>
                    <a:ln>
                      <a:noFill/>
                    </a:ln>
                  </pic:spPr>
                </pic:pic>
              </a:graphicData>
            </a:graphic>
          </wp:inline>
        </w:drawing>
      </w:r>
      <w:r>
        <w:drawing>
          <wp:inline distT="0" distB="0" distL="114300" distR="114300">
            <wp:extent cx="5581650" cy="7842885"/>
            <wp:effectExtent l="0" t="0" r="0" b="5715"/>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39"/>
                    <a:stretch>
                      <a:fillRect/>
                    </a:stretch>
                  </pic:blipFill>
                  <pic:spPr>
                    <a:xfrm>
                      <a:off x="0" y="0"/>
                      <a:ext cx="5581650" cy="7842885"/>
                    </a:xfrm>
                    <a:prstGeom prst="rect">
                      <a:avLst/>
                    </a:prstGeom>
                    <a:noFill/>
                    <a:ln>
                      <a:noFill/>
                    </a:ln>
                  </pic:spPr>
                </pic:pic>
              </a:graphicData>
            </a:graphic>
          </wp:inline>
        </w:drawing>
      </w:r>
      <w:r>
        <w:drawing>
          <wp:inline distT="0" distB="0" distL="114300" distR="114300">
            <wp:extent cx="5596255" cy="7863840"/>
            <wp:effectExtent l="0" t="0" r="4445" b="3810"/>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40"/>
                    <a:stretch>
                      <a:fillRect/>
                    </a:stretch>
                  </pic:blipFill>
                  <pic:spPr>
                    <a:xfrm>
                      <a:off x="0" y="0"/>
                      <a:ext cx="5596255" cy="7863840"/>
                    </a:xfrm>
                    <a:prstGeom prst="rect">
                      <a:avLst/>
                    </a:prstGeom>
                    <a:noFill/>
                    <a:ln>
                      <a:noFill/>
                    </a:ln>
                  </pic:spPr>
                </pic:pic>
              </a:graphicData>
            </a:graphic>
          </wp:inline>
        </w:drawing>
      </w:r>
      <w:r>
        <w:drawing>
          <wp:inline distT="0" distB="0" distL="114300" distR="114300">
            <wp:extent cx="5581015" cy="7842250"/>
            <wp:effectExtent l="0" t="0" r="635" b="6350"/>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41"/>
                    <a:stretch>
                      <a:fillRect/>
                    </a:stretch>
                  </pic:blipFill>
                  <pic:spPr>
                    <a:xfrm>
                      <a:off x="0" y="0"/>
                      <a:ext cx="5581015" cy="7842250"/>
                    </a:xfrm>
                    <a:prstGeom prst="rect">
                      <a:avLst/>
                    </a:prstGeom>
                    <a:noFill/>
                    <a:ln>
                      <a:noFill/>
                    </a:ln>
                  </pic:spPr>
                </pic:pic>
              </a:graphicData>
            </a:graphic>
          </wp:inline>
        </w:drawing>
      </w:r>
      <w:r>
        <w:drawing>
          <wp:inline distT="0" distB="0" distL="114300" distR="114300">
            <wp:extent cx="5642610" cy="7928610"/>
            <wp:effectExtent l="0" t="0" r="15240" b="15240"/>
            <wp:docPr id="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
                    <pic:cNvPicPr>
                      <a:picLocks noChangeAspect="1"/>
                    </pic:cNvPicPr>
                  </pic:nvPicPr>
                  <pic:blipFill>
                    <a:blip r:embed="rId42"/>
                    <a:stretch>
                      <a:fillRect/>
                    </a:stretch>
                  </pic:blipFill>
                  <pic:spPr>
                    <a:xfrm>
                      <a:off x="0" y="0"/>
                      <a:ext cx="5642610" cy="7928610"/>
                    </a:xfrm>
                    <a:prstGeom prst="rect">
                      <a:avLst/>
                    </a:prstGeom>
                    <a:noFill/>
                    <a:ln>
                      <a:noFill/>
                    </a:ln>
                  </pic:spPr>
                </pic:pic>
              </a:graphicData>
            </a:graphic>
          </wp:inline>
        </w:drawing>
      </w:r>
    </w:p>
    <w:p>
      <w:pPr>
        <w:rPr>
          <w:rFonts w:hint="eastAsia"/>
          <w:color w:val="auto"/>
          <w:sz w:val="24"/>
          <w:szCs w:val="24"/>
          <w:lang w:val="en-US" w:eastAsia="zh-CN"/>
        </w:rPr>
      </w:pPr>
      <w:r>
        <w:rPr>
          <w:rFonts w:hint="eastAsia"/>
          <w:color w:val="auto"/>
          <w:sz w:val="24"/>
          <w:szCs w:val="24"/>
          <w:lang w:val="en-US" w:eastAsia="zh-CN"/>
        </w:rPr>
        <w:br w:type="page"/>
      </w: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lang w:val="en-US" w:eastAsia="zh-CN"/>
        </w:rPr>
      </w:pPr>
      <w:r>
        <w:rPr>
          <w:rFonts w:hint="eastAsia"/>
          <w:lang w:val="en-US" w:eastAsia="zh-CN"/>
        </w:rPr>
        <w:t>8、陕西工程勘察研究院有限公司工程文件审核记录</w:t>
      </w:r>
    </w:p>
    <w:p>
      <w:pPr>
        <w:pStyle w:val="2"/>
        <w:ind w:left="0" w:leftChars="0" w:firstLine="0" w:firstLineChars="0"/>
        <w:rPr>
          <w:rFonts w:hint="eastAsia" w:eastAsia="宋体"/>
          <w:lang w:eastAsia="zh-CN"/>
        </w:rPr>
      </w:pPr>
      <w:r>
        <w:rPr>
          <w:rFonts w:hint="eastAsia" w:eastAsia="宋体"/>
          <w:lang w:eastAsia="zh-CN"/>
        </w:rPr>
        <w:drawing>
          <wp:inline distT="0" distB="0" distL="114300" distR="114300">
            <wp:extent cx="5529580" cy="7769225"/>
            <wp:effectExtent l="0" t="0" r="13970" b="3175"/>
            <wp:docPr id="59" name="图片 59" descr="职院审定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职院审定意见"/>
                    <pic:cNvPicPr>
                      <a:picLocks noChangeAspect="1"/>
                    </pic:cNvPicPr>
                  </pic:nvPicPr>
                  <pic:blipFill>
                    <a:blip r:embed="rId43"/>
                    <a:stretch>
                      <a:fillRect/>
                    </a:stretch>
                  </pic:blipFill>
                  <pic:spPr>
                    <a:xfrm>
                      <a:off x="0" y="0"/>
                      <a:ext cx="5529580" cy="7769225"/>
                    </a:xfrm>
                    <a:prstGeom prst="rect">
                      <a:avLst/>
                    </a:prstGeom>
                  </pic:spPr>
                </pic:pic>
              </a:graphicData>
            </a:graphic>
          </wp:inline>
        </w:drawing>
      </w:r>
    </w:p>
    <w:p>
      <w:pPr>
        <w:rPr>
          <w:rFonts w:hint="eastAsia" w:eastAsia="宋体"/>
          <w:lang w:eastAsia="zh-CN"/>
        </w:rPr>
      </w:pPr>
      <w:r>
        <w:rPr>
          <w:rFonts w:hint="eastAsia" w:eastAsia="宋体"/>
          <w:lang w:eastAsia="zh-CN"/>
        </w:rPr>
        <w:br w:type="page"/>
      </w:r>
    </w:p>
    <w:p>
      <w:pPr>
        <w:keepNext w:val="0"/>
        <w:keepLines w:val="0"/>
        <w:pageBreakBefore w:val="0"/>
        <w:widowControl w:val="0"/>
        <w:kinsoku/>
        <w:wordWrap/>
        <w:overflowPunct/>
        <w:topLinePunct w:val="0"/>
        <w:autoSpaceDE/>
        <w:autoSpaceDN/>
        <w:bidi w:val="0"/>
        <w:adjustRightInd/>
        <w:spacing w:line="360" w:lineRule="auto"/>
        <w:ind w:left="0" w:leftChars="0" w:firstLine="0" w:firstLineChars="0"/>
        <w:textAlignment w:val="auto"/>
        <w:rPr>
          <w:rFonts w:hint="default"/>
          <w:color w:val="auto"/>
          <w:sz w:val="24"/>
          <w:szCs w:val="24"/>
          <w:lang w:val="en-US" w:eastAsia="zh-CN"/>
        </w:rPr>
      </w:pPr>
      <w:r>
        <w:rPr>
          <w:rFonts w:hint="eastAsia"/>
          <w:color w:val="auto"/>
          <w:sz w:val="24"/>
          <w:szCs w:val="24"/>
          <w:lang w:val="en-US" w:eastAsia="zh-CN"/>
        </w:rPr>
        <w:t>9、基金监管协议。</w:t>
      </w:r>
    </w:p>
    <w:p>
      <w:pPr>
        <w:pStyle w:val="2"/>
        <w:numPr>
          <w:ilvl w:val="0"/>
          <w:numId w:val="0"/>
        </w:numPr>
        <w:rPr>
          <w:rFonts w:hint="eastAsia"/>
          <w:color w:val="000000" w:themeColor="text1"/>
          <w:sz w:val="24"/>
          <w:szCs w:val="24"/>
          <w:lang w:val="en-US" w:eastAsia="zh-CN"/>
          <w14:textFill>
            <w14:solidFill>
              <w14:schemeClr w14:val="tx1"/>
            </w14:solidFill>
          </w14:textFill>
        </w:rPr>
      </w:pPr>
      <w:r>
        <w:drawing>
          <wp:inline distT="0" distB="0" distL="114300" distR="114300">
            <wp:extent cx="5272405" cy="7190740"/>
            <wp:effectExtent l="0" t="0" r="4445" b="1016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44"/>
                    <a:stretch>
                      <a:fillRect/>
                    </a:stretch>
                  </pic:blipFill>
                  <pic:spPr>
                    <a:xfrm>
                      <a:off x="0" y="0"/>
                      <a:ext cx="5272405" cy="7190740"/>
                    </a:xfrm>
                    <a:prstGeom prst="rect">
                      <a:avLst/>
                    </a:prstGeom>
                    <a:noFill/>
                    <a:ln>
                      <a:noFill/>
                    </a:ln>
                  </pic:spPr>
                </pic:pic>
              </a:graphicData>
            </a:graphic>
          </wp:inline>
        </w:drawing>
      </w:r>
      <w:r>
        <w:drawing>
          <wp:inline distT="0" distB="0" distL="114300" distR="114300">
            <wp:extent cx="5273040" cy="7082155"/>
            <wp:effectExtent l="0" t="0" r="3810" b="444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45"/>
                    <a:stretch>
                      <a:fillRect/>
                    </a:stretch>
                  </pic:blipFill>
                  <pic:spPr>
                    <a:xfrm>
                      <a:off x="0" y="0"/>
                      <a:ext cx="5273040" cy="7082155"/>
                    </a:xfrm>
                    <a:prstGeom prst="rect">
                      <a:avLst/>
                    </a:prstGeom>
                    <a:noFill/>
                    <a:ln>
                      <a:noFill/>
                    </a:ln>
                  </pic:spPr>
                </pic:pic>
              </a:graphicData>
            </a:graphic>
          </wp:inline>
        </w:drawing>
      </w:r>
      <w:r>
        <w:drawing>
          <wp:inline distT="0" distB="0" distL="114300" distR="114300">
            <wp:extent cx="5269865" cy="7284720"/>
            <wp:effectExtent l="0" t="0" r="6985" b="1143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46"/>
                    <a:stretch>
                      <a:fillRect/>
                    </a:stretch>
                  </pic:blipFill>
                  <pic:spPr>
                    <a:xfrm>
                      <a:off x="0" y="0"/>
                      <a:ext cx="5269865" cy="7284720"/>
                    </a:xfrm>
                    <a:prstGeom prst="rect">
                      <a:avLst/>
                    </a:prstGeom>
                    <a:noFill/>
                    <a:ln>
                      <a:noFill/>
                    </a:ln>
                  </pic:spPr>
                </pic:pic>
              </a:graphicData>
            </a:graphic>
          </wp:inline>
        </w:drawing>
      </w:r>
    </w:p>
    <w:p>
      <w:pPr>
        <w:pStyle w:val="2"/>
        <w:numPr>
          <w:ilvl w:val="0"/>
          <w:numId w:val="0"/>
        </w:numPr>
        <w:ind w:leftChars="0"/>
        <w:rPr>
          <w:rFonts w:hint="eastAsia"/>
          <w:color w:val="FF0000"/>
          <w:sz w:val="24"/>
          <w:szCs w:val="24"/>
          <w:lang w:val="en-US" w:eastAsia="zh-CN"/>
        </w:rPr>
      </w:pPr>
      <w:r>
        <w:drawing>
          <wp:inline distT="0" distB="0" distL="114300" distR="114300">
            <wp:extent cx="5269865" cy="7473950"/>
            <wp:effectExtent l="0" t="0" r="6985" b="12700"/>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47"/>
                    <a:stretch>
                      <a:fillRect/>
                    </a:stretch>
                  </pic:blipFill>
                  <pic:spPr>
                    <a:xfrm>
                      <a:off x="0" y="0"/>
                      <a:ext cx="5269865" cy="7473950"/>
                    </a:xfrm>
                    <a:prstGeom prst="rect">
                      <a:avLst/>
                    </a:prstGeom>
                    <a:noFill/>
                    <a:ln>
                      <a:noFill/>
                    </a:ln>
                  </pic:spPr>
                </pic:pic>
              </a:graphicData>
            </a:graphic>
          </wp:inline>
        </w:drawing>
      </w:r>
      <w:r>
        <w:drawing>
          <wp:inline distT="0" distB="0" distL="114300" distR="114300">
            <wp:extent cx="5269865" cy="7395210"/>
            <wp:effectExtent l="0" t="0" r="6985" b="1524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48"/>
                    <a:stretch>
                      <a:fillRect/>
                    </a:stretch>
                  </pic:blipFill>
                  <pic:spPr>
                    <a:xfrm>
                      <a:off x="0" y="0"/>
                      <a:ext cx="5269865" cy="7395210"/>
                    </a:xfrm>
                    <a:prstGeom prst="rect">
                      <a:avLst/>
                    </a:prstGeom>
                    <a:noFill/>
                    <a:ln>
                      <a:noFill/>
                    </a:ln>
                  </pic:spPr>
                </pic:pic>
              </a:graphicData>
            </a:graphic>
          </wp:inline>
        </w:drawing>
      </w:r>
      <w:r>
        <w:drawing>
          <wp:inline distT="0" distB="0" distL="114300" distR="114300">
            <wp:extent cx="5272405" cy="7106920"/>
            <wp:effectExtent l="0" t="0" r="4445" b="17780"/>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49"/>
                    <a:stretch>
                      <a:fillRect/>
                    </a:stretch>
                  </pic:blipFill>
                  <pic:spPr>
                    <a:xfrm>
                      <a:off x="0" y="0"/>
                      <a:ext cx="5272405" cy="7106920"/>
                    </a:xfrm>
                    <a:prstGeom prst="rect">
                      <a:avLst/>
                    </a:prstGeom>
                    <a:noFill/>
                    <a:ln>
                      <a:noFill/>
                    </a:ln>
                  </pic:spPr>
                </pic:pic>
              </a:graphicData>
            </a:graphic>
          </wp:inline>
        </w:drawing>
      </w:r>
      <w:r>
        <w:drawing>
          <wp:inline distT="0" distB="0" distL="114300" distR="114300">
            <wp:extent cx="5269865" cy="7422515"/>
            <wp:effectExtent l="0" t="0" r="6985" b="6985"/>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50"/>
                    <a:stretch>
                      <a:fillRect/>
                    </a:stretch>
                  </pic:blipFill>
                  <pic:spPr>
                    <a:xfrm>
                      <a:off x="0" y="0"/>
                      <a:ext cx="5269865" cy="7422515"/>
                    </a:xfrm>
                    <a:prstGeom prst="rect">
                      <a:avLst/>
                    </a:prstGeom>
                    <a:noFill/>
                    <a:ln>
                      <a:noFill/>
                    </a:ln>
                  </pic:spPr>
                </pic:pic>
              </a:graphicData>
            </a:graphic>
          </wp:inline>
        </w:drawing>
      </w:r>
    </w:p>
    <w:p>
      <w:pPr>
        <w:pStyle w:val="2"/>
        <w:ind w:left="0" w:leftChars="0" w:firstLine="0" w:firstLineChars="0"/>
        <w:rPr>
          <w:rFonts w:hint="eastAsia" w:eastAsia="宋体"/>
          <w:lang w:eastAsia="zh-CN"/>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rPr>
        <w:rFonts w:ascii="Times New Roman" w:hAnsi="Times New Roman" w:eastAsia="Times New Roman" w:cs="Times New Roman"/>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5FtZAzAgAAYw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5FtZAzAgAAYw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8F576F"/>
    <w:multiLevelType w:val="singleLevel"/>
    <w:tmpl w:val="888F576F"/>
    <w:lvl w:ilvl="0" w:tentative="0">
      <w:start w:val="2"/>
      <w:numFmt w:val="decimal"/>
      <w:suff w:val="nothing"/>
      <w:lvlText w:val="（%1）"/>
      <w:lvlJc w:val="left"/>
    </w:lvl>
  </w:abstractNum>
  <w:abstractNum w:abstractNumId="1">
    <w:nsid w:val="A393E170"/>
    <w:multiLevelType w:val="singleLevel"/>
    <w:tmpl w:val="A393E170"/>
    <w:lvl w:ilvl="0" w:tentative="0">
      <w:start w:val="6"/>
      <w:numFmt w:val="chineseCounting"/>
      <w:suff w:val="nothing"/>
      <w:lvlText w:val="%1、"/>
      <w:lvlJc w:val="left"/>
      <w:rPr>
        <w:rFonts w:hint="eastAsia"/>
      </w:rPr>
    </w:lvl>
  </w:abstractNum>
  <w:abstractNum w:abstractNumId="2">
    <w:nsid w:val="08B241F0"/>
    <w:multiLevelType w:val="singleLevel"/>
    <w:tmpl w:val="08B241F0"/>
    <w:lvl w:ilvl="0" w:tentative="0">
      <w:start w:val="1"/>
      <w:numFmt w:val="chineseCounting"/>
      <w:suff w:val="nothing"/>
      <w:lvlText w:val="（%1）"/>
      <w:lvlJc w:val="left"/>
      <w:rPr>
        <w:rFonts w:hint="eastAsia"/>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4"/>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ViYTAxMDBmYzhjN2Y3OWUwNmU5MDUwMWEyMWIyMjAifQ=="/>
  </w:docVars>
  <w:rsids>
    <w:rsidRoot w:val="04760095"/>
    <w:rsid w:val="04760095"/>
    <w:rsid w:val="064109F4"/>
    <w:rsid w:val="07927268"/>
    <w:rsid w:val="0A6343D0"/>
    <w:rsid w:val="0E3405A1"/>
    <w:rsid w:val="0E643BC1"/>
    <w:rsid w:val="112E5787"/>
    <w:rsid w:val="11482069"/>
    <w:rsid w:val="15DB393A"/>
    <w:rsid w:val="17103EC7"/>
    <w:rsid w:val="19050128"/>
    <w:rsid w:val="1DFE7E5C"/>
    <w:rsid w:val="1F941804"/>
    <w:rsid w:val="1FD94CCD"/>
    <w:rsid w:val="255766FF"/>
    <w:rsid w:val="27BF6BD1"/>
    <w:rsid w:val="30A861B7"/>
    <w:rsid w:val="350839AA"/>
    <w:rsid w:val="38F40140"/>
    <w:rsid w:val="3933264B"/>
    <w:rsid w:val="3B293484"/>
    <w:rsid w:val="3D9F7A2D"/>
    <w:rsid w:val="3F3657E7"/>
    <w:rsid w:val="434370AD"/>
    <w:rsid w:val="45B843FC"/>
    <w:rsid w:val="4AE01B99"/>
    <w:rsid w:val="4DE02280"/>
    <w:rsid w:val="51B26807"/>
    <w:rsid w:val="53112BC3"/>
    <w:rsid w:val="542A5405"/>
    <w:rsid w:val="547D49D8"/>
    <w:rsid w:val="5666005F"/>
    <w:rsid w:val="5BBA4501"/>
    <w:rsid w:val="5EC8025E"/>
    <w:rsid w:val="693C05BD"/>
    <w:rsid w:val="6FB93053"/>
    <w:rsid w:val="6FB94949"/>
    <w:rsid w:val="7BAE32CE"/>
    <w:rsid w:val="7ED212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562"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qFormat/>
    <w:uiPriority w:val="0"/>
    <w:pPr>
      <w:keepNext/>
      <w:keepLines/>
      <w:spacing w:beforeLines="0" w:beforeAutospacing="0" w:afterLines="0" w:afterAutospacing="0" w:line="576" w:lineRule="auto"/>
      <w:ind w:firstLine="0" w:firstLineChars="0"/>
      <w:outlineLvl w:val="0"/>
    </w:pPr>
    <w:rPr>
      <w:rFonts w:ascii="Times New Roman" w:hAnsi="Times New Roman" w:eastAsia="宋体"/>
      <w:b/>
      <w:kern w:val="44"/>
      <w:sz w:val="28"/>
    </w:rPr>
  </w:style>
  <w:style w:type="paragraph" w:styleId="4">
    <w:name w:val="heading 2"/>
    <w:basedOn w:val="1"/>
    <w:next w:val="1"/>
    <w:unhideWhenUsed/>
    <w:qFormat/>
    <w:uiPriority w:val="0"/>
    <w:pPr>
      <w:keepNext/>
      <w:keepLines/>
      <w:spacing w:beforeLines="0" w:beforeAutospacing="0" w:afterLines="0" w:afterAutospacing="0" w:line="413" w:lineRule="auto"/>
      <w:ind w:firstLine="562" w:firstLineChars="200"/>
      <w:outlineLvl w:val="1"/>
    </w:pPr>
    <w:rPr>
      <w:rFonts w:ascii="Times New Roman" w:hAnsi="Times New Roman" w:eastAsia="宋体"/>
      <w:b/>
    </w:rPr>
  </w:style>
  <w:style w:type="paragraph" w:styleId="5">
    <w:name w:val="heading 3"/>
    <w:basedOn w:val="1"/>
    <w:next w:val="1"/>
    <w:unhideWhenUsed/>
    <w:qFormat/>
    <w:uiPriority w:val="0"/>
    <w:pPr>
      <w:keepNext/>
      <w:keepLines/>
      <w:spacing w:beforeLines="0" w:beforeAutospacing="0" w:afterLines="0" w:afterAutospacing="0" w:line="360" w:lineRule="auto"/>
      <w:outlineLvl w:val="2"/>
    </w:pPr>
    <w:rPr>
      <w:rFonts w:ascii="Times New Roman" w:hAnsi="Times New Roman" w:eastAsia="宋体"/>
      <w:b/>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2">
    <w:name w:val="Plain Text"/>
    <w:basedOn w:val="1"/>
    <w:qFormat/>
    <w:uiPriority w:val="0"/>
    <w:rPr>
      <w:rFonts w:ascii="宋体" w:hAnsi="Courier New" w:cs="Courier New"/>
      <w:color w:val="auto"/>
      <w:szCs w:val="21"/>
    </w:rPr>
  </w:style>
  <w:style w:type="paragraph" w:styleId="6">
    <w:name w:val="Body Text"/>
    <w:basedOn w:val="1"/>
    <w:qFormat/>
    <w:uiPriority w:val="0"/>
    <w:pPr>
      <w:ind w:right="-260" w:rightChars="-93"/>
      <w:jc w:val="left"/>
    </w:pPr>
    <w:rPr>
      <w:rFonts w:ascii="宋体" w:hAnsi="宋体"/>
    </w:rPr>
  </w:style>
  <w:style w:type="paragraph" w:styleId="7">
    <w:name w:val="Body Text Indent"/>
    <w:basedOn w:val="1"/>
    <w:qFormat/>
    <w:uiPriority w:val="0"/>
    <w:pPr>
      <w:spacing w:after="120" w:afterLines="0" w:afterAutospacing="0"/>
      <w:ind w:left="420" w:leftChars="2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Body Text 2"/>
    <w:basedOn w:val="1"/>
    <w:qFormat/>
    <w:uiPriority w:val="0"/>
    <w:pPr>
      <w:jc w:val="left"/>
    </w:pPr>
  </w:style>
  <w:style w:type="paragraph" w:styleId="12">
    <w:name w:val="Body Text First Indent"/>
    <w:basedOn w:val="6"/>
    <w:qFormat/>
    <w:uiPriority w:val="0"/>
    <w:pPr>
      <w:spacing w:after="120"/>
      <w:ind w:right="0" w:rightChars="0" w:firstLine="420" w:firstLineChars="100"/>
      <w:jc w:val="both"/>
    </w:pPr>
    <w:rPr>
      <w:rFonts w:ascii="Times New Roman" w:hAnsi="Times New Roman"/>
    </w:rPr>
  </w:style>
  <w:style w:type="paragraph" w:styleId="13">
    <w:name w:val="Body Text First Indent 2"/>
    <w:basedOn w:val="7"/>
    <w:next w:val="12"/>
    <w:qFormat/>
    <w:uiPriority w:val="0"/>
    <w:pPr>
      <w:ind w:firstLine="420" w:firstLineChars="200"/>
    </w:p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
    <w:name w:val="Table Normal"/>
    <w:semiHidden/>
    <w:unhideWhenUsed/>
    <w:qFormat/>
    <w:uiPriority w:val="0"/>
    <w:tblPr>
      <w:tblCellMar>
        <w:top w:w="0" w:type="dxa"/>
        <w:left w:w="0" w:type="dxa"/>
        <w:bottom w:w="0" w:type="dxa"/>
        <w:right w:w="0" w:type="dxa"/>
      </w:tblCellMar>
    </w:tblPr>
  </w:style>
  <w:style w:type="paragraph" w:customStyle="1" w:styleId="18">
    <w:name w:val="样式 首行缩进:  2 字符"/>
    <w:basedOn w:val="1"/>
    <w:qFormat/>
    <w:uiPriority w:val="0"/>
    <w:pPr>
      <w:wordWrap w:val="0"/>
      <w:spacing w:line="360" w:lineRule="auto"/>
      <w:jc w:val="left"/>
    </w:pPr>
    <w:rPr>
      <w:rFonts w:ascii="宋体" w:hAnsi="宋体"/>
      <w:bCs/>
      <w:kern w:val="24"/>
      <w:sz w:val="24"/>
    </w:rPr>
  </w:style>
  <w:style w:type="paragraph" w:customStyle="1" w:styleId="19">
    <w:name w:val="WPSOffice手动目录 1"/>
    <w:qFormat/>
    <w:uiPriority w:val="0"/>
    <w:pPr>
      <w:ind w:leftChars="0"/>
    </w:pPr>
    <w:rPr>
      <w:rFonts w:asciiTheme="minorHAnsi" w:hAnsiTheme="minorHAnsi" w:eastAsiaTheme="minorEastAsia" w:cstheme="minorBidi"/>
      <w:sz w:val="20"/>
      <w:szCs w:val="20"/>
    </w:rPr>
  </w:style>
  <w:style w:type="character" w:customStyle="1" w:styleId="20">
    <w:name w:val="font21"/>
    <w:basedOn w:val="16"/>
    <w:qFormat/>
    <w:uiPriority w:val="0"/>
    <w:rPr>
      <w:rFonts w:hint="eastAsia" w:ascii="宋体" w:hAnsi="宋体" w:eastAsia="宋体" w:cs="宋体"/>
      <w:color w:val="000000"/>
      <w:sz w:val="24"/>
      <w:szCs w:val="24"/>
      <w:u w:val="none"/>
    </w:rPr>
  </w:style>
  <w:style w:type="character" w:customStyle="1" w:styleId="21">
    <w:name w:val="font01"/>
    <w:basedOn w:val="16"/>
    <w:qFormat/>
    <w:uiPriority w:val="0"/>
    <w:rPr>
      <w:rFonts w:hint="default" w:ascii="Times New Roman" w:hAnsi="Times New Roman" w:cs="Times New Roman"/>
      <w:color w:val="000000"/>
      <w:sz w:val="24"/>
      <w:szCs w:val="24"/>
      <w:u w:val="none"/>
    </w:rPr>
  </w:style>
  <w:style w:type="paragraph" w:customStyle="1" w:styleId="22">
    <w:name w:val="表名和图名"/>
    <w:basedOn w:val="1"/>
    <w:qFormat/>
    <w:uiPriority w:val="0"/>
    <w:pPr>
      <w:ind w:firstLine="0" w:firstLineChars="0"/>
      <w:jc w:val="center"/>
    </w:pPr>
    <w:rPr>
      <w:rFonts w:eastAsia="黑体" w:cs="宋体"/>
      <w:sz w:val="21"/>
      <w:szCs w:val="21"/>
    </w:rPr>
  </w:style>
  <w:style w:type="character" w:customStyle="1" w:styleId="23">
    <w:name w:val="font31"/>
    <w:basedOn w:val="16"/>
    <w:qFormat/>
    <w:uiPriority w:val="0"/>
    <w:rPr>
      <w:rFonts w:hint="default" w:ascii="Times New Roman" w:hAnsi="Times New Roman" w:cs="Times New Roman"/>
      <w:color w:val="FF0000"/>
      <w:sz w:val="24"/>
      <w:szCs w:val="24"/>
      <w:u w:val="none"/>
      <w:vertAlign w:val="superscript"/>
    </w:rPr>
  </w:style>
  <w:style w:type="character" w:customStyle="1" w:styleId="24">
    <w:name w:val="font11"/>
    <w:basedOn w:val="16"/>
    <w:qFormat/>
    <w:uiPriority w:val="0"/>
    <w:rPr>
      <w:rFonts w:hint="default" w:ascii="Times New Roman" w:hAnsi="Times New Roman" w:cs="Times New Roman"/>
      <w:color w:val="FF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3" Type="http://schemas.openxmlformats.org/officeDocument/2006/relationships/fontTable" Target="fontTable.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jpe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66</Pages>
  <Words>18376</Words>
  <Characters>21186</Characters>
  <Lines>0</Lines>
  <Paragraphs>0</Paragraphs>
  <TotalTime>3</TotalTime>
  <ScaleCrop>false</ScaleCrop>
  <LinksUpToDate>false</LinksUpToDate>
  <CharactersWithSpaces>21399</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2023-04-03T07:44:00Z</dcterms:created>
  <dc:creator>大宝</dc:creator>
  <cp:lastModifiedBy>大宝</cp:lastModifiedBy>
  <dcterms:modified xsi:type="dcterms:W3CDTF">2023-04-29T15:39:15Z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B1783D35FDE2496EA5A2986EED1F9759</vt:lpwstr>
  </property>
</Properties>
</file>