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方正小标宋简体" w:eastAsia="方正小标宋简体"/>
          <w:szCs w:val="32"/>
        </w:rPr>
      </w:pPr>
      <w:bookmarkStart w:id="0" w:name="_Hlk79519682"/>
      <w:bookmarkStart w:id="217" w:name="_GoBack"/>
    </w:p>
    <w:p>
      <w:pPr>
        <w:ind w:firstLine="0" w:firstLineChars="0"/>
        <w:rPr>
          <w:rFonts w:ascii="方正小标宋简体" w:eastAsia="方正小标宋简体"/>
          <w:szCs w:val="32"/>
        </w:rPr>
      </w:pPr>
    </w:p>
    <w:p>
      <w:pPr>
        <w:ind w:firstLine="0" w:firstLineChars="0"/>
        <w:rPr>
          <w:rFonts w:ascii="方正小标宋简体" w:eastAsia="方正小标宋简体"/>
          <w:szCs w:val="32"/>
        </w:rPr>
      </w:pPr>
    </w:p>
    <w:p>
      <w:pPr>
        <w:overflowPunct/>
        <w:topLinePunct w:val="0"/>
        <w:autoSpaceDE/>
        <w:autoSpaceDN/>
        <w:adjustRightInd w:val="0"/>
        <w:snapToGrid w:val="0"/>
        <w:spacing w:line="240" w:lineRule="auto"/>
        <w:ind w:firstLine="0" w:firstLineChars="0"/>
        <w:jc w:val="center"/>
        <w:rPr>
          <w:rFonts w:ascii="方正小标宋简体" w:eastAsia="方正小标宋简体" w:cs="Arial"/>
          <w:sz w:val="48"/>
          <w:szCs w:val="48"/>
        </w:rPr>
      </w:pPr>
      <w:bookmarkStart w:id="1" w:name="_Hlk59114914"/>
      <w:bookmarkStart w:id="2" w:name="_Hlk56896879"/>
      <w:r>
        <w:rPr>
          <w:rFonts w:hint="eastAsia" w:ascii="方正小标宋简体" w:eastAsia="方正小标宋简体" w:cs="Arial"/>
          <w:sz w:val="48"/>
          <w:szCs w:val="48"/>
        </w:rPr>
        <w:t>西咸新区教育事业发展“十四五”规划</w:t>
      </w:r>
    </w:p>
    <w:p>
      <w:pPr>
        <w:overflowPunct/>
        <w:topLinePunct w:val="0"/>
        <w:autoSpaceDE/>
        <w:autoSpaceDN/>
        <w:ind w:firstLine="0" w:firstLineChars="0"/>
        <w:jc w:val="center"/>
        <w:rPr>
          <w:rFonts w:eastAsia="楷体_GB2312"/>
          <w:sz w:val="36"/>
          <w:szCs w:val="36"/>
        </w:rPr>
      </w:pPr>
    </w:p>
    <w:bookmarkEnd w:id="1"/>
    <w:p>
      <w:pPr>
        <w:ind w:firstLine="0" w:firstLineChars="0"/>
        <w:jc w:val="center"/>
        <w:rPr>
          <w:rFonts w:ascii="楷体_GB2312" w:eastAsia="楷体_GB2312"/>
          <w:szCs w:val="32"/>
        </w:rPr>
      </w:pPr>
    </w:p>
    <w:p>
      <w:pPr>
        <w:overflowPunct/>
        <w:topLinePunct w:val="0"/>
        <w:autoSpaceDE/>
        <w:autoSpaceDN/>
        <w:ind w:firstLine="0" w:firstLineChars="0"/>
        <w:jc w:val="center"/>
        <w:rPr>
          <w:rFonts w:ascii="方正小标宋简体" w:eastAsia="方正小标宋简体"/>
          <w:szCs w:val="32"/>
        </w:rPr>
      </w:pPr>
    </w:p>
    <w:p>
      <w:pPr>
        <w:ind w:firstLine="0" w:firstLineChars="0"/>
        <w:jc w:val="center"/>
        <w:rPr>
          <w:rFonts w:ascii="方正小标宋简体" w:eastAsia="方正小标宋简体"/>
          <w:szCs w:val="32"/>
        </w:rPr>
      </w:pPr>
    </w:p>
    <w:p>
      <w:pPr>
        <w:ind w:firstLine="0" w:firstLineChars="0"/>
        <w:jc w:val="center"/>
        <w:rPr>
          <w:rFonts w:ascii="方正小标宋简体" w:eastAsia="方正小标宋简体"/>
          <w:szCs w:val="32"/>
        </w:rPr>
      </w:pPr>
    </w:p>
    <w:p>
      <w:pPr>
        <w:ind w:firstLine="0" w:firstLineChars="0"/>
        <w:jc w:val="center"/>
        <w:rPr>
          <w:rFonts w:ascii="方正小标宋简体" w:eastAsia="方正小标宋简体"/>
          <w:szCs w:val="32"/>
        </w:rPr>
      </w:pPr>
    </w:p>
    <w:p>
      <w:pPr>
        <w:ind w:firstLine="0" w:firstLineChars="0"/>
        <w:jc w:val="center"/>
        <w:rPr>
          <w:rFonts w:ascii="方正小标宋简体" w:eastAsia="方正小标宋简体"/>
          <w:szCs w:val="32"/>
        </w:rPr>
      </w:pPr>
    </w:p>
    <w:p>
      <w:pPr>
        <w:ind w:firstLine="0" w:firstLineChars="0"/>
        <w:jc w:val="center"/>
        <w:rPr>
          <w:rFonts w:ascii="方正小标宋简体" w:eastAsia="方正小标宋简体"/>
          <w:szCs w:val="32"/>
        </w:rPr>
      </w:pPr>
    </w:p>
    <w:p>
      <w:pPr>
        <w:ind w:firstLine="0" w:firstLineChars="0"/>
        <w:jc w:val="center"/>
        <w:rPr>
          <w:rFonts w:ascii="方正小标宋简体" w:eastAsia="方正小标宋简体"/>
          <w:szCs w:val="32"/>
        </w:rPr>
      </w:pPr>
    </w:p>
    <w:p>
      <w:pPr>
        <w:ind w:firstLine="0" w:firstLineChars="0"/>
        <w:jc w:val="center"/>
        <w:rPr>
          <w:rFonts w:ascii="方正小标宋简体" w:eastAsia="方正小标宋简体"/>
          <w:szCs w:val="32"/>
        </w:rPr>
      </w:pPr>
    </w:p>
    <w:p>
      <w:pPr>
        <w:ind w:firstLine="0" w:firstLineChars="0"/>
        <w:jc w:val="center"/>
        <w:rPr>
          <w:rFonts w:ascii="方正小标宋简体" w:eastAsia="方正小标宋简体"/>
          <w:szCs w:val="32"/>
        </w:rPr>
      </w:pPr>
    </w:p>
    <w:p>
      <w:pPr>
        <w:ind w:firstLine="0" w:firstLineChars="0"/>
        <w:jc w:val="center"/>
        <w:rPr>
          <w:rFonts w:ascii="方正小标宋简体" w:eastAsia="方正小标宋简体"/>
          <w:szCs w:val="32"/>
        </w:rPr>
      </w:pPr>
    </w:p>
    <w:p>
      <w:pPr>
        <w:ind w:firstLine="0" w:firstLineChars="0"/>
        <w:jc w:val="center"/>
        <w:rPr>
          <w:rFonts w:ascii="方正小标宋简体" w:eastAsia="方正小标宋简体"/>
          <w:szCs w:val="32"/>
        </w:rPr>
      </w:pPr>
    </w:p>
    <w:p>
      <w:pPr>
        <w:ind w:firstLine="0" w:firstLineChars="0"/>
        <w:jc w:val="center"/>
        <w:rPr>
          <w:rFonts w:ascii="方正小标宋简体" w:eastAsia="方正小标宋简体"/>
          <w:szCs w:val="32"/>
        </w:rPr>
      </w:pPr>
    </w:p>
    <w:p>
      <w:pPr>
        <w:ind w:firstLine="0" w:firstLineChars="0"/>
        <w:jc w:val="center"/>
        <w:rPr>
          <w:rFonts w:ascii="方正小标宋简体" w:eastAsia="方正小标宋简体"/>
          <w:szCs w:val="32"/>
        </w:rPr>
      </w:pPr>
    </w:p>
    <w:bookmarkEnd w:id="2"/>
    <w:p>
      <w:pPr>
        <w:widowControl/>
        <w:ind w:firstLine="0" w:firstLineChars="0"/>
        <w:jc w:val="left"/>
        <w:rPr>
          <w:szCs w:val="32"/>
        </w:rPr>
      </w:pPr>
    </w:p>
    <w:p>
      <w:pPr>
        <w:ind w:firstLine="0" w:firstLineChars="0"/>
        <w:rPr>
          <w:rFonts w:ascii="黑体" w:eastAsia="黑体"/>
          <w:szCs w:val="32"/>
        </w:rPr>
        <w:sectPr>
          <w:headerReference r:id="rId7" w:type="first"/>
          <w:headerReference r:id="rId5" w:type="default"/>
          <w:headerReference r:id="rId6" w:type="even"/>
          <w:footerReference r:id="rId8" w:type="even"/>
          <w:pgSz w:w="11906" w:h="16838"/>
          <w:pgMar w:top="1440" w:right="1800" w:bottom="1440" w:left="1800" w:header="1417" w:footer="992" w:gutter="0"/>
          <w:pgNumType w:fmt="numberInDash" w:chapStyle="1"/>
          <w:cols w:space="720" w:num="1"/>
          <w:docGrid w:type="lines" w:linePitch="435" w:charSpace="0"/>
        </w:sectPr>
      </w:pPr>
    </w:p>
    <w:p>
      <w:pPr>
        <w:ind w:firstLine="0" w:firstLineChars="0"/>
        <w:rPr>
          <w:rFonts w:ascii="黑体" w:eastAsia="黑体"/>
          <w:szCs w:val="32"/>
        </w:rPr>
        <w:sectPr>
          <w:headerReference r:id="rId9" w:type="first"/>
          <w:footerReference r:id="rId10" w:type="default"/>
          <w:footerReference r:id="rId11" w:type="even"/>
          <w:pgSz w:w="11906" w:h="16838"/>
          <w:pgMar w:top="1440" w:right="1800" w:bottom="1440" w:left="1800" w:header="851" w:footer="992" w:gutter="0"/>
          <w:pgNumType w:fmt="numberInDash" w:chapStyle="1"/>
          <w:cols w:space="720" w:num="1"/>
          <w:docGrid w:type="lines" w:linePitch="435" w:charSpace="0"/>
        </w:sectPr>
      </w:pPr>
    </w:p>
    <w:sdt>
      <w:sdtPr>
        <w:rPr>
          <w:rFonts w:ascii="Times New Roman" w:hAnsi="Times New Roman" w:eastAsia="仿宋_GB2312"/>
          <w:color w:val="auto"/>
          <w:kern w:val="2"/>
          <w:szCs w:val="22"/>
          <w:lang w:val="zh-CN"/>
        </w:rPr>
        <w:id w:val="-1409459223"/>
        <w:docPartObj>
          <w:docPartGallery w:val="Table of Contents"/>
          <w:docPartUnique/>
        </w:docPartObj>
      </w:sdtPr>
      <w:sdtEndPr>
        <w:rPr>
          <w:rFonts w:ascii="Times New Roman" w:hAnsi="Times New Roman" w:eastAsia="仿宋_GB2312"/>
          <w:b/>
          <w:bCs/>
          <w:color w:val="auto"/>
          <w:kern w:val="2"/>
          <w:szCs w:val="22"/>
          <w:lang w:val="zh-CN"/>
        </w:rPr>
      </w:sdtEndPr>
      <w:sdtContent>
        <w:p>
          <w:pPr>
            <w:pStyle w:val="40"/>
            <w:ind w:firstLine="640" w:firstLineChars="200"/>
            <w:jc w:val="center"/>
            <w:rPr>
              <w:rFonts w:ascii="方正小标宋简体" w:eastAsia="方正小标宋简体"/>
              <w:color w:val="auto"/>
            </w:rPr>
          </w:pPr>
          <w:r>
            <w:rPr>
              <w:rFonts w:hint="eastAsia" w:ascii="方正小标宋简体" w:eastAsia="方正小标宋简体"/>
              <w:color w:val="auto"/>
              <w:lang w:val="zh-CN"/>
            </w:rPr>
            <w:t>目    录</w:t>
          </w:r>
        </w:p>
        <w:p>
          <w:pPr>
            <w:pStyle w:val="16"/>
            <w:jc w:val="right"/>
            <w:rPr>
              <w:rFonts w:ascii="等线" w:eastAsia="等线" w:cs="Arial"/>
              <w:bCs w:val="0"/>
              <w:caps w:val="0"/>
              <w:smallCaps w:val="0"/>
              <w:sz w:val="21"/>
              <w:szCs w:val="22"/>
            </w:rPr>
          </w:pPr>
          <w:r>
            <w:fldChar w:fldCharType="begin"/>
          </w:r>
          <w:r>
            <w:instrText xml:space="preserve"> TOC \o "1-3" \h \z \u </w:instrText>
          </w:r>
          <w:r>
            <w:fldChar w:fldCharType="separate"/>
          </w:r>
          <w:r>
            <w:fldChar w:fldCharType="begin"/>
          </w:r>
          <w:r>
            <w:instrText xml:space="preserve">Hyperlink \l "_Toc130476054"</w:instrText>
          </w:r>
          <w:r>
            <w:fldChar w:fldCharType="separate"/>
          </w:r>
          <w:r>
            <w:t>一、发展基础</w:t>
          </w:r>
          <w:r>
            <w:tab/>
          </w:r>
          <w:r>
            <w:fldChar w:fldCharType="begin"/>
          </w:r>
          <w:r>
            <w:instrText xml:space="preserve"> PAGEREF _Toc130476054 \h </w:instrText>
          </w:r>
          <w:r>
            <w:fldChar w:fldCharType="separate"/>
          </w:r>
          <w:r>
            <w:t>1</w:t>
          </w:r>
          <w:r>
            <w:fldChar w:fldCharType="end"/>
          </w:r>
          <w:r>
            <w:fldChar w:fldCharType="end"/>
          </w:r>
        </w:p>
        <w:p>
          <w:pPr>
            <w:pStyle w:val="20"/>
            <w:jc w:val="right"/>
            <w:rPr>
              <w:rFonts w:ascii="等线" w:eastAsia="等线" w:cs="Arial"/>
              <w:caps w:val="0"/>
              <w:smallCaps w:val="0"/>
              <w:sz w:val="21"/>
              <w:szCs w:val="22"/>
            </w:rPr>
          </w:pPr>
          <w:r>
            <w:fldChar w:fldCharType="begin"/>
          </w:r>
          <w:r>
            <w:instrText xml:space="preserve">Hyperlink \l "_Toc130476055"</w:instrText>
          </w:r>
          <w:r>
            <w:fldChar w:fldCharType="separate"/>
          </w:r>
          <w:r>
            <w:t>（一）落实教育优先发展战略，教育事业迈上新台阶</w:t>
          </w:r>
          <w:r>
            <w:tab/>
          </w:r>
          <w:r>
            <w:fldChar w:fldCharType="begin"/>
          </w:r>
          <w:r>
            <w:instrText xml:space="preserve"> PAGEREF _Toc130476055 \h </w:instrText>
          </w:r>
          <w:r>
            <w:fldChar w:fldCharType="separate"/>
          </w:r>
          <w:r>
            <w:t>1</w:t>
          </w:r>
          <w:r>
            <w:fldChar w:fldCharType="end"/>
          </w:r>
          <w:r>
            <w:fldChar w:fldCharType="end"/>
          </w:r>
        </w:p>
        <w:p>
          <w:pPr>
            <w:pStyle w:val="20"/>
            <w:jc w:val="right"/>
            <w:rPr>
              <w:rFonts w:ascii="等线" w:eastAsia="等线" w:cs="Arial"/>
              <w:caps w:val="0"/>
              <w:smallCaps w:val="0"/>
              <w:sz w:val="21"/>
              <w:szCs w:val="22"/>
            </w:rPr>
          </w:pPr>
          <w:r>
            <w:fldChar w:fldCharType="begin"/>
          </w:r>
          <w:r>
            <w:instrText xml:space="preserve">Hyperlink \l "_Toc130476056"</w:instrText>
          </w:r>
          <w:r>
            <w:fldChar w:fldCharType="separate"/>
          </w:r>
          <w:r>
            <w:t>（二）落实立德树人根本任务，教育质量实现新跨越</w:t>
          </w:r>
          <w:r>
            <w:tab/>
          </w:r>
          <w:r>
            <w:fldChar w:fldCharType="begin"/>
          </w:r>
          <w:r>
            <w:instrText xml:space="preserve"> PAGEREF _Toc130476056 \h </w:instrText>
          </w:r>
          <w:r>
            <w:fldChar w:fldCharType="separate"/>
          </w:r>
          <w:r>
            <w:t>3</w:t>
          </w:r>
          <w:r>
            <w:fldChar w:fldCharType="end"/>
          </w:r>
          <w:r>
            <w:fldChar w:fldCharType="end"/>
          </w:r>
        </w:p>
        <w:p>
          <w:pPr>
            <w:pStyle w:val="20"/>
            <w:jc w:val="right"/>
            <w:rPr>
              <w:rFonts w:ascii="等线" w:eastAsia="等线" w:cs="Arial"/>
              <w:caps w:val="0"/>
              <w:smallCaps w:val="0"/>
              <w:sz w:val="21"/>
              <w:szCs w:val="22"/>
            </w:rPr>
          </w:pPr>
          <w:r>
            <w:fldChar w:fldCharType="begin"/>
          </w:r>
          <w:r>
            <w:instrText xml:space="preserve">Hyperlink \l "_Toc130476057"</w:instrText>
          </w:r>
          <w:r>
            <w:fldChar w:fldCharType="separate"/>
          </w:r>
          <w:r>
            <w:t>（三）围绕创新发展试验主题，教育改革赢得新突破</w:t>
          </w:r>
          <w:r>
            <w:tab/>
          </w:r>
          <w:r>
            <w:fldChar w:fldCharType="begin"/>
          </w:r>
          <w:r>
            <w:instrText xml:space="preserve"> PAGEREF _Toc130476057 \h </w:instrText>
          </w:r>
          <w:r>
            <w:fldChar w:fldCharType="separate"/>
          </w:r>
          <w:r>
            <w:t>5</w:t>
          </w:r>
          <w:r>
            <w:fldChar w:fldCharType="end"/>
          </w:r>
          <w:r>
            <w:fldChar w:fldCharType="end"/>
          </w:r>
        </w:p>
        <w:p>
          <w:pPr>
            <w:pStyle w:val="20"/>
            <w:jc w:val="right"/>
            <w:rPr>
              <w:rFonts w:ascii="等线" w:eastAsia="等线" w:cs="Arial"/>
              <w:caps w:val="0"/>
              <w:smallCaps w:val="0"/>
              <w:sz w:val="21"/>
              <w:szCs w:val="22"/>
            </w:rPr>
          </w:pPr>
          <w:r>
            <w:fldChar w:fldCharType="begin"/>
          </w:r>
          <w:r>
            <w:instrText xml:space="preserve">Hyperlink \l "_Toc130476058"</w:instrText>
          </w:r>
          <w:r>
            <w:fldChar w:fldCharType="separate"/>
          </w:r>
          <w:r>
            <w:t>（四）全面推进依法治教工作，教育管理取得新成效</w:t>
          </w:r>
          <w:r>
            <w:tab/>
          </w:r>
          <w:r>
            <w:fldChar w:fldCharType="begin"/>
          </w:r>
          <w:r>
            <w:instrText xml:space="preserve"> PAGEREF _Toc130476058 \h </w:instrText>
          </w:r>
          <w:r>
            <w:fldChar w:fldCharType="separate"/>
          </w:r>
          <w:r>
            <w:t>8</w:t>
          </w:r>
          <w:r>
            <w:fldChar w:fldCharType="end"/>
          </w:r>
          <w:r>
            <w:fldChar w:fldCharType="end"/>
          </w:r>
        </w:p>
        <w:p>
          <w:pPr>
            <w:pStyle w:val="16"/>
            <w:jc w:val="right"/>
            <w:rPr>
              <w:rFonts w:ascii="等线" w:eastAsia="等线" w:cs="Arial"/>
              <w:bCs w:val="0"/>
              <w:caps w:val="0"/>
              <w:smallCaps w:val="0"/>
              <w:sz w:val="21"/>
              <w:szCs w:val="22"/>
            </w:rPr>
          </w:pPr>
          <w:r>
            <w:fldChar w:fldCharType="begin"/>
          </w:r>
          <w:r>
            <w:instrText xml:space="preserve">Hyperlink \l "_Toc130476059"</w:instrText>
          </w:r>
          <w:r>
            <w:fldChar w:fldCharType="separate"/>
          </w:r>
          <w:r>
            <w:t>二、发展环境</w:t>
          </w:r>
          <w:r>
            <w:tab/>
          </w:r>
          <w:r>
            <w:fldChar w:fldCharType="begin"/>
          </w:r>
          <w:r>
            <w:instrText xml:space="preserve"> PAGEREF _Toc130476059 \h </w:instrText>
          </w:r>
          <w:r>
            <w:fldChar w:fldCharType="separate"/>
          </w:r>
          <w:r>
            <w:t>10</w:t>
          </w:r>
          <w:r>
            <w:fldChar w:fldCharType="end"/>
          </w:r>
          <w:r>
            <w:fldChar w:fldCharType="end"/>
          </w:r>
        </w:p>
        <w:p>
          <w:pPr>
            <w:pStyle w:val="20"/>
            <w:jc w:val="right"/>
            <w:rPr>
              <w:rFonts w:ascii="等线" w:eastAsia="等线" w:cs="Arial"/>
              <w:caps w:val="0"/>
              <w:smallCaps w:val="0"/>
              <w:sz w:val="21"/>
              <w:szCs w:val="22"/>
            </w:rPr>
          </w:pPr>
          <w:r>
            <w:fldChar w:fldCharType="begin"/>
          </w:r>
          <w:r>
            <w:instrText xml:space="preserve">Hyperlink \l "_Toc130476060"</w:instrText>
          </w:r>
          <w:r>
            <w:fldChar w:fldCharType="separate"/>
          </w:r>
          <w:r>
            <w:t>（一）发展机遇</w:t>
          </w:r>
          <w:r>
            <w:tab/>
          </w:r>
          <w:r>
            <w:fldChar w:fldCharType="begin"/>
          </w:r>
          <w:r>
            <w:instrText xml:space="preserve"> PAGEREF _Toc130476060 \h </w:instrText>
          </w:r>
          <w:r>
            <w:fldChar w:fldCharType="separate"/>
          </w:r>
          <w:r>
            <w:t>10</w:t>
          </w:r>
          <w:r>
            <w:fldChar w:fldCharType="end"/>
          </w:r>
          <w:r>
            <w:fldChar w:fldCharType="end"/>
          </w:r>
        </w:p>
        <w:p>
          <w:pPr>
            <w:pStyle w:val="20"/>
            <w:jc w:val="right"/>
            <w:rPr>
              <w:rFonts w:ascii="等线" w:eastAsia="等线" w:cs="Arial"/>
              <w:caps w:val="0"/>
              <w:smallCaps w:val="0"/>
              <w:sz w:val="21"/>
              <w:szCs w:val="22"/>
            </w:rPr>
          </w:pPr>
          <w:r>
            <w:fldChar w:fldCharType="begin"/>
          </w:r>
          <w:r>
            <w:instrText xml:space="preserve">Hyperlink \l "_Toc130476061"</w:instrText>
          </w:r>
          <w:r>
            <w:fldChar w:fldCharType="separate"/>
          </w:r>
          <w:r>
            <w:t>（二）面临挑战</w:t>
          </w:r>
          <w:r>
            <w:tab/>
          </w:r>
          <w:r>
            <w:fldChar w:fldCharType="begin"/>
          </w:r>
          <w:r>
            <w:instrText xml:space="preserve"> PAGEREF _Toc130476061 \h </w:instrText>
          </w:r>
          <w:r>
            <w:fldChar w:fldCharType="separate"/>
          </w:r>
          <w:r>
            <w:t>12</w:t>
          </w:r>
          <w:r>
            <w:fldChar w:fldCharType="end"/>
          </w:r>
          <w:r>
            <w:fldChar w:fldCharType="end"/>
          </w:r>
        </w:p>
        <w:p>
          <w:pPr>
            <w:pStyle w:val="16"/>
            <w:jc w:val="right"/>
            <w:rPr>
              <w:rFonts w:ascii="等线" w:eastAsia="等线" w:cs="Arial"/>
              <w:bCs w:val="0"/>
              <w:caps w:val="0"/>
              <w:smallCaps w:val="0"/>
              <w:sz w:val="21"/>
              <w:szCs w:val="22"/>
            </w:rPr>
          </w:pPr>
          <w:r>
            <w:fldChar w:fldCharType="begin"/>
          </w:r>
          <w:r>
            <w:instrText xml:space="preserve">Hyperlink \l "_Toc130476062"</w:instrText>
          </w:r>
          <w:r>
            <w:fldChar w:fldCharType="separate"/>
          </w:r>
          <w:r>
            <w:t>三、总体思路</w:t>
          </w:r>
          <w:r>
            <w:tab/>
          </w:r>
          <w:r>
            <w:fldChar w:fldCharType="begin"/>
          </w:r>
          <w:r>
            <w:instrText xml:space="preserve"> PAGEREF _Toc130476062 \h </w:instrText>
          </w:r>
          <w:r>
            <w:fldChar w:fldCharType="separate"/>
          </w:r>
          <w:r>
            <w:t>13</w:t>
          </w:r>
          <w:r>
            <w:fldChar w:fldCharType="end"/>
          </w:r>
          <w:r>
            <w:fldChar w:fldCharType="end"/>
          </w:r>
        </w:p>
        <w:p>
          <w:pPr>
            <w:pStyle w:val="20"/>
            <w:jc w:val="right"/>
            <w:rPr>
              <w:rFonts w:ascii="等线" w:eastAsia="等线" w:cs="Arial"/>
              <w:caps w:val="0"/>
              <w:smallCaps w:val="0"/>
              <w:sz w:val="21"/>
              <w:szCs w:val="22"/>
            </w:rPr>
          </w:pPr>
          <w:r>
            <w:fldChar w:fldCharType="begin"/>
          </w:r>
          <w:r>
            <w:instrText xml:space="preserve">Hyperlink \l "_Toc130476063"</w:instrText>
          </w:r>
          <w:r>
            <w:fldChar w:fldCharType="separate"/>
          </w:r>
          <w:r>
            <w:t>（一）指导思想</w:t>
          </w:r>
          <w:r>
            <w:tab/>
          </w:r>
          <w:r>
            <w:fldChar w:fldCharType="begin"/>
          </w:r>
          <w:r>
            <w:instrText xml:space="preserve"> PAGEREF _Toc130476063 \h </w:instrText>
          </w:r>
          <w:r>
            <w:fldChar w:fldCharType="separate"/>
          </w:r>
          <w:r>
            <w:t>13</w:t>
          </w:r>
          <w:r>
            <w:fldChar w:fldCharType="end"/>
          </w:r>
          <w:r>
            <w:fldChar w:fldCharType="end"/>
          </w:r>
        </w:p>
        <w:p>
          <w:pPr>
            <w:pStyle w:val="20"/>
            <w:jc w:val="right"/>
            <w:rPr>
              <w:rFonts w:ascii="等线" w:eastAsia="等线" w:cs="Arial"/>
              <w:caps w:val="0"/>
              <w:smallCaps w:val="0"/>
              <w:sz w:val="21"/>
              <w:szCs w:val="22"/>
            </w:rPr>
          </w:pPr>
          <w:r>
            <w:fldChar w:fldCharType="begin"/>
          </w:r>
          <w:r>
            <w:instrText xml:space="preserve">Hyperlink \l "_Toc130476064"</w:instrText>
          </w:r>
          <w:r>
            <w:fldChar w:fldCharType="separate"/>
          </w:r>
          <w:r>
            <w:t>（二）基本原则</w:t>
          </w:r>
          <w:r>
            <w:tab/>
          </w:r>
          <w:r>
            <w:fldChar w:fldCharType="begin"/>
          </w:r>
          <w:r>
            <w:instrText xml:space="preserve"> PAGEREF _Toc130476064 \h </w:instrText>
          </w:r>
          <w:r>
            <w:fldChar w:fldCharType="separate"/>
          </w:r>
          <w:r>
            <w:t>13</w:t>
          </w:r>
          <w:r>
            <w:fldChar w:fldCharType="end"/>
          </w:r>
          <w:r>
            <w:fldChar w:fldCharType="end"/>
          </w:r>
        </w:p>
        <w:p>
          <w:pPr>
            <w:pStyle w:val="20"/>
            <w:jc w:val="right"/>
            <w:rPr>
              <w:rFonts w:ascii="等线" w:eastAsia="等线" w:cs="Arial"/>
              <w:caps w:val="0"/>
              <w:smallCaps w:val="0"/>
              <w:sz w:val="21"/>
              <w:szCs w:val="22"/>
            </w:rPr>
          </w:pPr>
          <w:r>
            <w:fldChar w:fldCharType="begin"/>
          </w:r>
          <w:r>
            <w:instrText xml:space="preserve">Hyperlink \l "_Toc130476065"</w:instrText>
          </w:r>
          <w:r>
            <w:fldChar w:fldCharType="separate"/>
          </w:r>
          <w:r>
            <w:t>（三）发展目标</w:t>
          </w:r>
          <w:r>
            <w:tab/>
          </w:r>
          <w:r>
            <w:fldChar w:fldCharType="begin"/>
          </w:r>
          <w:r>
            <w:instrText xml:space="preserve"> PAGEREF _Toc130476065 \h </w:instrText>
          </w:r>
          <w:r>
            <w:fldChar w:fldCharType="separate"/>
          </w:r>
          <w:r>
            <w:t>14</w:t>
          </w:r>
          <w:r>
            <w:fldChar w:fldCharType="end"/>
          </w:r>
          <w:r>
            <w:fldChar w:fldCharType="end"/>
          </w:r>
        </w:p>
        <w:p>
          <w:pPr>
            <w:pStyle w:val="20"/>
            <w:jc w:val="right"/>
            <w:rPr>
              <w:rFonts w:ascii="等线" w:eastAsia="等线" w:cs="Arial"/>
              <w:caps w:val="0"/>
              <w:smallCaps w:val="0"/>
              <w:sz w:val="21"/>
              <w:szCs w:val="22"/>
            </w:rPr>
          </w:pPr>
          <w:r>
            <w:fldChar w:fldCharType="begin"/>
          </w:r>
          <w:r>
            <w:instrText xml:space="preserve">Hyperlink \l "_Toc130476066"</w:instrText>
          </w:r>
          <w:r>
            <w:fldChar w:fldCharType="separate"/>
          </w:r>
          <w:r>
            <w:t>（四）重点任务</w:t>
          </w:r>
          <w:r>
            <w:tab/>
          </w:r>
          <w:r>
            <w:fldChar w:fldCharType="begin"/>
          </w:r>
          <w:r>
            <w:instrText xml:space="preserve"> PAGEREF _Toc130476066 \h </w:instrText>
          </w:r>
          <w:r>
            <w:fldChar w:fldCharType="separate"/>
          </w:r>
          <w:r>
            <w:t>16</w:t>
          </w:r>
          <w:r>
            <w:fldChar w:fldCharType="end"/>
          </w:r>
          <w:r>
            <w:fldChar w:fldCharType="end"/>
          </w:r>
        </w:p>
        <w:p>
          <w:pPr>
            <w:pStyle w:val="16"/>
            <w:jc w:val="right"/>
            <w:rPr>
              <w:rFonts w:ascii="等线" w:eastAsia="等线" w:cs="Arial"/>
              <w:bCs w:val="0"/>
              <w:caps w:val="0"/>
              <w:smallCaps w:val="0"/>
              <w:sz w:val="21"/>
              <w:szCs w:val="22"/>
            </w:rPr>
          </w:pPr>
          <w:r>
            <w:fldChar w:fldCharType="begin"/>
          </w:r>
          <w:r>
            <w:instrText xml:space="preserve">Hyperlink \l "_Toc130476067"</w:instrText>
          </w:r>
          <w:r>
            <w:fldChar w:fldCharType="separate"/>
          </w:r>
          <w:r>
            <w:t>四、发展路径</w:t>
          </w:r>
          <w:r>
            <w:tab/>
          </w:r>
          <w:r>
            <w:fldChar w:fldCharType="begin"/>
          </w:r>
          <w:r>
            <w:instrText xml:space="preserve"> PAGEREF _Toc130476067 \h </w:instrText>
          </w:r>
          <w:r>
            <w:fldChar w:fldCharType="separate"/>
          </w:r>
          <w:r>
            <w:t>21</w:t>
          </w:r>
          <w:r>
            <w:fldChar w:fldCharType="end"/>
          </w:r>
          <w:r>
            <w:fldChar w:fldCharType="end"/>
          </w:r>
        </w:p>
        <w:p>
          <w:pPr>
            <w:pStyle w:val="20"/>
            <w:jc w:val="right"/>
            <w:rPr>
              <w:rFonts w:ascii="等线" w:eastAsia="等线" w:cs="Arial"/>
              <w:caps w:val="0"/>
              <w:smallCaps w:val="0"/>
              <w:sz w:val="21"/>
              <w:szCs w:val="22"/>
            </w:rPr>
          </w:pPr>
          <w:r>
            <w:fldChar w:fldCharType="begin"/>
          </w:r>
          <w:r>
            <w:instrText xml:space="preserve">Hyperlink \l "_Toc130476068"</w:instrText>
          </w:r>
          <w:r>
            <w:fldChar w:fldCharType="separate"/>
          </w:r>
          <w:r>
            <w:t>（一）坚持统筹协调布局，提升教育供给能力</w:t>
          </w:r>
          <w:r>
            <w:tab/>
          </w:r>
          <w:r>
            <w:fldChar w:fldCharType="begin"/>
          </w:r>
          <w:r>
            <w:instrText xml:space="preserve"> PAGEREF _Toc130476068 \h </w:instrText>
          </w:r>
          <w:r>
            <w:fldChar w:fldCharType="separate"/>
          </w:r>
          <w:r>
            <w:t>21</w:t>
          </w:r>
          <w:r>
            <w:fldChar w:fldCharType="end"/>
          </w:r>
          <w:r>
            <w:fldChar w:fldCharType="end"/>
          </w:r>
        </w:p>
        <w:p>
          <w:pPr>
            <w:pStyle w:val="20"/>
            <w:jc w:val="right"/>
            <w:rPr>
              <w:rFonts w:ascii="等线" w:eastAsia="等线" w:cs="Arial"/>
              <w:caps w:val="0"/>
              <w:smallCaps w:val="0"/>
              <w:sz w:val="21"/>
              <w:szCs w:val="22"/>
            </w:rPr>
          </w:pPr>
          <w:r>
            <w:fldChar w:fldCharType="begin"/>
          </w:r>
          <w:r>
            <w:instrText xml:space="preserve">Hyperlink \l "_Toc130476069"</w:instrText>
          </w:r>
          <w:r>
            <w:fldChar w:fldCharType="separate"/>
          </w:r>
          <w:r>
            <w:t>（二）落实立德树人任务，持续提升育人质量</w:t>
          </w:r>
          <w:r>
            <w:tab/>
          </w:r>
          <w:r>
            <w:fldChar w:fldCharType="begin"/>
          </w:r>
          <w:r>
            <w:instrText xml:space="preserve"> PAGEREF _Toc130476069 \h </w:instrText>
          </w:r>
          <w:r>
            <w:fldChar w:fldCharType="separate"/>
          </w:r>
          <w:r>
            <w:t>22</w:t>
          </w:r>
          <w:r>
            <w:fldChar w:fldCharType="end"/>
          </w:r>
          <w:r>
            <w:fldChar w:fldCharType="end"/>
          </w:r>
        </w:p>
        <w:p>
          <w:pPr>
            <w:pStyle w:val="20"/>
            <w:jc w:val="right"/>
            <w:rPr>
              <w:rFonts w:ascii="等线" w:eastAsia="等线" w:cs="Arial"/>
              <w:caps w:val="0"/>
              <w:smallCaps w:val="0"/>
              <w:sz w:val="21"/>
              <w:szCs w:val="22"/>
            </w:rPr>
          </w:pPr>
          <w:r>
            <w:fldChar w:fldCharType="begin"/>
          </w:r>
          <w:r>
            <w:instrText xml:space="preserve">Hyperlink \l "_Toc130476070"</w:instrText>
          </w:r>
          <w:r>
            <w:fldChar w:fldCharType="separate"/>
          </w:r>
          <w:r>
            <w:t>（三）促进教育内涵发展，深化教育改革创新</w:t>
          </w:r>
          <w:r>
            <w:tab/>
          </w:r>
          <w:r>
            <w:fldChar w:fldCharType="begin"/>
          </w:r>
          <w:r>
            <w:instrText xml:space="preserve"> PAGEREF _Toc130476070 \h </w:instrText>
          </w:r>
          <w:r>
            <w:fldChar w:fldCharType="separate"/>
          </w:r>
          <w:r>
            <w:t>25</w:t>
          </w:r>
          <w:r>
            <w:fldChar w:fldCharType="end"/>
          </w:r>
          <w:r>
            <w:fldChar w:fldCharType="end"/>
          </w:r>
        </w:p>
        <w:p>
          <w:pPr>
            <w:pStyle w:val="20"/>
            <w:jc w:val="right"/>
            <w:rPr>
              <w:rFonts w:ascii="等线" w:eastAsia="等线" w:cs="Arial"/>
              <w:caps w:val="0"/>
              <w:smallCaps w:val="0"/>
              <w:sz w:val="21"/>
              <w:szCs w:val="22"/>
            </w:rPr>
          </w:pPr>
          <w:r>
            <w:fldChar w:fldCharType="begin"/>
          </w:r>
          <w:r>
            <w:instrText xml:space="preserve">Hyperlink \l "_Toc130476071"</w:instrText>
          </w:r>
          <w:r>
            <w:fldChar w:fldCharType="separate"/>
          </w:r>
          <w:r>
            <w:t>（四）优化教师资源配置，打造一流教师队伍</w:t>
          </w:r>
          <w:r>
            <w:tab/>
          </w:r>
          <w:r>
            <w:fldChar w:fldCharType="begin"/>
          </w:r>
          <w:r>
            <w:instrText xml:space="preserve"> PAGEREF _Toc130476071 \h </w:instrText>
          </w:r>
          <w:r>
            <w:fldChar w:fldCharType="separate"/>
          </w:r>
          <w:r>
            <w:t>27</w:t>
          </w:r>
          <w:r>
            <w:fldChar w:fldCharType="end"/>
          </w:r>
          <w:r>
            <w:fldChar w:fldCharType="end"/>
          </w:r>
        </w:p>
        <w:p>
          <w:pPr>
            <w:pStyle w:val="20"/>
            <w:jc w:val="right"/>
            <w:rPr>
              <w:rFonts w:ascii="等线" w:eastAsia="等线" w:cs="Arial"/>
              <w:caps w:val="0"/>
              <w:smallCaps w:val="0"/>
              <w:sz w:val="21"/>
              <w:szCs w:val="22"/>
            </w:rPr>
          </w:pPr>
          <w:r>
            <w:fldChar w:fldCharType="begin"/>
          </w:r>
          <w:r>
            <w:instrText xml:space="preserve">Hyperlink \l "_Toc130476072"</w:instrText>
          </w:r>
          <w:r>
            <w:fldChar w:fldCharType="separate"/>
          </w:r>
          <w:r>
            <w:t>（五）促进产教融合发展，加快学习型新区建设</w:t>
          </w:r>
          <w:r>
            <w:tab/>
          </w:r>
          <w:r>
            <w:fldChar w:fldCharType="begin"/>
          </w:r>
          <w:r>
            <w:instrText xml:space="preserve"> PAGEREF _Toc130476072 \h </w:instrText>
          </w:r>
          <w:r>
            <w:fldChar w:fldCharType="separate"/>
          </w:r>
          <w:r>
            <w:t>29</w:t>
          </w:r>
          <w:r>
            <w:fldChar w:fldCharType="end"/>
          </w:r>
          <w:r>
            <w:fldChar w:fldCharType="end"/>
          </w:r>
        </w:p>
        <w:p>
          <w:pPr>
            <w:pStyle w:val="20"/>
            <w:jc w:val="right"/>
            <w:rPr>
              <w:rFonts w:ascii="等线" w:eastAsia="等线" w:cs="Arial"/>
              <w:caps w:val="0"/>
              <w:smallCaps w:val="0"/>
              <w:sz w:val="21"/>
              <w:szCs w:val="22"/>
            </w:rPr>
          </w:pPr>
          <w:r>
            <w:fldChar w:fldCharType="begin"/>
          </w:r>
          <w:r>
            <w:instrText xml:space="preserve">Hyperlink \l "_Toc130476073"</w:instrText>
          </w:r>
          <w:r>
            <w:fldChar w:fldCharType="separate"/>
          </w:r>
          <w:r>
            <w:t>（六）提升教育数字化水平，推动教育提质增效</w:t>
          </w:r>
          <w:r>
            <w:tab/>
          </w:r>
          <w:r>
            <w:fldChar w:fldCharType="begin"/>
          </w:r>
          <w:r>
            <w:instrText xml:space="preserve"> PAGEREF _Toc130476073 \h </w:instrText>
          </w:r>
          <w:r>
            <w:fldChar w:fldCharType="separate"/>
          </w:r>
          <w:r>
            <w:t>30</w:t>
          </w:r>
          <w:r>
            <w:fldChar w:fldCharType="end"/>
          </w:r>
          <w:r>
            <w:fldChar w:fldCharType="end"/>
          </w:r>
        </w:p>
        <w:p>
          <w:pPr>
            <w:pStyle w:val="20"/>
            <w:jc w:val="right"/>
            <w:rPr>
              <w:rFonts w:ascii="等线" w:eastAsia="等线" w:cs="Arial"/>
              <w:caps w:val="0"/>
              <w:smallCaps w:val="0"/>
              <w:sz w:val="21"/>
              <w:szCs w:val="22"/>
            </w:rPr>
          </w:pPr>
          <w:r>
            <w:fldChar w:fldCharType="begin"/>
          </w:r>
          <w:r>
            <w:instrText xml:space="preserve">Hyperlink \l "_Toc130476074"</w:instrText>
          </w:r>
          <w:r>
            <w:fldChar w:fldCharType="separate"/>
          </w:r>
          <w:r>
            <w:t>（七）加强教育品牌建设，构建开放合作新局面</w:t>
          </w:r>
          <w:r>
            <w:tab/>
          </w:r>
          <w:r>
            <w:fldChar w:fldCharType="begin"/>
          </w:r>
          <w:r>
            <w:instrText xml:space="preserve"> PAGEREF _Toc130476074 \h </w:instrText>
          </w:r>
          <w:r>
            <w:fldChar w:fldCharType="separate"/>
          </w:r>
          <w:r>
            <w:t>32</w:t>
          </w:r>
          <w:r>
            <w:fldChar w:fldCharType="end"/>
          </w:r>
          <w:r>
            <w:fldChar w:fldCharType="end"/>
          </w:r>
        </w:p>
        <w:p>
          <w:pPr>
            <w:pStyle w:val="20"/>
            <w:jc w:val="right"/>
            <w:rPr>
              <w:rFonts w:ascii="等线" w:eastAsia="等线" w:cs="Arial"/>
              <w:caps w:val="0"/>
              <w:smallCaps w:val="0"/>
              <w:sz w:val="21"/>
              <w:szCs w:val="22"/>
            </w:rPr>
          </w:pPr>
          <w:r>
            <w:fldChar w:fldCharType="begin"/>
          </w:r>
          <w:r>
            <w:instrText xml:space="preserve">Hyperlink \l "_Toc130476075"</w:instrText>
          </w:r>
          <w:r>
            <w:fldChar w:fldCharType="separate"/>
          </w:r>
          <w:r>
            <w:t>（九）深化健康校园建设，提升师生健康素养</w:t>
          </w:r>
          <w:r>
            <w:tab/>
          </w:r>
          <w:r>
            <w:fldChar w:fldCharType="begin"/>
          </w:r>
          <w:r>
            <w:instrText xml:space="preserve"> PAGEREF _Toc130476075 \h </w:instrText>
          </w:r>
          <w:r>
            <w:fldChar w:fldCharType="separate"/>
          </w:r>
          <w:r>
            <w:t>34</w:t>
          </w:r>
          <w:r>
            <w:fldChar w:fldCharType="end"/>
          </w:r>
          <w:r>
            <w:fldChar w:fldCharType="end"/>
          </w:r>
        </w:p>
        <w:p>
          <w:pPr>
            <w:pStyle w:val="20"/>
            <w:jc w:val="right"/>
            <w:rPr>
              <w:rFonts w:ascii="等线" w:eastAsia="等线" w:cs="Arial"/>
              <w:caps w:val="0"/>
              <w:smallCaps w:val="0"/>
              <w:sz w:val="21"/>
              <w:szCs w:val="22"/>
            </w:rPr>
          </w:pPr>
          <w:r>
            <w:fldChar w:fldCharType="begin"/>
          </w:r>
          <w:r>
            <w:instrText xml:space="preserve">Hyperlink \l "_Toc130476076"</w:instrText>
          </w:r>
          <w:r>
            <w:fldChar w:fldCharType="separate"/>
          </w:r>
          <w:r>
            <w:t>（十）优化教育治理体系，提升教育治理水平</w:t>
          </w:r>
          <w:r>
            <w:tab/>
          </w:r>
          <w:r>
            <w:fldChar w:fldCharType="begin"/>
          </w:r>
          <w:r>
            <w:instrText xml:space="preserve"> PAGEREF _Toc130476076 \h </w:instrText>
          </w:r>
          <w:r>
            <w:fldChar w:fldCharType="separate"/>
          </w:r>
          <w:r>
            <w:t>36</w:t>
          </w:r>
          <w:r>
            <w:fldChar w:fldCharType="end"/>
          </w:r>
          <w:r>
            <w:fldChar w:fldCharType="end"/>
          </w:r>
        </w:p>
        <w:p>
          <w:pPr>
            <w:pStyle w:val="16"/>
            <w:jc w:val="right"/>
            <w:rPr>
              <w:rFonts w:ascii="等线" w:eastAsia="等线" w:cs="Arial"/>
              <w:bCs w:val="0"/>
              <w:caps w:val="0"/>
              <w:smallCaps w:val="0"/>
              <w:sz w:val="21"/>
              <w:szCs w:val="22"/>
            </w:rPr>
          </w:pPr>
          <w:r>
            <w:fldChar w:fldCharType="begin"/>
          </w:r>
          <w:r>
            <w:instrText xml:space="preserve">Hyperlink \l "_Toc130476077"</w:instrText>
          </w:r>
          <w:r>
            <w:fldChar w:fldCharType="separate"/>
          </w:r>
          <w:r>
            <w:t>五、保障措施</w:t>
          </w:r>
          <w:r>
            <w:tab/>
          </w:r>
          <w:r>
            <w:fldChar w:fldCharType="begin"/>
          </w:r>
          <w:r>
            <w:instrText xml:space="preserve"> PAGEREF _Toc130476077 \h </w:instrText>
          </w:r>
          <w:r>
            <w:fldChar w:fldCharType="separate"/>
          </w:r>
          <w:r>
            <w:t>37</w:t>
          </w:r>
          <w:r>
            <w:fldChar w:fldCharType="end"/>
          </w:r>
          <w:r>
            <w:fldChar w:fldCharType="end"/>
          </w:r>
        </w:p>
        <w:p>
          <w:pPr>
            <w:pStyle w:val="20"/>
            <w:jc w:val="right"/>
            <w:rPr>
              <w:rFonts w:ascii="等线" w:eastAsia="等线" w:cs="Arial"/>
              <w:caps w:val="0"/>
              <w:smallCaps w:val="0"/>
              <w:sz w:val="21"/>
              <w:szCs w:val="22"/>
            </w:rPr>
          </w:pPr>
          <w:r>
            <w:fldChar w:fldCharType="begin"/>
          </w:r>
          <w:r>
            <w:instrText xml:space="preserve">Hyperlink \l "_Toc130476078"</w:instrText>
          </w:r>
          <w:r>
            <w:fldChar w:fldCharType="separate"/>
          </w:r>
          <w:r>
            <w:t>（一）加强组织领导</w:t>
          </w:r>
          <w:r>
            <w:tab/>
          </w:r>
          <w:r>
            <w:fldChar w:fldCharType="begin"/>
          </w:r>
          <w:r>
            <w:instrText xml:space="preserve"> PAGEREF _Toc130476078 \h </w:instrText>
          </w:r>
          <w:r>
            <w:fldChar w:fldCharType="separate"/>
          </w:r>
          <w:r>
            <w:t>37</w:t>
          </w:r>
          <w:r>
            <w:fldChar w:fldCharType="end"/>
          </w:r>
          <w:r>
            <w:fldChar w:fldCharType="end"/>
          </w:r>
        </w:p>
        <w:p>
          <w:pPr>
            <w:pStyle w:val="20"/>
            <w:jc w:val="right"/>
            <w:rPr>
              <w:rFonts w:ascii="等线" w:eastAsia="等线" w:cs="Arial"/>
              <w:caps w:val="0"/>
              <w:smallCaps w:val="0"/>
              <w:sz w:val="21"/>
              <w:szCs w:val="22"/>
            </w:rPr>
          </w:pPr>
          <w:r>
            <w:fldChar w:fldCharType="begin"/>
          </w:r>
          <w:r>
            <w:instrText xml:space="preserve">Hyperlink \l "_Toc130476079"</w:instrText>
          </w:r>
          <w:r>
            <w:fldChar w:fldCharType="separate"/>
          </w:r>
          <w:r>
            <w:t>（二）保障财政投入</w:t>
          </w:r>
          <w:r>
            <w:tab/>
          </w:r>
          <w:r>
            <w:fldChar w:fldCharType="begin"/>
          </w:r>
          <w:r>
            <w:instrText xml:space="preserve"> PAGEREF _Toc130476079 \h </w:instrText>
          </w:r>
          <w:r>
            <w:fldChar w:fldCharType="separate"/>
          </w:r>
          <w:r>
            <w:t>38</w:t>
          </w:r>
          <w:r>
            <w:fldChar w:fldCharType="end"/>
          </w:r>
          <w:r>
            <w:fldChar w:fldCharType="end"/>
          </w:r>
        </w:p>
        <w:p>
          <w:pPr>
            <w:pStyle w:val="20"/>
            <w:jc w:val="right"/>
            <w:rPr>
              <w:rFonts w:ascii="等线" w:eastAsia="等线" w:cs="Arial"/>
              <w:caps w:val="0"/>
              <w:smallCaps w:val="0"/>
              <w:sz w:val="21"/>
              <w:szCs w:val="22"/>
            </w:rPr>
          </w:pPr>
          <w:r>
            <w:fldChar w:fldCharType="begin"/>
          </w:r>
          <w:r>
            <w:instrText xml:space="preserve">Hyperlink \l "_Toc130476080"</w:instrText>
          </w:r>
          <w:r>
            <w:fldChar w:fldCharType="separate"/>
          </w:r>
          <w:r>
            <w:t>（三）加强督导评估</w:t>
          </w:r>
          <w:r>
            <w:tab/>
          </w:r>
          <w:r>
            <w:fldChar w:fldCharType="begin"/>
          </w:r>
          <w:r>
            <w:instrText xml:space="preserve"> PAGEREF _Toc130476080 \h </w:instrText>
          </w:r>
          <w:r>
            <w:fldChar w:fldCharType="separate"/>
          </w:r>
          <w:r>
            <w:t>38</w:t>
          </w:r>
          <w:r>
            <w:fldChar w:fldCharType="end"/>
          </w:r>
          <w:r>
            <w:fldChar w:fldCharType="end"/>
          </w:r>
        </w:p>
        <w:p>
          <w:pPr>
            <w:pStyle w:val="20"/>
            <w:jc w:val="right"/>
            <w:rPr>
              <w:rFonts w:ascii="等线" w:eastAsia="等线" w:cs="Arial"/>
              <w:caps w:val="0"/>
              <w:smallCaps w:val="0"/>
              <w:sz w:val="21"/>
              <w:szCs w:val="22"/>
            </w:rPr>
          </w:pPr>
          <w:r>
            <w:fldChar w:fldCharType="begin"/>
          </w:r>
          <w:r>
            <w:instrText xml:space="preserve">Hyperlink \l "_Toc130476081"</w:instrText>
          </w:r>
          <w:r>
            <w:fldChar w:fldCharType="separate"/>
          </w:r>
          <w:r>
            <w:t>（四）营造良好氛围</w:t>
          </w:r>
          <w:r>
            <w:tab/>
          </w:r>
          <w:r>
            <w:fldChar w:fldCharType="begin"/>
          </w:r>
          <w:r>
            <w:instrText xml:space="preserve"> PAGEREF _Toc130476081 \h </w:instrText>
          </w:r>
          <w:r>
            <w:fldChar w:fldCharType="separate"/>
          </w:r>
          <w:r>
            <w:t>39</w:t>
          </w:r>
          <w:r>
            <w:fldChar w:fldCharType="end"/>
          </w:r>
          <w:r>
            <w:fldChar w:fldCharType="end"/>
          </w:r>
        </w:p>
        <w:p>
          <w:pPr>
            <w:ind w:right="963"/>
            <w:jc w:val="right"/>
          </w:pPr>
          <w:r>
            <w:rPr>
              <w:bCs/>
              <w:lang w:val="zh-CN"/>
            </w:rPr>
            <w:fldChar w:fldCharType="end"/>
          </w:r>
        </w:p>
      </w:sdtContent>
    </w:sdt>
    <w:p>
      <w:pPr>
        <w:spacing w:line="760" w:lineRule="exact"/>
        <w:rPr>
          <w:b/>
          <w:bCs/>
          <w:lang w:val="zh-CN"/>
        </w:rPr>
      </w:pPr>
    </w:p>
    <w:p>
      <w:pPr>
        <w:jc w:val="center"/>
        <w:rPr>
          <w:rFonts w:eastAsia="黑体"/>
          <w:sz w:val="30"/>
          <w:szCs w:val="30"/>
        </w:rPr>
      </w:pPr>
    </w:p>
    <w:p>
      <w:pPr>
        <w:rPr>
          <w:rFonts w:eastAsia="黑体"/>
          <w:sz w:val="30"/>
          <w:szCs w:val="30"/>
        </w:rPr>
      </w:pPr>
    </w:p>
    <w:p>
      <w:pPr>
        <w:rPr>
          <w:rFonts w:eastAsia="黑体"/>
          <w:sz w:val="30"/>
          <w:szCs w:val="30"/>
        </w:rPr>
      </w:pPr>
    </w:p>
    <w:p>
      <w:pPr>
        <w:widowControl/>
        <w:overflowPunct/>
        <w:topLinePunct w:val="0"/>
        <w:autoSpaceDE/>
        <w:autoSpaceDN/>
        <w:spacing w:line="240" w:lineRule="auto"/>
        <w:ind w:firstLine="0" w:firstLineChars="0"/>
        <w:jc w:val="left"/>
        <w:rPr>
          <w:rFonts w:eastAsia="楷体_GB2312"/>
        </w:rPr>
      </w:pPr>
      <w:r>
        <w:br w:type="page"/>
      </w:r>
    </w:p>
    <w:p>
      <w:pPr>
        <w:tabs>
          <w:tab w:val="left" w:pos="7069"/>
        </w:tabs>
        <w:spacing w:after="218" w:afterLines="50"/>
        <w:ind w:firstLine="0" w:firstLineChars="0"/>
        <w:jc w:val="center"/>
        <w:rPr>
          <w:rFonts w:ascii="方正小标宋简体" w:eastAsia="方正小标宋简体"/>
          <w:szCs w:val="32"/>
        </w:rPr>
      </w:pPr>
      <w:r>
        <w:rPr>
          <w:rFonts w:hint="eastAsia" w:ascii="方正小标宋简体" w:eastAsia="方正小标宋简体"/>
          <w:szCs w:val="32"/>
        </w:rPr>
        <w:t>前  言</w:t>
      </w:r>
    </w:p>
    <w:p>
      <w:pPr>
        <w:rPr>
          <w:szCs w:val="32"/>
        </w:rPr>
      </w:pPr>
      <w:r>
        <w:rPr>
          <w:rFonts w:hint="eastAsia"/>
          <w:szCs w:val="32"/>
        </w:rPr>
        <w:t>教育是民族振兴、社会进步的重要基石，是功在当代、利在千秋的德政工程，对提高人民综合素质、促进人的全面发展、增强中华民族创新创造活力、实现中华民族伟大复兴具有决定性意义。教育是国之大计、党之大计。</w:t>
      </w:r>
    </w:p>
    <w:p>
      <w:pPr>
        <w:rPr>
          <w:szCs w:val="32"/>
        </w:rPr>
      </w:pPr>
      <w:r>
        <w:rPr>
          <w:rFonts w:hint="eastAsia"/>
          <w:szCs w:val="32"/>
        </w:rPr>
        <w:t>“十四五”时期</w:t>
      </w:r>
      <w:r>
        <w:rPr>
          <w:szCs w:val="32"/>
        </w:rPr>
        <w:t>（2021</w:t>
      </w:r>
      <w:r>
        <w:rPr>
          <w:rFonts w:hint="eastAsia"/>
          <w:szCs w:val="32"/>
        </w:rPr>
        <w:t>－20</w:t>
      </w:r>
      <w:r>
        <w:rPr>
          <w:szCs w:val="32"/>
        </w:rPr>
        <w:t>25年）是我国全面建成小康社会、实现第一个百年奋斗目标之后，乘势而上开启全面建设社会主义现代化国家新征程、向第二个百年奋斗目标进军的第一个五年</w:t>
      </w:r>
      <w:r>
        <w:rPr>
          <w:rFonts w:hint="eastAsia"/>
          <w:szCs w:val="32"/>
        </w:rPr>
        <w:t>，</w:t>
      </w:r>
      <w:r>
        <w:rPr>
          <w:szCs w:val="32"/>
        </w:rPr>
        <w:t>是陕西省深度融入共建</w:t>
      </w:r>
      <w:r>
        <w:rPr>
          <w:rFonts w:hint="eastAsia"/>
          <w:szCs w:val="32"/>
        </w:rPr>
        <w:t>“一带一路”</w:t>
      </w:r>
      <w:r>
        <w:rPr>
          <w:szCs w:val="32"/>
        </w:rPr>
        <w:t>，推进西部大开发形成新格局等国家重大战略的重要机遇期</w:t>
      </w:r>
      <w:r>
        <w:rPr>
          <w:rFonts w:hint="eastAsia"/>
          <w:szCs w:val="32"/>
        </w:rPr>
        <w:t>，</w:t>
      </w:r>
      <w:r>
        <w:rPr>
          <w:szCs w:val="32"/>
        </w:rPr>
        <w:t>也是西咸新区深入落实习近平总书记提出的</w:t>
      </w:r>
      <w:r>
        <w:rPr>
          <w:rFonts w:hint="eastAsia"/>
          <w:szCs w:val="32"/>
        </w:rPr>
        <w:t>“发挥西咸新区作为国家创新城市发展方式试验区的综合功能”实</w:t>
      </w:r>
      <w:r>
        <w:rPr>
          <w:szCs w:val="32"/>
        </w:rPr>
        <w:t>现</w:t>
      </w:r>
      <w:r>
        <w:rPr>
          <w:rFonts w:hint="eastAsia"/>
          <w:szCs w:val="32"/>
        </w:rPr>
        <w:t>“</w:t>
      </w:r>
      <w:r>
        <w:rPr>
          <w:szCs w:val="32"/>
        </w:rPr>
        <w:t>追赶超越发展</w:t>
      </w:r>
      <w:r>
        <w:rPr>
          <w:rFonts w:hint="eastAsia"/>
          <w:szCs w:val="32"/>
        </w:rPr>
        <w:t>”</w:t>
      </w:r>
      <w:r>
        <w:rPr>
          <w:szCs w:val="32"/>
        </w:rPr>
        <w:t>的关键期</w:t>
      </w:r>
      <w:r>
        <w:rPr>
          <w:rFonts w:hint="eastAsia"/>
          <w:szCs w:val="32"/>
        </w:rPr>
        <w:t>，</w:t>
      </w:r>
      <w:r>
        <w:rPr>
          <w:szCs w:val="32"/>
        </w:rPr>
        <w:t>更是新区加快推进教育现代化建设、打造教育强区的重点突破期。为进一步实现西咸新区教育事业高质量发展，办好人民满意的教育，根据党的十九届五中全会精神，</w:t>
      </w:r>
      <w:r>
        <w:rPr>
          <w:rFonts w:hint="eastAsia"/>
          <w:szCs w:val="32"/>
        </w:rPr>
        <w:t>依据</w:t>
      </w:r>
      <w:r>
        <w:rPr>
          <w:szCs w:val="32"/>
        </w:rPr>
        <w:t>《中国教育现代化2035》《加快推进教育现代化实施方案（2018</w:t>
      </w:r>
      <w:r>
        <w:rPr>
          <w:rFonts w:hint="eastAsia"/>
          <w:szCs w:val="32"/>
        </w:rPr>
        <w:t>－20</w:t>
      </w:r>
      <w:r>
        <w:rPr>
          <w:szCs w:val="32"/>
        </w:rPr>
        <w:t>22年）》《教育信息化2.0行动计划》等国家相关政策，</w:t>
      </w:r>
      <w:r>
        <w:rPr>
          <w:rFonts w:hint="eastAsia"/>
          <w:szCs w:val="32"/>
        </w:rPr>
        <w:t>按照</w:t>
      </w:r>
      <w:r>
        <w:rPr>
          <w:szCs w:val="32"/>
        </w:rPr>
        <w:t>《陕西教育现代化2035》《陕西教育事业发展</w:t>
      </w:r>
      <w:r>
        <w:rPr>
          <w:rFonts w:hint="eastAsia"/>
          <w:szCs w:val="32"/>
        </w:rPr>
        <w:t>“十四五”</w:t>
      </w:r>
      <w:r>
        <w:rPr>
          <w:szCs w:val="32"/>
        </w:rPr>
        <w:t>规划》《落实教育信息化2.0行动计划的指导意见》等省级文件精神，结合《西咸新区国民经济和社会发展第十四个五年规划纲要和二〇三五年远景目标》总体要求，立足新区教育实际，制定《西咸新</w:t>
      </w:r>
      <w:r>
        <w:rPr>
          <w:rFonts w:hint="eastAsia"/>
          <w:szCs w:val="32"/>
        </w:rPr>
        <w:t>区</w:t>
      </w:r>
      <w:r>
        <w:rPr>
          <w:szCs w:val="32"/>
        </w:rPr>
        <w:t>教育事业发展</w:t>
      </w:r>
      <w:r>
        <w:rPr>
          <w:rFonts w:hint="eastAsia"/>
          <w:szCs w:val="32"/>
        </w:rPr>
        <w:t>“十四五”</w:t>
      </w:r>
      <w:r>
        <w:rPr>
          <w:szCs w:val="32"/>
        </w:rPr>
        <w:t>规划》。</w:t>
      </w:r>
    </w:p>
    <w:p>
      <w:pPr>
        <w:rPr>
          <w:szCs w:val="32"/>
        </w:rPr>
        <w:sectPr>
          <w:headerReference r:id="rId14" w:type="first"/>
          <w:headerReference r:id="rId12" w:type="default"/>
          <w:footerReference r:id="rId15" w:type="default"/>
          <w:headerReference r:id="rId13" w:type="even"/>
          <w:footerReference r:id="rId16" w:type="even"/>
          <w:pgSz w:w="11906" w:h="16838"/>
          <w:pgMar w:top="2098" w:right="1474" w:bottom="1985" w:left="1588" w:header="1417" w:footer="992" w:gutter="0"/>
          <w:pgNumType w:fmt="numberInDash" w:start="1" w:chapStyle="1"/>
          <w:cols w:space="720" w:num="1"/>
          <w:titlePg/>
          <w:docGrid w:type="lines" w:linePitch="435" w:charSpace="0"/>
        </w:sectPr>
      </w:pPr>
      <w:r>
        <w:rPr>
          <w:szCs w:val="32"/>
        </w:rPr>
        <w:t>规划期限为2021至2025年，展望至2035年。</w:t>
      </w:r>
    </w:p>
    <w:p>
      <w:pPr>
        <w:pStyle w:val="3"/>
        <w:rPr>
          <w:szCs w:val="32"/>
        </w:rPr>
      </w:pPr>
      <w:bookmarkStart w:id="3" w:name="_Toc59547913"/>
      <w:bookmarkStart w:id="4" w:name="_Toc59547944"/>
      <w:bookmarkStart w:id="5" w:name="_Toc59180797"/>
      <w:bookmarkStart w:id="6" w:name="_Toc59180843"/>
      <w:bookmarkStart w:id="7" w:name="_Toc79397446"/>
      <w:bookmarkStart w:id="8" w:name="_Toc62810059"/>
      <w:bookmarkStart w:id="9" w:name="_Toc79393284"/>
      <w:bookmarkStart w:id="10" w:name="_Toc130476054"/>
      <w:r>
        <w:rPr>
          <w:rFonts w:hint="eastAsia"/>
          <w:szCs w:val="32"/>
        </w:rPr>
        <w:t>一、发展</w:t>
      </w:r>
      <w:bookmarkEnd w:id="3"/>
      <w:bookmarkEnd w:id="4"/>
      <w:bookmarkEnd w:id="5"/>
      <w:bookmarkEnd w:id="6"/>
      <w:r>
        <w:rPr>
          <w:rFonts w:hint="eastAsia"/>
          <w:szCs w:val="32"/>
        </w:rPr>
        <w:t>基础</w:t>
      </w:r>
      <w:bookmarkEnd w:id="7"/>
      <w:bookmarkEnd w:id="8"/>
      <w:bookmarkEnd w:id="9"/>
      <w:bookmarkEnd w:id="10"/>
    </w:p>
    <w:p>
      <w:pPr>
        <w:rPr>
          <w:szCs w:val="32"/>
        </w:rPr>
      </w:pPr>
      <w:r>
        <w:rPr>
          <w:szCs w:val="32"/>
        </w:rPr>
        <w:t>西咸新区自2011年</w:t>
      </w:r>
      <w:r>
        <w:rPr>
          <w:rFonts w:hint="eastAsia"/>
          <w:szCs w:val="32"/>
        </w:rPr>
        <w:t>成立，</w:t>
      </w:r>
      <w:r>
        <w:rPr>
          <w:szCs w:val="32"/>
        </w:rPr>
        <w:t>2014年经国务院批复成为国家级新区</w:t>
      </w:r>
      <w:r>
        <w:rPr>
          <w:rFonts w:hint="eastAsia"/>
          <w:szCs w:val="32"/>
        </w:rPr>
        <w:t>，</w:t>
      </w:r>
      <w:r>
        <w:rPr>
          <w:szCs w:val="32"/>
        </w:rPr>
        <w:t>2017年全面托管辖区社会事务以来，在省委、省政府的正确领导和西安</w:t>
      </w:r>
      <w:r>
        <w:rPr>
          <w:rFonts w:hint="eastAsia"/>
          <w:szCs w:val="32"/>
        </w:rPr>
        <w:t>市委、市政府</w:t>
      </w:r>
      <w:r>
        <w:rPr>
          <w:szCs w:val="32"/>
        </w:rPr>
        <w:t>的大力支持下，深入学习贯彻党的十九大和全国</w:t>
      </w:r>
      <w:r>
        <w:rPr>
          <w:rFonts w:hint="eastAsia"/>
          <w:szCs w:val="32"/>
        </w:rPr>
        <w:t>、</w:t>
      </w:r>
      <w:r>
        <w:rPr>
          <w:szCs w:val="32"/>
        </w:rPr>
        <w:t>全省</w:t>
      </w:r>
      <w:r>
        <w:rPr>
          <w:rFonts w:hint="eastAsia"/>
          <w:szCs w:val="32"/>
        </w:rPr>
        <w:t>及全市</w:t>
      </w:r>
      <w:r>
        <w:rPr>
          <w:szCs w:val="32"/>
        </w:rPr>
        <w:t>教育大会精神，全面贯彻党的教育方针，始终把教育事业发展放在新区各项工作中的基础性、先导性、全局性</w:t>
      </w:r>
      <w:r>
        <w:rPr>
          <w:rFonts w:hint="eastAsia"/>
          <w:szCs w:val="32"/>
        </w:rPr>
        <w:t>位置</w:t>
      </w:r>
      <w:r>
        <w:rPr>
          <w:szCs w:val="32"/>
        </w:rPr>
        <w:t>，加快追赶超越步伐，教育事业取得了新成就，积累了新经验，开创了新局面。</w:t>
      </w:r>
    </w:p>
    <w:p>
      <w:pPr>
        <w:pStyle w:val="4"/>
      </w:pPr>
      <w:bookmarkStart w:id="11" w:name="_Toc130476055"/>
      <w:bookmarkStart w:id="12" w:name="_Toc62810060"/>
      <w:bookmarkStart w:id="13" w:name="_Toc59547914"/>
      <w:bookmarkStart w:id="14" w:name="_Toc79393285"/>
      <w:bookmarkStart w:id="15" w:name="_Toc59547945"/>
      <w:bookmarkStart w:id="16" w:name="_Toc79397447"/>
      <w:r>
        <w:rPr>
          <w:rFonts w:hint="eastAsia"/>
        </w:rPr>
        <w:t>（一）落实教育优先发展战略，教育事业迈上新台阶</w:t>
      </w:r>
      <w:bookmarkEnd w:id="11"/>
      <w:bookmarkEnd w:id="12"/>
      <w:bookmarkEnd w:id="13"/>
      <w:bookmarkEnd w:id="14"/>
      <w:bookmarkEnd w:id="15"/>
      <w:bookmarkEnd w:id="16"/>
      <w:bookmarkStart w:id="17" w:name="_Toc59180798"/>
      <w:bookmarkStart w:id="18" w:name="_Toc59180844"/>
    </w:p>
    <w:p>
      <w:pPr>
        <w:rPr>
          <w:szCs w:val="32"/>
        </w:rPr>
      </w:pPr>
      <w:bookmarkStart w:id="19" w:name="_Toc62810061"/>
      <w:r>
        <w:rPr>
          <w:rFonts w:hint="eastAsia"/>
          <w:b/>
          <w:bCs/>
          <w:szCs w:val="32"/>
        </w:rPr>
        <w:t>落实教育主体责任</w:t>
      </w:r>
      <w:bookmarkEnd w:id="19"/>
      <w:r>
        <w:rPr>
          <w:rFonts w:hint="eastAsia"/>
          <w:b/>
          <w:bCs/>
          <w:szCs w:val="32"/>
        </w:rPr>
        <w:t>。</w:t>
      </w:r>
      <w:r>
        <w:rPr>
          <w:szCs w:val="32"/>
        </w:rPr>
        <w:t>2017年</w:t>
      </w:r>
      <w:r>
        <w:rPr>
          <w:rFonts w:hint="eastAsia"/>
          <w:szCs w:val="32"/>
        </w:rPr>
        <w:t>，新区</w:t>
      </w:r>
      <w:r>
        <w:rPr>
          <w:szCs w:val="32"/>
        </w:rPr>
        <w:t>全面</w:t>
      </w:r>
      <w:r>
        <w:rPr>
          <w:rFonts w:hint="eastAsia"/>
          <w:szCs w:val="32"/>
        </w:rPr>
        <w:t>托</w:t>
      </w:r>
      <w:r>
        <w:rPr>
          <w:szCs w:val="32"/>
        </w:rPr>
        <w:t>管教育</w:t>
      </w:r>
      <w:r>
        <w:rPr>
          <w:rFonts w:hint="eastAsia"/>
          <w:szCs w:val="32"/>
        </w:rPr>
        <w:t>事业</w:t>
      </w:r>
      <w:r>
        <w:rPr>
          <w:szCs w:val="32"/>
        </w:rPr>
        <w:t>，</w:t>
      </w:r>
      <w:r>
        <w:rPr>
          <w:rFonts w:hint="eastAsia"/>
          <w:szCs w:val="32"/>
        </w:rPr>
        <w:t>接收各级各类学校359所，学生122147人，新区新城两级设立教育卫体局（教育局），落实以新城为主体的教育发展责任，</w:t>
      </w:r>
      <w:r>
        <w:rPr>
          <w:szCs w:val="32"/>
        </w:rPr>
        <w:t>全面托管教育等社会事务，实现教育事业</w:t>
      </w:r>
      <w:r>
        <w:rPr>
          <w:rFonts w:hint="eastAsia"/>
          <w:szCs w:val="32"/>
        </w:rPr>
        <w:t>发展、</w:t>
      </w:r>
      <w:r>
        <w:rPr>
          <w:szCs w:val="32"/>
        </w:rPr>
        <w:t>管理一体化。</w:t>
      </w:r>
    </w:p>
    <w:p>
      <w:pPr>
        <w:rPr>
          <w:szCs w:val="32"/>
        </w:rPr>
      </w:pPr>
      <w:r>
        <w:rPr>
          <w:rFonts w:hint="eastAsia"/>
          <w:szCs w:val="32"/>
        </w:rPr>
        <w:t>新</w:t>
      </w:r>
      <w:r>
        <w:rPr>
          <w:rFonts w:hint="eastAsia" w:ascii="仿宋_GB2312" w:cs="仿宋_GB2312"/>
          <w:szCs w:val="32"/>
        </w:rPr>
        <w:t>区教育基础设施建设成效显著，累计投入各类资金</w:t>
      </w:r>
      <w:r>
        <w:rPr>
          <w:szCs w:val="32"/>
        </w:rPr>
        <w:t>84</w:t>
      </w:r>
      <w:r>
        <w:rPr>
          <w:rFonts w:hint="eastAsia" w:ascii="仿宋_GB2312" w:cs="仿宋_GB2312"/>
          <w:szCs w:val="32"/>
        </w:rPr>
        <w:t>亿元，新建、改扩建幼儿园</w:t>
      </w:r>
      <w:r>
        <w:rPr>
          <w:szCs w:val="32"/>
        </w:rPr>
        <w:t>31</w:t>
      </w:r>
      <w:r>
        <w:rPr>
          <w:rFonts w:hint="eastAsia" w:ascii="仿宋_GB2312" w:cs="仿宋_GB2312"/>
          <w:szCs w:val="32"/>
        </w:rPr>
        <w:t>所、中小学</w:t>
      </w:r>
      <w:r>
        <w:rPr>
          <w:szCs w:val="32"/>
        </w:rPr>
        <w:t>37</w:t>
      </w:r>
      <w:r>
        <w:rPr>
          <w:rFonts w:hint="eastAsia" w:ascii="仿宋_GB2312" w:cs="仿宋_GB2312"/>
          <w:szCs w:val="32"/>
        </w:rPr>
        <w:t>所，新增学位</w:t>
      </w:r>
      <w:r>
        <w:rPr>
          <w:szCs w:val="32"/>
        </w:rPr>
        <w:t>7.52</w:t>
      </w:r>
      <w:r>
        <w:rPr>
          <w:rFonts w:hint="eastAsia" w:ascii="仿宋_GB2312" w:cs="仿宋_GB2312"/>
          <w:szCs w:val="32"/>
        </w:rPr>
        <w:t>万个。学校基本办学条件得到有效改善，圆满完成义务教育改薄工程，保障教育公平均衡发展。</w:t>
      </w:r>
    </w:p>
    <w:p>
      <w:pPr>
        <w:rPr>
          <w:rFonts w:ascii="仿宋_GB2312" w:cs="仿宋_GB2312"/>
          <w:szCs w:val="32"/>
        </w:rPr>
      </w:pPr>
      <w:bookmarkStart w:id="20" w:name="_Toc62810063"/>
      <w:bookmarkStart w:id="21" w:name="_Toc62810064"/>
      <w:r>
        <w:rPr>
          <w:b/>
          <w:bCs/>
          <w:szCs w:val="32"/>
        </w:rPr>
        <w:t>凝聚共识做好</w:t>
      </w:r>
      <w:r>
        <w:rPr>
          <w:rFonts w:hint="eastAsia"/>
          <w:b/>
          <w:bCs/>
          <w:szCs w:val="32"/>
        </w:rPr>
        <w:t>顶层设计</w:t>
      </w:r>
      <w:bookmarkEnd w:id="20"/>
      <w:r>
        <w:rPr>
          <w:rFonts w:hint="eastAsia"/>
          <w:b/>
          <w:bCs/>
          <w:szCs w:val="32"/>
        </w:rPr>
        <w:t>。</w:t>
      </w:r>
      <w:r>
        <w:rPr>
          <w:rFonts w:hint="eastAsia" w:ascii="仿宋_GB2312" w:cs="仿宋_GB2312"/>
          <w:szCs w:val="32"/>
        </w:rPr>
        <w:t>谋划新区教育事业发展“十三五”（</w:t>
      </w:r>
      <w:r>
        <w:rPr>
          <w:szCs w:val="32"/>
        </w:rPr>
        <w:t>2017-2020年）</w:t>
      </w:r>
      <w:r>
        <w:rPr>
          <w:rFonts w:hint="eastAsia" w:ascii="仿宋_GB2312" w:cs="仿宋_GB2312"/>
          <w:szCs w:val="32"/>
        </w:rPr>
        <w:t>时期</w:t>
      </w:r>
      <w:bookmarkStart w:id="22" w:name="_Hlk59528493"/>
      <w:r>
        <w:rPr>
          <w:rFonts w:hint="eastAsia" w:ascii="仿宋_GB2312" w:cs="仿宋_GB2312"/>
          <w:szCs w:val="32"/>
        </w:rPr>
        <w:t>、</w:t>
      </w:r>
      <w:r>
        <w:rPr>
          <w:szCs w:val="32"/>
        </w:rPr>
        <w:t>中</w:t>
      </w:r>
      <w:r>
        <w:rPr>
          <w:rFonts w:hint="eastAsia"/>
          <w:szCs w:val="32"/>
        </w:rPr>
        <w:t>长期</w:t>
      </w:r>
      <w:r>
        <w:rPr>
          <w:szCs w:val="32"/>
        </w:rPr>
        <w:t>（2021-2030年）</w:t>
      </w:r>
      <w:bookmarkEnd w:id="22"/>
      <w:bookmarkStart w:id="23" w:name="_Hlk59528632"/>
      <w:r>
        <w:rPr>
          <w:rFonts w:hint="eastAsia"/>
          <w:szCs w:val="32"/>
        </w:rPr>
        <w:t>及</w:t>
      </w:r>
      <w:r>
        <w:rPr>
          <w:szCs w:val="32"/>
        </w:rPr>
        <w:t>基础教育现代化2035</w:t>
      </w:r>
      <w:bookmarkEnd w:id="23"/>
      <w:r>
        <w:rPr>
          <w:rFonts w:hint="eastAsia"/>
          <w:szCs w:val="32"/>
        </w:rPr>
        <w:t>年发展思路，</w:t>
      </w:r>
      <w:r>
        <w:rPr>
          <w:rFonts w:hint="eastAsia" w:ascii="仿宋_GB2312" w:cs="仿宋_GB2312"/>
          <w:szCs w:val="32"/>
        </w:rPr>
        <w:t>编制</w:t>
      </w:r>
      <w:bookmarkStart w:id="24" w:name="_Hlk59528512"/>
      <w:bookmarkStart w:id="25" w:name="_Hlk59528533"/>
      <w:r>
        <w:rPr>
          <w:rFonts w:hint="eastAsia" w:ascii="仿宋_GB2312" w:cs="仿宋_GB2312"/>
          <w:szCs w:val="32"/>
        </w:rPr>
        <w:t>《西咸新区关于加快教育事业发展的若干意见》</w:t>
      </w:r>
      <w:bookmarkEnd w:id="24"/>
      <w:bookmarkEnd w:id="25"/>
      <w:r>
        <w:rPr>
          <w:rFonts w:hint="eastAsia" w:ascii="仿宋_GB2312" w:cs="仿宋_GB2312"/>
          <w:szCs w:val="32"/>
        </w:rPr>
        <w:t>《西咸新区教育发展提升三年行动计划</w:t>
      </w:r>
      <w:r>
        <w:rPr>
          <w:szCs w:val="32"/>
        </w:rPr>
        <w:t>（2018-2020年）</w:t>
      </w:r>
      <w:r>
        <w:rPr>
          <w:rFonts w:hint="eastAsia" w:ascii="仿宋_GB2312" w:cs="仿宋_GB2312"/>
          <w:szCs w:val="32"/>
        </w:rPr>
        <w:t>》《西咸新区基础教育提升三年实施方案</w:t>
      </w:r>
      <w:r>
        <w:rPr>
          <w:rFonts w:hint="eastAsia"/>
          <w:szCs w:val="32"/>
        </w:rPr>
        <w:t>（2019-2021年）》《西咸新区农村学校和薄弱学校品质提升计划（2018-2020年）》等，</w:t>
      </w:r>
      <w:bookmarkStart w:id="26" w:name="_Toc62810062"/>
      <w:r>
        <w:rPr>
          <w:rFonts w:hint="eastAsia"/>
          <w:szCs w:val="32"/>
        </w:rPr>
        <w:t>理清发展目标，明确发展路径，</w:t>
      </w:r>
      <w:r>
        <w:rPr>
          <w:rFonts w:hint="eastAsia" w:ascii="仿宋_GB2312" w:cs="仿宋_GB2312"/>
          <w:szCs w:val="32"/>
        </w:rPr>
        <w:t>凝聚发展共识，</w:t>
      </w:r>
      <w:r>
        <w:rPr>
          <w:rFonts w:hint="eastAsia"/>
          <w:szCs w:val="32"/>
        </w:rPr>
        <w:t>为新区教育可持续发展奠定良好基础，</w:t>
      </w:r>
      <w:r>
        <w:rPr>
          <w:rFonts w:hint="eastAsia" w:ascii="仿宋_GB2312" w:cs="仿宋_GB2312"/>
          <w:szCs w:val="32"/>
        </w:rPr>
        <w:t>全力促进新区教育迈上新台阶。</w:t>
      </w:r>
      <w:bookmarkEnd w:id="26"/>
    </w:p>
    <w:p>
      <w:pPr>
        <w:rPr>
          <w:szCs w:val="32"/>
        </w:rPr>
      </w:pPr>
      <w:r>
        <w:rPr>
          <w:b/>
          <w:bCs/>
          <w:szCs w:val="32"/>
        </w:rPr>
        <w:t>教育经费投入</w:t>
      </w:r>
      <w:r>
        <w:rPr>
          <w:rFonts w:hint="eastAsia"/>
          <w:b/>
          <w:bCs/>
          <w:szCs w:val="32"/>
        </w:rPr>
        <w:t>持续</w:t>
      </w:r>
      <w:bookmarkEnd w:id="21"/>
      <w:r>
        <w:rPr>
          <w:b/>
          <w:bCs/>
          <w:szCs w:val="32"/>
        </w:rPr>
        <w:t>增高</w:t>
      </w:r>
      <w:r>
        <w:rPr>
          <w:rFonts w:hint="eastAsia"/>
          <w:b/>
          <w:bCs/>
          <w:szCs w:val="32"/>
        </w:rPr>
        <w:t>。</w:t>
      </w:r>
      <w:r>
        <w:rPr>
          <w:rFonts w:hint="eastAsia"/>
          <w:szCs w:val="32"/>
        </w:rPr>
        <w:t>“十三五”期间，新区新城两级管委会优先保障教育财政性投入，建立教育经费持续稳定增长机制。确保省、市教育政策规定的各类基础教育生均教育经费、奖补政策落实到位的同时，严格按照《教育法》规定，实现教育经费投入的“三个增长”和“两个比例”要求。2017年至2020年，新区教育经费累计投入</w:t>
      </w:r>
      <w:r>
        <w:rPr>
          <w:szCs w:val="32"/>
        </w:rPr>
        <w:t>69.85</w:t>
      </w:r>
      <w:r>
        <w:rPr>
          <w:rFonts w:hint="eastAsia"/>
          <w:szCs w:val="32"/>
        </w:rPr>
        <w:t>亿元，年均增速达</w:t>
      </w:r>
      <w:r>
        <w:rPr>
          <w:szCs w:val="32"/>
        </w:rPr>
        <w:t>56.31</w:t>
      </w:r>
      <w:r>
        <w:rPr>
          <w:rFonts w:hint="eastAsia"/>
          <w:szCs w:val="32"/>
        </w:rPr>
        <w:t>%。2020年教育经费支出占一般公共预算支出比例达到</w:t>
      </w:r>
      <w:r>
        <w:rPr>
          <w:szCs w:val="32"/>
        </w:rPr>
        <w:t>19.21</w:t>
      </w:r>
      <w:r>
        <w:rPr>
          <w:rFonts w:hint="eastAsia"/>
          <w:szCs w:val="32"/>
        </w:rPr>
        <w:t>%。</w:t>
      </w:r>
    </w:p>
    <w:p>
      <w:pPr>
        <w:spacing w:line="580" w:lineRule="exact"/>
        <w:ind w:firstLine="629" w:firstLineChars="196"/>
        <w:rPr>
          <w:szCs w:val="32"/>
        </w:rPr>
      </w:pPr>
      <w:r>
        <w:rPr>
          <w:rFonts w:hint="eastAsia" w:ascii="仿宋_GB2312"/>
          <w:b/>
          <w:bCs/>
          <w:szCs w:val="32"/>
        </w:rPr>
        <w:t>师资队伍建设不断强化。</w:t>
      </w:r>
      <w:r>
        <w:rPr>
          <w:rFonts w:hint="eastAsia"/>
          <w:szCs w:val="32"/>
        </w:rPr>
        <w:t>累计公开招聘教师3965名，培养中小学教学名师58名、中小学学科带头人115名、中小学教学能手1077名、中小学学科标兵55名。截至2020年，新区基础教育阶段有正高级教师10人、高级教师636人、一级教师3169人、初级教师3627人。小学专任教师学历合格率达到99.54%，初中专任教师学历合格率达到96.35%，高中阶段教师研究生学历比例达到27.43%。累计培训教师4万余人次，实现年度培训全覆盖，教师队伍建设得到不断强化。</w:t>
      </w:r>
    </w:p>
    <w:p>
      <w:pPr>
        <w:rPr>
          <w:rFonts w:ascii="Times New Roman Regular" w:hAnsi="Times New Roman Regular" w:cs="Times New Roman Regular"/>
          <w:kern w:val="0"/>
          <w:szCs w:val="32"/>
        </w:rPr>
      </w:pPr>
      <w:bookmarkStart w:id="27" w:name="_Toc59547948"/>
      <w:bookmarkStart w:id="28" w:name="_Toc59180800"/>
      <w:bookmarkStart w:id="29" w:name="_Toc59180846"/>
      <w:bookmarkStart w:id="30" w:name="_Toc59547917"/>
      <w:bookmarkStart w:id="31" w:name="_Toc62810076"/>
      <w:r>
        <w:rPr>
          <w:rFonts w:hint="eastAsia" w:ascii="仿宋_GB2312" w:cs="仿宋_GB2312"/>
          <w:b/>
          <w:bCs/>
          <w:szCs w:val="32"/>
        </w:rPr>
        <w:t>脱贫攻坚成效卓著。</w:t>
      </w:r>
      <w:r>
        <w:rPr>
          <w:rFonts w:hint="eastAsia" w:ascii="Times New Roman Regular" w:hAnsi="Times New Roman Regular" w:cs="Times New Roman Regular"/>
          <w:kern w:val="0"/>
          <w:szCs w:val="32"/>
        </w:rPr>
        <w:t>成立西咸新区学生资助管理中心。2017年至2020年，累计资助学生28629人次，发放各级各类补助金共计1638.44万元，办理生源地贷款1227人次。制定控辍保学实施方案，签订“控辍保学”目标责任书，建立台账管理和日报制度，实现建档立卡贫困家庭义务教育段学生零辍学。</w:t>
      </w:r>
    </w:p>
    <w:p>
      <w:pPr>
        <w:pStyle w:val="4"/>
      </w:pPr>
      <w:bookmarkStart w:id="32" w:name="_Toc79393286"/>
      <w:bookmarkStart w:id="33" w:name="_Toc79397448"/>
      <w:bookmarkStart w:id="34" w:name="_Toc130476056"/>
      <w:r>
        <w:rPr>
          <w:rFonts w:hint="eastAsia"/>
        </w:rPr>
        <w:t>（</w:t>
      </w:r>
      <w:r>
        <w:t>二</w:t>
      </w:r>
      <w:r>
        <w:rPr>
          <w:rFonts w:hint="eastAsia"/>
        </w:rPr>
        <w:t>）</w:t>
      </w:r>
      <w:r>
        <w:t>落实立德树人根本任务</w:t>
      </w:r>
      <w:r>
        <w:rPr>
          <w:rFonts w:hint="eastAsia"/>
        </w:rPr>
        <w:t>，教育</w:t>
      </w:r>
      <w:r>
        <w:t>质量</w:t>
      </w:r>
      <w:r>
        <w:rPr>
          <w:rFonts w:hint="eastAsia"/>
        </w:rPr>
        <w:t>实现</w:t>
      </w:r>
      <w:bookmarkEnd w:id="27"/>
      <w:bookmarkEnd w:id="28"/>
      <w:bookmarkEnd w:id="29"/>
      <w:bookmarkEnd w:id="30"/>
      <w:bookmarkEnd w:id="31"/>
      <w:r>
        <w:t>新跨越</w:t>
      </w:r>
      <w:bookmarkEnd w:id="32"/>
      <w:bookmarkEnd w:id="33"/>
      <w:bookmarkEnd w:id="34"/>
    </w:p>
    <w:p>
      <w:pPr>
        <w:rPr>
          <w:szCs w:val="32"/>
        </w:rPr>
      </w:pPr>
      <w:r>
        <w:rPr>
          <w:rFonts w:hint="eastAsia"/>
          <w:b/>
          <w:bCs/>
          <w:szCs w:val="32"/>
        </w:rPr>
        <w:t>学前教育普及普惠发展。</w:t>
      </w:r>
      <w:r>
        <w:rPr>
          <w:rFonts w:hint="eastAsia"/>
          <w:szCs w:val="32"/>
        </w:rPr>
        <w:t>2</w:t>
      </w:r>
      <w:r>
        <w:rPr>
          <w:szCs w:val="32"/>
        </w:rPr>
        <w:t>017</w:t>
      </w:r>
      <w:r>
        <w:rPr>
          <w:rFonts w:hint="eastAsia"/>
          <w:szCs w:val="32"/>
        </w:rPr>
        <w:t>年</w:t>
      </w:r>
      <w:r>
        <w:rPr>
          <w:szCs w:val="32"/>
        </w:rPr>
        <w:t>至2020年，公办</w:t>
      </w:r>
      <w:r>
        <w:rPr>
          <w:rFonts w:hint="eastAsia"/>
          <w:szCs w:val="32"/>
        </w:rPr>
        <w:t>幼儿</w:t>
      </w:r>
      <w:r>
        <w:rPr>
          <w:szCs w:val="32"/>
        </w:rPr>
        <w:t>园及公办</w:t>
      </w:r>
      <w:r>
        <w:rPr>
          <w:rFonts w:hint="eastAsia"/>
          <w:szCs w:val="32"/>
        </w:rPr>
        <w:t>幼儿</w:t>
      </w:r>
      <w:r>
        <w:rPr>
          <w:szCs w:val="32"/>
        </w:rPr>
        <w:t>园在园幼儿占比分别达到50.49%和51.51%，全面完成</w:t>
      </w:r>
      <w:r>
        <w:rPr>
          <w:rFonts w:hint="eastAsia" w:ascii="仿宋_GB2312" w:cs="仿宋_GB2312"/>
          <w:szCs w:val="32"/>
        </w:rPr>
        <w:t>“</w:t>
      </w:r>
      <w:r>
        <w:rPr>
          <w:szCs w:val="32"/>
        </w:rPr>
        <w:t>双50%</w:t>
      </w:r>
      <w:r>
        <w:rPr>
          <w:rFonts w:hint="eastAsia" w:ascii="仿宋_GB2312" w:cs="仿宋_GB2312"/>
          <w:szCs w:val="32"/>
        </w:rPr>
        <w:t>”占比</w:t>
      </w:r>
      <w:r>
        <w:rPr>
          <w:szCs w:val="32"/>
        </w:rPr>
        <w:t>任务。累计认定普惠性民办幼儿园128所，普惠性幼儿园占比</w:t>
      </w:r>
      <w:r>
        <w:rPr>
          <w:rFonts w:hint="eastAsia"/>
          <w:szCs w:val="32"/>
        </w:rPr>
        <w:t>达到</w:t>
      </w:r>
      <w:r>
        <w:rPr>
          <w:szCs w:val="32"/>
        </w:rPr>
        <w:t>97.1%，超额完成全省平均达到80%的考核任务</w:t>
      </w:r>
      <w:r>
        <w:rPr>
          <w:rFonts w:hint="eastAsia"/>
          <w:szCs w:val="32"/>
        </w:rPr>
        <w:t>。</w:t>
      </w:r>
      <w:r>
        <w:rPr>
          <w:szCs w:val="32"/>
        </w:rPr>
        <w:t>累计发放普惠性民办幼儿园奖补资金</w:t>
      </w:r>
      <w:r>
        <w:rPr>
          <w:rFonts w:hint="eastAsia"/>
          <w:szCs w:val="32"/>
        </w:rPr>
        <w:t>约</w:t>
      </w:r>
      <w:r>
        <w:rPr>
          <w:szCs w:val="32"/>
        </w:rPr>
        <w:t>2190万元。</w:t>
      </w:r>
      <w:r>
        <w:rPr>
          <w:rFonts w:hint="eastAsia"/>
          <w:szCs w:val="32"/>
        </w:rPr>
        <w:t>全面完成城镇小区配套幼儿园专项治理工作，切实解决配套园在规划、建设、移交、办园方面存在的问题。</w:t>
      </w:r>
      <w:r>
        <w:rPr>
          <w:rFonts w:hint="eastAsia" w:ascii="仿宋_GB2312" w:cs="仿宋_GB2312"/>
          <w:szCs w:val="32"/>
          <w:shd w:val="clear" w:color="auto" w:fill="FFFFFF"/>
        </w:rPr>
        <w:t>清理整治</w:t>
      </w:r>
      <w:r>
        <w:rPr>
          <w:szCs w:val="32"/>
        </w:rPr>
        <w:t>学前儿童看护点112</w:t>
      </w:r>
      <w:r>
        <w:rPr>
          <w:rFonts w:hint="eastAsia"/>
          <w:szCs w:val="32"/>
        </w:rPr>
        <w:t>所</w:t>
      </w:r>
      <w:r>
        <w:rPr>
          <w:szCs w:val="32"/>
          <w:shd w:val="clear" w:color="auto" w:fill="FFFFFF"/>
        </w:rPr>
        <w:t>，</w:t>
      </w:r>
      <w:r>
        <w:rPr>
          <w:rFonts w:hint="eastAsia"/>
          <w:szCs w:val="32"/>
          <w:shd w:val="clear" w:color="auto" w:fill="FFFFFF"/>
        </w:rPr>
        <w:t>其中取缔65所，指导</w:t>
      </w:r>
      <w:r>
        <w:rPr>
          <w:szCs w:val="32"/>
          <w:shd w:val="clear" w:color="auto" w:fill="FFFFFF"/>
        </w:rPr>
        <w:t>47</w:t>
      </w:r>
      <w:r>
        <w:rPr>
          <w:rFonts w:hint="eastAsia"/>
          <w:szCs w:val="32"/>
          <w:shd w:val="clear" w:color="auto" w:fill="FFFFFF"/>
        </w:rPr>
        <w:t>所</w:t>
      </w:r>
      <w:r>
        <w:rPr>
          <w:szCs w:val="32"/>
        </w:rPr>
        <w:t>学前儿童看护点</w:t>
      </w:r>
      <w:r>
        <w:rPr>
          <w:szCs w:val="32"/>
          <w:shd w:val="clear" w:color="auto" w:fill="FFFFFF"/>
        </w:rPr>
        <w:t>通过整改</w:t>
      </w:r>
      <w:r>
        <w:rPr>
          <w:rFonts w:hint="eastAsia"/>
          <w:szCs w:val="32"/>
          <w:shd w:val="clear" w:color="auto" w:fill="FFFFFF"/>
        </w:rPr>
        <w:t>提升并</w:t>
      </w:r>
      <w:r>
        <w:rPr>
          <w:szCs w:val="32"/>
          <w:shd w:val="clear" w:color="auto" w:fill="FFFFFF"/>
        </w:rPr>
        <w:t>取得办学</w:t>
      </w:r>
      <w:r>
        <w:rPr>
          <w:rFonts w:hint="eastAsia"/>
          <w:szCs w:val="32"/>
          <w:shd w:val="clear" w:color="auto" w:fill="FFFFFF"/>
        </w:rPr>
        <w:t>资质，100%</w:t>
      </w:r>
      <w:r>
        <w:rPr>
          <w:szCs w:val="32"/>
          <w:shd w:val="clear" w:color="auto" w:fill="FFFFFF"/>
        </w:rPr>
        <w:t>完成无证园治理工作</w:t>
      </w:r>
      <w:r>
        <w:rPr>
          <w:rFonts w:hint="eastAsia"/>
          <w:szCs w:val="32"/>
          <w:shd w:val="clear" w:color="auto" w:fill="FFFFFF"/>
        </w:rPr>
        <w:t>。</w:t>
      </w:r>
      <w:r>
        <w:rPr>
          <w:rFonts w:hint="eastAsia" w:ascii="仿宋_GB2312" w:cs="仿宋_GB2312"/>
          <w:szCs w:val="32"/>
          <w:shd w:val="clear" w:color="auto" w:fill="FFFFFF"/>
        </w:rPr>
        <w:t>鼓励幼儿园提质创优，新区</w:t>
      </w:r>
      <w:r>
        <w:rPr>
          <w:szCs w:val="32"/>
          <w:shd w:val="clear" w:color="auto" w:fill="FFFFFF"/>
        </w:rPr>
        <w:t>等级幼儿园总计达到149所，占比72.3%</w:t>
      </w:r>
      <w:r>
        <w:rPr>
          <w:rFonts w:hint="eastAsia"/>
          <w:szCs w:val="32"/>
          <w:shd w:val="clear" w:color="auto" w:fill="FFFFFF"/>
        </w:rPr>
        <w:t>，</w:t>
      </w:r>
      <w:r>
        <w:rPr>
          <w:rFonts w:hint="eastAsia" w:ascii="仿宋_GB2312" w:cs="仿宋_GB2312"/>
          <w:szCs w:val="32"/>
          <w:shd w:val="clear" w:color="auto" w:fill="FFFFFF"/>
        </w:rPr>
        <w:t>创建省级示范园</w:t>
      </w:r>
      <w:r>
        <w:rPr>
          <w:szCs w:val="32"/>
          <w:shd w:val="clear" w:color="auto" w:fill="FFFFFF"/>
        </w:rPr>
        <w:t>5所</w:t>
      </w:r>
      <w:r>
        <w:rPr>
          <w:rFonts w:hint="eastAsia" w:ascii="仿宋_GB2312" w:cs="仿宋_GB2312"/>
          <w:szCs w:val="32"/>
          <w:shd w:val="clear" w:color="auto" w:fill="FFFFFF"/>
        </w:rPr>
        <w:t>，</w:t>
      </w:r>
      <w:r>
        <w:rPr>
          <w:szCs w:val="32"/>
          <w:shd w:val="clear" w:color="auto" w:fill="FFFFFF"/>
        </w:rPr>
        <w:t>一级幼儿园34所，全区学前教育保教质量</w:t>
      </w:r>
      <w:r>
        <w:rPr>
          <w:rFonts w:hint="eastAsia"/>
          <w:szCs w:val="32"/>
          <w:shd w:val="clear" w:color="auto" w:fill="FFFFFF"/>
        </w:rPr>
        <w:t>得到有效</w:t>
      </w:r>
      <w:r>
        <w:rPr>
          <w:szCs w:val="32"/>
          <w:shd w:val="clear" w:color="auto" w:fill="FFFFFF"/>
        </w:rPr>
        <w:t>提升。组织开展</w:t>
      </w:r>
      <w:r>
        <w:rPr>
          <w:rFonts w:hint="eastAsia"/>
          <w:szCs w:val="32"/>
          <w:shd w:val="clear" w:color="auto" w:fill="FFFFFF"/>
        </w:rPr>
        <w:t>幼儿园骨干园长岗位能力提升培训、“乐享童趣游戏年”区域游戏活动及以“科学”和“艺术”为主题的精品课例比赛等多种形式的活动。</w:t>
      </w:r>
    </w:p>
    <w:p>
      <w:pPr>
        <w:rPr>
          <w:szCs w:val="32"/>
        </w:rPr>
      </w:pPr>
      <w:bookmarkStart w:id="35" w:name="_Toc62810081"/>
      <w:r>
        <w:rPr>
          <w:b/>
          <w:spacing w:val="4"/>
          <w:szCs w:val="32"/>
        </w:rPr>
        <w:t>义务教育均衡</w:t>
      </w:r>
      <w:r>
        <w:rPr>
          <w:rFonts w:hint="eastAsia"/>
          <w:b/>
          <w:spacing w:val="4"/>
          <w:szCs w:val="32"/>
        </w:rPr>
        <w:t>发展水平明显提高</w:t>
      </w:r>
      <w:r>
        <w:rPr>
          <w:b/>
          <w:spacing w:val="4"/>
          <w:szCs w:val="32"/>
        </w:rPr>
        <w:t>。</w:t>
      </w:r>
      <w:r>
        <w:rPr>
          <w:rFonts w:hint="eastAsia" w:ascii="仿宋_GB2312" w:cs="仿宋_GB2312"/>
          <w:szCs w:val="32"/>
          <w:shd w:val="clear" w:color="FFFFFF" w:fill="FFFFFF"/>
        </w:rPr>
        <w:t>积极落实</w:t>
      </w:r>
      <w:r>
        <w:rPr>
          <w:rFonts w:hint="eastAsia" w:ascii="仿宋_GB2312" w:cs="仿宋_GB2312"/>
          <w:szCs w:val="32"/>
          <w:shd w:val="clear" w:color="auto" w:fill="FFFFFF"/>
        </w:rPr>
        <w:t>《义务教育学校管理标准》，</w:t>
      </w:r>
      <w:r>
        <w:rPr>
          <w:rFonts w:ascii="仿宋_GB2312" w:cs="仿宋_GB2312"/>
          <w:szCs w:val="32"/>
          <w:shd w:val="clear" w:color="FFFFFF" w:fill="FFFFFF"/>
        </w:rPr>
        <w:t>全面加强义务教育学校管理工作，</w:t>
      </w:r>
      <w:r>
        <w:rPr>
          <w:rFonts w:hint="eastAsia" w:ascii="仿宋_GB2312" w:cs="仿宋_GB2312"/>
          <w:szCs w:val="32"/>
          <w:shd w:val="clear" w:color="FFFFFF" w:fill="FFFFFF"/>
        </w:rPr>
        <w:t>推进学校管理标准化。</w:t>
      </w:r>
      <w:r>
        <w:rPr>
          <w:rFonts w:hint="eastAsia"/>
          <w:szCs w:val="32"/>
        </w:rPr>
        <w:t>严格落实义务教育招生入学政策，全区公办义务教育学校免试就近入学率达到1</w:t>
      </w:r>
      <w:r>
        <w:rPr>
          <w:szCs w:val="32"/>
        </w:rPr>
        <w:t>00</w:t>
      </w:r>
      <w:r>
        <w:rPr>
          <w:rFonts w:hint="eastAsia"/>
          <w:szCs w:val="32"/>
        </w:rPr>
        <w:t>%。坚持民办学校与公办学校“同步招生”，实现“阳光分班、均衡编班”，圆满完成大班额消除任务，实现</w:t>
      </w:r>
      <w:r>
        <w:rPr>
          <w:rFonts w:hint="eastAsia" w:ascii="仿宋_GB2312" w:cs="仿宋_GB2312"/>
          <w:szCs w:val="32"/>
          <w:shd w:val="clear" w:color="auto" w:fill="FFFFFF"/>
        </w:rPr>
        <w:t>大班额清零。义务教育阶段控辍保学实现“零辍学”，义务教育巩固率达到</w:t>
      </w:r>
      <w:r>
        <w:rPr>
          <w:rFonts w:hint="eastAsia" w:ascii="仿宋_GB2312" w:cs="仿宋_GB2312"/>
          <w:szCs w:val="32"/>
        </w:rPr>
        <w:t>98%</w:t>
      </w:r>
      <w:r>
        <w:rPr>
          <w:rFonts w:hint="eastAsia"/>
          <w:szCs w:val="32"/>
          <w:shd w:val="clear" w:color="auto" w:fill="FFFFFF"/>
        </w:rPr>
        <w:t>以上</w:t>
      </w:r>
      <w:r>
        <w:rPr>
          <w:rFonts w:hint="eastAsia" w:ascii="仿宋_GB2312" w:cs="仿宋_GB2312"/>
          <w:szCs w:val="32"/>
          <w:shd w:val="clear" w:color="auto" w:fill="FFFFFF"/>
        </w:rPr>
        <w:t>。</w:t>
      </w:r>
      <w:r>
        <w:rPr>
          <w:rFonts w:hint="eastAsia"/>
          <w:szCs w:val="32"/>
        </w:rPr>
        <w:t>新区中小学生研学旅行工作成绩突出，</w:t>
      </w:r>
      <w:r>
        <w:rPr>
          <w:spacing w:val="-3"/>
          <w:szCs w:val="32"/>
        </w:rPr>
        <w:t>创建中小学生研学实</w:t>
      </w:r>
      <w:r>
        <w:rPr>
          <w:spacing w:val="-14"/>
          <w:szCs w:val="32"/>
        </w:rPr>
        <w:t>践教育</w:t>
      </w:r>
      <w:r>
        <w:rPr>
          <w:rFonts w:hint="eastAsia"/>
          <w:spacing w:val="-14"/>
          <w:szCs w:val="32"/>
        </w:rPr>
        <w:t>基地</w:t>
      </w:r>
      <w:r>
        <w:rPr>
          <w:spacing w:val="-3"/>
          <w:szCs w:val="32"/>
        </w:rPr>
        <w:t>国家级</w:t>
      </w:r>
      <w:r>
        <w:rPr>
          <w:szCs w:val="32"/>
        </w:rPr>
        <w:t>1</w:t>
      </w:r>
      <w:r>
        <w:rPr>
          <w:rFonts w:hint="eastAsia"/>
          <w:szCs w:val="32"/>
        </w:rPr>
        <w:t>个</w:t>
      </w:r>
      <w:r>
        <w:rPr>
          <w:rFonts w:hint="eastAsia"/>
          <w:spacing w:val="-28"/>
          <w:szCs w:val="32"/>
        </w:rPr>
        <w:t>，</w:t>
      </w:r>
      <w:r>
        <w:rPr>
          <w:rFonts w:hint="eastAsia"/>
          <w:spacing w:val="-3"/>
          <w:szCs w:val="32"/>
        </w:rPr>
        <w:t>省级</w:t>
      </w:r>
      <w:r>
        <w:rPr>
          <w:spacing w:val="-3"/>
          <w:szCs w:val="32"/>
        </w:rPr>
        <w:t>7</w:t>
      </w:r>
      <w:r>
        <w:rPr>
          <w:rFonts w:hint="eastAsia"/>
          <w:spacing w:val="-3"/>
          <w:szCs w:val="32"/>
        </w:rPr>
        <w:t>个</w:t>
      </w:r>
      <w:r>
        <w:rPr>
          <w:szCs w:val="32"/>
        </w:rPr>
        <w:t>。农村义务教育学生营养改善计划</w:t>
      </w:r>
      <w:r>
        <w:rPr>
          <w:rFonts w:hint="eastAsia"/>
          <w:szCs w:val="32"/>
        </w:rPr>
        <w:t>实现全覆盖</w:t>
      </w:r>
      <w:r>
        <w:rPr>
          <w:szCs w:val="32"/>
        </w:rPr>
        <w:t>，惠及59527</w:t>
      </w:r>
      <w:r>
        <w:rPr>
          <w:rFonts w:hint="eastAsia"/>
          <w:szCs w:val="32"/>
        </w:rPr>
        <w:t>名学生</w:t>
      </w:r>
      <w:r>
        <w:rPr>
          <w:szCs w:val="32"/>
        </w:rPr>
        <w:t>。</w:t>
      </w:r>
      <w:r>
        <w:rPr>
          <w:rFonts w:hint="eastAsia"/>
          <w:szCs w:val="32"/>
        </w:rPr>
        <w:t>持续</w:t>
      </w:r>
      <w:r>
        <w:rPr>
          <w:rFonts w:hint="eastAsia" w:ascii="仿宋_GB2312"/>
          <w:szCs w:val="32"/>
        </w:rPr>
        <w:t>开展“推普周”、</w:t>
      </w:r>
      <w:r>
        <w:rPr>
          <w:rFonts w:hint="eastAsia" w:ascii="仿宋_GB2312" w:cs="宋体"/>
          <w:kern w:val="0"/>
          <w:szCs w:val="32"/>
        </w:rPr>
        <w:t>规范汉字书写、“</w:t>
      </w:r>
      <w:r>
        <w:rPr>
          <w:rFonts w:hint="eastAsia" w:ascii="仿宋_GB2312"/>
          <w:szCs w:val="32"/>
        </w:rPr>
        <w:t>立爱国志，筑中国魂”等教育实践活动，将五育并举教育理念落到实处。</w:t>
      </w:r>
      <w:bookmarkEnd w:id="35"/>
    </w:p>
    <w:p>
      <w:pPr>
        <w:pStyle w:val="9"/>
        <w:jc w:val="both"/>
        <w:rPr>
          <w:spacing w:val="-1"/>
          <w:szCs w:val="32"/>
          <w:u w:val="single"/>
        </w:rPr>
      </w:pPr>
      <w:bookmarkStart w:id="36" w:name="_Toc62810082"/>
      <w:r>
        <w:rPr>
          <w:b/>
          <w:szCs w:val="32"/>
        </w:rPr>
        <w:t>普通高中教育优质特色发展步伐加快。</w:t>
      </w:r>
      <w:r>
        <w:rPr>
          <w:rFonts w:hint="eastAsia"/>
          <w:bCs/>
          <w:szCs w:val="32"/>
        </w:rPr>
        <w:t>编制实施</w:t>
      </w:r>
      <w:r>
        <w:rPr>
          <w:szCs w:val="32"/>
        </w:rPr>
        <w:t>《</w:t>
      </w:r>
      <w:r>
        <w:rPr>
          <w:rFonts w:hint="eastAsia"/>
          <w:szCs w:val="32"/>
        </w:rPr>
        <w:t>西咸新区普通高中优质特色发展五年行动计划（2017-2021年）</w:t>
      </w:r>
      <w:bookmarkStart w:id="37" w:name="_Hlk71377576"/>
      <w:r>
        <w:rPr>
          <w:rFonts w:hint="eastAsia"/>
          <w:spacing w:val="75"/>
          <w:szCs w:val="32"/>
        </w:rPr>
        <w:t>》，</w:t>
      </w:r>
      <w:r>
        <w:rPr>
          <w:rFonts w:hint="eastAsia"/>
          <w:szCs w:val="32"/>
        </w:rPr>
        <w:t>创建省级标准化高中4所，全区省级标准化高中</w:t>
      </w:r>
      <w:bookmarkEnd w:id="37"/>
      <w:r>
        <w:rPr>
          <w:rFonts w:hint="eastAsia"/>
          <w:szCs w:val="32"/>
        </w:rPr>
        <w:t>达到9所</w:t>
      </w:r>
      <w:r>
        <w:rPr>
          <w:rFonts w:hint="eastAsia"/>
          <w:spacing w:val="-2"/>
          <w:szCs w:val="32"/>
        </w:rPr>
        <w:t>，创建西安市特色实验学校2所，创建</w:t>
      </w:r>
      <w:r>
        <w:rPr>
          <w:szCs w:val="32"/>
        </w:rPr>
        <w:t>西安市普通高中新课程新教材实施市级示范校</w:t>
      </w:r>
      <w:r>
        <w:rPr>
          <w:rFonts w:hint="eastAsia"/>
          <w:szCs w:val="32"/>
        </w:rPr>
        <w:t>1所，</w:t>
      </w:r>
      <w:r>
        <w:rPr>
          <w:szCs w:val="32"/>
        </w:rPr>
        <w:t>入选</w:t>
      </w:r>
      <w:r>
        <w:rPr>
          <w:rFonts w:hint="eastAsia"/>
          <w:szCs w:val="32"/>
        </w:rPr>
        <w:t>西安市</w:t>
      </w:r>
      <w:r>
        <w:rPr>
          <w:szCs w:val="32"/>
        </w:rPr>
        <w:t>普通</w:t>
      </w:r>
      <w:r>
        <w:rPr>
          <w:spacing w:val="-1"/>
          <w:szCs w:val="32"/>
        </w:rPr>
        <w:t>高中新课程</w:t>
      </w:r>
      <w:r>
        <w:rPr>
          <w:rFonts w:hint="eastAsia"/>
          <w:spacing w:val="-1"/>
          <w:szCs w:val="32"/>
        </w:rPr>
        <w:t>新</w:t>
      </w:r>
      <w:r>
        <w:rPr>
          <w:spacing w:val="-1"/>
          <w:szCs w:val="32"/>
        </w:rPr>
        <w:t>教材实施</w:t>
      </w:r>
      <w:r>
        <w:rPr>
          <w:rFonts w:hint="eastAsia"/>
          <w:spacing w:val="-1"/>
          <w:szCs w:val="32"/>
        </w:rPr>
        <w:t>市级</w:t>
      </w:r>
      <w:r>
        <w:rPr>
          <w:spacing w:val="-1"/>
          <w:szCs w:val="32"/>
        </w:rPr>
        <w:t>示范区。</w:t>
      </w:r>
      <w:r>
        <w:rPr>
          <w:rFonts w:hint="eastAsia"/>
          <w:spacing w:val="-1"/>
          <w:szCs w:val="32"/>
        </w:rPr>
        <w:t>配合西安、咸阳相关区县做好招生录取工作，招生工作平稳有序。</w:t>
      </w:r>
    </w:p>
    <w:bookmarkEnd w:id="36"/>
    <w:p>
      <w:pPr>
        <w:pStyle w:val="2"/>
        <w:rPr>
          <w:rFonts w:ascii="仿宋_GB2312" w:eastAsia="仿宋_GB2312"/>
          <w:szCs w:val="32"/>
        </w:rPr>
      </w:pPr>
      <w:bookmarkStart w:id="38" w:name="_Toc62810083"/>
      <w:r>
        <w:rPr>
          <w:rFonts w:hint="eastAsia" w:ascii="仿宋_GB2312" w:eastAsia="仿宋_GB2312"/>
          <w:b/>
          <w:bCs/>
          <w:szCs w:val="32"/>
        </w:rPr>
        <w:t>特殊教育、民族教育持续</w:t>
      </w:r>
      <w:bookmarkEnd w:id="38"/>
      <w:r>
        <w:rPr>
          <w:rFonts w:hint="eastAsia" w:ascii="仿宋_GB2312" w:eastAsia="仿宋_GB2312"/>
          <w:b/>
          <w:bCs/>
          <w:szCs w:val="32"/>
        </w:rPr>
        <w:t>发展。</w:t>
      </w:r>
      <w:r>
        <w:rPr>
          <w:rFonts w:hint="eastAsia" w:ascii="仿宋_GB2312" w:eastAsia="仿宋_GB2312"/>
          <w:szCs w:val="32"/>
        </w:rPr>
        <w:t>加大残疾儿童少年关爱力度，落实送教上门教师工作和交通补贴，执行每生每次</w:t>
      </w:r>
      <w:r>
        <w:rPr>
          <w:rFonts w:eastAsia="仿宋_GB2312"/>
          <w:szCs w:val="32"/>
        </w:rPr>
        <w:t>260元</w:t>
      </w:r>
      <w:r>
        <w:rPr>
          <w:rFonts w:hint="eastAsia" w:ascii="仿宋_GB2312" w:eastAsia="仿宋_GB2312"/>
          <w:szCs w:val="32"/>
        </w:rPr>
        <w:t>补助标准。随班就读、送教上门力度加大，残疾儿童少年享有同等教育权利得到全面保障。</w:t>
      </w:r>
      <w:r>
        <w:rPr>
          <w:rFonts w:eastAsia="仿宋_GB2312"/>
          <w:szCs w:val="32"/>
          <w:shd w:val="clear" w:color="FFFFFF" w:fill="FFFFFF"/>
        </w:rPr>
        <w:t>建成6个特殊教育资源教室、3个融合幼儿园和1个特殊教育资源中心，</w:t>
      </w:r>
      <w:r>
        <w:rPr>
          <w:rFonts w:ascii="仿宋_GB2312" w:eastAsia="仿宋_GB2312" w:cs="仿宋_GB2312"/>
          <w:szCs w:val="32"/>
          <w:shd w:val="clear" w:color="auto" w:fill="FFFFFF"/>
        </w:rPr>
        <w:t>实现</w:t>
      </w:r>
      <w:r>
        <w:rPr>
          <w:rFonts w:hint="eastAsia" w:ascii="仿宋_GB2312" w:eastAsia="仿宋_GB2312" w:cs="仿宋_GB2312"/>
          <w:szCs w:val="32"/>
          <w:shd w:val="clear" w:color="auto" w:fill="FFFFFF"/>
        </w:rPr>
        <w:t>新区特殊教育资源教室</w:t>
      </w:r>
      <w:r>
        <w:rPr>
          <w:rFonts w:ascii="仿宋_GB2312" w:eastAsia="仿宋_GB2312" w:cs="仿宋_GB2312"/>
          <w:szCs w:val="32"/>
          <w:shd w:val="clear" w:color="auto" w:fill="FFFFFF"/>
        </w:rPr>
        <w:t>基本全覆盖</w:t>
      </w:r>
      <w:r>
        <w:rPr>
          <w:rFonts w:hint="eastAsia" w:ascii="仿宋_GB2312" w:eastAsia="仿宋_GB2312" w:cs="仿宋_GB2312"/>
          <w:szCs w:val="32"/>
          <w:shd w:val="clear" w:color="auto" w:fill="FFFFFF"/>
        </w:rPr>
        <w:t>，</w:t>
      </w:r>
      <w:r>
        <w:rPr>
          <w:rFonts w:ascii="仿宋_GB2312" w:eastAsia="仿宋_GB2312" w:cs="仿宋_GB2312"/>
          <w:szCs w:val="32"/>
          <w:shd w:val="clear" w:color="FFFFFF" w:fill="FFFFFF"/>
        </w:rPr>
        <w:t>启动特殊教育学校建设</w:t>
      </w:r>
      <w:r>
        <w:rPr>
          <w:rFonts w:hint="eastAsia" w:ascii="仿宋_GB2312" w:eastAsia="仿宋_GB2312" w:cs="仿宋_GB2312"/>
          <w:szCs w:val="32"/>
          <w:shd w:val="clear" w:color="FFFFFF" w:fill="FFFFFF"/>
        </w:rPr>
        <w:t>，加快</w:t>
      </w:r>
      <w:r>
        <w:rPr>
          <w:rFonts w:hint="eastAsia" w:ascii="仿宋_GB2312" w:eastAsia="仿宋_GB2312"/>
          <w:szCs w:val="32"/>
        </w:rPr>
        <w:t>新区特殊教育发展。爱国主义教育、民族团结进步教育以及中华民族共同体意识教育不断强化。支持西藏民族大学秦汉校区的建成启用，为新区民族教育注入了新的活力。</w:t>
      </w:r>
    </w:p>
    <w:p>
      <w:pPr>
        <w:spacing w:before="9"/>
        <w:ind w:right="261"/>
        <w:rPr>
          <w:szCs w:val="32"/>
        </w:rPr>
      </w:pPr>
      <w:bookmarkStart w:id="39" w:name="_Toc59547946"/>
      <w:bookmarkStart w:id="40" w:name="_Toc59547915"/>
      <w:bookmarkStart w:id="41" w:name="_Toc62810065"/>
      <w:r>
        <w:rPr>
          <w:b/>
          <w:bCs/>
          <w:szCs w:val="32"/>
        </w:rPr>
        <w:t>15</w:t>
      </w:r>
      <w:r>
        <w:rPr>
          <w:rFonts w:hint="eastAsia" w:ascii="仿宋_GB2312" w:cs="仿宋_GB2312"/>
          <w:b/>
          <w:bCs/>
          <w:szCs w:val="32"/>
        </w:rPr>
        <w:t>分钟社区教育圈初步形成</w:t>
      </w:r>
      <w:r>
        <w:rPr>
          <w:b/>
          <w:bCs/>
          <w:szCs w:val="32"/>
        </w:rPr>
        <w:t>。</w:t>
      </w:r>
      <w:r>
        <w:rPr>
          <w:rFonts w:hint="eastAsia"/>
          <w:szCs w:val="32"/>
        </w:rPr>
        <w:t>联合新区相关</w:t>
      </w:r>
      <w:r>
        <w:rPr>
          <w:rFonts w:hint="eastAsia" w:ascii="仿宋_GB2312"/>
          <w:szCs w:val="32"/>
        </w:rPr>
        <w:t>部门，印发《西咸新区社区教育工作指导意见》，强化社区工作人员培训，完成社区学校、教学点挂牌工作。</w:t>
      </w:r>
      <w:r>
        <w:rPr>
          <w:rFonts w:hint="eastAsia" w:ascii="仿宋_GB2312" w:cs="仿宋_GB2312"/>
          <w:szCs w:val="32"/>
        </w:rPr>
        <w:t>积极开展“全民终身学习活动周”“百姓学习之星”和“终身学习”等品牌</w:t>
      </w:r>
      <w:r>
        <w:rPr>
          <w:szCs w:val="32"/>
        </w:rPr>
        <w:t>活动。</w:t>
      </w:r>
      <w:r>
        <w:rPr>
          <w:rFonts w:hint="eastAsia"/>
          <w:szCs w:val="32"/>
        </w:rPr>
        <w:t>基本实现一社区建成一</w:t>
      </w:r>
      <w:r>
        <w:rPr>
          <w:szCs w:val="32"/>
        </w:rPr>
        <w:t>教育基地，累计</w:t>
      </w:r>
      <w:r>
        <w:rPr>
          <w:rFonts w:hint="eastAsia"/>
          <w:szCs w:val="32"/>
        </w:rPr>
        <w:t>建成</w:t>
      </w:r>
      <w:r>
        <w:rPr>
          <w:szCs w:val="32"/>
        </w:rPr>
        <w:t>社区教育学</w:t>
      </w:r>
      <w:r>
        <w:rPr>
          <w:rFonts w:hint="eastAsia" w:ascii="仿宋_GB2312" w:cs="仿宋_GB2312"/>
          <w:szCs w:val="32"/>
        </w:rPr>
        <w:t>院</w:t>
      </w:r>
      <w:r>
        <w:rPr>
          <w:szCs w:val="32"/>
        </w:rPr>
        <w:t>2所</w:t>
      </w:r>
      <w:r>
        <w:rPr>
          <w:rFonts w:hint="eastAsia"/>
          <w:szCs w:val="32"/>
        </w:rPr>
        <w:t>、</w:t>
      </w:r>
      <w:r>
        <w:rPr>
          <w:szCs w:val="32"/>
        </w:rPr>
        <w:t>社区教育学校6所</w:t>
      </w:r>
      <w:r>
        <w:rPr>
          <w:rFonts w:hint="eastAsia"/>
          <w:szCs w:val="32"/>
        </w:rPr>
        <w:t>、</w:t>
      </w:r>
      <w:r>
        <w:rPr>
          <w:szCs w:val="32"/>
        </w:rPr>
        <w:t>社区教学点111个，年开设服务市民学习的各类课程达89班次，市民</w:t>
      </w:r>
      <w:r>
        <w:rPr>
          <w:rFonts w:hint="eastAsia"/>
          <w:szCs w:val="32"/>
        </w:rPr>
        <w:t>参与</w:t>
      </w:r>
      <w:r>
        <w:rPr>
          <w:szCs w:val="32"/>
        </w:rPr>
        <w:t>学习6.9万次。</w:t>
      </w:r>
      <w:r>
        <w:rPr>
          <w:rFonts w:hint="eastAsia"/>
          <w:szCs w:val="32"/>
        </w:rPr>
        <w:t>成功举办西咸新区首届家庭教育论坛，家校共育理念深入人心。举办“描绘精彩人生”书画大赛等社区教育活动，在第二届全国“美蕴秋歌—社区文艺成果展示”活动中报送作</w:t>
      </w:r>
      <w:r>
        <w:rPr>
          <w:szCs w:val="32"/>
        </w:rPr>
        <w:t>品43项</w:t>
      </w:r>
      <w:r>
        <w:rPr>
          <w:rFonts w:hint="eastAsia"/>
          <w:szCs w:val="32"/>
        </w:rPr>
        <w:t>，</w:t>
      </w:r>
      <w:r>
        <w:rPr>
          <w:szCs w:val="32"/>
        </w:rPr>
        <w:t>报送省</w:t>
      </w:r>
      <w:r>
        <w:rPr>
          <w:rFonts w:hint="eastAsia"/>
          <w:szCs w:val="32"/>
        </w:rPr>
        <w:t>级</w:t>
      </w:r>
      <w:r>
        <w:rPr>
          <w:szCs w:val="32"/>
        </w:rPr>
        <w:t>社区教育工作典型经验及优秀成果6项</w:t>
      </w:r>
      <w:r>
        <w:rPr>
          <w:rFonts w:hint="eastAsia"/>
          <w:szCs w:val="32"/>
        </w:rPr>
        <w:t>，</w:t>
      </w:r>
      <w:r>
        <w:rPr>
          <w:szCs w:val="32"/>
        </w:rPr>
        <w:t>组织居民参与网络学习2000余人次，</w:t>
      </w:r>
      <w:r>
        <w:rPr>
          <w:rFonts w:hint="eastAsia"/>
          <w:szCs w:val="32"/>
        </w:rPr>
        <w:t>其中</w:t>
      </w:r>
      <w:r>
        <w:rPr>
          <w:szCs w:val="32"/>
        </w:rPr>
        <w:t>38人被评为市级优秀学员。</w:t>
      </w:r>
    </w:p>
    <w:p>
      <w:pPr>
        <w:overflowPunct/>
        <w:topLinePunct w:val="0"/>
        <w:autoSpaceDE/>
        <w:autoSpaceDN/>
        <w:rPr>
          <w:rFonts w:ascii="仿宋_GB2312"/>
          <w:szCs w:val="32"/>
        </w:rPr>
      </w:pPr>
      <w:r>
        <w:rPr>
          <w:rFonts w:hint="eastAsia" w:ascii="仿宋_GB2312"/>
          <w:b/>
          <w:bCs/>
          <w:szCs w:val="32"/>
        </w:rPr>
        <w:t>民办学校管理持续加强。</w:t>
      </w:r>
      <w:r>
        <w:rPr>
          <w:rFonts w:hint="eastAsia" w:ascii="仿宋_GB2312"/>
          <w:szCs w:val="32"/>
        </w:rPr>
        <w:t>制定印发《陕西省西咸新区关于促进民办教育健康发展的实施意见》《西咸新区教育卫体局等五部门关于印发现有民办学校分类登记实施办法的通知》等政策文件，实现民办教育管理有据可依、有章可循。组织召开新区民办教育管理工作大会，加强对民办学校和民办教育机构的管理服务工作，推进民办教育有序发展，规范民办学校办学行为。对校外培训机构实行常态化监管。建立校外培训机构治理联席会议制度，开展联合督导检查。加强校外培训机构摸排检查，对存在安全隐患、证照不全、超纲教学、提前教学、强化应试、培训结果与招生入学挂钩、聘用在职教师授课等问题进行常态化、不定期摸排检查。</w:t>
      </w:r>
    </w:p>
    <w:p>
      <w:pPr>
        <w:pStyle w:val="4"/>
      </w:pPr>
      <w:bookmarkStart w:id="42" w:name="_Toc79397449"/>
      <w:bookmarkStart w:id="43" w:name="_Toc79393287"/>
      <w:bookmarkStart w:id="44" w:name="_Toc130476057"/>
      <w:r>
        <w:rPr>
          <w:rFonts w:hint="eastAsia"/>
        </w:rPr>
        <w:t>（</w:t>
      </w:r>
      <w:r>
        <w:t>三</w:t>
      </w:r>
      <w:r>
        <w:rPr>
          <w:rFonts w:hint="eastAsia"/>
        </w:rPr>
        <w:t>）</w:t>
      </w:r>
      <w:r>
        <w:t>围绕</w:t>
      </w:r>
      <w:r>
        <w:rPr>
          <w:rFonts w:hint="eastAsia"/>
        </w:rPr>
        <w:t>创新</w:t>
      </w:r>
      <w:r>
        <w:t>发展</w:t>
      </w:r>
      <w:r>
        <w:rPr>
          <w:rFonts w:hint="eastAsia"/>
        </w:rPr>
        <w:t>试验</w:t>
      </w:r>
      <w:r>
        <w:t>主题</w:t>
      </w:r>
      <w:r>
        <w:rPr>
          <w:rFonts w:hint="eastAsia"/>
        </w:rPr>
        <w:t>，教育改革赢得新突破</w:t>
      </w:r>
      <w:bookmarkEnd w:id="17"/>
      <w:bookmarkEnd w:id="18"/>
      <w:bookmarkEnd w:id="39"/>
      <w:bookmarkEnd w:id="40"/>
      <w:bookmarkEnd w:id="41"/>
      <w:bookmarkEnd w:id="42"/>
      <w:bookmarkEnd w:id="43"/>
      <w:bookmarkEnd w:id="44"/>
    </w:p>
    <w:p>
      <w:pPr>
        <w:overflowPunct/>
        <w:topLinePunct w:val="0"/>
        <w:autoSpaceDE/>
        <w:autoSpaceDN/>
        <w:spacing w:line="600" w:lineRule="exact"/>
        <w:rPr>
          <w:szCs w:val="32"/>
        </w:rPr>
      </w:pPr>
      <w:bookmarkStart w:id="45" w:name="_Toc62810070"/>
      <w:bookmarkStart w:id="46" w:name="_Toc62810077"/>
      <w:bookmarkStart w:id="47" w:name="_Toc62810066"/>
      <w:r>
        <w:rPr>
          <w:b/>
          <w:bCs/>
          <w:szCs w:val="32"/>
        </w:rPr>
        <w:t>创新教师队伍管理改革。</w:t>
      </w:r>
      <w:r>
        <w:rPr>
          <w:rFonts w:hint="eastAsia"/>
          <w:szCs w:val="32"/>
        </w:rPr>
        <w:t>出台《</w:t>
      </w:r>
      <w:r>
        <w:rPr>
          <w:rFonts w:hint="eastAsia" w:ascii="仿宋_GB2312" w:cs="仿宋_GB2312"/>
          <w:szCs w:val="32"/>
        </w:rPr>
        <w:t>西咸新区关于全面加强新时代教师队伍建设的指导意见》</w:t>
      </w:r>
      <w:r>
        <w:rPr>
          <w:rFonts w:hint="eastAsia"/>
          <w:szCs w:val="32"/>
        </w:rPr>
        <w:t>《关于西咸新区名师培养引入实施方案》</w:t>
      </w:r>
      <w:r>
        <w:rPr>
          <w:szCs w:val="32"/>
        </w:rPr>
        <w:t>，</w:t>
      </w:r>
      <w:r>
        <w:rPr>
          <w:rFonts w:hint="eastAsia"/>
          <w:szCs w:val="32"/>
        </w:rPr>
        <w:t>完善教师岗位核定标准</w:t>
      </w:r>
      <w:r>
        <w:rPr>
          <w:szCs w:val="32"/>
        </w:rPr>
        <w:t>，</w:t>
      </w:r>
      <w:r>
        <w:rPr>
          <w:rFonts w:hint="eastAsia"/>
          <w:szCs w:val="32"/>
        </w:rPr>
        <w:t>着力培养和引入一批名教师，加快新区师资骨干体系建设，建立中小学教职工区域内统筹调剂机制和动态管理机制</w:t>
      </w:r>
      <w:r>
        <w:rPr>
          <w:szCs w:val="32"/>
        </w:rPr>
        <w:t>。</w:t>
      </w:r>
      <w:r>
        <w:rPr>
          <w:rFonts w:hint="eastAsia"/>
          <w:szCs w:val="32"/>
        </w:rPr>
        <w:t>全面落实新聘教师入职资格考试制度、教师资格定期注册制度与幼儿园新入职教师持证上岗制度。全面推行校长职级制改革和教师聘用制改革。</w:t>
      </w:r>
      <w:r>
        <w:rPr>
          <w:szCs w:val="32"/>
        </w:rPr>
        <w:t>对新建公办中小学校和幼儿园</w:t>
      </w:r>
      <w:r>
        <w:rPr>
          <w:rFonts w:hint="eastAsia"/>
          <w:szCs w:val="32"/>
        </w:rPr>
        <w:t>全面</w:t>
      </w:r>
      <w:r>
        <w:rPr>
          <w:szCs w:val="32"/>
        </w:rPr>
        <w:t>实施聘任制，</w:t>
      </w:r>
      <w:r>
        <w:rPr>
          <w:rFonts w:hint="eastAsia"/>
          <w:szCs w:val="32"/>
        </w:rPr>
        <w:t>存量</w:t>
      </w:r>
      <w:r>
        <w:rPr>
          <w:szCs w:val="32"/>
        </w:rPr>
        <w:t>公办中小学和幼儿园</w:t>
      </w:r>
      <w:r>
        <w:rPr>
          <w:rFonts w:hint="eastAsia"/>
          <w:szCs w:val="32"/>
        </w:rPr>
        <w:t>在条件成熟情况下</w:t>
      </w:r>
      <w:r>
        <w:rPr>
          <w:szCs w:val="32"/>
        </w:rPr>
        <w:t>实施聘任制，</w:t>
      </w:r>
      <w:r>
        <w:rPr>
          <w:rFonts w:hint="eastAsia" w:ascii="仿宋_GB2312" w:cs="仿宋_GB2312"/>
          <w:szCs w:val="32"/>
        </w:rPr>
        <w:t>逐步建立“教师能进能出、职务能高能低、待遇能上能下”的用人机制和合理退出机制。</w:t>
      </w:r>
      <w:r>
        <w:rPr>
          <w:szCs w:val="32"/>
        </w:rPr>
        <w:t>落实和扩大学校教师资源配置和人事管理自主权，充分调动广大教职工教书育人积极性，</w:t>
      </w:r>
      <w:r>
        <w:rPr>
          <w:rFonts w:hint="eastAsia"/>
          <w:szCs w:val="32"/>
        </w:rPr>
        <w:t>逐步建立起</w:t>
      </w:r>
      <w:r>
        <w:rPr>
          <w:szCs w:val="32"/>
        </w:rPr>
        <w:t>一支素质优良、结构合理、流动有序、数量适需、充满生机与活力的教职工队伍。</w:t>
      </w:r>
      <w:r>
        <w:rPr>
          <w:rFonts w:hint="eastAsia"/>
          <w:szCs w:val="32"/>
        </w:rPr>
        <w:t>重视教师待遇，全区已实现义务教育教师平均工资收入水平不低于当地公务员平均工资收入水平。</w:t>
      </w:r>
    </w:p>
    <w:p>
      <w:pPr>
        <w:rPr>
          <w:rFonts w:ascii="仿宋_GB2312" w:cs="仿宋_GB2312"/>
          <w:szCs w:val="32"/>
          <w:shd w:val="clear" w:color="auto" w:fill="FFFFFF"/>
        </w:rPr>
      </w:pPr>
      <w:r>
        <w:rPr>
          <w:rFonts w:hint="eastAsia"/>
          <w:b/>
          <w:bCs/>
          <w:szCs w:val="32"/>
        </w:rPr>
        <w:t>优质教育资源改革持续推进。</w:t>
      </w:r>
      <w:bookmarkEnd w:id="45"/>
      <w:bookmarkEnd w:id="46"/>
      <w:bookmarkStart w:id="48" w:name="_Toc62810078"/>
      <w:r>
        <w:rPr>
          <w:rFonts w:hint="eastAsia"/>
          <w:szCs w:val="32"/>
        </w:rPr>
        <w:t>实施《西咸新区“</w:t>
      </w:r>
      <w:r>
        <w:rPr>
          <w:szCs w:val="32"/>
        </w:rPr>
        <w:t>名校+</w:t>
      </w:r>
      <w:r>
        <w:rPr>
          <w:rFonts w:hint="eastAsia"/>
          <w:szCs w:val="32"/>
        </w:rPr>
        <w:t>”</w:t>
      </w:r>
      <w:r>
        <w:rPr>
          <w:szCs w:val="32"/>
        </w:rPr>
        <w:t>三年行动计划（2019</w:t>
      </w:r>
      <w:r>
        <w:rPr>
          <w:rFonts w:hint="eastAsia"/>
          <w:szCs w:val="32"/>
        </w:rPr>
        <w:t>－20</w:t>
      </w:r>
      <w:r>
        <w:rPr>
          <w:szCs w:val="32"/>
        </w:rPr>
        <w:t>21年）》，运用名校托管、团队引入、校长引入、结对帮扶四种模式</w:t>
      </w:r>
      <w:r>
        <w:rPr>
          <w:rFonts w:hint="eastAsia"/>
          <w:szCs w:val="32"/>
        </w:rPr>
        <w:t>扎实</w:t>
      </w:r>
      <w:r>
        <w:rPr>
          <w:szCs w:val="32"/>
        </w:rPr>
        <w:t>推进</w:t>
      </w:r>
      <w:r>
        <w:rPr>
          <w:rFonts w:hint="eastAsia"/>
          <w:szCs w:val="32"/>
        </w:rPr>
        <w:t>“名校</w:t>
      </w:r>
      <w:r>
        <w:rPr>
          <w:szCs w:val="32"/>
        </w:rPr>
        <w:t>+</w:t>
      </w:r>
      <w:r>
        <w:rPr>
          <w:rFonts w:hint="eastAsia"/>
          <w:szCs w:val="32"/>
        </w:rPr>
        <w:t>”</w:t>
      </w:r>
      <w:r>
        <w:rPr>
          <w:szCs w:val="32"/>
        </w:rPr>
        <w:t>行动计划，累计组建</w:t>
      </w:r>
      <w:r>
        <w:rPr>
          <w:rFonts w:hint="eastAsia"/>
          <w:szCs w:val="32"/>
        </w:rPr>
        <w:t>“名校</w:t>
      </w:r>
      <w:r>
        <w:rPr>
          <w:szCs w:val="32"/>
        </w:rPr>
        <w:t>+</w:t>
      </w:r>
      <w:r>
        <w:rPr>
          <w:rFonts w:hint="eastAsia"/>
          <w:szCs w:val="32"/>
        </w:rPr>
        <w:t>”共同体104</w:t>
      </w:r>
      <w:r>
        <w:rPr>
          <w:szCs w:val="32"/>
        </w:rPr>
        <w:t>个</w:t>
      </w:r>
      <w:r>
        <w:rPr>
          <w:rFonts w:hint="eastAsia"/>
          <w:szCs w:val="32"/>
        </w:rPr>
        <w:t>，新建学校引入“名校办名校”覆盖率达100%；引入清华附中、西安高新一中、陕西师大附中、交大附中、西安中学、黄冈中学等优质教育资源，极大缓解了择校热，全面消除了56人以上大班额，使辖区教育满意度持续提升。</w:t>
      </w:r>
      <w:r>
        <w:rPr>
          <w:rFonts w:hint="eastAsia" w:ascii="仿宋_GB2312" w:cs="仿宋_GB2312"/>
          <w:szCs w:val="32"/>
          <w:shd w:val="clear" w:color="auto" w:fill="FFFFFF"/>
        </w:rPr>
        <w:t>出台《西咸新区居住区配套教育设施建设管理办法（试行）》《西咸新区住宅项目配套幼儿园、社区综合服务用房交付标准》《幼儿园、中小学A级建设品质标准》，实现教育设施同步规划、同步设计、同步建设、同步交付使用，确保所有新建学校全部按</w:t>
      </w:r>
      <w:r>
        <w:rPr>
          <w:szCs w:val="32"/>
          <w:shd w:val="clear" w:color="auto" w:fill="FFFFFF"/>
        </w:rPr>
        <w:t>照A级</w:t>
      </w:r>
      <w:r>
        <w:rPr>
          <w:rFonts w:hint="eastAsia" w:ascii="仿宋_GB2312" w:cs="仿宋_GB2312"/>
          <w:szCs w:val="32"/>
          <w:shd w:val="clear" w:color="auto" w:fill="FFFFFF"/>
        </w:rPr>
        <w:t>标准规划建设和装修，实现住宅项目配建教育设施无偿移交。</w:t>
      </w:r>
    </w:p>
    <w:p>
      <w:pPr>
        <w:rPr>
          <w:szCs w:val="32"/>
        </w:rPr>
      </w:pPr>
      <w:r>
        <w:rPr>
          <w:rFonts w:hint="eastAsia"/>
          <w:b/>
          <w:bCs/>
          <w:szCs w:val="32"/>
        </w:rPr>
        <w:t>教科研水平稳步提升</w:t>
      </w:r>
      <w:bookmarkEnd w:id="48"/>
      <w:r>
        <w:rPr>
          <w:rFonts w:hint="eastAsia"/>
          <w:b/>
          <w:bCs/>
          <w:szCs w:val="32"/>
        </w:rPr>
        <w:t>。</w:t>
      </w:r>
      <w:r>
        <w:rPr>
          <w:rFonts w:hint="eastAsia" w:ascii="仿宋_GB2312" w:cs="仿宋_GB2312"/>
          <w:szCs w:val="32"/>
        </w:rPr>
        <w:t>创新工作机制，加强与专业机构的横向联系，形成相互协作、成果共享、共同发展的教科研体系。重点做好全区教科研工作的统筹指导，制定工作计划，开展区域教研、联片教研、专题教研活动，开展优质课教学展示及评优活动。重心下移，组织专家深入学校进行现场指导，聘用</w:t>
      </w:r>
      <w:r>
        <w:rPr>
          <w:szCs w:val="32"/>
        </w:rPr>
        <w:t>38</w:t>
      </w:r>
      <w:r>
        <w:rPr>
          <w:rFonts w:hint="eastAsia" w:ascii="仿宋_GB2312" w:cs="仿宋_GB2312"/>
          <w:szCs w:val="32"/>
        </w:rPr>
        <w:t>名兼职教研员，建立</w:t>
      </w:r>
      <w:r>
        <w:rPr>
          <w:szCs w:val="32"/>
        </w:rPr>
        <w:t>40</w:t>
      </w:r>
      <w:r>
        <w:rPr>
          <w:rFonts w:hint="eastAsia" w:ascii="仿宋_GB2312" w:cs="仿宋_GB2312"/>
          <w:szCs w:val="32"/>
        </w:rPr>
        <w:t>个学科教研基地，以实施新课程新教材、探索新方法新技术、提高教师专业能力为重点，指导学校、教师加强校本教研。因地制宜采用多种方式，突出德育实效、提升智育水平、强化体育锻炼、增强美育熏陶、加强劳动教育等教学研究，提升教科研工作的针对性、有效性和创新性。加强国家课程方案、课程标准及统编教材的研究，指导学校和教师落实国家课程和完成教学任务。适应新科技发展，促进信息技术与课程教学的深度融合，提高教师的专业化水平和创新能力。</w:t>
      </w:r>
    </w:p>
    <w:bookmarkEnd w:id="47"/>
    <w:p>
      <w:pPr>
        <w:pStyle w:val="2"/>
        <w:rPr>
          <w:rFonts w:ascii="仿宋_GB2312" w:eastAsia="仿宋_GB2312"/>
          <w:szCs w:val="32"/>
        </w:rPr>
      </w:pPr>
      <w:r>
        <w:rPr>
          <w:rFonts w:hint="eastAsia" w:ascii="仿宋_GB2312" w:eastAsia="仿宋_GB2312"/>
          <w:b/>
          <w:bCs/>
          <w:szCs w:val="32"/>
        </w:rPr>
        <w:t>信息化建设稳步推进。</w:t>
      </w:r>
      <w:r>
        <w:rPr>
          <w:rFonts w:hint="eastAsia" w:ascii="仿宋_GB2312" w:eastAsia="仿宋_GB2312"/>
          <w:szCs w:val="32"/>
        </w:rPr>
        <w:t>获批教育部“基于教学改革、融合信息技术的新型教与学模式”实验区。制定《西咸新区教育信息化提升计划</w:t>
      </w:r>
      <w:r>
        <w:rPr>
          <w:rFonts w:eastAsia="仿宋_GB2312"/>
          <w:szCs w:val="32"/>
        </w:rPr>
        <w:t>（2019</w:t>
      </w:r>
      <w:r>
        <w:rPr>
          <w:rFonts w:hint="eastAsia" w:eastAsia="仿宋_GB2312"/>
          <w:szCs w:val="32"/>
        </w:rPr>
        <w:t>－</w:t>
      </w:r>
      <w:r>
        <w:rPr>
          <w:rFonts w:eastAsia="仿宋_GB2312"/>
          <w:szCs w:val="32"/>
        </w:rPr>
        <w:t>2020年）</w:t>
      </w:r>
      <w:r>
        <w:rPr>
          <w:rFonts w:hint="eastAsia" w:ascii="仿宋_GB2312" w:eastAsia="仿宋_GB2312"/>
          <w:szCs w:val="32"/>
        </w:rPr>
        <w:t>》，基本实现教育信息化对学生全面发展的促进作用、对深化教育领域综合改革的支撑作用和对教育创新优质发展的提升作用。新区教育信息化硬件环境大幅提升，“三通工程”建设任务全面完成，</w:t>
      </w:r>
      <w:r>
        <w:rPr>
          <w:rFonts w:eastAsia="仿宋_GB2312"/>
          <w:szCs w:val="32"/>
          <w:shd w:val="clear" w:color="auto" w:fill="FFFFFF"/>
        </w:rPr>
        <w:t>培育市级</w:t>
      </w:r>
      <w:r>
        <w:rPr>
          <w:rFonts w:hint="eastAsia" w:eastAsia="仿宋_GB2312"/>
          <w:szCs w:val="32"/>
          <w:shd w:val="clear" w:color="auto" w:fill="FFFFFF"/>
        </w:rPr>
        <w:t>和</w:t>
      </w:r>
      <w:r>
        <w:rPr>
          <w:rFonts w:eastAsia="仿宋_GB2312"/>
          <w:szCs w:val="32"/>
          <w:shd w:val="clear" w:color="auto" w:fill="FFFFFF"/>
        </w:rPr>
        <w:t>新区级智慧校园7所、创客教室优秀学校12所、创新示范校5所</w:t>
      </w:r>
      <w:r>
        <w:rPr>
          <w:rFonts w:eastAsia="仿宋_GB2312"/>
          <w:szCs w:val="32"/>
        </w:rPr>
        <w:t>。</w:t>
      </w:r>
      <w:r>
        <w:rPr>
          <w:rFonts w:hint="eastAsia" w:ascii="仿宋_GB2312" w:eastAsia="仿宋_GB2312"/>
          <w:szCs w:val="32"/>
        </w:rPr>
        <w:t>实施中小学教师信息技术应用能力提升工程</w:t>
      </w:r>
      <w:r>
        <w:rPr>
          <w:rFonts w:eastAsia="仿宋_GB2312"/>
          <w:szCs w:val="32"/>
        </w:rPr>
        <w:t>2.0</w:t>
      </w:r>
      <w:r>
        <w:rPr>
          <w:rFonts w:hint="eastAsia" w:ascii="仿宋_GB2312" w:eastAsia="仿宋_GB2312"/>
          <w:szCs w:val="32"/>
        </w:rPr>
        <w:t>，完成新区教师接受三年累计不少于</w:t>
      </w:r>
      <w:r>
        <w:rPr>
          <w:rFonts w:eastAsia="仿宋_GB2312"/>
          <w:szCs w:val="32"/>
        </w:rPr>
        <w:t>50</w:t>
      </w:r>
      <w:r>
        <w:rPr>
          <w:rFonts w:hint="eastAsia" w:ascii="仿宋_GB2312" w:eastAsia="仿宋_GB2312"/>
          <w:szCs w:val="32"/>
        </w:rPr>
        <w:t>学时目标的教育信息化培训任务。</w:t>
      </w:r>
    </w:p>
    <w:p>
      <w:pPr>
        <w:pStyle w:val="4"/>
      </w:pPr>
      <w:bookmarkStart w:id="49" w:name="_Toc62810071"/>
      <w:bookmarkStart w:id="50" w:name="_Toc79393288"/>
      <w:bookmarkStart w:id="51" w:name="_Toc59180845"/>
      <w:bookmarkStart w:id="52" w:name="_Toc59547916"/>
      <w:bookmarkStart w:id="53" w:name="_Toc59180799"/>
      <w:bookmarkStart w:id="54" w:name="_Toc59547947"/>
      <w:bookmarkStart w:id="55" w:name="_Toc79397450"/>
      <w:bookmarkStart w:id="56" w:name="_Toc130476058"/>
      <w:r>
        <w:rPr>
          <w:rFonts w:hint="eastAsia"/>
        </w:rPr>
        <w:t>（</w:t>
      </w:r>
      <w:r>
        <w:t>四</w:t>
      </w:r>
      <w:r>
        <w:rPr>
          <w:rFonts w:hint="eastAsia"/>
        </w:rPr>
        <w:t>）全面推进依法治教工作，教育管理取得新成效</w:t>
      </w:r>
      <w:bookmarkEnd w:id="49"/>
      <w:bookmarkEnd w:id="50"/>
      <w:bookmarkEnd w:id="51"/>
      <w:bookmarkEnd w:id="52"/>
      <w:bookmarkEnd w:id="53"/>
      <w:bookmarkEnd w:id="54"/>
      <w:bookmarkEnd w:id="55"/>
      <w:bookmarkEnd w:id="56"/>
    </w:p>
    <w:p>
      <w:pPr>
        <w:pStyle w:val="2"/>
        <w:rPr>
          <w:rFonts w:eastAsia="仿宋_GB2312"/>
          <w:szCs w:val="32"/>
        </w:rPr>
      </w:pPr>
      <w:r>
        <w:rPr>
          <w:rFonts w:hint="eastAsia" w:ascii="仿宋_GB2312" w:eastAsia="仿宋_GB2312" w:cs="仿宋_GB2312"/>
          <w:b/>
          <w:bCs/>
          <w:szCs w:val="32"/>
        </w:rPr>
        <w:t>教育系统党的建设全面加强。</w:t>
      </w:r>
      <w:bookmarkStart w:id="57" w:name="_Toc62810074"/>
      <w:r>
        <w:rPr>
          <w:rFonts w:hint="eastAsia" w:ascii="仿宋_GB2312" w:eastAsia="仿宋_GB2312" w:cs="仿宋_GB2312"/>
          <w:bCs/>
          <w:szCs w:val="32"/>
        </w:rPr>
        <w:t>坚决理清压实“两个责任”，定制“一岗双责”责任清单，强化压力传导、责任考核、责任追究工作，健全完善体制机制，细化实施各项措施，管好干部、带好队伍、做好表率。</w:t>
      </w:r>
      <w:r>
        <w:rPr>
          <w:rFonts w:hint="eastAsia" w:eastAsia="仿宋_GB2312"/>
          <w:szCs w:val="32"/>
        </w:rPr>
        <w:t>完善新区、新城两级教育部门党组织党建工作责任制，将从严治党根本任务落到实处。健全新区新城党政领导班子成员定点联系学校制度，党内监督和纪检监察工作不断深化。加大各类学校党组织建设，实现教育系统党组织和党的工作全覆盖。大力推进廉政文化进校园，营造教育系统风清气正生态环境。</w:t>
      </w:r>
    </w:p>
    <w:bookmarkEnd w:id="57"/>
    <w:p>
      <w:pPr>
        <w:overflowPunct/>
        <w:topLinePunct w:val="0"/>
        <w:autoSpaceDE/>
        <w:autoSpaceDN/>
        <w:rPr>
          <w:szCs w:val="32"/>
        </w:rPr>
      </w:pPr>
      <w:r>
        <w:rPr>
          <w:b/>
          <w:bCs/>
          <w:szCs w:val="32"/>
        </w:rPr>
        <w:t>教育督导</w:t>
      </w:r>
      <w:r>
        <w:rPr>
          <w:rFonts w:hint="eastAsia"/>
          <w:b/>
          <w:bCs/>
          <w:szCs w:val="32"/>
        </w:rPr>
        <w:t>督学任务</w:t>
      </w:r>
      <w:r>
        <w:rPr>
          <w:b/>
          <w:bCs/>
          <w:szCs w:val="32"/>
        </w:rPr>
        <w:t>落到实处</w:t>
      </w:r>
      <w:r>
        <w:rPr>
          <w:rFonts w:hint="eastAsia"/>
          <w:b/>
          <w:bCs/>
          <w:szCs w:val="32"/>
        </w:rPr>
        <w:t>。</w:t>
      </w:r>
      <w:r>
        <w:rPr>
          <w:szCs w:val="32"/>
        </w:rPr>
        <w:t>成立西咸新区管委会教育督导委员会，高</w:t>
      </w:r>
      <w:r>
        <w:rPr>
          <w:rFonts w:hint="eastAsia"/>
          <w:szCs w:val="32"/>
        </w:rPr>
        <w:t>标准</w:t>
      </w:r>
      <w:r>
        <w:rPr>
          <w:szCs w:val="32"/>
        </w:rPr>
        <w:t>选聘104名校长和管理人员聘任为第一届西咸新区督学。积极配合</w:t>
      </w:r>
      <w:r>
        <w:rPr>
          <w:rFonts w:hint="eastAsia"/>
          <w:szCs w:val="32"/>
        </w:rPr>
        <w:t>原行政区</w:t>
      </w:r>
      <w:r>
        <w:rPr>
          <w:szCs w:val="32"/>
        </w:rPr>
        <w:t>做好国家义务教育发展基本均衡县（区）复检工作，实施</w:t>
      </w:r>
      <w:r>
        <w:rPr>
          <w:rFonts w:hint="eastAsia"/>
          <w:szCs w:val="32"/>
        </w:rPr>
        <w:t>“</w:t>
      </w:r>
      <w:r>
        <w:rPr>
          <w:szCs w:val="32"/>
        </w:rPr>
        <w:t>陕西省教育质量提升督导评估316工程”暨校园长履职督导考核评估工作。</w:t>
      </w:r>
      <w:r>
        <w:rPr>
          <w:rFonts w:hint="eastAsia"/>
          <w:szCs w:val="32"/>
        </w:rPr>
        <w:t>“</w:t>
      </w:r>
      <w:r>
        <w:rPr>
          <w:szCs w:val="32"/>
        </w:rPr>
        <w:t>十三五</w:t>
      </w:r>
      <w:r>
        <w:rPr>
          <w:rFonts w:hint="eastAsia"/>
          <w:szCs w:val="32"/>
        </w:rPr>
        <w:t>”</w:t>
      </w:r>
      <w:r>
        <w:rPr>
          <w:szCs w:val="32"/>
        </w:rPr>
        <w:t>期间</w:t>
      </w:r>
      <w:r>
        <w:rPr>
          <w:rFonts w:hint="eastAsia"/>
          <w:szCs w:val="32"/>
        </w:rPr>
        <w:t>，1</w:t>
      </w:r>
      <w:r>
        <w:rPr>
          <w:szCs w:val="32"/>
        </w:rPr>
        <w:t>00</w:t>
      </w:r>
      <w:r>
        <w:rPr>
          <w:rFonts w:hint="eastAsia"/>
          <w:szCs w:val="32"/>
        </w:rPr>
        <w:t>%完成了“</w:t>
      </w:r>
      <w:r>
        <w:rPr>
          <w:szCs w:val="32"/>
        </w:rPr>
        <w:t>316工程</w:t>
      </w:r>
      <w:r>
        <w:rPr>
          <w:rFonts w:hint="eastAsia"/>
          <w:szCs w:val="32"/>
        </w:rPr>
        <w:t>”</w:t>
      </w:r>
      <w:r>
        <w:rPr>
          <w:szCs w:val="32"/>
        </w:rPr>
        <w:t>督导评估</w:t>
      </w:r>
      <w:r>
        <w:rPr>
          <w:rFonts w:hint="eastAsia"/>
          <w:szCs w:val="32"/>
        </w:rPr>
        <w:t>工作</w:t>
      </w:r>
      <w:r>
        <w:rPr>
          <w:szCs w:val="32"/>
        </w:rPr>
        <w:t>。实施</w:t>
      </w:r>
      <w:r>
        <w:rPr>
          <w:rFonts w:hint="eastAsia"/>
          <w:szCs w:val="32"/>
        </w:rPr>
        <w:t>“</w:t>
      </w:r>
      <w:r>
        <w:rPr>
          <w:szCs w:val="32"/>
        </w:rPr>
        <w:t>线上+线下</w:t>
      </w:r>
      <w:r>
        <w:rPr>
          <w:rFonts w:hint="eastAsia"/>
          <w:szCs w:val="32"/>
        </w:rPr>
        <w:t>”“</w:t>
      </w:r>
      <w:r>
        <w:rPr>
          <w:szCs w:val="32"/>
        </w:rPr>
        <w:t>网上+实地</w:t>
      </w:r>
      <w:r>
        <w:rPr>
          <w:rFonts w:hint="eastAsia"/>
          <w:szCs w:val="32"/>
        </w:rPr>
        <w:t>”</w:t>
      </w:r>
      <w:r>
        <w:rPr>
          <w:szCs w:val="32"/>
        </w:rPr>
        <w:t>评估相结合的评估模式，推进</w:t>
      </w:r>
      <w:r>
        <w:rPr>
          <w:rFonts w:hint="eastAsia"/>
          <w:szCs w:val="32"/>
        </w:rPr>
        <w:t>“</w:t>
      </w:r>
      <w:r>
        <w:rPr>
          <w:szCs w:val="32"/>
        </w:rPr>
        <w:t>幼儿园办园行为督导评估</w:t>
      </w:r>
      <w:r>
        <w:rPr>
          <w:rFonts w:hint="eastAsia"/>
          <w:szCs w:val="32"/>
        </w:rPr>
        <w:t>”</w:t>
      </w:r>
      <w:r>
        <w:rPr>
          <w:szCs w:val="32"/>
        </w:rPr>
        <w:t>工作，100%完成227所（含未在册园）自查自评</w:t>
      </w:r>
      <w:r>
        <w:rPr>
          <w:rFonts w:hint="eastAsia"/>
          <w:szCs w:val="32"/>
        </w:rPr>
        <w:t>和</w:t>
      </w:r>
      <w:r>
        <w:rPr>
          <w:szCs w:val="32"/>
        </w:rPr>
        <w:t>督评</w:t>
      </w:r>
      <w:r>
        <w:rPr>
          <w:rFonts w:hint="eastAsia"/>
          <w:szCs w:val="32"/>
        </w:rPr>
        <w:t>工作</w:t>
      </w:r>
      <w:r>
        <w:rPr>
          <w:szCs w:val="32"/>
        </w:rPr>
        <w:t>。</w:t>
      </w:r>
    </w:p>
    <w:p>
      <w:pPr>
        <w:pStyle w:val="8"/>
        <w:rPr>
          <w:snapToGrid w:val="0"/>
          <w:kern w:val="0"/>
          <w:szCs w:val="32"/>
        </w:rPr>
      </w:pPr>
      <w:r>
        <w:rPr>
          <w:rFonts w:hint="eastAsia" w:ascii="仿宋_GB2312" w:cs="仿宋_GB2312"/>
          <w:b/>
          <w:bCs/>
          <w:szCs w:val="32"/>
        </w:rPr>
        <w:t>校园安全防范建设全面推进。</w:t>
      </w:r>
      <w:r>
        <w:rPr>
          <w:rFonts w:hint="eastAsia" w:ascii="仿宋_GB2312" w:cs="仿宋_GB2312"/>
          <w:szCs w:val="32"/>
        </w:rPr>
        <w:t>完善新区、新城、学区、学校四级安全管理体系。建立新区教育系统安全管理专家库，吸纳安全专家</w:t>
      </w:r>
      <w:r>
        <w:rPr>
          <w:szCs w:val="32"/>
        </w:rPr>
        <w:t>33名，开展</w:t>
      </w:r>
      <w:r>
        <w:t>新区安全检查督查</w:t>
      </w:r>
      <w:r>
        <w:rPr>
          <w:rFonts w:hint="eastAsia"/>
        </w:rPr>
        <w:t>工作</w:t>
      </w:r>
      <w:r>
        <w:rPr>
          <w:rFonts w:hint="eastAsia" w:ascii="仿宋_GB2312" w:cs="仿宋_GB2312"/>
        </w:rPr>
        <w:t>。</w:t>
      </w:r>
      <w:r>
        <w:rPr>
          <w:rFonts w:hint="eastAsia" w:ascii="仿宋_GB2312" w:cs="仿宋_GB2312"/>
          <w:szCs w:val="32"/>
        </w:rPr>
        <w:t>建立信息报送、媒体舆情监测两个安全联席会议制度，科学高效监管教育重点领域。制定《校车安全管理联席会制度》，建立校车台账和责任书管理制度，</w:t>
      </w:r>
      <w:r>
        <w:rPr>
          <w:rFonts w:hint="eastAsia" w:ascii="仿宋_GB2312" w:cs="楷体_GB2312"/>
          <w:szCs w:val="32"/>
        </w:rPr>
        <w:t>加大人防、技防、物防投入力度</w:t>
      </w:r>
      <w:r>
        <w:rPr>
          <w:rFonts w:hint="eastAsia" w:ascii="仿宋_GB2312" w:cs="仿宋_GB2312"/>
          <w:szCs w:val="32"/>
        </w:rPr>
        <w:t>。做好中小学欺凌和暴力防治工作宣传教育，建立</w:t>
      </w:r>
      <w:r>
        <w:rPr>
          <w:rFonts w:ascii="仿宋_GB2312" w:cs="仿宋_GB2312"/>
          <w:szCs w:val="32"/>
        </w:rPr>
        <w:t>防欺凌基础保障</w:t>
      </w:r>
      <w:r>
        <w:rPr>
          <w:rFonts w:hint="eastAsia" w:ascii="仿宋_GB2312" w:cs="仿宋_GB2312"/>
          <w:szCs w:val="32"/>
        </w:rPr>
        <w:t>机制。依托第三方机构定期开展校园风险评估。加强健康教育培训，使</w:t>
      </w:r>
      <w:r>
        <w:rPr>
          <w:snapToGrid w:val="0"/>
          <w:kern w:val="0"/>
          <w:szCs w:val="32"/>
        </w:rPr>
        <w:t>卫生健康教育知识和健康生活方式得到全面普及，学生卫生习惯明显养成，影响健康的主要危险因素得到有效控制，</w:t>
      </w:r>
      <w:r>
        <w:rPr>
          <w:rFonts w:hint="eastAsia"/>
          <w:snapToGrid w:val="0"/>
          <w:kern w:val="0"/>
          <w:szCs w:val="32"/>
        </w:rPr>
        <w:t>让学校成为师生高品质的</w:t>
      </w:r>
      <w:r>
        <w:rPr>
          <w:snapToGrid w:val="0"/>
          <w:kern w:val="0"/>
          <w:szCs w:val="32"/>
        </w:rPr>
        <w:t>健康学习生活环境。</w:t>
      </w:r>
    </w:p>
    <w:p>
      <w:pPr>
        <w:widowControl/>
        <w:overflowPunct/>
        <w:topLinePunct w:val="0"/>
        <w:autoSpaceDE/>
        <w:autoSpaceDN/>
        <w:ind w:firstLine="0" w:firstLineChars="0"/>
        <w:jc w:val="center"/>
        <w:rPr>
          <w:rFonts w:ascii="仿宋_GB2312"/>
          <w:b/>
          <w:bCs/>
          <w:sz w:val="28"/>
          <w:szCs w:val="28"/>
        </w:rPr>
      </w:pPr>
      <w:r>
        <w:rPr>
          <w:rFonts w:hint="eastAsia" w:ascii="仿宋_GB2312"/>
          <w:b/>
          <w:bCs/>
          <w:sz w:val="28"/>
          <w:szCs w:val="28"/>
        </w:rPr>
        <w:t>表</w:t>
      </w:r>
      <w:r>
        <w:rPr>
          <w:rFonts w:ascii="Times New Roman Regular" w:hAnsi="Times New Roman Regular" w:cs="Times New Roman Regular"/>
          <w:bCs/>
          <w:sz w:val="28"/>
          <w:szCs w:val="28"/>
        </w:rPr>
        <w:t>1</w:t>
      </w:r>
      <w:r>
        <w:rPr>
          <w:rFonts w:hint="eastAsia" w:ascii="仿宋_GB2312"/>
          <w:b/>
          <w:bCs/>
          <w:sz w:val="28"/>
          <w:szCs w:val="28"/>
        </w:rPr>
        <w:t>：西咸新</w:t>
      </w:r>
      <w:r>
        <w:rPr>
          <w:b/>
          <w:bCs/>
          <w:sz w:val="28"/>
          <w:szCs w:val="28"/>
        </w:rPr>
        <w:t>区2017</w:t>
      </w:r>
      <w:r>
        <w:rPr>
          <w:rFonts w:hint="eastAsia"/>
          <w:b/>
          <w:bCs/>
          <w:sz w:val="28"/>
          <w:szCs w:val="28"/>
        </w:rPr>
        <w:t>－</w:t>
      </w:r>
      <w:r>
        <w:rPr>
          <w:b/>
          <w:bCs/>
          <w:sz w:val="28"/>
          <w:szCs w:val="28"/>
        </w:rPr>
        <w:t>2020年</w:t>
      </w:r>
      <w:r>
        <w:rPr>
          <w:rFonts w:hint="eastAsia"/>
          <w:b/>
          <w:bCs/>
          <w:sz w:val="28"/>
          <w:szCs w:val="28"/>
        </w:rPr>
        <w:t>度</w:t>
      </w:r>
      <w:r>
        <w:rPr>
          <w:rFonts w:hint="eastAsia" w:ascii="仿宋_GB2312"/>
          <w:b/>
          <w:bCs/>
          <w:sz w:val="28"/>
          <w:szCs w:val="28"/>
        </w:rPr>
        <w:t>教育发展情况一览表</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5"/>
        <w:gridCol w:w="4039"/>
        <w:gridCol w:w="1102"/>
        <w:gridCol w:w="1157"/>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tblHeader/>
        </w:trPr>
        <w:tc>
          <w:tcPr>
            <w:tcW w:w="50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Fonts w:ascii="黑体" w:eastAsia="黑体" w:cs="黑体"/>
                <w:b/>
                <w:sz w:val="24"/>
                <w:szCs w:val="24"/>
              </w:rPr>
            </w:pPr>
            <w:r>
              <w:rPr>
                <w:rFonts w:hint="eastAsia" w:ascii="黑体" w:eastAsia="黑体" w:cs="黑体"/>
                <w:b/>
                <w:kern w:val="0"/>
                <w:sz w:val="24"/>
                <w:szCs w:val="24"/>
              </w:rPr>
              <w:t>序号</w:t>
            </w:r>
          </w:p>
        </w:tc>
        <w:tc>
          <w:tcPr>
            <w:tcW w:w="2277"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Fonts w:ascii="黑体" w:eastAsia="黑体" w:cs="黑体"/>
                <w:b/>
                <w:sz w:val="24"/>
                <w:szCs w:val="24"/>
              </w:rPr>
            </w:pPr>
            <w:r>
              <w:rPr>
                <w:rFonts w:hint="eastAsia" w:ascii="黑体" w:eastAsia="黑体" w:cs="黑体"/>
                <w:b/>
                <w:kern w:val="0"/>
                <w:sz w:val="24"/>
                <w:szCs w:val="24"/>
              </w:rPr>
              <w:t>指标</w:t>
            </w:r>
          </w:p>
        </w:tc>
        <w:tc>
          <w:tcPr>
            <w:tcW w:w="621"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Fonts w:ascii="黑体" w:eastAsia="黑体" w:cs="黑体"/>
                <w:b/>
                <w:sz w:val="24"/>
                <w:szCs w:val="24"/>
              </w:rPr>
            </w:pPr>
            <w:r>
              <w:rPr>
                <w:rFonts w:hint="eastAsia" w:ascii="黑体" w:eastAsia="黑体" w:cs="黑体"/>
                <w:b/>
                <w:kern w:val="0"/>
                <w:sz w:val="24"/>
                <w:szCs w:val="24"/>
              </w:rPr>
              <w:t>单位</w:t>
            </w:r>
          </w:p>
        </w:tc>
        <w:tc>
          <w:tcPr>
            <w:tcW w:w="652"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Fonts w:eastAsia="黑体"/>
                <w:b/>
                <w:sz w:val="24"/>
                <w:szCs w:val="24"/>
              </w:rPr>
            </w:pPr>
            <w:r>
              <w:rPr>
                <w:rFonts w:eastAsia="黑体"/>
                <w:b/>
                <w:kern w:val="0"/>
                <w:sz w:val="24"/>
                <w:szCs w:val="24"/>
              </w:rPr>
              <w:t>2017年</w:t>
            </w:r>
          </w:p>
        </w:tc>
        <w:tc>
          <w:tcPr>
            <w:tcW w:w="94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Fonts w:eastAsia="黑体"/>
                <w:b/>
                <w:sz w:val="24"/>
                <w:szCs w:val="24"/>
              </w:rPr>
            </w:pPr>
            <w:r>
              <w:rPr>
                <w:rFonts w:eastAsia="黑体"/>
                <w:b/>
                <w:kern w:val="0"/>
                <w:sz w:val="24"/>
                <w:szCs w:val="24"/>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widowControl/>
              <w:spacing w:line="360" w:lineRule="exact"/>
              <w:ind w:firstLine="0" w:firstLineChars="0"/>
              <w:jc w:val="center"/>
              <w:textAlignment w:val="center"/>
              <w:rPr>
                <w:rFonts w:eastAsia="宋体"/>
                <w:kern w:val="0"/>
                <w:sz w:val="24"/>
                <w:szCs w:val="24"/>
              </w:rPr>
            </w:pPr>
            <w:r>
              <w:rPr>
                <w:rFonts w:eastAsia="黑体"/>
                <w:bCs/>
                <w:kern w:val="0"/>
                <w:sz w:val="24"/>
                <w:szCs w:val="24"/>
              </w:rPr>
              <w:t>学前教育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50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Fonts w:eastAsia="宋体"/>
                <w:sz w:val="24"/>
                <w:szCs w:val="24"/>
              </w:rPr>
            </w:pPr>
            <w:r>
              <w:rPr>
                <w:rFonts w:eastAsia="宋体"/>
                <w:kern w:val="0"/>
                <w:sz w:val="24"/>
                <w:szCs w:val="24"/>
              </w:rPr>
              <w:t>1</w:t>
            </w:r>
          </w:p>
        </w:tc>
        <w:tc>
          <w:tcPr>
            <w:tcW w:w="2277"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left"/>
              <w:textAlignment w:val="center"/>
              <w:rPr>
                <w:rStyle w:val="37"/>
                <w:rFonts w:ascii="仿宋_GB2312" w:eastAsia="仿宋_GB2312" w:cs="仿宋_GB2312"/>
                <w:color w:val="auto"/>
                <w:sz w:val="24"/>
                <w:szCs w:val="24"/>
              </w:rPr>
            </w:pPr>
            <w:r>
              <w:rPr>
                <w:rStyle w:val="37"/>
                <w:rFonts w:ascii="仿宋_GB2312" w:eastAsia="仿宋_GB2312" w:cs="仿宋_GB2312"/>
                <w:color w:val="auto"/>
                <w:sz w:val="24"/>
                <w:szCs w:val="24"/>
              </w:rPr>
              <w:t>幼儿园数量</w:t>
            </w:r>
          </w:p>
        </w:tc>
        <w:tc>
          <w:tcPr>
            <w:tcW w:w="621"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仿宋_GB2312" w:eastAsia="仿宋_GB2312" w:cs="仿宋_GB2312"/>
                <w:color w:val="auto"/>
                <w:sz w:val="24"/>
                <w:szCs w:val="24"/>
              </w:rPr>
            </w:pPr>
            <w:r>
              <w:rPr>
                <w:rStyle w:val="37"/>
                <w:rFonts w:ascii="仿宋_GB2312" w:eastAsia="仿宋_GB2312" w:cs="仿宋_GB2312"/>
                <w:color w:val="auto"/>
                <w:sz w:val="24"/>
                <w:szCs w:val="24"/>
              </w:rPr>
              <w:t>个</w:t>
            </w:r>
          </w:p>
        </w:tc>
        <w:tc>
          <w:tcPr>
            <w:tcW w:w="652"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179</w:t>
            </w:r>
          </w:p>
        </w:tc>
        <w:tc>
          <w:tcPr>
            <w:tcW w:w="94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trPr>
        <w:tc>
          <w:tcPr>
            <w:tcW w:w="50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Fonts w:eastAsia="宋体"/>
                <w:kern w:val="0"/>
                <w:sz w:val="24"/>
                <w:szCs w:val="24"/>
              </w:rPr>
            </w:pPr>
            <w:r>
              <w:rPr>
                <w:rFonts w:hint="eastAsia" w:eastAsia="宋体"/>
                <w:kern w:val="0"/>
                <w:sz w:val="24"/>
                <w:szCs w:val="24"/>
              </w:rPr>
              <w:t>2</w:t>
            </w:r>
          </w:p>
        </w:tc>
        <w:tc>
          <w:tcPr>
            <w:tcW w:w="2277"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left"/>
              <w:textAlignment w:val="center"/>
              <w:rPr>
                <w:rStyle w:val="37"/>
                <w:rFonts w:ascii="仿宋_GB2312" w:eastAsia="仿宋_GB2312" w:cs="仿宋_GB2312"/>
                <w:color w:val="auto"/>
                <w:sz w:val="24"/>
                <w:szCs w:val="24"/>
              </w:rPr>
            </w:pPr>
            <w:r>
              <w:rPr>
                <w:rStyle w:val="37"/>
                <w:rFonts w:ascii="仿宋_GB2312" w:eastAsia="仿宋_GB2312" w:cs="仿宋_GB2312"/>
                <w:color w:val="auto"/>
                <w:sz w:val="24"/>
                <w:szCs w:val="24"/>
              </w:rPr>
              <w:t>幼儿园学生数量</w:t>
            </w:r>
          </w:p>
        </w:tc>
        <w:tc>
          <w:tcPr>
            <w:tcW w:w="621"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仿宋_GB2312" w:eastAsia="仿宋_GB2312" w:cs="仿宋_GB2312"/>
                <w:color w:val="auto"/>
                <w:sz w:val="24"/>
                <w:szCs w:val="24"/>
              </w:rPr>
            </w:pPr>
            <w:r>
              <w:rPr>
                <w:rStyle w:val="37"/>
                <w:rFonts w:ascii="仿宋_GB2312" w:eastAsia="仿宋_GB2312" w:cs="仿宋_GB2312"/>
                <w:color w:val="auto"/>
                <w:sz w:val="24"/>
                <w:szCs w:val="24"/>
              </w:rPr>
              <w:t>万人</w:t>
            </w:r>
          </w:p>
        </w:tc>
        <w:tc>
          <w:tcPr>
            <w:tcW w:w="652"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3.35</w:t>
            </w:r>
          </w:p>
        </w:tc>
        <w:tc>
          <w:tcPr>
            <w:tcW w:w="94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trPr>
        <w:tc>
          <w:tcPr>
            <w:tcW w:w="50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Fonts w:eastAsia="宋体"/>
                <w:sz w:val="24"/>
                <w:szCs w:val="24"/>
              </w:rPr>
            </w:pPr>
            <w:r>
              <w:rPr>
                <w:rFonts w:hint="eastAsia" w:eastAsia="宋体"/>
                <w:kern w:val="0"/>
                <w:sz w:val="24"/>
                <w:szCs w:val="24"/>
              </w:rPr>
              <w:t>3</w:t>
            </w:r>
          </w:p>
        </w:tc>
        <w:tc>
          <w:tcPr>
            <w:tcW w:w="2277"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left"/>
              <w:textAlignment w:val="center"/>
              <w:rPr>
                <w:rStyle w:val="37"/>
                <w:rFonts w:ascii="仿宋_GB2312" w:eastAsia="仿宋_GB2312" w:cs="仿宋_GB2312"/>
                <w:color w:val="auto"/>
                <w:sz w:val="24"/>
                <w:szCs w:val="24"/>
              </w:rPr>
            </w:pPr>
            <w:r>
              <w:rPr>
                <w:rStyle w:val="37"/>
                <w:rFonts w:ascii="仿宋_GB2312" w:eastAsia="仿宋_GB2312" w:cs="仿宋_GB2312"/>
                <w:color w:val="auto"/>
                <w:sz w:val="24"/>
                <w:szCs w:val="24"/>
              </w:rPr>
              <w:t>幼儿园师生比</w:t>
            </w:r>
          </w:p>
        </w:tc>
        <w:tc>
          <w:tcPr>
            <w:tcW w:w="621"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仿宋_GB2312" w:eastAsia="仿宋_GB2312" w:cs="仿宋_GB2312"/>
                <w:color w:val="auto"/>
                <w:sz w:val="24"/>
                <w:szCs w:val="24"/>
              </w:rPr>
            </w:pPr>
            <w:r>
              <w:rPr>
                <w:rStyle w:val="37"/>
                <w:rFonts w:ascii="仿宋_GB2312" w:eastAsia="仿宋_GB2312" w:cs="仿宋_GB2312"/>
                <w:color w:val="auto"/>
                <w:sz w:val="24"/>
                <w:szCs w:val="24"/>
              </w:rPr>
              <w:t>—</w:t>
            </w:r>
          </w:p>
        </w:tc>
        <w:tc>
          <w:tcPr>
            <w:tcW w:w="652"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1:15.9</w:t>
            </w:r>
          </w:p>
        </w:tc>
        <w:tc>
          <w:tcPr>
            <w:tcW w:w="94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1:13.13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trPr>
        <w:tc>
          <w:tcPr>
            <w:tcW w:w="50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Fonts w:eastAsia="宋体"/>
                <w:sz w:val="24"/>
                <w:szCs w:val="24"/>
              </w:rPr>
            </w:pPr>
            <w:r>
              <w:rPr>
                <w:rFonts w:eastAsia="宋体"/>
                <w:kern w:val="0"/>
                <w:sz w:val="24"/>
                <w:szCs w:val="24"/>
              </w:rPr>
              <w:t>4</w:t>
            </w:r>
          </w:p>
        </w:tc>
        <w:tc>
          <w:tcPr>
            <w:tcW w:w="2277"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left"/>
              <w:textAlignment w:val="center"/>
              <w:rPr>
                <w:rStyle w:val="37"/>
                <w:rFonts w:ascii="仿宋_GB2312" w:eastAsia="仿宋_GB2312" w:cs="仿宋_GB2312"/>
                <w:color w:val="auto"/>
                <w:sz w:val="24"/>
                <w:szCs w:val="24"/>
              </w:rPr>
            </w:pPr>
            <w:r>
              <w:rPr>
                <w:rStyle w:val="37"/>
                <w:rFonts w:ascii="仿宋_GB2312" w:eastAsia="仿宋_GB2312" w:cs="仿宋_GB2312"/>
                <w:color w:val="auto"/>
                <w:sz w:val="24"/>
                <w:szCs w:val="24"/>
              </w:rPr>
              <w:t>公办和民办普惠幼儿园在园幼儿比例</w:t>
            </w:r>
          </w:p>
        </w:tc>
        <w:tc>
          <w:tcPr>
            <w:tcW w:w="621"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仿宋_GB2312" w:eastAsia="仿宋_GB2312" w:cs="仿宋_GB2312"/>
                <w:color w:val="auto"/>
                <w:sz w:val="24"/>
                <w:szCs w:val="24"/>
              </w:rPr>
            </w:pPr>
            <w:r>
              <w:rPr>
                <w:rFonts w:eastAsia="宋体"/>
                <w:kern w:val="0"/>
                <w:sz w:val="24"/>
                <w:szCs w:val="24"/>
              </w:rPr>
              <w:t>%</w:t>
            </w:r>
          </w:p>
        </w:tc>
        <w:tc>
          <w:tcPr>
            <w:tcW w:w="652"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38.55</w:t>
            </w:r>
          </w:p>
        </w:tc>
        <w:tc>
          <w:tcPr>
            <w:tcW w:w="94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50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Fonts w:eastAsia="宋体"/>
                <w:sz w:val="24"/>
                <w:szCs w:val="24"/>
              </w:rPr>
            </w:pPr>
            <w:r>
              <w:rPr>
                <w:rFonts w:eastAsia="宋体"/>
                <w:kern w:val="0"/>
                <w:sz w:val="24"/>
                <w:szCs w:val="24"/>
              </w:rPr>
              <w:t>5</w:t>
            </w:r>
          </w:p>
        </w:tc>
        <w:tc>
          <w:tcPr>
            <w:tcW w:w="2277"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left"/>
              <w:textAlignment w:val="center"/>
              <w:rPr>
                <w:rStyle w:val="37"/>
                <w:rFonts w:ascii="仿宋_GB2312" w:eastAsia="仿宋_GB2312" w:cs="仿宋_GB2312"/>
                <w:color w:val="auto"/>
                <w:sz w:val="24"/>
                <w:szCs w:val="24"/>
              </w:rPr>
            </w:pPr>
            <w:r>
              <w:rPr>
                <w:rStyle w:val="37"/>
                <w:rFonts w:ascii="仿宋_GB2312" w:eastAsia="仿宋_GB2312" w:cs="仿宋_GB2312"/>
                <w:color w:val="auto"/>
                <w:sz w:val="24"/>
                <w:szCs w:val="24"/>
              </w:rPr>
              <w:t>省级示范园数量</w:t>
            </w:r>
          </w:p>
        </w:tc>
        <w:tc>
          <w:tcPr>
            <w:tcW w:w="621"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仿宋_GB2312" w:eastAsia="仿宋_GB2312" w:cs="仿宋_GB2312"/>
                <w:color w:val="auto"/>
                <w:sz w:val="24"/>
                <w:szCs w:val="24"/>
              </w:rPr>
            </w:pPr>
            <w:r>
              <w:rPr>
                <w:rStyle w:val="37"/>
                <w:rFonts w:ascii="仿宋_GB2312" w:eastAsia="仿宋_GB2312" w:cs="仿宋_GB2312"/>
                <w:color w:val="auto"/>
                <w:sz w:val="24"/>
                <w:szCs w:val="24"/>
              </w:rPr>
              <w:t>个</w:t>
            </w:r>
          </w:p>
        </w:tc>
        <w:tc>
          <w:tcPr>
            <w:tcW w:w="652"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1</w:t>
            </w:r>
          </w:p>
        </w:tc>
        <w:tc>
          <w:tcPr>
            <w:tcW w:w="94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50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Fonts w:eastAsia="宋体"/>
                <w:sz w:val="24"/>
                <w:szCs w:val="24"/>
              </w:rPr>
            </w:pPr>
            <w:r>
              <w:rPr>
                <w:rFonts w:eastAsia="宋体"/>
                <w:kern w:val="0"/>
                <w:sz w:val="24"/>
                <w:szCs w:val="24"/>
              </w:rPr>
              <w:t>6</w:t>
            </w:r>
          </w:p>
        </w:tc>
        <w:tc>
          <w:tcPr>
            <w:tcW w:w="2277"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left"/>
              <w:textAlignment w:val="center"/>
              <w:rPr>
                <w:rStyle w:val="37"/>
                <w:rFonts w:ascii="仿宋_GB2312" w:eastAsia="仿宋_GB2312" w:cs="仿宋_GB2312"/>
                <w:color w:val="auto"/>
                <w:sz w:val="24"/>
                <w:szCs w:val="24"/>
              </w:rPr>
            </w:pPr>
            <w:r>
              <w:rPr>
                <w:rStyle w:val="37"/>
                <w:rFonts w:ascii="仿宋_GB2312" w:eastAsia="仿宋_GB2312" w:cs="仿宋_GB2312"/>
                <w:color w:val="auto"/>
                <w:sz w:val="24"/>
                <w:szCs w:val="24"/>
              </w:rPr>
              <w:t>三级以上幼儿园比例</w:t>
            </w:r>
          </w:p>
        </w:tc>
        <w:tc>
          <w:tcPr>
            <w:tcW w:w="621"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仿宋_GB2312" w:eastAsia="仿宋_GB2312" w:cs="仿宋_GB2312"/>
                <w:color w:val="auto"/>
                <w:sz w:val="24"/>
                <w:szCs w:val="24"/>
              </w:rPr>
            </w:pPr>
            <w:r>
              <w:rPr>
                <w:rFonts w:eastAsia="宋体"/>
                <w:kern w:val="0"/>
                <w:sz w:val="24"/>
                <w:szCs w:val="24"/>
              </w:rPr>
              <w:t>%</w:t>
            </w:r>
          </w:p>
        </w:tc>
        <w:tc>
          <w:tcPr>
            <w:tcW w:w="652"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31.3</w:t>
            </w:r>
          </w:p>
        </w:tc>
        <w:tc>
          <w:tcPr>
            <w:tcW w:w="94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widowControl/>
              <w:spacing w:line="360" w:lineRule="exact"/>
              <w:ind w:firstLine="0" w:firstLineChars="0"/>
              <w:jc w:val="center"/>
              <w:textAlignment w:val="center"/>
              <w:rPr>
                <w:rFonts w:eastAsia="宋体"/>
                <w:kern w:val="0"/>
                <w:sz w:val="24"/>
                <w:szCs w:val="24"/>
              </w:rPr>
            </w:pPr>
            <w:r>
              <w:rPr>
                <w:rFonts w:eastAsia="黑体"/>
                <w:bCs/>
                <w:kern w:val="0"/>
                <w:sz w:val="24"/>
                <w:szCs w:val="24"/>
              </w:rPr>
              <w:t>义务教育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50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Fonts w:eastAsia="宋体"/>
                <w:sz w:val="24"/>
                <w:szCs w:val="24"/>
              </w:rPr>
            </w:pPr>
            <w:r>
              <w:rPr>
                <w:rFonts w:eastAsia="宋体"/>
                <w:kern w:val="0"/>
                <w:sz w:val="24"/>
                <w:szCs w:val="24"/>
              </w:rPr>
              <w:t>7</w:t>
            </w:r>
          </w:p>
        </w:tc>
        <w:tc>
          <w:tcPr>
            <w:tcW w:w="2277"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left"/>
              <w:textAlignment w:val="center"/>
              <w:rPr>
                <w:rFonts w:ascii="仿宋_GB2312" w:cs="仿宋_GB2312"/>
                <w:sz w:val="24"/>
                <w:szCs w:val="24"/>
              </w:rPr>
            </w:pPr>
            <w:r>
              <w:rPr>
                <w:rStyle w:val="37"/>
                <w:rFonts w:ascii="仿宋_GB2312" w:eastAsia="仿宋_GB2312" w:cs="仿宋_GB2312"/>
                <w:color w:val="auto"/>
                <w:sz w:val="24"/>
                <w:szCs w:val="24"/>
              </w:rPr>
              <w:t>小学学校数量</w:t>
            </w:r>
          </w:p>
        </w:tc>
        <w:tc>
          <w:tcPr>
            <w:tcW w:w="621"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Fonts w:eastAsia="宋体"/>
                <w:sz w:val="24"/>
                <w:szCs w:val="24"/>
              </w:rPr>
            </w:pPr>
            <w:r>
              <w:rPr>
                <w:rStyle w:val="37"/>
                <w:rFonts w:ascii="Times New Roman" w:hAnsi="Times New Roman" w:cs="Times New Roman"/>
                <w:color w:val="auto"/>
                <w:sz w:val="24"/>
                <w:szCs w:val="24"/>
              </w:rPr>
              <w:t>个</w:t>
            </w:r>
          </w:p>
        </w:tc>
        <w:tc>
          <w:tcPr>
            <w:tcW w:w="652"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137</w:t>
            </w:r>
          </w:p>
        </w:tc>
        <w:tc>
          <w:tcPr>
            <w:tcW w:w="94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50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Fonts w:eastAsia="宋体"/>
                <w:sz w:val="24"/>
                <w:szCs w:val="24"/>
              </w:rPr>
            </w:pPr>
            <w:r>
              <w:rPr>
                <w:rFonts w:eastAsia="宋体"/>
                <w:kern w:val="0"/>
                <w:sz w:val="24"/>
                <w:szCs w:val="24"/>
              </w:rPr>
              <w:t>8</w:t>
            </w:r>
          </w:p>
        </w:tc>
        <w:tc>
          <w:tcPr>
            <w:tcW w:w="2277"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left"/>
              <w:textAlignment w:val="center"/>
              <w:rPr>
                <w:rFonts w:ascii="仿宋_GB2312" w:cs="仿宋_GB2312"/>
                <w:sz w:val="24"/>
                <w:szCs w:val="24"/>
              </w:rPr>
            </w:pPr>
            <w:r>
              <w:rPr>
                <w:rStyle w:val="37"/>
                <w:rFonts w:ascii="仿宋_GB2312" w:eastAsia="仿宋_GB2312" w:cs="仿宋_GB2312"/>
                <w:color w:val="auto"/>
                <w:sz w:val="24"/>
                <w:szCs w:val="24"/>
              </w:rPr>
              <w:t>初中学校数量</w:t>
            </w:r>
          </w:p>
        </w:tc>
        <w:tc>
          <w:tcPr>
            <w:tcW w:w="621"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Fonts w:eastAsia="宋体"/>
                <w:sz w:val="24"/>
                <w:szCs w:val="24"/>
              </w:rPr>
            </w:pPr>
            <w:r>
              <w:rPr>
                <w:rStyle w:val="37"/>
                <w:rFonts w:ascii="Times New Roman" w:hAnsi="Times New Roman" w:cs="Times New Roman"/>
                <w:color w:val="auto"/>
                <w:sz w:val="24"/>
                <w:szCs w:val="24"/>
              </w:rPr>
              <w:t>个</w:t>
            </w:r>
          </w:p>
        </w:tc>
        <w:tc>
          <w:tcPr>
            <w:tcW w:w="652"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31</w:t>
            </w:r>
          </w:p>
        </w:tc>
        <w:tc>
          <w:tcPr>
            <w:tcW w:w="94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50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Fonts w:eastAsia="宋体"/>
                <w:kern w:val="0"/>
                <w:sz w:val="24"/>
                <w:szCs w:val="24"/>
              </w:rPr>
            </w:pPr>
            <w:r>
              <w:rPr>
                <w:rFonts w:hint="eastAsia" w:eastAsia="宋体"/>
                <w:kern w:val="0"/>
                <w:sz w:val="24"/>
                <w:szCs w:val="24"/>
              </w:rPr>
              <w:t>9</w:t>
            </w:r>
          </w:p>
        </w:tc>
        <w:tc>
          <w:tcPr>
            <w:tcW w:w="2277"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left"/>
              <w:textAlignment w:val="center"/>
              <w:rPr>
                <w:rFonts w:ascii="仿宋_GB2312" w:cs="仿宋_GB2312"/>
                <w:sz w:val="24"/>
                <w:szCs w:val="24"/>
              </w:rPr>
            </w:pPr>
            <w:r>
              <w:rPr>
                <w:rStyle w:val="37"/>
                <w:rFonts w:ascii="仿宋_GB2312" w:eastAsia="仿宋_GB2312" w:cs="仿宋_GB2312"/>
                <w:color w:val="auto"/>
                <w:sz w:val="24"/>
                <w:szCs w:val="24"/>
              </w:rPr>
              <w:t>义务教育阶段学生数量</w:t>
            </w:r>
          </w:p>
        </w:tc>
        <w:tc>
          <w:tcPr>
            <w:tcW w:w="621"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Fonts w:eastAsia="宋体"/>
                <w:sz w:val="24"/>
                <w:szCs w:val="24"/>
              </w:rPr>
            </w:pPr>
            <w:r>
              <w:rPr>
                <w:rStyle w:val="37"/>
                <w:rFonts w:ascii="仿宋_GB2312" w:eastAsia="仿宋_GB2312" w:cs="仿宋_GB2312"/>
                <w:color w:val="auto"/>
                <w:sz w:val="24"/>
                <w:szCs w:val="24"/>
              </w:rPr>
              <w:t>万人</w:t>
            </w:r>
          </w:p>
        </w:tc>
        <w:tc>
          <w:tcPr>
            <w:tcW w:w="652"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8.13</w:t>
            </w:r>
          </w:p>
        </w:tc>
        <w:tc>
          <w:tcPr>
            <w:tcW w:w="94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11.41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50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Fonts w:eastAsia="宋体"/>
                <w:kern w:val="0"/>
                <w:sz w:val="24"/>
                <w:szCs w:val="24"/>
              </w:rPr>
            </w:pPr>
            <w:r>
              <w:rPr>
                <w:rFonts w:eastAsia="宋体"/>
                <w:kern w:val="0"/>
                <w:sz w:val="24"/>
                <w:szCs w:val="24"/>
              </w:rPr>
              <w:t>10</w:t>
            </w:r>
          </w:p>
        </w:tc>
        <w:tc>
          <w:tcPr>
            <w:tcW w:w="2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360" w:lineRule="exact"/>
              <w:ind w:firstLine="0" w:firstLineChars="0"/>
              <w:jc w:val="left"/>
              <w:textAlignment w:val="center"/>
              <w:rPr>
                <w:rStyle w:val="37"/>
                <w:rFonts w:ascii="仿宋_GB2312" w:eastAsia="仿宋_GB2312" w:cs="仿宋_GB2312"/>
                <w:color w:val="auto"/>
                <w:sz w:val="24"/>
                <w:szCs w:val="24"/>
              </w:rPr>
            </w:pPr>
            <w:r>
              <w:rPr>
                <w:rStyle w:val="37"/>
                <w:rFonts w:ascii="仿宋_GB2312" w:eastAsia="仿宋_GB2312" w:cs="仿宋_GB2312"/>
                <w:color w:val="auto"/>
                <w:sz w:val="24"/>
                <w:szCs w:val="24"/>
              </w:rPr>
              <w:t>小学师生比</w:t>
            </w:r>
          </w:p>
        </w:tc>
        <w:tc>
          <w:tcPr>
            <w:tcW w:w="6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360" w:lineRule="exact"/>
              <w:ind w:firstLine="0" w:firstLineChars="0"/>
              <w:jc w:val="center"/>
              <w:textAlignment w:val="center"/>
              <w:rPr>
                <w:rFonts w:eastAsia="宋体"/>
                <w:kern w:val="0"/>
                <w:sz w:val="24"/>
                <w:szCs w:val="24"/>
              </w:rPr>
            </w:pPr>
            <w:r>
              <w:rPr>
                <w:rStyle w:val="37"/>
                <w:rFonts w:ascii="仿宋_GB2312" w:eastAsia="仿宋_GB2312" w:cs="仿宋_GB2312"/>
                <w:color w:val="auto"/>
                <w:sz w:val="24"/>
                <w:szCs w:val="24"/>
              </w:rPr>
              <w:t>—</w:t>
            </w:r>
          </w:p>
        </w:tc>
        <w:tc>
          <w:tcPr>
            <w:tcW w:w="65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1:16.40</w:t>
            </w:r>
          </w:p>
        </w:tc>
        <w:tc>
          <w:tcPr>
            <w:tcW w:w="9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1:16.81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50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Fonts w:eastAsia="宋体"/>
                <w:kern w:val="0"/>
                <w:sz w:val="24"/>
                <w:szCs w:val="24"/>
              </w:rPr>
            </w:pPr>
            <w:r>
              <w:rPr>
                <w:rFonts w:eastAsia="宋体"/>
                <w:kern w:val="0"/>
                <w:sz w:val="24"/>
                <w:szCs w:val="24"/>
              </w:rPr>
              <w:t>11</w:t>
            </w:r>
          </w:p>
        </w:tc>
        <w:tc>
          <w:tcPr>
            <w:tcW w:w="2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360" w:lineRule="exact"/>
              <w:ind w:firstLine="0" w:firstLineChars="0"/>
              <w:jc w:val="left"/>
              <w:textAlignment w:val="center"/>
              <w:rPr>
                <w:rStyle w:val="37"/>
                <w:rFonts w:ascii="仿宋_GB2312" w:eastAsia="仿宋_GB2312" w:cs="仿宋_GB2312"/>
                <w:color w:val="auto"/>
                <w:sz w:val="24"/>
                <w:szCs w:val="24"/>
              </w:rPr>
            </w:pPr>
            <w:r>
              <w:rPr>
                <w:rStyle w:val="37"/>
                <w:rFonts w:ascii="仿宋_GB2312" w:eastAsia="仿宋_GB2312" w:cs="仿宋_GB2312"/>
                <w:color w:val="auto"/>
                <w:sz w:val="24"/>
                <w:szCs w:val="24"/>
              </w:rPr>
              <w:t>初中师生比</w:t>
            </w:r>
          </w:p>
        </w:tc>
        <w:tc>
          <w:tcPr>
            <w:tcW w:w="6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360" w:lineRule="exact"/>
              <w:ind w:firstLine="0" w:firstLineChars="0"/>
              <w:jc w:val="center"/>
              <w:textAlignment w:val="center"/>
              <w:rPr>
                <w:rFonts w:eastAsia="宋体"/>
                <w:kern w:val="0"/>
                <w:sz w:val="24"/>
                <w:szCs w:val="24"/>
              </w:rPr>
            </w:pPr>
            <w:r>
              <w:rPr>
                <w:rStyle w:val="37"/>
                <w:rFonts w:ascii="仿宋_GB2312" w:eastAsia="仿宋_GB2312" w:cs="仿宋_GB2312"/>
                <w:color w:val="auto"/>
                <w:sz w:val="24"/>
                <w:szCs w:val="24"/>
              </w:rPr>
              <w:t>—</w:t>
            </w:r>
          </w:p>
        </w:tc>
        <w:tc>
          <w:tcPr>
            <w:tcW w:w="65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1:8.49</w:t>
            </w:r>
          </w:p>
        </w:tc>
        <w:tc>
          <w:tcPr>
            <w:tcW w:w="9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1:9.65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50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Fonts w:eastAsia="宋体"/>
                <w:kern w:val="0"/>
                <w:sz w:val="24"/>
                <w:szCs w:val="24"/>
              </w:rPr>
            </w:pPr>
            <w:r>
              <w:rPr>
                <w:rFonts w:hint="eastAsia" w:eastAsia="宋体"/>
                <w:kern w:val="0"/>
                <w:sz w:val="24"/>
                <w:szCs w:val="24"/>
              </w:rPr>
              <w:t>12</w:t>
            </w:r>
          </w:p>
        </w:tc>
        <w:tc>
          <w:tcPr>
            <w:tcW w:w="2277"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left"/>
              <w:textAlignment w:val="center"/>
              <w:rPr>
                <w:rFonts w:ascii="仿宋_GB2312" w:cs="仿宋_GB2312"/>
                <w:spacing w:val="-6"/>
                <w:sz w:val="24"/>
                <w:szCs w:val="24"/>
              </w:rPr>
            </w:pPr>
            <w:r>
              <w:rPr>
                <w:rStyle w:val="37"/>
                <w:rFonts w:ascii="仿宋_GB2312" w:eastAsia="仿宋_GB2312" w:cs="仿宋_GB2312"/>
                <w:color w:val="auto"/>
                <w:spacing w:val="-6"/>
                <w:sz w:val="24"/>
                <w:szCs w:val="24"/>
              </w:rPr>
              <w:t>小学专任教师专科及以上学历达到率</w:t>
            </w:r>
          </w:p>
        </w:tc>
        <w:tc>
          <w:tcPr>
            <w:tcW w:w="621"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Fonts w:eastAsia="宋体"/>
                <w:sz w:val="24"/>
                <w:szCs w:val="24"/>
              </w:rPr>
            </w:pPr>
            <w:r>
              <w:rPr>
                <w:rFonts w:eastAsia="宋体"/>
                <w:kern w:val="0"/>
                <w:sz w:val="24"/>
                <w:szCs w:val="24"/>
              </w:rPr>
              <w:t>%</w:t>
            </w:r>
          </w:p>
        </w:tc>
        <w:tc>
          <w:tcPr>
            <w:tcW w:w="652"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98.56</w:t>
            </w:r>
          </w:p>
        </w:tc>
        <w:tc>
          <w:tcPr>
            <w:tcW w:w="94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99.54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50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Fonts w:eastAsia="宋体"/>
                <w:kern w:val="0"/>
                <w:sz w:val="24"/>
                <w:szCs w:val="24"/>
              </w:rPr>
            </w:pPr>
            <w:r>
              <w:rPr>
                <w:rFonts w:hint="eastAsia" w:eastAsia="宋体"/>
                <w:kern w:val="0"/>
                <w:sz w:val="24"/>
                <w:szCs w:val="24"/>
              </w:rPr>
              <w:t>13</w:t>
            </w:r>
          </w:p>
        </w:tc>
        <w:tc>
          <w:tcPr>
            <w:tcW w:w="2277"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left"/>
              <w:textAlignment w:val="center"/>
              <w:rPr>
                <w:rFonts w:ascii="仿宋_GB2312" w:cs="仿宋_GB2312"/>
                <w:spacing w:val="-6"/>
                <w:sz w:val="24"/>
                <w:szCs w:val="24"/>
              </w:rPr>
            </w:pPr>
            <w:r>
              <w:rPr>
                <w:rStyle w:val="37"/>
                <w:rFonts w:ascii="仿宋_GB2312" w:eastAsia="仿宋_GB2312" w:cs="仿宋_GB2312"/>
                <w:color w:val="auto"/>
                <w:spacing w:val="-6"/>
                <w:sz w:val="24"/>
                <w:szCs w:val="24"/>
              </w:rPr>
              <w:t>初中专任教师本科及以上学历达到率</w:t>
            </w:r>
          </w:p>
        </w:tc>
        <w:tc>
          <w:tcPr>
            <w:tcW w:w="621"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Fonts w:eastAsia="宋体"/>
                <w:sz w:val="24"/>
                <w:szCs w:val="24"/>
              </w:rPr>
            </w:pPr>
            <w:r>
              <w:rPr>
                <w:rFonts w:eastAsia="宋体"/>
                <w:kern w:val="0"/>
                <w:sz w:val="24"/>
                <w:szCs w:val="24"/>
              </w:rPr>
              <w:t>%</w:t>
            </w:r>
          </w:p>
        </w:tc>
        <w:tc>
          <w:tcPr>
            <w:tcW w:w="652"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91.51</w:t>
            </w:r>
          </w:p>
        </w:tc>
        <w:tc>
          <w:tcPr>
            <w:tcW w:w="94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96.35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50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Fonts w:eastAsia="宋体"/>
                <w:sz w:val="24"/>
                <w:szCs w:val="24"/>
              </w:rPr>
            </w:pPr>
            <w:r>
              <w:rPr>
                <w:rFonts w:hint="eastAsia" w:eastAsia="宋体"/>
                <w:kern w:val="0"/>
                <w:sz w:val="24"/>
                <w:szCs w:val="24"/>
              </w:rPr>
              <w:t>14</w:t>
            </w:r>
          </w:p>
        </w:tc>
        <w:tc>
          <w:tcPr>
            <w:tcW w:w="2277"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left"/>
              <w:textAlignment w:val="center"/>
              <w:rPr>
                <w:rFonts w:ascii="仿宋_GB2312" w:cs="仿宋_GB2312"/>
                <w:sz w:val="24"/>
                <w:szCs w:val="24"/>
              </w:rPr>
            </w:pPr>
            <w:r>
              <w:rPr>
                <w:rStyle w:val="37"/>
                <w:rFonts w:ascii="仿宋_GB2312" w:eastAsia="仿宋_GB2312" w:cs="仿宋_GB2312"/>
                <w:color w:val="auto"/>
                <w:sz w:val="24"/>
                <w:szCs w:val="24"/>
              </w:rPr>
              <w:t>义务教育巩固率</w:t>
            </w:r>
          </w:p>
        </w:tc>
        <w:tc>
          <w:tcPr>
            <w:tcW w:w="621"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Fonts w:eastAsia="宋体"/>
                <w:sz w:val="24"/>
                <w:szCs w:val="24"/>
              </w:rPr>
            </w:pPr>
            <w:r>
              <w:rPr>
                <w:rFonts w:eastAsia="宋体"/>
                <w:kern w:val="0"/>
                <w:sz w:val="24"/>
                <w:szCs w:val="24"/>
              </w:rPr>
              <w:t>%</w:t>
            </w:r>
          </w:p>
        </w:tc>
        <w:tc>
          <w:tcPr>
            <w:tcW w:w="652"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99.9</w:t>
            </w:r>
          </w:p>
        </w:tc>
        <w:tc>
          <w:tcPr>
            <w:tcW w:w="94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widowControl/>
              <w:spacing w:line="360" w:lineRule="exact"/>
              <w:ind w:firstLine="0" w:firstLineChars="0"/>
              <w:jc w:val="center"/>
              <w:rPr>
                <w:rFonts w:eastAsia="宋体"/>
                <w:sz w:val="24"/>
                <w:szCs w:val="24"/>
              </w:rPr>
            </w:pPr>
            <w:r>
              <w:rPr>
                <w:rFonts w:eastAsia="黑体"/>
                <w:bCs/>
                <w:kern w:val="0"/>
                <w:sz w:val="24"/>
                <w:szCs w:val="24"/>
              </w:rPr>
              <w:t>高中阶段教育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50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Fonts w:eastAsia="宋体"/>
                <w:sz w:val="24"/>
                <w:szCs w:val="24"/>
              </w:rPr>
            </w:pPr>
            <w:r>
              <w:rPr>
                <w:rFonts w:hint="eastAsia" w:eastAsia="宋体"/>
                <w:kern w:val="0"/>
                <w:sz w:val="24"/>
                <w:szCs w:val="24"/>
              </w:rPr>
              <w:t>15</w:t>
            </w:r>
          </w:p>
        </w:tc>
        <w:tc>
          <w:tcPr>
            <w:tcW w:w="2277"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left"/>
              <w:textAlignment w:val="center"/>
              <w:rPr>
                <w:rStyle w:val="37"/>
                <w:rFonts w:ascii="仿宋_GB2312" w:eastAsia="仿宋_GB2312" w:cs="仿宋_GB2312"/>
                <w:color w:val="auto"/>
                <w:spacing w:val="-6"/>
                <w:sz w:val="24"/>
                <w:szCs w:val="24"/>
              </w:rPr>
            </w:pPr>
            <w:r>
              <w:rPr>
                <w:rStyle w:val="37"/>
                <w:rFonts w:ascii="仿宋_GB2312" w:eastAsia="仿宋_GB2312" w:cs="仿宋_GB2312"/>
                <w:color w:val="auto"/>
                <w:spacing w:val="-6"/>
                <w:sz w:val="24"/>
                <w:szCs w:val="24"/>
              </w:rPr>
              <w:t>高中学校数量</w:t>
            </w:r>
          </w:p>
        </w:tc>
        <w:tc>
          <w:tcPr>
            <w:tcW w:w="621"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仿宋_GB2312" w:eastAsia="仿宋_GB2312" w:cs="仿宋_GB2312"/>
                <w:color w:val="auto"/>
                <w:sz w:val="24"/>
                <w:szCs w:val="24"/>
              </w:rPr>
            </w:pPr>
            <w:r>
              <w:rPr>
                <w:rStyle w:val="37"/>
                <w:rFonts w:ascii="仿宋_GB2312" w:eastAsia="仿宋_GB2312" w:cs="仿宋_GB2312"/>
                <w:color w:val="auto"/>
                <w:sz w:val="24"/>
                <w:szCs w:val="24"/>
              </w:rPr>
              <w:t>个</w:t>
            </w:r>
          </w:p>
        </w:tc>
        <w:tc>
          <w:tcPr>
            <w:tcW w:w="652"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9</w:t>
            </w:r>
          </w:p>
        </w:tc>
        <w:tc>
          <w:tcPr>
            <w:tcW w:w="94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50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Fonts w:eastAsia="宋体"/>
                <w:sz w:val="24"/>
                <w:szCs w:val="24"/>
              </w:rPr>
            </w:pPr>
            <w:r>
              <w:rPr>
                <w:rFonts w:hint="eastAsia" w:eastAsia="宋体"/>
                <w:kern w:val="0"/>
                <w:sz w:val="24"/>
                <w:szCs w:val="24"/>
              </w:rPr>
              <w:t>16</w:t>
            </w:r>
          </w:p>
        </w:tc>
        <w:tc>
          <w:tcPr>
            <w:tcW w:w="2277"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left"/>
              <w:textAlignment w:val="center"/>
              <w:rPr>
                <w:rStyle w:val="37"/>
                <w:rFonts w:ascii="仿宋_GB2312" w:eastAsia="仿宋_GB2312" w:cs="仿宋_GB2312"/>
                <w:color w:val="auto"/>
                <w:spacing w:val="-6"/>
                <w:sz w:val="24"/>
                <w:szCs w:val="24"/>
              </w:rPr>
            </w:pPr>
            <w:r>
              <w:rPr>
                <w:rStyle w:val="37"/>
                <w:rFonts w:ascii="仿宋_GB2312" w:eastAsia="仿宋_GB2312" w:cs="仿宋_GB2312"/>
                <w:color w:val="auto"/>
                <w:spacing w:val="-6"/>
                <w:sz w:val="24"/>
                <w:szCs w:val="24"/>
              </w:rPr>
              <w:t>高中教育阶段学生数量</w:t>
            </w:r>
          </w:p>
        </w:tc>
        <w:tc>
          <w:tcPr>
            <w:tcW w:w="621"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仿宋_GB2312" w:eastAsia="仿宋_GB2312" w:cs="仿宋_GB2312"/>
                <w:color w:val="auto"/>
                <w:sz w:val="24"/>
                <w:szCs w:val="24"/>
              </w:rPr>
            </w:pPr>
            <w:r>
              <w:rPr>
                <w:rStyle w:val="37"/>
                <w:rFonts w:ascii="仿宋_GB2312" w:eastAsia="仿宋_GB2312" w:cs="仿宋_GB2312"/>
                <w:color w:val="auto"/>
                <w:sz w:val="24"/>
                <w:szCs w:val="24"/>
              </w:rPr>
              <w:t>万人</w:t>
            </w:r>
          </w:p>
        </w:tc>
        <w:tc>
          <w:tcPr>
            <w:tcW w:w="652"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0.68</w:t>
            </w:r>
          </w:p>
        </w:tc>
        <w:tc>
          <w:tcPr>
            <w:tcW w:w="94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50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Fonts w:eastAsia="宋体"/>
                <w:sz w:val="24"/>
                <w:szCs w:val="24"/>
              </w:rPr>
            </w:pPr>
            <w:r>
              <w:rPr>
                <w:rFonts w:hint="eastAsia" w:eastAsia="宋体"/>
                <w:kern w:val="0"/>
                <w:sz w:val="24"/>
                <w:szCs w:val="24"/>
              </w:rPr>
              <w:t>17</w:t>
            </w:r>
          </w:p>
        </w:tc>
        <w:tc>
          <w:tcPr>
            <w:tcW w:w="2277"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left"/>
              <w:textAlignment w:val="center"/>
              <w:rPr>
                <w:rStyle w:val="37"/>
                <w:rFonts w:ascii="仿宋_GB2312" w:eastAsia="仿宋_GB2312" w:cs="仿宋_GB2312"/>
                <w:color w:val="auto"/>
                <w:spacing w:val="-6"/>
                <w:sz w:val="24"/>
                <w:szCs w:val="24"/>
              </w:rPr>
            </w:pPr>
            <w:r>
              <w:rPr>
                <w:rStyle w:val="37"/>
                <w:rFonts w:ascii="仿宋_GB2312" w:eastAsia="仿宋_GB2312" w:cs="仿宋_GB2312"/>
                <w:color w:val="auto"/>
                <w:spacing w:val="-6"/>
                <w:sz w:val="24"/>
                <w:szCs w:val="24"/>
              </w:rPr>
              <w:t>标准化高中比重</w:t>
            </w:r>
          </w:p>
        </w:tc>
        <w:tc>
          <w:tcPr>
            <w:tcW w:w="621"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仿宋_GB2312" w:eastAsia="仿宋_GB2312" w:cs="仿宋_GB2312"/>
                <w:color w:val="auto"/>
                <w:sz w:val="24"/>
                <w:szCs w:val="24"/>
              </w:rPr>
            </w:pPr>
            <w:r>
              <w:rPr>
                <w:rFonts w:eastAsia="宋体"/>
                <w:kern w:val="0"/>
                <w:sz w:val="24"/>
                <w:szCs w:val="24"/>
              </w:rPr>
              <w:t>%</w:t>
            </w:r>
          </w:p>
        </w:tc>
        <w:tc>
          <w:tcPr>
            <w:tcW w:w="652"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50</w:t>
            </w:r>
          </w:p>
        </w:tc>
        <w:tc>
          <w:tcPr>
            <w:tcW w:w="94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50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Fonts w:eastAsia="宋体"/>
                <w:sz w:val="24"/>
                <w:szCs w:val="24"/>
              </w:rPr>
            </w:pPr>
            <w:r>
              <w:rPr>
                <w:rFonts w:hint="eastAsia" w:eastAsia="宋体"/>
                <w:kern w:val="0"/>
                <w:sz w:val="24"/>
                <w:szCs w:val="24"/>
              </w:rPr>
              <w:t>18</w:t>
            </w:r>
          </w:p>
        </w:tc>
        <w:tc>
          <w:tcPr>
            <w:tcW w:w="2277"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left"/>
              <w:textAlignment w:val="center"/>
              <w:rPr>
                <w:rStyle w:val="37"/>
                <w:rFonts w:ascii="仿宋_GB2312" w:eastAsia="仿宋_GB2312" w:cs="仿宋_GB2312"/>
                <w:color w:val="auto"/>
                <w:spacing w:val="-6"/>
                <w:sz w:val="24"/>
                <w:szCs w:val="24"/>
              </w:rPr>
            </w:pPr>
            <w:r>
              <w:rPr>
                <w:rStyle w:val="37"/>
                <w:rFonts w:ascii="仿宋_GB2312" w:eastAsia="仿宋_GB2312" w:cs="仿宋_GB2312"/>
                <w:color w:val="auto"/>
                <w:spacing w:val="-6"/>
                <w:sz w:val="24"/>
                <w:szCs w:val="24"/>
              </w:rPr>
              <w:t>职业高中数量</w:t>
            </w:r>
          </w:p>
        </w:tc>
        <w:tc>
          <w:tcPr>
            <w:tcW w:w="621"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仿宋_GB2312" w:eastAsia="仿宋_GB2312" w:cs="仿宋_GB2312"/>
                <w:color w:val="auto"/>
                <w:sz w:val="24"/>
                <w:szCs w:val="24"/>
              </w:rPr>
            </w:pPr>
            <w:r>
              <w:rPr>
                <w:rStyle w:val="37"/>
                <w:rFonts w:ascii="仿宋_GB2312" w:eastAsia="仿宋_GB2312" w:cs="仿宋_GB2312"/>
                <w:color w:val="auto"/>
                <w:sz w:val="24"/>
                <w:szCs w:val="24"/>
              </w:rPr>
              <w:t>个</w:t>
            </w:r>
          </w:p>
        </w:tc>
        <w:tc>
          <w:tcPr>
            <w:tcW w:w="652"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3</w:t>
            </w:r>
          </w:p>
        </w:tc>
        <w:tc>
          <w:tcPr>
            <w:tcW w:w="94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50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Fonts w:eastAsia="宋体"/>
                <w:kern w:val="0"/>
                <w:sz w:val="24"/>
                <w:szCs w:val="24"/>
              </w:rPr>
            </w:pPr>
            <w:r>
              <w:rPr>
                <w:rFonts w:hint="eastAsia" w:eastAsia="宋体"/>
                <w:kern w:val="0"/>
                <w:sz w:val="24"/>
                <w:szCs w:val="24"/>
              </w:rPr>
              <w:t>19</w:t>
            </w:r>
          </w:p>
        </w:tc>
        <w:tc>
          <w:tcPr>
            <w:tcW w:w="2277"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left"/>
              <w:textAlignment w:val="center"/>
              <w:rPr>
                <w:rStyle w:val="37"/>
                <w:rFonts w:ascii="仿宋_GB2312" w:eastAsia="仿宋_GB2312" w:cs="仿宋_GB2312"/>
                <w:color w:val="auto"/>
                <w:spacing w:val="-6"/>
                <w:sz w:val="24"/>
                <w:szCs w:val="24"/>
              </w:rPr>
            </w:pPr>
            <w:r>
              <w:rPr>
                <w:rStyle w:val="37"/>
                <w:rFonts w:ascii="仿宋_GB2312" w:eastAsia="仿宋_GB2312" w:cs="仿宋_GB2312"/>
                <w:color w:val="auto"/>
                <w:spacing w:val="-6"/>
                <w:sz w:val="24"/>
                <w:szCs w:val="24"/>
              </w:rPr>
              <w:t>普通高中师生比</w:t>
            </w:r>
          </w:p>
        </w:tc>
        <w:tc>
          <w:tcPr>
            <w:tcW w:w="621"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仿宋_GB2312" w:eastAsia="仿宋_GB2312" w:cs="仿宋_GB2312"/>
                <w:color w:val="auto"/>
                <w:sz w:val="24"/>
                <w:szCs w:val="24"/>
              </w:rPr>
            </w:pPr>
            <w:r>
              <w:rPr>
                <w:rStyle w:val="37"/>
                <w:rFonts w:ascii="仿宋_GB2312" w:eastAsia="仿宋_GB2312" w:cs="仿宋_GB2312"/>
                <w:color w:val="auto"/>
                <w:sz w:val="24"/>
                <w:szCs w:val="24"/>
              </w:rPr>
              <w:t>—</w:t>
            </w:r>
          </w:p>
        </w:tc>
        <w:tc>
          <w:tcPr>
            <w:tcW w:w="652"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1:11.51</w:t>
            </w:r>
          </w:p>
        </w:tc>
        <w:tc>
          <w:tcPr>
            <w:tcW w:w="94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1:11.38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50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Fonts w:eastAsia="宋体"/>
                <w:sz w:val="24"/>
                <w:szCs w:val="24"/>
              </w:rPr>
            </w:pPr>
            <w:r>
              <w:rPr>
                <w:rFonts w:hint="eastAsia" w:eastAsia="宋体"/>
                <w:kern w:val="0"/>
                <w:sz w:val="24"/>
                <w:szCs w:val="24"/>
              </w:rPr>
              <w:t>20</w:t>
            </w:r>
          </w:p>
        </w:tc>
        <w:tc>
          <w:tcPr>
            <w:tcW w:w="2277"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left"/>
              <w:textAlignment w:val="center"/>
              <w:rPr>
                <w:rStyle w:val="37"/>
                <w:rFonts w:ascii="仿宋_GB2312" w:eastAsia="仿宋_GB2312" w:cs="仿宋_GB2312"/>
                <w:color w:val="auto"/>
                <w:spacing w:val="-6"/>
                <w:sz w:val="24"/>
                <w:szCs w:val="24"/>
              </w:rPr>
            </w:pPr>
            <w:r>
              <w:rPr>
                <w:rStyle w:val="37"/>
                <w:rFonts w:ascii="仿宋_GB2312" w:eastAsia="仿宋_GB2312" w:cs="仿宋_GB2312"/>
                <w:color w:val="auto"/>
                <w:spacing w:val="-6"/>
                <w:sz w:val="24"/>
                <w:szCs w:val="24"/>
              </w:rPr>
              <w:t>普通高中专任教师研究生及以上学历达到率</w:t>
            </w:r>
          </w:p>
        </w:tc>
        <w:tc>
          <w:tcPr>
            <w:tcW w:w="621"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仿宋_GB2312" w:eastAsia="仿宋_GB2312" w:cs="仿宋_GB2312"/>
                <w:color w:val="auto"/>
                <w:sz w:val="24"/>
                <w:szCs w:val="24"/>
              </w:rPr>
            </w:pPr>
            <w:r>
              <w:rPr>
                <w:rFonts w:eastAsia="宋体"/>
                <w:kern w:val="0"/>
                <w:sz w:val="24"/>
                <w:szCs w:val="24"/>
              </w:rPr>
              <w:t>%</w:t>
            </w:r>
          </w:p>
        </w:tc>
        <w:tc>
          <w:tcPr>
            <w:tcW w:w="652"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25.21</w:t>
            </w:r>
          </w:p>
        </w:tc>
        <w:tc>
          <w:tcPr>
            <w:tcW w:w="94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60" w:lineRule="exact"/>
              <w:ind w:firstLine="0" w:firstLineChars="0"/>
              <w:jc w:val="center"/>
              <w:textAlignment w:val="center"/>
              <w:rPr>
                <w:rStyle w:val="37"/>
                <w:rFonts w:ascii="Times New Roman" w:hAnsi="Times New Roman" w:eastAsia="仿宋_GB2312" w:cs="Times New Roman"/>
                <w:color w:val="auto"/>
                <w:sz w:val="24"/>
                <w:szCs w:val="24"/>
              </w:rPr>
            </w:pPr>
            <w:r>
              <w:rPr>
                <w:rStyle w:val="37"/>
                <w:rFonts w:ascii="Times New Roman" w:hAnsi="Times New Roman" w:eastAsia="仿宋_GB2312" w:cs="Times New Roman"/>
                <w:color w:val="auto"/>
                <w:sz w:val="24"/>
                <w:szCs w:val="24"/>
              </w:rPr>
              <w:t>27.43</w:t>
            </w:r>
          </w:p>
        </w:tc>
      </w:tr>
    </w:tbl>
    <w:p>
      <w:pPr>
        <w:pStyle w:val="3"/>
      </w:pPr>
      <w:bookmarkStart w:id="58" w:name="_Toc130476059"/>
      <w:bookmarkStart w:id="59" w:name="_Toc79393289"/>
      <w:bookmarkStart w:id="60" w:name="_Toc79397451"/>
      <w:bookmarkStart w:id="61" w:name="_Toc59180808"/>
      <w:bookmarkStart w:id="62" w:name="_Toc59547925"/>
      <w:bookmarkStart w:id="63" w:name="_Toc59180854"/>
      <w:bookmarkStart w:id="64" w:name="_Toc59547956"/>
      <w:r>
        <w:rPr>
          <w:rFonts w:hint="eastAsia"/>
        </w:rPr>
        <w:t>二、发展环境</w:t>
      </w:r>
      <w:bookmarkEnd w:id="58"/>
      <w:bookmarkEnd w:id="59"/>
      <w:bookmarkEnd w:id="60"/>
    </w:p>
    <w:p>
      <w:pPr>
        <w:pStyle w:val="4"/>
      </w:pPr>
      <w:bookmarkStart w:id="65" w:name="_Toc130476060"/>
      <w:bookmarkStart w:id="66" w:name="_Toc79397452"/>
      <w:bookmarkStart w:id="67" w:name="_Toc79393290"/>
      <w:r>
        <w:rPr>
          <w:rFonts w:hint="eastAsia"/>
        </w:rPr>
        <w:t>（一）发展机遇</w:t>
      </w:r>
      <w:bookmarkEnd w:id="65"/>
      <w:bookmarkEnd w:id="66"/>
      <w:bookmarkEnd w:id="67"/>
    </w:p>
    <w:p>
      <w:r>
        <w:rPr>
          <w:rFonts w:hint="eastAsia"/>
        </w:rPr>
        <w:t>“十四五”时期是我国全面开启社会主义现代化建设新征程的第一个五年，也是深入贯彻习近平总书记三次来陕考察重要讲话重要指示精神、奋力谱写西咸新区新时代追赶超越新篇章，建设教育强区，实现教育现代化的关键时期，西咸教育面临前所未有的新形势、新机遇和新要求。</w:t>
      </w:r>
    </w:p>
    <w:p>
      <w:r>
        <w:rPr>
          <w:rFonts w:hint="eastAsia" w:ascii="仿宋_GB2312"/>
          <w:b/>
          <w:bCs/>
        </w:rPr>
        <w:t>新时代指明教育新方向。</w:t>
      </w:r>
      <w:r>
        <w:rPr>
          <w:rFonts w:hint="eastAsia"/>
        </w:rPr>
        <w:t>党的二十大提出了坚持教育优先发展，加快建设教育强国，全面提高人才自主培养质量的总体要求。全国教育大会对加快教育现代化、建设教育强国、办好人民满意的教育作出了全面部署。站在新的历史起点上，教育在支撑新区高质量发展方面的作用愈发凸显，人民群众对优质化、多样化、特色化的教育需求日益增长，新区需积极应对时代变革，构建高质量教育体系，不断扩大多样化优质教育供给。</w:t>
      </w:r>
    </w:p>
    <w:p>
      <w:r>
        <w:rPr>
          <w:rFonts w:hint="eastAsia" w:ascii="仿宋_GB2312"/>
          <w:b/>
          <w:bCs/>
        </w:rPr>
        <w:t>新战略赋能教育新使命。</w:t>
      </w:r>
      <w:r>
        <w:rPr>
          <w:rFonts w:hint="eastAsia"/>
        </w:rPr>
        <w:t>“十四五”时期，新区面临构建新发展格局、共建“一带一路”、新时代推进西部大开发形成新格局、西安国家中心城市、西安“双中心”建设等一系列国家战略机遇叠加效应快速释放的局面，全省共建秦创原创新平台，高标准建设中国西部科技创新港窗口，全面塑造创新驱动优势亟需新区挖掘、利用、滋养好西咸优势科教资源，进一步拓宽视野，推动教育在更大范围、更广领域加强改革创新，全面提升教育发展水平，为新区经济社会发展建设提供更加强有力的支撑。</w:t>
      </w:r>
    </w:p>
    <w:p>
      <w:r>
        <w:rPr>
          <w:rFonts w:hint="eastAsia" w:ascii="仿宋_GB2312"/>
          <w:b/>
          <w:bCs/>
        </w:rPr>
        <w:t>新科技催生教育新探索。</w:t>
      </w:r>
      <w:r>
        <w:rPr>
          <w:rFonts w:hint="eastAsia"/>
        </w:rPr>
        <w:t>科技创新日新月异，5G、大数据、云计算、人工智能、“互联网+”、元宇宙等新一代信息技术正在重塑教育形态以及知识的获取和传授方式，教和学的关系正在发生深刻变革，教育与经济社会发展的结合愈发紧密，进一步促进人的全面发展，全民学习、终身学习等理念深入人心。新区教育事业应在人才培养、人才聚集、教育创新等方面探索新模式，加快推进“互联网+教育”，构建更加多元、灵活、自主、多样的教育体系，建立人人皆学、处处能学、时时可学的学习型社会。</w:t>
      </w:r>
    </w:p>
    <w:p>
      <w:r>
        <w:rPr>
          <w:rFonts w:hint="eastAsia" w:ascii="仿宋_GB2312"/>
          <w:b/>
          <w:bCs/>
        </w:rPr>
        <w:t>新基础开创教育新格局。</w:t>
      </w:r>
      <w:r>
        <w:rPr>
          <w:rFonts w:hint="eastAsia"/>
        </w:rPr>
        <w:t>新区自全面接管教育事务以来，发展成效显著，在学校数量、基础建设与师资力量配备等方面都已具备一定的规模与水平。西咸新区作为国家级新区，改革赋能充分、制度优势明显，教育管理队伍知识化、年轻化、专业化，有利于新区各项教育工作的实施与推进，优质的发展基础将助力新区进一步整合教育资源、形成教育合力，谱写新区教育追赶超越新篇章。</w:t>
      </w:r>
    </w:p>
    <w:p>
      <w:pPr>
        <w:pStyle w:val="4"/>
      </w:pPr>
      <w:bookmarkStart w:id="68" w:name="_Toc79393291"/>
      <w:bookmarkStart w:id="69" w:name="_Toc130476061"/>
      <w:bookmarkStart w:id="70" w:name="_Toc79397453"/>
      <w:r>
        <w:rPr>
          <w:rFonts w:hint="eastAsia"/>
        </w:rPr>
        <w:t>（二）面临挑战</w:t>
      </w:r>
      <w:bookmarkEnd w:id="68"/>
      <w:bookmarkEnd w:id="69"/>
      <w:bookmarkEnd w:id="70"/>
    </w:p>
    <w:p>
      <w:r>
        <w:rPr>
          <w:rFonts w:hint="eastAsia"/>
        </w:rPr>
        <w:t>“十四五”期间，我国教育主要矛盾转化为“人民日益增长的优质教育需求和</w:t>
      </w:r>
      <w:r>
        <w:t>教育发展</w:t>
      </w:r>
      <w:r>
        <w:rPr>
          <w:rFonts w:hint="eastAsia"/>
        </w:rPr>
        <w:t>不充分不</w:t>
      </w:r>
      <w:r>
        <w:t>均</w:t>
      </w:r>
      <w:r>
        <w:rPr>
          <w:rFonts w:hint="eastAsia"/>
        </w:rPr>
        <w:t>衡之间的矛盾”。随着西咸新区建设以创新城市发展方式为主题的国家级新区逐步深入，如何使教育事业发展与国家新区发展的要求相适应成为未来五年新区面临的挑战之一。此外，随着新区人口不断增长，如何满足广大人民群众对优质教育的迫切需求成为新区未来又一面临的挑战。在管理体制机制上，新区教育机构尚不健全，教育行政管理工作还未成熟，教育系统自身治理能力有待加强。在教育发展水平上，教育体系不够完善，公办优质教育资源不足，产教融合程度不高，职业教育发展相对滞后，特殊教育学校建设起步较晚，对支撑新区经济发展的人才供给相对较弱。</w:t>
      </w:r>
    </w:p>
    <w:p>
      <w:r>
        <w:rPr>
          <w:rFonts w:hint="eastAsia"/>
        </w:rPr>
        <w:t>总体而言，“十四五”时期，西咸新区教育事业发展的有利条件依然较多，充分用足用好系列重大战略机遇，客观认识和把握教育发展规律，妥善应对风险和挑战，才能全面开启西咸新区教育事业高质量发展新局面。</w:t>
      </w:r>
    </w:p>
    <w:p>
      <w:pPr>
        <w:pStyle w:val="3"/>
      </w:pPr>
      <w:bookmarkStart w:id="71" w:name="_Toc130476062"/>
      <w:bookmarkStart w:id="72" w:name="_Toc79397454"/>
      <w:bookmarkStart w:id="73" w:name="_Toc79393292"/>
      <w:r>
        <w:rPr>
          <w:rFonts w:hint="eastAsia"/>
        </w:rPr>
        <w:t>三、总体思路</w:t>
      </w:r>
      <w:bookmarkEnd w:id="71"/>
      <w:bookmarkEnd w:id="72"/>
      <w:bookmarkEnd w:id="73"/>
    </w:p>
    <w:p>
      <w:pPr>
        <w:pStyle w:val="4"/>
      </w:pPr>
      <w:bookmarkStart w:id="74" w:name="_Toc130476063"/>
      <w:bookmarkStart w:id="75" w:name="_Toc79397455"/>
      <w:bookmarkStart w:id="76" w:name="_Toc79393293"/>
      <w:r>
        <w:rPr>
          <w:rFonts w:hint="eastAsia"/>
        </w:rPr>
        <w:t>（一）指导思想</w:t>
      </w:r>
      <w:bookmarkEnd w:id="74"/>
      <w:bookmarkEnd w:id="75"/>
      <w:bookmarkEnd w:id="76"/>
    </w:p>
    <w:p>
      <w:r>
        <w:rPr>
          <w:rFonts w:hint="eastAsia"/>
        </w:rPr>
        <w:t>以习近平新时代中国特色社会主义思想为指导，全面贯彻党的二十大和二十届一中、二中全会精神，深入学习贯彻习近平总书记关于教育的重要论述、来陕考察重要讲话及全国、全省教育大会精神，立足新发展阶段、贯彻新发展理念、构建新发展格局，全面加强党对教育工作的领导，牢固树立以人民为中心的思想，全面贯彻党的教育方针，坚持社会主义办学方向，聚焦科教强区、人才强区建设，坚持教育优先发展，大力弘扬“延安精神”“西迁精神”，全面落实立德树人根本任务，以满足人民群众对更好教育的需求为目标，以加快建设高质量教育体系为主题，以固根基、扬优势、强弱项、补短板、扩开放为工作主线，以全面从严治党为保障，激发教育事业活力，全面开启新区教育现代化、教育强区建设新征程，办好更加公平更有质量的教育，为谱写新时代西咸新区追赶超越新篇章提供人才和智力支撑。</w:t>
      </w:r>
    </w:p>
    <w:p>
      <w:pPr>
        <w:pStyle w:val="4"/>
      </w:pPr>
      <w:bookmarkStart w:id="77" w:name="_Toc79393294"/>
      <w:bookmarkStart w:id="78" w:name="_Toc130476064"/>
      <w:bookmarkStart w:id="79" w:name="_Toc79397456"/>
      <w:r>
        <w:rPr>
          <w:rFonts w:hint="eastAsia"/>
        </w:rPr>
        <w:t>（二）基本原则</w:t>
      </w:r>
      <w:bookmarkEnd w:id="77"/>
      <w:bookmarkEnd w:id="78"/>
      <w:bookmarkEnd w:id="79"/>
    </w:p>
    <w:p>
      <w:pPr>
        <w:rPr>
          <w:b/>
          <w:bCs/>
        </w:rPr>
      </w:pPr>
      <w:r>
        <w:rPr>
          <w:rFonts w:hint="eastAsia"/>
          <w:b/>
          <w:bCs/>
        </w:rPr>
        <w:t>坚持党的领导，教育优先发展。</w:t>
      </w:r>
      <w:r>
        <w:rPr>
          <w:rFonts w:hint="eastAsia"/>
        </w:rPr>
        <w:t>全面加强党对教育工作的领导，牢牢把握教育领域意识形态工作的主导权。将教育事业摆在优先发展的地位，教育投入优先保障，充分发挥教育的基础性、先导性、全局性作用，为发展教育奠定坚实基础。</w:t>
      </w:r>
    </w:p>
    <w:p>
      <w:r>
        <w:rPr>
          <w:rFonts w:hint="eastAsia"/>
          <w:b/>
          <w:bCs/>
        </w:rPr>
        <w:t>坚持服务人民，教育公平发展。</w:t>
      </w:r>
      <w:r>
        <w:rPr>
          <w:rFonts w:hint="eastAsia"/>
        </w:rPr>
        <w:t>始终坚持以人民为中心的发展思想，顺应人民期盼，聚焦群众关切。坚持教育公益属性，强化政府职责，下功夫解决好教育重点、热点、难点问题，持续扩大优质教育资源覆盖面，加快缩小教育的城乡、区域、校际差距。</w:t>
      </w:r>
    </w:p>
    <w:p>
      <w:r>
        <w:rPr>
          <w:rFonts w:hint="eastAsia"/>
          <w:b/>
          <w:bCs/>
        </w:rPr>
        <w:t>坚持立德树人，教育全面发展。</w:t>
      </w:r>
      <w:r>
        <w:rPr>
          <w:rFonts w:hint="eastAsia"/>
        </w:rPr>
        <w:t>把立德树人作为根本任务，树立科学的质量观、人才观，遵循教育规律和学生身心发展规律，坚持“五育”并举，培育爱国爱党的社会主义事业建设者和接班人。坚持统筹协调，突出发展重点，把社会主义核心价值观融入教育全过程，促进人的全面发展。</w:t>
      </w:r>
    </w:p>
    <w:p>
      <w:r>
        <w:rPr>
          <w:rFonts w:hint="eastAsia"/>
          <w:b/>
          <w:bCs/>
        </w:rPr>
        <w:t>坚持改革创新，教育品牌发展。</w:t>
      </w:r>
      <w:r>
        <w:rPr>
          <w:rFonts w:hint="eastAsia"/>
        </w:rPr>
        <w:t>坚定不移深化教育综合改革，破除人才培养体制机制障碍，充分释放教育改革动力效能。顺应教育规律，立足新区实情，发挥区域、政策优势，构建与新区社会经济发展相适应、人民生活水平相协调的现代化教育体系，打造富有区域特色的高质量教育品牌。</w:t>
      </w:r>
    </w:p>
    <w:p>
      <w:r>
        <w:rPr>
          <w:rFonts w:hint="eastAsia"/>
          <w:b/>
          <w:bCs/>
        </w:rPr>
        <w:t>坚持统筹推进，教育高质量发展。</w:t>
      </w:r>
      <w:r>
        <w:rPr>
          <w:rFonts w:hint="eastAsia"/>
        </w:rPr>
        <w:t>始终坚持统筹协调，突出发展重点，强化协同创新，提升教育服务国家级新区建设能力。坚持以提高质量为核心的教育发展观，注重教育内涵发展，强化教育重点环节，完善教育保障，构建新区高质量教育体系。</w:t>
      </w:r>
    </w:p>
    <w:p>
      <w:pPr>
        <w:pStyle w:val="4"/>
      </w:pPr>
      <w:bookmarkStart w:id="80" w:name="_Toc130476065"/>
      <w:bookmarkStart w:id="81" w:name="_Toc79393295"/>
      <w:bookmarkStart w:id="82" w:name="_Toc79397457"/>
      <w:r>
        <w:rPr>
          <w:rFonts w:hint="eastAsia"/>
        </w:rPr>
        <w:t>（三）发展目标</w:t>
      </w:r>
      <w:bookmarkEnd w:id="61"/>
      <w:bookmarkEnd w:id="62"/>
      <w:bookmarkEnd w:id="63"/>
      <w:bookmarkEnd w:id="64"/>
      <w:bookmarkEnd w:id="80"/>
      <w:bookmarkEnd w:id="81"/>
      <w:bookmarkEnd w:id="82"/>
    </w:p>
    <w:p>
      <w:pPr>
        <w:rPr>
          <w:szCs w:val="32"/>
        </w:rPr>
      </w:pPr>
      <w:r>
        <w:rPr>
          <w:rFonts w:hint="eastAsia"/>
          <w:szCs w:val="32"/>
        </w:rPr>
        <w:t>到2025年，基本建成与新区经济社会发展相匹配的创新教育发展范式。学前教育普及普惠安全发展，建成布局合理、安全优质的学前教育公共服务体系；义务教育优质均衡全面发展，“名校+”“名校长+”“名师+”工程深入推进；高中教育特色多元创新发展，普通高中育人方式改革、课程改革、新高考改革得到落实；职业教育达标提质融合发展，深入实施职普融通、产教融合、校企合作；民办教育规范良性有序发展，完善民办学校分类监督管理机制；特殊教育融合内涵延伸发展，健全特殊教育办学条件和保障体系；教育体制机制改革持续深化；国家级信息化教学实验区示范作用更加凸显，形成“互联网+教育”西咸范式；学习型新区基本建成；</w:t>
      </w:r>
      <w:r>
        <w:rPr>
          <w:szCs w:val="32"/>
        </w:rPr>
        <w:t>持续优化教育工作各级职能职责，建立健全上下协调、运行高效的工作机制，加快新区教育工作高质量发展，</w:t>
      </w:r>
      <w:r>
        <w:rPr>
          <w:rFonts w:hint="eastAsia"/>
          <w:szCs w:val="32"/>
        </w:rPr>
        <w:t>基本形成与新区经济社会发展相匹配的教育实力与教育品牌。</w:t>
      </w:r>
    </w:p>
    <w:p>
      <w:pPr>
        <w:rPr>
          <w:b/>
          <w:bCs/>
          <w:szCs w:val="32"/>
        </w:rPr>
      </w:pPr>
      <w:r>
        <w:rPr>
          <w:rFonts w:hint="eastAsia"/>
          <w:szCs w:val="32"/>
        </w:rPr>
        <w:t>展望2035年，教育资源配置更加公平合理，教育质量更加优质，教育结构更加合理，教育特色更加突出，教育品牌更加彰显；教育对外开放取得突破性进展，现代教育体系成熟完备，教育重要领域取得决定性进展，教育服务经济社会发展的能力全面提升；在国家级新区序列中提前实现教育现代化，教育现代化总体水平居国家级新区前列；全面建成教育强区，办人民满意的教育。</w:t>
      </w:r>
      <w:bookmarkStart w:id="83" w:name="_Hlk63020199"/>
    </w:p>
    <w:p>
      <w:pPr>
        <w:ind w:firstLine="0" w:firstLineChars="0"/>
        <w:jc w:val="center"/>
        <w:rPr>
          <w:rFonts w:ascii="仿宋_GB2312" w:cs="仿宋_GB2312"/>
          <w:b/>
          <w:bCs/>
          <w:sz w:val="28"/>
          <w:szCs w:val="28"/>
        </w:rPr>
      </w:pPr>
      <w:r>
        <w:rPr>
          <w:b/>
          <w:bCs/>
          <w:sz w:val="28"/>
          <w:szCs w:val="28"/>
        </w:rPr>
        <w:t>表2</w:t>
      </w:r>
      <w:r>
        <w:rPr>
          <w:rFonts w:hint="eastAsia" w:ascii="仿宋_GB2312" w:cs="仿宋_GB2312"/>
          <w:b/>
          <w:bCs/>
          <w:sz w:val="28"/>
          <w:szCs w:val="28"/>
        </w:rPr>
        <w:t>：</w:t>
      </w:r>
      <w:r>
        <w:rPr>
          <w:rFonts w:hint="eastAsia" w:ascii="仿宋_GB2312" w:cs="仿宋_GB2312"/>
          <w:b/>
          <w:bCs/>
          <w:kern w:val="0"/>
          <w:sz w:val="28"/>
          <w:szCs w:val="28"/>
        </w:rPr>
        <w:t>西咸新区“十四五”教育发展指标体系</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4968"/>
        <w:gridCol w:w="851"/>
        <w:gridCol w:w="850"/>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blHeader/>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center"/>
              <w:rPr>
                <w:rFonts w:eastAsia="黑体"/>
                <w:kern w:val="0"/>
                <w:sz w:val="24"/>
                <w:szCs w:val="24"/>
              </w:rPr>
            </w:pPr>
            <w:r>
              <w:rPr>
                <w:rFonts w:hint="eastAsia" w:eastAsia="黑体"/>
                <w:kern w:val="0"/>
                <w:sz w:val="24"/>
                <w:szCs w:val="24"/>
              </w:rPr>
              <w:t>序号</w:t>
            </w:r>
          </w:p>
        </w:tc>
        <w:tc>
          <w:tcPr>
            <w:tcW w:w="4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center"/>
              <w:rPr>
                <w:rFonts w:eastAsia="黑体"/>
                <w:kern w:val="0"/>
                <w:sz w:val="24"/>
                <w:szCs w:val="24"/>
              </w:rPr>
            </w:pPr>
            <w:r>
              <w:rPr>
                <w:rFonts w:eastAsia="黑体"/>
                <w:kern w:val="0"/>
                <w:sz w:val="24"/>
                <w:szCs w:val="24"/>
              </w:rPr>
              <w:t>指标名称</w:t>
            </w:r>
          </w:p>
        </w:tc>
        <w:tc>
          <w:tcPr>
            <w:tcW w:w="85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60" w:lineRule="exact"/>
              <w:ind w:firstLine="0" w:firstLineChars="0"/>
              <w:jc w:val="center"/>
              <w:rPr>
                <w:rFonts w:eastAsia="黑体"/>
                <w:kern w:val="0"/>
                <w:sz w:val="24"/>
                <w:szCs w:val="24"/>
              </w:rPr>
            </w:pPr>
            <w:r>
              <w:rPr>
                <w:rFonts w:eastAsia="黑体"/>
                <w:kern w:val="0"/>
                <w:sz w:val="24"/>
                <w:szCs w:val="24"/>
              </w:rPr>
              <w:t>2020年</w:t>
            </w:r>
          </w:p>
        </w:tc>
        <w:tc>
          <w:tcPr>
            <w:tcW w:w="85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60" w:lineRule="exact"/>
              <w:ind w:firstLine="0" w:firstLineChars="0"/>
              <w:jc w:val="center"/>
              <w:rPr>
                <w:rFonts w:eastAsia="黑体"/>
                <w:kern w:val="0"/>
                <w:sz w:val="24"/>
                <w:szCs w:val="24"/>
              </w:rPr>
            </w:pPr>
            <w:r>
              <w:rPr>
                <w:rFonts w:eastAsia="黑体"/>
                <w:kern w:val="0"/>
                <w:sz w:val="24"/>
                <w:szCs w:val="24"/>
              </w:rPr>
              <w:t>2025年</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ind w:firstLine="0" w:firstLineChars="0"/>
              <w:jc w:val="center"/>
              <w:rPr>
                <w:rFonts w:eastAsia="黑体"/>
                <w:kern w:val="0"/>
                <w:sz w:val="24"/>
                <w:szCs w:val="24"/>
              </w:rPr>
            </w:pPr>
            <w:r>
              <w:rPr>
                <w:rFonts w:eastAsia="黑体"/>
                <w:kern w:val="0"/>
                <w:sz w:val="24"/>
                <w:szCs w:val="24"/>
              </w:rPr>
              <w:t>指标</w:t>
            </w:r>
          </w:p>
          <w:p>
            <w:pPr>
              <w:spacing w:line="360" w:lineRule="exact"/>
              <w:ind w:firstLine="0" w:firstLineChars="0"/>
              <w:jc w:val="center"/>
              <w:rPr>
                <w:rFonts w:eastAsia="黑体"/>
                <w:kern w:val="0"/>
                <w:sz w:val="24"/>
                <w:szCs w:val="24"/>
              </w:rPr>
            </w:pPr>
            <w:r>
              <w:rPr>
                <w:rFonts w:eastAsia="黑体"/>
                <w:kern w:val="0"/>
                <w:sz w:val="24"/>
                <w:szCs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8302"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pPr>
              <w:widowControl/>
              <w:spacing w:line="360" w:lineRule="exact"/>
              <w:ind w:firstLine="0" w:firstLineChars="0"/>
              <w:jc w:val="center"/>
              <w:rPr>
                <w:rFonts w:eastAsia="黑体"/>
                <w:bCs/>
                <w:kern w:val="0"/>
                <w:sz w:val="24"/>
                <w:szCs w:val="24"/>
              </w:rPr>
            </w:pPr>
            <w:r>
              <w:rPr>
                <w:rFonts w:eastAsia="黑体"/>
                <w:bCs/>
                <w:kern w:val="0"/>
                <w:sz w:val="24"/>
                <w:szCs w:val="24"/>
              </w:rPr>
              <w:t>学前教育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center"/>
              <w:rPr>
                <w:kern w:val="0"/>
                <w:sz w:val="24"/>
                <w:szCs w:val="24"/>
              </w:rPr>
            </w:pPr>
            <w:r>
              <w:rPr>
                <w:kern w:val="0"/>
                <w:sz w:val="24"/>
                <w:szCs w:val="24"/>
              </w:rPr>
              <w:t>1</w:t>
            </w:r>
          </w:p>
        </w:tc>
        <w:tc>
          <w:tcPr>
            <w:tcW w:w="4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center"/>
              <w:rPr>
                <w:kern w:val="0"/>
                <w:sz w:val="24"/>
                <w:szCs w:val="24"/>
              </w:rPr>
            </w:pPr>
            <w:r>
              <w:rPr>
                <w:kern w:val="0"/>
                <w:sz w:val="24"/>
                <w:szCs w:val="24"/>
              </w:rPr>
              <w:t>幼儿在园人数（万人）</w:t>
            </w:r>
          </w:p>
        </w:tc>
        <w:tc>
          <w:tcPr>
            <w:tcW w:w="85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60" w:lineRule="exact"/>
              <w:ind w:firstLine="0" w:firstLineChars="0"/>
              <w:jc w:val="center"/>
              <w:rPr>
                <w:kern w:val="0"/>
                <w:sz w:val="24"/>
                <w:szCs w:val="24"/>
              </w:rPr>
            </w:pPr>
            <w:r>
              <w:rPr>
                <w:rFonts w:hint="eastAsia" w:eastAsia="宋体"/>
                <w:kern w:val="0"/>
                <w:sz w:val="24"/>
                <w:szCs w:val="24"/>
              </w:rPr>
              <w:t>3.72</w:t>
            </w:r>
          </w:p>
        </w:tc>
        <w:tc>
          <w:tcPr>
            <w:tcW w:w="85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60" w:lineRule="exact"/>
              <w:ind w:firstLine="0" w:firstLineChars="0"/>
              <w:jc w:val="center"/>
              <w:rPr>
                <w:kern w:val="0"/>
                <w:sz w:val="24"/>
                <w:szCs w:val="24"/>
              </w:rPr>
            </w:pPr>
            <w:r>
              <w:rPr>
                <w:rFonts w:hint="eastAsia"/>
                <w:kern w:val="0"/>
                <w:sz w:val="24"/>
                <w:szCs w:val="24"/>
              </w:rPr>
              <w:t>4.76</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ind w:firstLine="0" w:firstLineChars="0"/>
              <w:jc w:val="center"/>
              <w:rPr>
                <w:kern w:val="0"/>
                <w:sz w:val="24"/>
                <w:szCs w:val="24"/>
              </w:rPr>
            </w:pPr>
            <w:r>
              <w:rPr>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center"/>
              <w:rPr>
                <w:kern w:val="0"/>
                <w:sz w:val="24"/>
                <w:szCs w:val="24"/>
              </w:rPr>
            </w:pPr>
            <w:r>
              <w:rPr>
                <w:kern w:val="0"/>
                <w:sz w:val="24"/>
                <w:szCs w:val="24"/>
              </w:rPr>
              <w:t>2</w:t>
            </w:r>
          </w:p>
        </w:tc>
        <w:tc>
          <w:tcPr>
            <w:tcW w:w="4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center"/>
              <w:rPr>
                <w:kern w:val="0"/>
                <w:sz w:val="24"/>
                <w:szCs w:val="24"/>
              </w:rPr>
            </w:pPr>
            <w:r>
              <w:rPr>
                <w:kern w:val="0"/>
                <w:sz w:val="24"/>
                <w:szCs w:val="24"/>
              </w:rPr>
              <w:t>公办幼儿园所占比重（%）</w:t>
            </w:r>
          </w:p>
        </w:tc>
        <w:tc>
          <w:tcPr>
            <w:tcW w:w="85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60" w:lineRule="exact"/>
              <w:ind w:firstLine="0" w:firstLineChars="0"/>
              <w:jc w:val="center"/>
              <w:rPr>
                <w:kern w:val="0"/>
                <w:sz w:val="24"/>
                <w:szCs w:val="24"/>
              </w:rPr>
            </w:pPr>
            <w:r>
              <w:rPr>
                <w:kern w:val="0"/>
                <w:sz w:val="24"/>
                <w:szCs w:val="24"/>
              </w:rPr>
              <w:t>50.49</w:t>
            </w:r>
          </w:p>
        </w:tc>
        <w:tc>
          <w:tcPr>
            <w:tcW w:w="85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60" w:lineRule="exact"/>
              <w:ind w:firstLine="0" w:firstLineChars="0"/>
              <w:jc w:val="center"/>
              <w:rPr>
                <w:kern w:val="0"/>
                <w:sz w:val="24"/>
                <w:szCs w:val="24"/>
              </w:rPr>
            </w:pPr>
            <w:r>
              <w:rPr>
                <w:rFonts w:hint="eastAsia"/>
                <w:kern w:val="0"/>
                <w:sz w:val="24"/>
                <w:szCs w:val="24"/>
              </w:rPr>
              <w:t>5</w:t>
            </w:r>
            <w:r>
              <w:rPr>
                <w:kern w:val="0"/>
                <w:sz w:val="24"/>
                <w:szCs w:val="24"/>
              </w:rPr>
              <w:t>2</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ind w:firstLine="0" w:firstLineChars="0"/>
              <w:jc w:val="center"/>
              <w:rPr>
                <w:kern w:val="0"/>
                <w:sz w:val="24"/>
                <w:szCs w:val="24"/>
              </w:rPr>
            </w:pPr>
            <w:r>
              <w:rPr>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center"/>
              <w:rPr>
                <w:kern w:val="0"/>
                <w:sz w:val="24"/>
                <w:szCs w:val="24"/>
              </w:rPr>
            </w:pPr>
            <w:r>
              <w:rPr>
                <w:kern w:val="0"/>
                <w:sz w:val="24"/>
                <w:szCs w:val="24"/>
              </w:rPr>
              <w:t>3</w:t>
            </w:r>
          </w:p>
        </w:tc>
        <w:tc>
          <w:tcPr>
            <w:tcW w:w="4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center"/>
              <w:rPr>
                <w:kern w:val="0"/>
                <w:sz w:val="24"/>
                <w:szCs w:val="24"/>
              </w:rPr>
            </w:pPr>
            <w:r>
              <w:rPr>
                <w:kern w:val="0"/>
                <w:sz w:val="24"/>
                <w:szCs w:val="24"/>
              </w:rPr>
              <w:t>普惠性幼儿园</w:t>
            </w:r>
            <w:r>
              <w:rPr>
                <w:rFonts w:hint="eastAsia"/>
                <w:kern w:val="0"/>
                <w:sz w:val="24"/>
                <w:szCs w:val="24"/>
              </w:rPr>
              <w:t>覆盖率</w:t>
            </w:r>
            <w:r>
              <w:rPr>
                <w:kern w:val="0"/>
                <w:sz w:val="24"/>
                <w:szCs w:val="24"/>
              </w:rPr>
              <w:t>（%）</w:t>
            </w:r>
          </w:p>
        </w:tc>
        <w:tc>
          <w:tcPr>
            <w:tcW w:w="85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60" w:lineRule="exact"/>
              <w:ind w:firstLine="0" w:firstLineChars="0"/>
              <w:jc w:val="center"/>
              <w:rPr>
                <w:kern w:val="0"/>
                <w:sz w:val="24"/>
                <w:szCs w:val="24"/>
              </w:rPr>
            </w:pPr>
            <w:r>
              <w:rPr>
                <w:kern w:val="0"/>
                <w:sz w:val="24"/>
                <w:szCs w:val="24"/>
              </w:rPr>
              <w:t>97.1</w:t>
            </w:r>
          </w:p>
        </w:tc>
        <w:tc>
          <w:tcPr>
            <w:tcW w:w="85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60" w:lineRule="exact"/>
              <w:ind w:firstLine="0" w:firstLineChars="0"/>
              <w:jc w:val="center"/>
              <w:rPr>
                <w:kern w:val="0"/>
                <w:sz w:val="24"/>
                <w:szCs w:val="24"/>
              </w:rPr>
            </w:pPr>
            <w:r>
              <w:rPr>
                <w:rFonts w:hint="eastAsia"/>
                <w:kern w:val="0"/>
                <w:sz w:val="24"/>
                <w:szCs w:val="24"/>
              </w:rPr>
              <w:t>97.2</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ind w:firstLine="0" w:firstLineChars="0"/>
              <w:jc w:val="center"/>
              <w:rPr>
                <w:kern w:val="0"/>
                <w:sz w:val="24"/>
                <w:szCs w:val="24"/>
              </w:rPr>
            </w:pPr>
            <w:r>
              <w:rPr>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center"/>
              <w:rPr>
                <w:kern w:val="0"/>
                <w:sz w:val="24"/>
                <w:szCs w:val="24"/>
              </w:rPr>
            </w:pPr>
            <w:r>
              <w:rPr>
                <w:kern w:val="0"/>
                <w:sz w:val="24"/>
                <w:szCs w:val="24"/>
              </w:rPr>
              <w:t>4</w:t>
            </w:r>
          </w:p>
        </w:tc>
        <w:tc>
          <w:tcPr>
            <w:tcW w:w="4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center"/>
              <w:rPr>
                <w:kern w:val="0"/>
                <w:sz w:val="24"/>
                <w:szCs w:val="24"/>
              </w:rPr>
            </w:pPr>
            <w:r>
              <w:rPr>
                <w:kern w:val="0"/>
                <w:sz w:val="24"/>
                <w:szCs w:val="24"/>
              </w:rPr>
              <w:t>公办幼儿园在园幼儿数比重（%）</w:t>
            </w:r>
          </w:p>
        </w:tc>
        <w:tc>
          <w:tcPr>
            <w:tcW w:w="85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60" w:lineRule="exact"/>
              <w:ind w:firstLine="0" w:firstLineChars="0"/>
              <w:jc w:val="center"/>
              <w:rPr>
                <w:kern w:val="0"/>
                <w:sz w:val="24"/>
                <w:szCs w:val="24"/>
              </w:rPr>
            </w:pPr>
            <w:r>
              <w:rPr>
                <w:kern w:val="0"/>
                <w:sz w:val="24"/>
                <w:szCs w:val="24"/>
              </w:rPr>
              <w:t>51.5</w:t>
            </w:r>
          </w:p>
        </w:tc>
        <w:tc>
          <w:tcPr>
            <w:tcW w:w="85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60" w:lineRule="exact"/>
              <w:ind w:firstLine="0" w:firstLineChars="0"/>
              <w:jc w:val="center"/>
              <w:rPr>
                <w:kern w:val="0"/>
                <w:sz w:val="24"/>
                <w:szCs w:val="24"/>
              </w:rPr>
            </w:pPr>
            <w:r>
              <w:rPr>
                <w:rFonts w:hint="eastAsia"/>
                <w:kern w:val="0"/>
                <w:sz w:val="24"/>
                <w:szCs w:val="24"/>
              </w:rPr>
              <w:t>52</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ind w:firstLine="0" w:firstLineChars="0"/>
              <w:jc w:val="center"/>
              <w:rPr>
                <w:kern w:val="0"/>
                <w:sz w:val="24"/>
                <w:szCs w:val="24"/>
              </w:rPr>
            </w:pPr>
            <w:r>
              <w:rPr>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8302"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pPr>
              <w:widowControl/>
              <w:spacing w:line="360" w:lineRule="exact"/>
              <w:ind w:firstLine="0" w:firstLineChars="0"/>
              <w:jc w:val="center"/>
              <w:rPr>
                <w:rFonts w:eastAsia="黑体"/>
                <w:bCs/>
                <w:kern w:val="0"/>
                <w:sz w:val="24"/>
                <w:szCs w:val="24"/>
              </w:rPr>
            </w:pPr>
            <w:r>
              <w:rPr>
                <w:rFonts w:eastAsia="黑体"/>
                <w:bCs/>
                <w:kern w:val="0"/>
                <w:sz w:val="24"/>
                <w:szCs w:val="24"/>
              </w:rPr>
              <w:t>义务教育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center"/>
              <w:rPr>
                <w:kern w:val="0"/>
                <w:sz w:val="24"/>
                <w:szCs w:val="24"/>
              </w:rPr>
            </w:pPr>
            <w:r>
              <w:rPr>
                <w:rFonts w:hint="eastAsia"/>
                <w:kern w:val="0"/>
                <w:sz w:val="24"/>
                <w:szCs w:val="24"/>
              </w:rPr>
              <w:t>5</w:t>
            </w:r>
          </w:p>
        </w:tc>
        <w:tc>
          <w:tcPr>
            <w:tcW w:w="4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center"/>
              <w:rPr>
                <w:kern w:val="0"/>
                <w:sz w:val="24"/>
                <w:szCs w:val="24"/>
              </w:rPr>
            </w:pPr>
            <w:r>
              <w:rPr>
                <w:kern w:val="0"/>
                <w:sz w:val="24"/>
                <w:szCs w:val="24"/>
              </w:rPr>
              <w:t>在校生（万人）</w:t>
            </w:r>
          </w:p>
        </w:tc>
        <w:tc>
          <w:tcPr>
            <w:tcW w:w="85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60" w:lineRule="exact"/>
              <w:ind w:firstLine="0" w:firstLineChars="0"/>
              <w:jc w:val="center"/>
              <w:rPr>
                <w:kern w:val="0"/>
                <w:sz w:val="24"/>
                <w:szCs w:val="24"/>
              </w:rPr>
            </w:pPr>
            <w:r>
              <w:rPr>
                <w:kern w:val="0"/>
                <w:sz w:val="24"/>
                <w:szCs w:val="24"/>
              </w:rPr>
              <w:t>11.41</w:t>
            </w:r>
          </w:p>
        </w:tc>
        <w:tc>
          <w:tcPr>
            <w:tcW w:w="85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60" w:lineRule="exact"/>
              <w:ind w:firstLine="0" w:firstLineChars="0"/>
              <w:jc w:val="center"/>
              <w:rPr>
                <w:kern w:val="0"/>
                <w:sz w:val="24"/>
                <w:szCs w:val="24"/>
              </w:rPr>
            </w:pPr>
            <w:r>
              <w:rPr>
                <w:kern w:val="0"/>
                <w:sz w:val="24"/>
                <w:szCs w:val="24"/>
              </w:rPr>
              <w:t>14.8</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ind w:firstLine="0" w:firstLineChars="0"/>
              <w:jc w:val="center"/>
              <w:rPr>
                <w:kern w:val="0"/>
                <w:sz w:val="24"/>
                <w:szCs w:val="24"/>
              </w:rPr>
            </w:pPr>
            <w:r>
              <w:rPr>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center"/>
              <w:rPr>
                <w:kern w:val="0"/>
                <w:sz w:val="24"/>
                <w:szCs w:val="24"/>
              </w:rPr>
            </w:pPr>
            <w:r>
              <w:rPr>
                <w:rFonts w:hint="eastAsia"/>
                <w:kern w:val="0"/>
                <w:sz w:val="24"/>
                <w:szCs w:val="24"/>
              </w:rPr>
              <w:t>6</w:t>
            </w:r>
          </w:p>
        </w:tc>
        <w:tc>
          <w:tcPr>
            <w:tcW w:w="4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center"/>
              <w:rPr>
                <w:kern w:val="0"/>
                <w:sz w:val="24"/>
                <w:szCs w:val="24"/>
              </w:rPr>
            </w:pPr>
            <w:r>
              <w:rPr>
                <w:kern w:val="0"/>
                <w:sz w:val="24"/>
                <w:szCs w:val="24"/>
              </w:rPr>
              <w:t>小学在校生</w:t>
            </w:r>
            <w:r>
              <w:rPr>
                <w:rFonts w:hint="eastAsia"/>
                <w:kern w:val="0"/>
                <w:sz w:val="24"/>
                <w:szCs w:val="24"/>
              </w:rPr>
              <w:t>（万人）</w:t>
            </w:r>
          </w:p>
        </w:tc>
        <w:tc>
          <w:tcPr>
            <w:tcW w:w="85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60" w:lineRule="exact"/>
              <w:ind w:firstLine="0" w:firstLineChars="0"/>
              <w:jc w:val="center"/>
              <w:rPr>
                <w:kern w:val="0"/>
                <w:sz w:val="24"/>
                <w:szCs w:val="24"/>
              </w:rPr>
            </w:pPr>
            <w:r>
              <w:rPr>
                <w:kern w:val="0"/>
                <w:sz w:val="24"/>
                <w:szCs w:val="24"/>
              </w:rPr>
              <w:t>8.82</w:t>
            </w:r>
          </w:p>
        </w:tc>
        <w:tc>
          <w:tcPr>
            <w:tcW w:w="85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60" w:lineRule="exact"/>
              <w:ind w:firstLine="0" w:firstLineChars="0"/>
              <w:jc w:val="center"/>
              <w:rPr>
                <w:kern w:val="0"/>
                <w:sz w:val="24"/>
                <w:szCs w:val="24"/>
              </w:rPr>
            </w:pPr>
            <w:r>
              <w:rPr>
                <w:kern w:val="0"/>
                <w:sz w:val="24"/>
                <w:szCs w:val="24"/>
              </w:rPr>
              <w:t>10.12</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ind w:firstLine="0" w:firstLineChars="0"/>
              <w:jc w:val="center"/>
              <w:rPr>
                <w:kern w:val="0"/>
                <w:sz w:val="24"/>
                <w:szCs w:val="24"/>
              </w:rPr>
            </w:pPr>
            <w:r>
              <w:rPr>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center"/>
              <w:rPr>
                <w:kern w:val="0"/>
                <w:sz w:val="24"/>
                <w:szCs w:val="24"/>
              </w:rPr>
            </w:pPr>
            <w:r>
              <w:rPr>
                <w:rFonts w:hint="eastAsia"/>
                <w:kern w:val="0"/>
                <w:sz w:val="24"/>
                <w:szCs w:val="24"/>
              </w:rPr>
              <w:t>7</w:t>
            </w:r>
          </w:p>
        </w:tc>
        <w:tc>
          <w:tcPr>
            <w:tcW w:w="4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center"/>
              <w:rPr>
                <w:kern w:val="0"/>
                <w:sz w:val="24"/>
                <w:szCs w:val="24"/>
              </w:rPr>
            </w:pPr>
            <w:r>
              <w:rPr>
                <w:kern w:val="0"/>
                <w:sz w:val="24"/>
                <w:szCs w:val="24"/>
              </w:rPr>
              <w:t>初中在校生</w:t>
            </w:r>
            <w:r>
              <w:rPr>
                <w:rFonts w:hint="eastAsia"/>
                <w:kern w:val="0"/>
                <w:sz w:val="24"/>
                <w:szCs w:val="24"/>
              </w:rPr>
              <w:t>（万人）</w:t>
            </w:r>
          </w:p>
        </w:tc>
        <w:tc>
          <w:tcPr>
            <w:tcW w:w="85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60" w:lineRule="exact"/>
              <w:ind w:firstLine="0" w:firstLineChars="0"/>
              <w:jc w:val="center"/>
              <w:rPr>
                <w:kern w:val="0"/>
                <w:sz w:val="24"/>
                <w:szCs w:val="24"/>
              </w:rPr>
            </w:pPr>
            <w:r>
              <w:rPr>
                <w:kern w:val="0"/>
                <w:sz w:val="24"/>
                <w:szCs w:val="24"/>
              </w:rPr>
              <w:t>2.59</w:t>
            </w:r>
          </w:p>
        </w:tc>
        <w:tc>
          <w:tcPr>
            <w:tcW w:w="85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60" w:lineRule="exact"/>
              <w:ind w:firstLine="0" w:firstLineChars="0"/>
              <w:jc w:val="center"/>
              <w:rPr>
                <w:kern w:val="0"/>
                <w:sz w:val="24"/>
                <w:szCs w:val="24"/>
              </w:rPr>
            </w:pPr>
            <w:r>
              <w:rPr>
                <w:kern w:val="0"/>
                <w:sz w:val="24"/>
                <w:szCs w:val="24"/>
              </w:rPr>
              <w:t>4.28</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ind w:firstLine="0" w:firstLineChars="0"/>
              <w:jc w:val="center"/>
              <w:rPr>
                <w:kern w:val="0"/>
                <w:sz w:val="24"/>
                <w:szCs w:val="24"/>
              </w:rPr>
            </w:pPr>
            <w:r>
              <w:rPr>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center"/>
              <w:rPr>
                <w:kern w:val="0"/>
                <w:sz w:val="24"/>
                <w:szCs w:val="24"/>
              </w:rPr>
            </w:pPr>
            <w:r>
              <w:rPr>
                <w:rFonts w:hint="eastAsia"/>
                <w:kern w:val="0"/>
                <w:sz w:val="24"/>
                <w:szCs w:val="24"/>
              </w:rPr>
              <w:t>8</w:t>
            </w:r>
          </w:p>
        </w:tc>
        <w:tc>
          <w:tcPr>
            <w:tcW w:w="4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center"/>
              <w:textAlignment w:val="center"/>
              <w:rPr>
                <w:rFonts w:ascii="仿宋_GB2312" w:cs="仿宋_GB2312"/>
                <w:spacing w:val="-6"/>
                <w:sz w:val="24"/>
                <w:szCs w:val="24"/>
              </w:rPr>
            </w:pPr>
            <w:r>
              <w:rPr>
                <w:rStyle w:val="37"/>
                <w:rFonts w:ascii="仿宋_GB2312" w:eastAsia="仿宋_GB2312" w:cs="仿宋_GB2312"/>
                <w:color w:val="auto"/>
                <w:spacing w:val="-6"/>
                <w:sz w:val="24"/>
                <w:szCs w:val="24"/>
              </w:rPr>
              <w:t>小学专任教师专科及以上学历达到率</w:t>
            </w:r>
            <w:r>
              <w:rPr>
                <w:kern w:val="0"/>
                <w:sz w:val="24"/>
                <w:szCs w:val="24"/>
              </w:rPr>
              <w:t>（%）</w:t>
            </w:r>
          </w:p>
        </w:tc>
        <w:tc>
          <w:tcPr>
            <w:tcW w:w="85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60" w:lineRule="exact"/>
              <w:ind w:firstLine="0" w:firstLineChars="0"/>
              <w:jc w:val="center"/>
              <w:rPr>
                <w:kern w:val="0"/>
                <w:sz w:val="24"/>
                <w:szCs w:val="24"/>
              </w:rPr>
            </w:pPr>
            <w:r>
              <w:rPr>
                <w:rFonts w:hint="eastAsia" w:eastAsia="宋体"/>
                <w:kern w:val="0"/>
                <w:sz w:val="24"/>
                <w:szCs w:val="24"/>
              </w:rPr>
              <w:t>99.54</w:t>
            </w:r>
          </w:p>
        </w:tc>
        <w:tc>
          <w:tcPr>
            <w:tcW w:w="85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60" w:lineRule="exact"/>
              <w:ind w:firstLine="0" w:firstLineChars="0"/>
              <w:jc w:val="center"/>
              <w:rPr>
                <w:kern w:val="0"/>
                <w:sz w:val="24"/>
                <w:szCs w:val="24"/>
              </w:rPr>
            </w:pPr>
            <w:r>
              <w:rPr>
                <w:rFonts w:hint="eastAsia"/>
                <w:kern w:val="0"/>
                <w:sz w:val="24"/>
                <w:szCs w:val="24"/>
              </w:rPr>
              <w:t>9</w:t>
            </w:r>
            <w:r>
              <w:rPr>
                <w:kern w:val="0"/>
                <w:sz w:val="24"/>
                <w:szCs w:val="24"/>
              </w:rPr>
              <w:t>9.5</w:t>
            </w:r>
            <w:r>
              <w:rPr>
                <w:rFonts w:hint="eastAsia"/>
                <w:kern w:val="0"/>
                <w:sz w:val="24"/>
                <w:szCs w:val="24"/>
              </w:rPr>
              <w:t>5</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ind w:firstLine="0" w:firstLineChars="0"/>
              <w:jc w:val="center"/>
              <w:rPr>
                <w:kern w:val="0"/>
                <w:sz w:val="24"/>
                <w:szCs w:val="24"/>
              </w:rPr>
            </w:pPr>
            <w:r>
              <w:rPr>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center"/>
              <w:rPr>
                <w:kern w:val="0"/>
                <w:sz w:val="24"/>
                <w:szCs w:val="24"/>
              </w:rPr>
            </w:pPr>
            <w:r>
              <w:rPr>
                <w:rFonts w:hint="eastAsia"/>
                <w:kern w:val="0"/>
                <w:sz w:val="24"/>
                <w:szCs w:val="24"/>
              </w:rPr>
              <w:t>9</w:t>
            </w:r>
          </w:p>
        </w:tc>
        <w:tc>
          <w:tcPr>
            <w:tcW w:w="4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center"/>
              <w:textAlignment w:val="center"/>
              <w:rPr>
                <w:rFonts w:ascii="仿宋_GB2312" w:cs="仿宋_GB2312"/>
                <w:spacing w:val="-6"/>
                <w:sz w:val="24"/>
                <w:szCs w:val="24"/>
              </w:rPr>
            </w:pPr>
            <w:r>
              <w:rPr>
                <w:rStyle w:val="37"/>
                <w:rFonts w:ascii="仿宋_GB2312" w:eastAsia="仿宋_GB2312" w:cs="仿宋_GB2312"/>
                <w:color w:val="auto"/>
                <w:spacing w:val="-6"/>
                <w:sz w:val="24"/>
                <w:szCs w:val="24"/>
              </w:rPr>
              <w:t>初中专任教师本科及以上学历达到率</w:t>
            </w:r>
            <w:r>
              <w:rPr>
                <w:kern w:val="0"/>
                <w:sz w:val="24"/>
                <w:szCs w:val="24"/>
              </w:rPr>
              <w:t>（%）</w:t>
            </w:r>
          </w:p>
        </w:tc>
        <w:tc>
          <w:tcPr>
            <w:tcW w:w="85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60" w:lineRule="exact"/>
              <w:ind w:firstLine="0" w:firstLineChars="0"/>
              <w:jc w:val="center"/>
              <w:rPr>
                <w:kern w:val="0"/>
                <w:sz w:val="24"/>
                <w:szCs w:val="24"/>
              </w:rPr>
            </w:pPr>
            <w:r>
              <w:rPr>
                <w:rFonts w:hint="eastAsia" w:eastAsia="宋体"/>
                <w:kern w:val="0"/>
                <w:sz w:val="24"/>
                <w:szCs w:val="24"/>
              </w:rPr>
              <w:t>96.35</w:t>
            </w:r>
          </w:p>
        </w:tc>
        <w:tc>
          <w:tcPr>
            <w:tcW w:w="85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60" w:lineRule="exact"/>
              <w:ind w:firstLine="0" w:firstLineChars="0"/>
              <w:jc w:val="center"/>
              <w:rPr>
                <w:kern w:val="0"/>
                <w:sz w:val="24"/>
                <w:szCs w:val="24"/>
              </w:rPr>
            </w:pPr>
            <w:r>
              <w:rPr>
                <w:rFonts w:hint="eastAsia"/>
                <w:kern w:val="0"/>
                <w:sz w:val="24"/>
                <w:szCs w:val="24"/>
              </w:rPr>
              <w:t>9</w:t>
            </w:r>
            <w:r>
              <w:rPr>
                <w:kern w:val="0"/>
                <w:sz w:val="24"/>
                <w:szCs w:val="24"/>
              </w:rPr>
              <w:t>7</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ind w:firstLine="0" w:firstLineChars="0"/>
              <w:jc w:val="center"/>
              <w:rPr>
                <w:kern w:val="0"/>
                <w:sz w:val="24"/>
                <w:szCs w:val="24"/>
              </w:rPr>
            </w:pPr>
            <w:r>
              <w:rPr>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8302"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pPr>
              <w:widowControl/>
              <w:spacing w:line="360" w:lineRule="exact"/>
              <w:ind w:firstLine="0" w:firstLineChars="0"/>
              <w:jc w:val="center"/>
              <w:rPr>
                <w:kern w:val="0"/>
                <w:sz w:val="24"/>
                <w:szCs w:val="24"/>
              </w:rPr>
            </w:pPr>
            <w:r>
              <w:rPr>
                <w:rFonts w:eastAsia="黑体"/>
                <w:bCs/>
                <w:kern w:val="0"/>
                <w:sz w:val="24"/>
                <w:szCs w:val="24"/>
              </w:rPr>
              <w:t>高中阶段教育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center"/>
              <w:rPr>
                <w:kern w:val="0"/>
                <w:sz w:val="24"/>
                <w:szCs w:val="24"/>
              </w:rPr>
            </w:pPr>
            <w:r>
              <w:rPr>
                <w:rFonts w:hint="eastAsia"/>
                <w:kern w:val="0"/>
                <w:sz w:val="24"/>
                <w:szCs w:val="24"/>
              </w:rPr>
              <w:t>10</w:t>
            </w:r>
          </w:p>
        </w:tc>
        <w:tc>
          <w:tcPr>
            <w:tcW w:w="4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center"/>
              <w:rPr>
                <w:kern w:val="0"/>
                <w:sz w:val="24"/>
                <w:szCs w:val="24"/>
              </w:rPr>
            </w:pPr>
            <w:r>
              <w:rPr>
                <w:rFonts w:hint="eastAsia"/>
                <w:kern w:val="0"/>
                <w:sz w:val="24"/>
                <w:szCs w:val="24"/>
              </w:rPr>
              <w:t>普通高中</w:t>
            </w:r>
            <w:r>
              <w:rPr>
                <w:kern w:val="0"/>
                <w:sz w:val="24"/>
                <w:szCs w:val="24"/>
              </w:rPr>
              <w:t>在校生（万人）</w:t>
            </w:r>
          </w:p>
        </w:tc>
        <w:tc>
          <w:tcPr>
            <w:tcW w:w="85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60" w:lineRule="exact"/>
              <w:ind w:firstLine="0" w:firstLineChars="0"/>
              <w:jc w:val="center"/>
              <w:rPr>
                <w:kern w:val="0"/>
                <w:sz w:val="24"/>
                <w:szCs w:val="24"/>
              </w:rPr>
            </w:pPr>
            <w:r>
              <w:rPr>
                <w:rFonts w:hint="eastAsia"/>
                <w:kern w:val="0"/>
                <w:sz w:val="24"/>
                <w:szCs w:val="24"/>
              </w:rPr>
              <w:t>0.8</w:t>
            </w:r>
            <w:r>
              <w:rPr>
                <w:kern w:val="0"/>
                <w:sz w:val="24"/>
                <w:szCs w:val="24"/>
              </w:rPr>
              <w:t>0</w:t>
            </w:r>
          </w:p>
        </w:tc>
        <w:tc>
          <w:tcPr>
            <w:tcW w:w="85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60" w:lineRule="exact"/>
              <w:ind w:firstLine="0" w:firstLineChars="0"/>
              <w:jc w:val="center"/>
              <w:rPr>
                <w:kern w:val="0"/>
                <w:sz w:val="24"/>
                <w:szCs w:val="24"/>
              </w:rPr>
            </w:pPr>
            <w:r>
              <w:rPr>
                <w:rFonts w:hint="eastAsia"/>
                <w:kern w:val="0"/>
                <w:sz w:val="24"/>
                <w:szCs w:val="24"/>
              </w:rPr>
              <w:t>1</w:t>
            </w:r>
            <w:r>
              <w:rPr>
                <w:kern w:val="0"/>
                <w:sz w:val="24"/>
                <w:szCs w:val="24"/>
              </w:rPr>
              <w:t>.97</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ind w:firstLine="0" w:firstLineChars="0"/>
              <w:jc w:val="center"/>
              <w:rPr>
                <w:kern w:val="0"/>
                <w:sz w:val="24"/>
                <w:szCs w:val="24"/>
              </w:rPr>
            </w:pPr>
            <w:r>
              <w:rPr>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center"/>
              <w:rPr>
                <w:kern w:val="0"/>
                <w:sz w:val="24"/>
                <w:szCs w:val="24"/>
              </w:rPr>
            </w:pPr>
            <w:r>
              <w:rPr>
                <w:rFonts w:hint="eastAsia"/>
                <w:kern w:val="0"/>
                <w:sz w:val="24"/>
                <w:szCs w:val="24"/>
              </w:rPr>
              <w:t>11</w:t>
            </w:r>
          </w:p>
        </w:tc>
        <w:tc>
          <w:tcPr>
            <w:tcW w:w="4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center"/>
              <w:textAlignment w:val="center"/>
              <w:rPr>
                <w:rFonts w:ascii="仿宋_GB2312" w:cs="仿宋_GB2312"/>
                <w:spacing w:val="-6"/>
                <w:sz w:val="24"/>
                <w:szCs w:val="24"/>
              </w:rPr>
            </w:pPr>
            <w:r>
              <w:rPr>
                <w:rStyle w:val="37"/>
                <w:rFonts w:ascii="仿宋_GB2312" w:eastAsia="仿宋_GB2312" w:cs="仿宋_GB2312"/>
                <w:color w:val="auto"/>
                <w:spacing w:val="-6"/>
                <w:sz w:val="24"/>
                <w:szCs w:val="24"/>
              </w:rPr>
              <w:t>高中专任教师研究生及以上学历达到率</w:t>
            </w:r>
            <w:r>
              <w:rPr>
                <w:kern w:val="0"/>
                <w:sz w:val="24"/>
                <w:szCs w:val="24"/>
              </w:rPr>
              <w:t>（%）</w:t>
            </w:r>
          </w:p>
        </w:tc>
        <w:tc>
          <w:tcPr>
            <w:tcW w:w="85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60" w:lineRule="exact"/>
              <w:ind w:firstLine="0" w:firstLineChars="0"/>
              <w:jc w:val="center"/>
              <w:rPr>
                <w:kern w:val="0"/>
                <w:sz w:val="24"/>
                <w:szCs w:val="24"/>
              </w:rPr>
            </w:pPr>
            <w:r>
              <w:rPr>
                <w:rFonts w:hint="eastAsia" w:eastAsia="宋体"/>
                <w:kern w:val="0"/>
                <w:sz w:val="24"/>
                <w:szCs w:val="24"/>
              </w:rPr>
              <w:t>27.43</w:t>
            </w:r>
          </w:p>
        </w:tc>
        <w:tc>
          <w:tcPr>
            <w:tcW w:w="85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60" w:lineRule="exact"/>
              <w:ind w:firstLine="0" w:firstLineChars="0"/>
              <w:jc w:val="center"/>
              <w:rPr>
                <w:kern w:val="0"/>
                <w:sz w:val="24"/>
                <w:szCs w:val="24"/>
              </w:rPr>
            </w:pPr>
            <w:r>
              <w:rPr>
                <w:rFonts w:hint="eastAsia"/>
                <w:kern w:val="0"/>
                <w:sz w:val="24"/>
                <w:szCs w:val="24"/>
              </w:rPr>
              <w:t>5</w:t>
            </w:r>
            <w:r>
              <w:rPr>
                <w:kern w:val="0"/>
                <w:sz w:val="24"/>
                <w:szCs w:val="24"/>
              </w:rPr>
              <w:t>0</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ind w:firstLine="0" w:firstLineChars="0"/>
              <w:jc w:val="center"/>
              <w:rPr>
                <w:kern w:val="0"/>
                <w:sz w:val="24"/>
                <w:szCs w:val="24"/>
              </w:rPr>
            </w:pPr>
            <w:r>
              <w:rPr>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center"/>
              <w:rPr>
                <w:kern w:val="0"/>
                <w:sz w:val="24"/>
                <w:szCs w:val="24"/>
              </w:rPr>
            </w:pPr>
            <w:r>
              <w:rPr>
                <w:rFonts w:hint="eastAsia"/>
                <w:kern w:val="0"/>
                <w:sz w:val="24"/>
                <w:szCs w:val="24"/>
              </w:rPr>
              <w:t>12</w:t>
            </w:r>
          </w:p>
        </w:tc>
        <w:tc>
          <w:tcPr>
            <w:tcW w:w="4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firstLineChars="0"/>
              <w:jc w:val="center"/>
              <w:rPr>
                <w:kern w:val="0"/>
                <w:sz w:val="24"/>
                <w:szCs w:val="24"/>
              </w:rPr>
            </w:pPr>
            <w:r>
              <w:rPr>
                <w:rFonts w:hint="eastAsia"/>
                <w:kern w:val="0"/>
                <w:sz w:val="24"/>
                <w:szCs w:val="24"/>
              </w:rPr>
              <w:t>职业高中学生与普通高中学生比例</w:t>
            </w:r>
          </w:p>
          <w:p>
            <w:pPr>
              <w:pStyle w:val="2"/>
              <w:spacing w:line="400" w:lineRule="exact"/>
              <w:ind w:firstLine="0" w:firstLineChars="0"/>
              <w:jc w:val="center"/>
              <w:rPr>
                <w:sz w:val="24"/>
                <w:szCs w:val="24"/>
              </w:rPr>
            </w:pPr>
            <w:r>
              <w:rPr>
                <w:rFonts w:hint="eastAsia"/>
                <w:sz w:val="24"/>
                <w:szCs w:val="24"/>
              </w:rPr>
              <w:t>（市域范围）</w:t>
            </w:r>
          </w:p>
        </w:tc>
        <w:tc>
          <w:tcPr>
            <w:tcW w:w="85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60" w:lineRule="exact"/>
              <w:ind w:firstLine="0" w:firstLineChars="0"/>
              <w:jc w:val="center"/>
              <w:rPr>
                <w:kern w:val="0"/>
                <w:sz w:val="24"/>
                <w:szCs w:val="24"/>
              </w:rPr>
            </w:pPr>
            <w:r>
              <w:rPr>
                <w:rFonts w:hint="eastAsia"/>
                <w:kern w:val="0"/>
                <w:sz w:val="24"/>
                <w:szCs w:val="24"/>
              </w:rPr>
              <w:t>4</w:t>
            </w:r>
            <w:r>
              <w:rPr>
                <w:kern w:val="0"/>
                <w:sz w:val="24"/>
                <w:szCs w:val="24"/>
              </w:rPr>
              <w:t>:</w:t>
            </w:r>
            <w:r>
              <w:rPr>
                <w:rFonts w:hint="eastAsia"/>
                <w:kern w:val="0"/>
                <w:sz w:val="24"/>
                <w:szCs w:val="24"/>
              </w:rPr>
              <w:t>6</w:t>
            </w:r>
          </w:p>
        </w:tc>
        <w:tc>
          <w:tcPr>
            <w:tcW w:w="85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60" w:lineRule="exact"/>
              <w:ind w:firstLine="0" w:firstLineChars="0"/>
              <w:jc w:val="center"/>
              <w:rPr>
                <w:kern w:val="0"/>
                <w:sz w:val="24"/>
                <w:szCs w:val="24"/>
              </w:rPr>
            </w:pPr>
            <w:r>
              <w:rPr>
                <w:rFonts w:hint="eastAsia"/>
                <w:kern w:val="0"/>
                <w:sz w:val="24"/>
                <w:szCs w:val="24"/>
              </w:rPr>
              <w:t>4</w:t>
            </w:r>
            <w:r>
              <w:rPr>
                <w:kern w:val="0"/>
                <w:sz w:val="24"/>
                <w:szCs w:val="24"/>
              </w:rPr>
              <w:t>:</w:t>
            </w:r>
            <w:r>
              <w:rPr>
                <w:rFonts w:hint="eastAsia"/>
                <w:kern w:val="0"/>
                <w:sz w:val="24"/>
                <w:szCs w:val="24"/>
              </w:rPr>
              <w:t>6</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ind w:firstLine="0" w:firstLineChars="0"/>
              <w:jc w:val="center"/>
              <w:rPr>
                <w:kern w:val="0"/>
                <w:sz w:val="24"/>
                <w:szCs w:val="24"/>
              </w:rPr>
            </w:pPr>
            <w:r>
              <w:rPr>
                <w:rFonts w:hint="eastAsia"/>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center"/>
              <w:rPr>
                <w:kern w:val="0"/>
                <w:sz w:val="24"/>
                <w:szCs w:val="24"/>
              </w:rPr>
            </w:pPr>
            <w:r>
              <w:rPr>
                <w:rFonts w:hint="eastAsia"/>
                <w:kern w:val="0"/>
                <w:sz w:val="24"/>
                <w:szCs w:val="24"/>
              </w:rPr>
              <w:t>13</w:t>
            </w:r>
          </w:p>
        </w:tc>
        <w:tc>
          <w:tcPr>
            <w:tcW w:w="49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ind w:firstLine="0" w:firstLineChars="0"/>
              <w:jc w:val="center"/>
              <w:rPr>
                <w:kern w:val="0"/>
                <w:sz w:val="24"/>
                <w:szCs w:val="24"/>
              </w:rPr>
            </w:pPr>
            <w:r>
              <w:rPr>
                <w:rFonts w:hint="eastAsia"/>
                <w:kern w:val="0"/>
                <w:sz w:val="24"/>
                <w:szCs w:val="24"/>
              </w:rPr>
              <w:t>特殊学校数量（所）</w:t>
            </w:r>
          </w:p>
        </w:tc>
        <w:tc>
          <w:tcPr>
            <w:tcW w:w="85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60" w:lineRule="exact"/>
              <w:ind w:firstLine="0" w:firstLineChars="0"/>
              <w:jc w:val="center"/>
              <w:rPr>
                <w:kern w:val="0"/>
                <w:sz w:val="24"/>
                <w:szCs w:val="24"/>
              </w:rPr>
            </w:pPr>
            <w:r>
              <w:rPr>
                <w:kern w:val="0"/>
                <w:sz w:val="24"/>
                <w:szCs w:val="24"/>
              </w:rPr>
              <w:t>0</w:t>
            </w:r>
          </w:p>
        </w:tc>
        <w:tc>
          <w:tcPr>
            <w:tcW w:w="85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60" w:lineRule="exact"/>
              <w:ind w:firstLine="0" w:firstLineChars="0"/>
              <w:jc w:val="center"/>
              <w:rPr>
                <w:kern w:val="0"/>
                <w:sz w:val="24"/>
                <w:szCs w:val="24"/>
              </w:rPr>
            </w:pPr>
            <w:r>
              <w:rPr>
                <w:rFonts w:hint="eastAsia"/>
                <w:kern w:val="0"/>
                <w:sz w:val="24"/>
                <w:szCs w:val="24"/>
              </w:rPr>
              <w:t>1</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ind w:firstLine="0" w:firstLineChars="0"/>
              <w:jc w:val="center"/>
              <w:rPr>
                <w:kern w:val="0"/>
                <w:sz w:val="24"/>
                <w:szCs w:val="24"/>
              </w:rPr>
            </w:pPr>
            <w:r>
              <w:rPr>
                <w:rFonts w:hint="eastAsia"/>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ind w:firstLine="0" w:firstLineChars="0"/>
              <w:jc w:val="center"/>
              <w:rPr>
                <w:kern w:val="0"/>
                <w:sz w:val="24"/>
                <w:szCs w:val="24"/>
              </w:rPr>
            </w:pPr>
            <w:r>
              <w:rPr>
                <w:rFonts w:hint="eastAsia"/>
                <w:kern w:val="0"/>
                <w:sz w:val="24"/>
                <w:szCs w:val="24"/>
              </w:rPr>
              <w:t>14</w:t>
            </w:r>
          </w:p>
        </w:tc>
        <w:tc>
          <w:tcPr>
            <w:tcW w:w="49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ind w:firstLine="0" w:firstLineChars="0"/>
              <w:jc w:val="center"/>
              <w:rPr>
                <w:kern w:val="0"/>
                <w:sz w:val="24"/>
                <w:szCs w:val="24"/>
              </w:rPr>
            </w:pPr>
            <w:r>
              <w:rPr>
                <w:rFonts w:hint="eastAsia"/>
                <w:kern w:val="0"/>
                <w:sz w:val="24"/>
                <w:szCs w:val="24"/>
              </w:rPr>
              <w:t>残疾儿童少年义务教育阶段入学率（%）</w:t>
            </w:r>
          </w:p>
        </w:tc>
        <w:tc>
          <w:tcPr>
            <w:tcW w:w="85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60" w:lineRule="exact"/>
              <w:ind w:firstLine="0" w:firstLineChars="0"/>
              <w:jc w:val="center"/>
              <w:rPr>
                <w:kern w:val="0"/>
                <w:sz w:val="24"/>
                <w:szCs w:val="24"/>
              </w:rPr>
            </w:pPr>
            <w:r>
              <w:rPr>
                <w:rFonts w:hint="eastAsia"/>
                <w:kern w:val="0"/>
                <w:sz w:val="24"/>
                <w:szCs w:val="24"/>
              </w:rPr>
              <w:t>96</w:t>
            </w:r>
          </w:p>
        </w:tc>
        <w:tc>
          <w:tcPr>
            <w:tcW w:w="85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60" w:lineRule="exact"/>
              <w:ind w:firstLine="0" w:firstLineChars="0"/>
              <w:jc w:val="center"/>
              <w:rPr>
                <w:kern w:val="0"/>
                <w:sz w:val="24"/>
                <w:szCs w:val="24"/>
              </w:rPr>
            </w:pPr>
            <w:r>
              <w:rPr>
                <w:rFonts w:hint="eastAsia"/>
                <w:kern w:val="0"/>
                <w:sz w:val="24"/>
                <w:szCs w:val="24"/>
              </w:rPr>
              <w:t>9</w:t>
            </w:r>
            <w:r>
              <w:rPr>
                <w:kern w:val="0"/>
                <w:sz w:val="24"/>
                <w:szCs w:val="24"/>
              </w:rPr>
              <w:t>8</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ind w:firstLine="0" w:firstLineChars="0"/>
              <w:jc w:val="center"/>
              <w:rPr>
                <w:kern w:val="0"/>
                <w:sz w:val="24"/>
                <w:szCs w:val="24"/>
              </w:rPr>
            </w:pPr>
            <w:r>
              <w:rPr>
                <w:rFonts w:hint="eastAsia"/>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8302"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pPr>
              <w:spacing w:line="240" w:lineRule="auto"/>
              <w:ind w:firstLine="0" w:firstLineChars="0"/>
              <w:jc w:val="center"/>
              <w:rPr>
                <w:rFonts w:ascii="黑体" w:eastAsia="黑体"/>
                <w:kern w:val="0"/>
                <w:sz w:val="24"/>
                <w:szCs w:val="24"/>
              </w:rPr>
            </w:pPr>
            <w:bookmarkStart w:id="84" w:name="_Toc59180855"/>
            <w:bookmarkStart w:id="85" w:name="_Toc59180809"/>
            <w:bookmarkStart w:id="86" w:name="_Toc59547926"/>
            <w:bookmarkStart w:id="87" w:name="_Toc59547957"/>
            <w:r>
              <w:rPr>
                <w:rFonts w:hint="eastAsia" w:ascii="黑体" w:eastAsia="黑体"/>
                <w:kern w:val="0"/>
                <w:sz w:val="24"/>
                <w:szCs w:val="24"/>
              </w:rPr>
              <w:t>人力资源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kern w:val="0"/>
                <w:sz w:val="24"/>
                <w:szCs w:val="24"/>
              </w:rPr>
            </w:pPr>
            <w:r>
              <w:rPr>
                <w:kern w:val="0"/>
                <w:sz w:val="24"/>
                <w:szCs w:val="24"/>
              </w:rPr>
              <w:t>15</w:t>
            </w:r>
          </w:p>
        </w:tc>
        <w:tc>
          <w:tcPr>
            <w:tcW w:w="49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kern w:val="0"/>
                <w:sz w:val="24"/>
                <w:szCs w:val="24"/>
              </w:rPr>
            </w:pPr>
            <w:r>
              <w:rPr>
                <w:rFonts w:hint="eastAsia"/>
                <w:kern w:val="0"/>
                <w:sz w:val="24"/>
                <w:szCs w:val="24"/>
              </w:rPr>
              <w:t>具有高等教育文化程度的人口数（万人）</w:t>
            </w:r>
          </w:p>
        </w:tc>
        <w:tc>
          <w:tcPr>
            <w:tcW w:w="85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auto"/>
              <w:ind w:firstLine="0" w:firstLineChars="0"/>
              <w:jc w:val="center"/>
              <w:rPr>
                <w:kern w:val="0"/>
                <w:sz w:val="24"/>
                <w:szCs w:val="24"/>
              </w:rPr>
            </w:pPr>
            <w:r>
              <w:rPr>
                <w:rFonts w:hint="eastAsia"/>
                <w:kern w:val="0"/>
                <w:sz w:val="24"/>
                <w:szCs w:val="24"/>
              </w:rPr>
              <w:t>2</w:t>
            </w:r>
            <w:r>
              <w:rPr>
                <w:kern w:val="0"/>
                <w:sz w:val="24"/>
                <w:szCs w:val="24"/>
              </w:rPr>
              <w:t>8.76</w:t>
            </w:r>
          </w:p>
        </w:tc>
        <w:tc>
          <w:tcPr>
            <w:tcW w:w="85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auto"/>
              <w:ind w:firstLine="0" w:firstLineChars="0"/>
              <w:jc w:val="center"/>
              <w:rPr>
                <w:kern w:val="0"/>
                <w:sz w:val="24"/>
                <w:szCs w:val="24"/>
              </w:rPr>
            </w:pPr>
            <w:r>
              <w:rPr>
                <w:rFonts w:hint="eastAsia"/>
                <w:kern w:val="0"/>
                <w:sz w:val="24"/>
                <w:szCs w:val="24"/>
              </w:rPr>
              <w:t>30.97</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kern w:val="0"/>
                <w:sz w:val="24"/>
                <w:szCs w:val="24"/>
              </w:rPr>
            </w:pPr>
            <w:r>
              <w:rPr>
                <w:rFonts w:hint="eastAsia"/>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kern w:val="0"/>
                <w:sz w:val="24"/>
                <w:szCs w:val="24"/>
              </w:rPr>
            </w:pPr>
            <w:r>
              <w:rPr>
                <w:rFonts w:hint="eastAsia"/>
                <w:kern w:val="0"/>
                <w:sz w:val="24"/>
                <w:szCs w:val="24"/>
              </w:rPr>
              <w:t>16</w:t>
            </w:r>
          </w:p>
        </w:tc>
        <w:tc>
          <w:tcPr>
            <w:tcW w:w="49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kern w:val="0"/>
                <w:sz w:val="24"/>
                <w:szCs w:val="24"/>
              </w:rPr>
            </w:pPr>
            <w:r>
              <w:rPr>
                <w:rFonts w:hint="eastAsia"/>
                <w:kern w:val="0"/>
                <w:sz w:val="24"/>
                <w:szCs w:val="24"/>
              </w:rPr>
              <w:t>劳动年龄人口平均受教育年限（年）</w:t>
            </w:r>
          </w:p>
        </w:tc>
        <w:tc>
          <w:tcPr>
            <w:tcW w:w="85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auto"/>
              <w:ind w:firstLine="0" w:firstLineChars="0"/>
              <w:jc w:val="center"/>
              <w:rPr>
                <w:kern w:val="0"/>
                <w:sz w:val="24"/>
                <w:szCs w:val="24"/>
              </w:rPr>
            </w:pPr>
            <w:r>
              <w:rPr>
                <w:rFonts w:hint="eastAsia"/>
                <w:kern w:val="0"/>
                <w:sz w:val="24"/>
                <w:szCs w:val="24"/>
              </w:rPr>
              <w:t>1</w:t>
            </w:r>
            <w:r>
              <w:rPr>
                <w:kern w:val="0"/>
                <w:sz w:val="24"/>
                <w:szCs w:val="24"/>
              </w:rPr>
              <w:t>1.08</w:t>
            </w:r>
          </w:p>
        </w:tc>
        <w:tc>
          <w:tcPr>
            <w:tcW w:w="85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auto"/>
              <w:ind w:firstLine="0" w:firstLineChars="0"/>
              <w:jc w:val="center"/>
              <w:rPr>
                <w:kern w:val="0"/>
                <w:sz w:val="24"/>
                <w:szCs w:val="24"/>
              </w:rPr>
            </w:pPr>
            <w:r>
              <w:rPr>
                <w:rFonts w:hint="eastAsia"/>
                <w:kern w:val="0"/>
                <w:sz w:val="24"/>
                <w:szCs w:val="24"/>
              </w:rPr>
              <w:t>1</w:t>
            </w:r>
            <w:r>
              <w:rPr>
                <w:kern w:val="0"/>
                <w:sz w:val="24"/>
                <w:szCs w:val="24"/>
              </w:rPr>
              <w:t>3</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kern w:val="0"/>
                <w:sz w:val="24"/>
                <w:szCs w:val="24"/>
              </w:rPr>
            </w:pPr>
            <w:r>
              <w:rPr>
                <w:rFonts w:hint="eastAsia"/>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8302"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pPr>
              <w:spacing w:line="360" w:lineRule="exact"/>
              <w:ind w:firstLine="0" w:firstLineChars="0"/>
              <w:jc w:val="center"/>
              <w:rPr>
                <w:rFonts w:ascii="黑体" w:eastAsia="黑体"/>
                <w:kern w:val="0"/>
                <w:sz w:val="24"/>
                <w:szCs w:val="24"/>
              </w:rPr>
            </w:pPr>
            <w:r>
              <w:rPr>
                <w:rFonts w:hint="eastAsia" w:ascii="黑体" w:eastAsia="黑体"/>
                <w:kern w:val="0"/>
                <w:sz w:val="24"/>
                <w:szCs w:val="24"/>
              </w:rPr>
              <w:t>特色指标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center"/>
              <w:textAlignment w:val="center"/>
              <w:rPr>
                <w:kern w:val="0"/>
                <w:sz w:val="24"/>
                <w:szCs w:val="24"/>
              </w:rPr>
            </w:pPr>
            <w:r>
              <w:rPr>
                <w:rFonts w:hint="eastAsia"/>
                <w:kern w:val="0"/>
                <w:sz w:val="24"/>
                <w:szCs w:val="24"/>
              </w:rPr>
              <w:t>17</w:t>
            </w:r>
          </w:p>
        </w:tc>
        <w:tc>
          <w:tcPr>
            <w:tcW w:w="4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textAlignment w:val="center"/>
              <w:rPr>
                <w:kern w:val="0"/>
                <w:sz w:val="24"/>
                <w:szCs w:val="24"/>
              </w:rPr>
            </w:pPr>
            <w:r>
              <w:rPr>
                <w:rStyle w:val="37"/>
                <w:rFonts w:ascii="仿宋_GB2312" w:eastAsia="仿宋_GB2312" w:cs="仿宋_GB2312"/>
                <w:color w:val="auto"/>
                <w:sz w:val="24"/>
                <w:szCs w:val="24"/>
              </w:rPr>
              <w:t>公办学校聘任制教师占教师总数的比例</w:t>
            </w:r>
            <w:r>
              <w:rPr>
                <w:rStyle w:val="37"/>
                <w:rFonts w:ascii="Times New Roman" w:hAnsi="Times New Roman" w:cs="Times New Roman"/>
                <w:color w:val="auto"/>
                <w:sz w:val="24"/>
                <w:szCs w:val="24"/>
              </w:rPr>
              <w:t>（%）</w:t>
            </w:r>
          </w:p>
        </w:tc>
        <w:tc>
          <w:tcPr>
            <w:tcW w:w="85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60" w:lineRule="exact"/>
              <w:ind w:firstLine="0" w:firstLineChars="0"/>
              <w:jc w:val="center"/>
              <w:textAlignment w:val="center"/>
              <w:rPr>
                <w:kern w:val="0"/>
                <w:sz w:val="24"/>
                <w:szCs w:val="24"/>
              </w:rPr>
            </w:pPr>
            <w:r>
              <w:rPr>
                <w:rFonts w:hint="eastAsia" w:eastAsia="宋体"/>
                <w:kern w:val="0"/>
                <w:sz w:val="24"/>
                <w:szCs w:val="24"/>
              </w:rPr>
              <w:t>20</w:t>
            </w:r>
          </w:p>
        </w:tc>
        <w:tc>
          <w:tcPr>
            <w:tcW w:w="85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60" w:lineRule="exact"/>
              <w:ind w:firstLine="0" w:firstLineChars="0"/>
              <w:jc w:val="center"/>
              <w:textAlignment w:val="center"/>
              <w:rPr>
                <w:kern w:val="0"/>
                <w:sz w:val="24"/>
                <w:szCs w:val="24"/>
              </w:rPr>
            </w:pPr>
            <w:r>
              <w:rPr>
                <w:kern w:val="0"/>
                <w:sz w:val="24"/>
                <w:szCs w:val="24"/>
              </w:rPr>
              <w:t>60</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center"/>
              <w:textAlignment w:val="center"/>
              <w:rPr>
                <w:rFonts w:ascii="仿宋_GB2312"/>
                <w:kern w:val="0"/>
                <w:sz w:val="24"/>
                <w:szCs w:val="24"/>
              </w:rPr>
            </w:pPr>
            <w:r>
              <w:rPr>
                <w:rFonts w:hint="eastAsia" w:ascii="仿宋_GB2312"/>
                <w:kern w:val="0"/>
                <w:sz w:val="24"/>
                <w:szCs w:val="24"/>
              </w:rPr>
              <w:t>预期性</w:t>
            </w:r>
          </w:p>
        </w:tc>
      </w:tr>
    </w:tbl>
    <w:p>
      <w:pPr>
        <w:spacing w:line="300" w:lineRule="exact"/>
        <w:rPr>
          <w:sz w:val="24"/>
          <w:szCs w:val="24"/>
          <w:highlight w:val="yellow"/>
        </w:rPr>
      </w:pPr>
      <w:r>
        <w:rPr>
          <w:rFonts w:hint="eastAsia"/>
          <w:sz w:val="20"/>
          <w:szCs w:val="20"/>
        </w:rPr>
        <w:t>注：2025年指标体系不含咸阳共管区域。</w:t>
      </w:r>
    </w:p>
    <w:p>
      <w:pPr>
        <w:pStyle w:val="4"/>
      </w:pPr>
      <w:bookmarkStart w:id="88" w:name="_Toc130476066"/>
      <w:bookmarkStart w:id="89" w:name="_Toc79393296"/>
      <w:bookmarkStart w:id="90" w:name="_Toc79397458"/>
      <w:r>
        <w:rPr>
          <w:rFonts w:hint="eastAsia"/>
        </w:rPr>
        <w:t>（四）重点任务</w:t>
      </w:r>
      <w:bookmarkEnd w:id="84"/>
      <w:bookmarkEnd w:id="85"/>
      <w:bookmarkEnd w:id="86"/>
      <w:bookmarkEnd w:id="87"/>
      <w:bookmarkEnd w:id="88"/>
      <w:bookmarkEnd w:id="89"/>
      <w:bookmarkEnd w:id="90"/>
    </w:p>
    <w:bookmarkEnd w:id="83"/>
    <w:p>
      <w:pPr>
        <w:rPr>
          <w:rFonts w:ascii="仿宋_GB2312"/>
        </w:rPr>
      </w:pPr>
      <w:bookmarkStart w:id="91" w:name="_Toc59180857"/>
      <w:bookmarkStart w:id="92" w:name="_Toc59180811"/>
      <w:bookmarkStart w:id="93" w:name="_Toc59180813"/>
      <w:bookmarkStart w:id="94" w:name="_Toc59180859"/>
      <w:r>
        <w:rPr>
          <w:rFonts w:hint="eastAsia" w:ascii="仿宋_GB2312"/>
          <w:b/>
          <w:bCs/>
          <w:szCs w:val="32"/>
        </w:rPr>
        <w:t>学前教育。</w:t>
      </w:r>
      <w:bookmarkEnd w:id="91"/>
      <w:bookmarkEnd w:id="92"/>
      <w:r>
        <w:rPr>
          <w:rFonts w:hint="eastAsia" w:ascii="仿宋_GB2312"/>
        </w:rPr>
        <w:t>全力推进学前教育普及普惠安全优质发展，建立更加完善的学前教育管理体制、办园体制和政策保障体系。加大公共财政投入力度，优化经费投入结构，健全学前教育成本分担机制，强化民办幼儿园收费价格监管。严格落实城镇小区配套幼儿园建设使用要求，保障适龄儿童就近入园。积极扶持民办园提供普惠性服务，着力构建以普惠性资源为主体的办园体系，基本建成布局合理、安全优质的学前教育公共服务体系。全面落实“两教一保”及保教保育制度，贯彻落实《</w:t>
      </w:r>
      <w:r>
        <w:t>3</w:t>
      </w:r>
      <w:r>
        <w:rPr>
          <w:rFonts w:hint="eastAsia"/>
        </w:rPr>
        <w:t>-</w:t>
      </w:r>
      <w:r>
        <w:t>6岁</w:t>
      </w:r>
      <w:r>
        <w:rPr>
          <w:rFonts w:hint="eastAsia" w:ascii="仿宋_GB2312"/>
        </w:rPr>
        <w:t>儿童学习与发展指南》和《幼儿园教育指导纲要》，促进幼儿身心全面和谐发展，坚持素质教育的办园方向，把保护幼儿生命安全和身体健康放在首位，坚持以游戏为基本活动，寓教于乐，促进幼儿快乐生活、健康成长，严禁幼儿园“小学化”倾向。树立科学的幼小衔接理念，有针对性地帮助幼儿做好生活、社会和学习等多方面的准备，建立对小学生活的积极期待和向往。完善幼儿园教师培养和专业成长机制，不断提高幼儿教师队伍综合素质与科学保教能力。</w:t>
      </w:r>
    </w:p>
    <w:p>
      <w:pPr>
        <w:pStyle w:val="2"/>
        <w:rPr>
          <w:rFonts w:eastAsia="仿宋_GB2312"/>
        </w:rPr>
      </w:pPr>
      <w:r>
        <w:rPr>
          <w:rFonts w:eastAsia="仿宋_GB2312"/>
        </w:rPr>
        <w:t>到2025年，学前教育毛入园率达到98%以上，市一级园达40所，省级示范园达13所，优质资源覆盖率达78%以上。</w:t>
      </w:r>
    </w:p>
    <w:p>
      <w:pPr>
        <w:rPr>
          <w:szCs w:val="32"/>
        </w:rPr>
      </w:pPr>
      <w:r>
        <w:rPr>
          <w:rFonts w:hint="eastAsia" w:ascii="仿宋_GB2312"/>
          <w:b/>
          <w:bCs/>
          <w:szCs w:val="32"/>
        </w:rPr>
        <w:t>义务教育。</w:t>
      </w:r>
      <w:r>
        <w:rPr>
          <w:szCs w:val="32"/>
        </w:rPr>
        <w:t>突出义务教育基础性、全面性和公平性特点，巩固义务教育普及成果。</w:t>
      </w:r>
      <w:r>
        <w:rPr>
          <w:rFonts w:hint="eastAsia"/>
          <w:szCs w:val="32"/>
        </w:rPr>
        <w:t>落实</w:t>
      </w:r>
      <w:r>
        <w:rPr>
          <w:szCs w:val="32"/>
        </w:rPr>
        <w:t>义务教育免试就近入学</w:t>
      </w:r>
      <w:r>
        <w:rPr>
          <w:rFonts w:hint="eastAsia"/>
          <w:szCs w:val="32"/>
        </w:rPr>
        <w:t>政策</w:t>
      </w:r>
      <w:r>
        <w:rPr>
          <w:szCs w:val="32"/>
        </w:rPr>
        <w:t>全覆盖，落实军人、消防救援人员、公安英烈、高层次人才等特殊群体子女入学优待政策，完善随迁子女入学政策。建立控辍保学长效机制，</w:t>
      </w:r>
      <w:r>
        <w:rPr>
          <w:rFonts w:hint="eastAsia"/>
          <w:szCs w:val="32"/>
        </w:rPr>
        <w:t>履行“七长”责任制</w:t>
      </w:r>
      <w:r>
        <w:rPr>
          <w:szCs w:val="32"/>
        </w:rPr>
        <w:t>。</w:t>
      </w:r>
      <w:r>
        <w:rPr>
          <w:rFonts w:hint="eastAsia"/>
          <w:szCs w:val="32"/>
        </w:rPr>
        <w:t>科学划分学区，公办小学、初中就近划片入学比例达到100％，满足群众家门口上好学的需求。</w:t>
      </w:r>
      <w:r>
        <w:rPr>
          <w:rFonts w:hint="eastAsia" w:ascii="仿宋_GB2312" w:cs="仿宋_GB2312"/>
          <w:szCs w:val="32"/>
        </w:rPr>
        <w:t>加强义务教育招生入学管理，完善民办学校与公办学校同步招生入学政策，确保适龄儿童少年应入尽入。</w:t>
      </w:r>
      <w:r>
        <w:rPr>
          <w:szCs w:val="32"/>
        </w:rPr>
        <w:t>加强</w:t>
      </w:r>
      <w:r>
        <w:rPr>
          <w:rFonts w:hint="eastAsia"/>
          <w:szCs w:val="32"/>
        </w:rPr>
        <w:t>义务教育</w:t>
      </w:r>
      <w:r>
        <w:rPr>
          <w:szCs w:val="32"/>
        </w:rPr>
        <w:t>师资队伍建设，落实现行补助、奖励和各类保障政策。</w:t>
      </w:r>
      <w:r>
        <w:rPr>
          <w:rFonts w:hint="eastAsia"/>
          <w:szCs w:val="32"/>
        </w:rPr>
        <w:t>落实“双减”政策，严明教育教学工作纪律，严格执行均衡编班和教学计划。持续规范校外培训（包括线上培训和线下培训），强化学校教育主阵地作用，</w:t>
      </w:r>
      <w:r>
        <w:rPr>
          <w:szCs w:val="32"/>
        </w:rPr>
        <w:t>把减负落实到中小学教育全过程。</w:t>
      </w:r>
      <w:r>
        <w:rPr>
          <w:rFonts w:hint="eastAsia"/>
          <w:szCs w:val="32"/>
        </w:rPr>
        <w:t>扎实做好“五项管理”工作</w:t>
      </w:r>
      <w:r>
        <w:rPr>
          <w:szCs w:val="32"/>
        </w:rPr>
        <w:t>，</w:t>
      </w:r>
      <w:r>
        <w:rPr>
          <w:rFonts w:hint="eastAsia"/>
          <w:szCs w:val="32"/>
        </w:rPr>
        <w:t>推进课后服务全面覆盖，充分调动师生的积极性和创造性，开发设置丰富多彩的活动项目，增强课后服务的吸引力和有效性，</w:t>
      </w:r>
      <w:r>
        <w:rPr>
          <w:szCs w:val="32"/>
        </w:rPr>
        <w:t>促进</w:t>
      </w:r>
      <w:r>
        <w:rPr>
          <w:rFonts w:hint="eastAsia"/>
          <w:szCs w:val="32"/>
        </w:rPr>
        <w:t>学生</w:t>
      </w:r>
      <w:r>
        <w:rPr>
          <w:szCs w:val="32"/>
        </w:rPr>
        <w:t>身心健康</w:t>
      </w:r>
      <w:r>
        <w:rPr>
          <w:rFonts w:hint="eastAsia"/>
          <w:szCs w:val="32"/>
        </w:rPr>
        <w:t>、全面发展</w:t>
      </w:r>
      <w:r>
        <w:rPr>
          <w:szCs w:val="32"/>
        </w:rPr>
        <w:t>。</w:t>
      </w:r>
      <w:r>
        <w:rPr>
          <w:rFonts w:hint="eastAsia"/>
          <w:szCs w:val="32"/>
        </w:rPr>
        <w:t>在小学教育中强化幼小衔接意识，将入学适应教育作为深化义务教育课程教学改革的重要任务。贯彻落实《民办教育促进法实施条例》，进一步推动民办义务教育规范化。</w:t>
      </w:r>
    </w:p>
    <w:p>
      <w:pPr>
        <w:rPr>
          <w:szCs w:val="32"/>
        </w:rPr>
      </w:pPr>
      <w:r>
        <w:rPr>
          <w:szCs w:val="32"/>
        </w:rPr>
        <w:t>到2025年，</w:t>
      </w:r>
      <w:r>
        <w:rPr>
          <w:rFonts w:hint="eastAsia"/>
          <w:szCs w:val="32"/>
        </w:rPr>
        <w:t>持续</w:t>
      </w:r>
      <w:r>
        <w:rPr>
          <w:szCs w:val="32"/>
        </w:rPr>
        <w:t>全面消除</w:t>
      </w:r>
      <w:r>
        <w:rPr>
          <w:rFonts w:hint="eastAsia"/>
          <w:szCs w:val="32"/>
        </w:rPr>
        <w:t>“</w:t>
      </w:r>
      <w:r>
        <w:rPr>
          <w:szCs w:val="32"/>
        </w:rPr>
        <w:t>大班额</w:t>
      </w:r>
      <w:r>
        <w:rPr>
          <w:rFonts w:hint="eastAsia"/>
          <w:szCs w:val="32"/>
        </w:rPr>
        <w:t>”。</w:t>
      </w:r>
      <w:r>
        <w:rPr>
          <w:szCs w:val="32"/>
        </w:rPr>
        <w:t>持续夯实控辍保学</w:t>
      </w:r>
      <w:r>
        <w:rPr>
          <w:rFonts w:hint="eastAsia"/>
          <w:szCs w:val="32"/>
        </w:rPr>
        <w:t>任务</w:t>
      </w:r>
      <w:r>
        <w:rPr>
          <w:szCs w:val="32"/>
        </w:rPr>
        <w:t>，</w:t>
      </w:r>
      <w:r>
        <w:rPr>
          <w:rFonts w:hint="eastAsia"/>
          <w:szCs w:val="32"/>
        </w:rPr>
        <w:t>义务教育巩固率达到98%以上</w:t>
      </w:r>
      <w:r>
        <w:rPr>
          <w:szCs w:val="32"/>
        </w:rPr>
        <w:t>。</w:t>
      </w:r>
    </w:p>
    <w:p>
      <w:pPr>
        <w:pStyle w:val="10"/>
        <w:rPr>
          <w:rFonts w:ascii="Times New Roman" w:hAnsi="Times New Roman" w:cs="Times New Roman"/>
          <w:sz w:val="32"/>
          <w:szCs w:val="32"/>
        </w:rPr>
      </w:pPr>
      <w:r>
        <w:rPr>
          <w:rFonts w:ascii="Times New Roman" w:hAnsi="Times New Roman" w:cs="Times New Roman"/>
          <w:b/>
          <w:bCs/>
          <w:sz w:val="32"/>
          <w:szCs w:val="32"/>
        </w:rPr>
        <w:t>普通高中教育。</w:t>
      </w:r>
      <w:r>
        <w:rPr>
          <w:rFonts w:ascii="Times New Roman" w:hAnsi="Times New Roman" w:cs="Times New Roman"/>
          <w:sz w:val="32"/>
          <w:szCs w:val="32"/>
        </w:rPr>
        <w:t>全面实施普通高中新课程新教材，有序推行选课走班，支持普通高中学校形成办学特色，建设适应新时代着眼未来的特色部室和学科教室。构建省级标准化高中、省级示范高中、市级特色实验高中、市级特色示范高中骨干体系，推进普通高中育人方式改革，完善普通高中教育评价和考试招生制度。深化招生制度改革，实施普通高中学业水平考试，探索育人方式创新模式。进一步适应高考综合改革要求，建立新课程体系，构建必修与选修有机结合的学科课程体系，满足学生不同兴趣、不同水平、不同选考要求的学习需求。组织“新课程</w:t>
      </w:r>
      <w:r>
        <w:rPr>
          <w:rFonts w:hint="eastAsia" w:ascii="Times New Roman" w:hAnsi="Times New Roman" w:cs="Times New Roman"/>
          <w:sz w:val="32"/>
          <w:szCs w:val="32"/>
          <w:lang w:val="en-US"/>
        </w:rPr>
        <w:t>·</w:t>
      </w:r>
      <w:r>
        <w:rPr>
          <w:rFonts w:ascii="Times New Roman" w:hAnsi="Times New Roman" w:cs="Times New Roman"/>
          <w:sz w:val="32"/>
          <w:szCs w:val="32"/>
        </w:rPr>
        <w:t>新高考”等主题的专题培训工作，提升教师分层教学能力和水平，引领教师适应新高考改革背景下的教学新常态，探索建立区域内</w:t>
      </w:r>
      <w:r>
        <w:rPr>
          <w:rFonts w:hint="eastAsia" w:ascii="Times New Roman" w:hAnsi="Times New Roman" w:cs="Times New Roman"/>
          <w:sz w:val="32"/>
          <w:szCs w:val="32"/>
          <w:lang w:val="en-US"/>
        </w:rPr>
        <w:t>高中</w:t>
      </w:r>
      <w:r>
        <w:rPr>
          <w:rFonts w:ascii="Times New Roman" w:hAnsi="Times New Roman" w:cs="Times New Roman"/>
          <w:sz w:val="32"/>
          <w:szCs w:val="32"/>
        </w:rPr>
        <w:t>教师跨校流动机制。高中阶段教育毛入学率达到95%以上。建立以综合素质评价为核心的评价机制，引进现代化教育质量综合素质评价平台，实现以评促教、以评促学、以评促建。支持普通高中成立学生生涯规划指导中心，组建生涯规划教育的师资队伍，积极开展学生生涯规划指导。注重培养学生自主学习、自强自立和适应社会的能力。开设职业生涯规划培训课程，鼓励普高学校与职业学校建立合作机制。</w:t>
      </w:r>
    </w:p>
    <w:p>
      <w:pPr>
        <w:pStyle w:val="10"/>
        <w:rPr>
          <w:sz w:val="32"/>
          <w:szCs w:val="32"/>
        </w:rPr>
      </w:pPr>
      <w:r>
        <w:rPr>
          <w:rFonts w:ascii="Times New Roman" w:hAnsi="Times New Roman" w:cs="Times New Roman"/>
          <w:sz w:val="32"/>
          <w:szCs w:val="32"/>
        </w:rPr>
        <w:t>到2025年，除新建学校外，所有普通高中建成省级标准化学校。创建省级示范高中3所；创建市级特色高中2-3所，省级示范高中和市级特色高中学校占比达50%以上。</w:t>
      </w:r>
    </w:p>
    <w:p>
      <w:pPr>
        <w:rPr>
          <w:rFonts w:ascii="仿宋_GB2312"/>
          <w:szCs w:val="32"/>
        </w:rPr>
      </w:pPr>
      <w:r>
        <w:rPr>
          <w:rFonts w:hint="eastAsia" w:ascii="仿宋_GB2312" w:cs="仿宋_GB2312"/>
          <w:b/>
          <w:bCs/>
          <w:szCs w:val="32"/>
        </w:rPr>
        <w:t>职业教育。</w:t>
      </w:r>
      <w:r>
        <w:rPr>
          <w:rFonts w:hint="eastAsia" w:ascii="仿宋_GB2312" w:cs="仿宋_GB2312"/>
          <w:szCs w:val="32"/>
        </w:rPr>
        <w:t>结合新区产业方向、发展特点和人口增长情况，有效整合教育资源，推进职业教育学校建设，提高服务新区产业发展能力。支持各类办学主体通过独资、合资等方式举办民办职业教育，推动公办和民办职业教育共同发展。引导职业学校及时调整学科专业结构，围绕秦创原创新驱动平台总窗口，建设一批紧密对接西咸优势产业的特色专业及学校。开展校企合作协同育人。建立产教融合机制，推动职业教育与产业发展有机衔接、深度融合。鼓励校企共建“双师型”教师培养培训基地和教师实践基地。加大应用型、复合型、技术技能型人才培养比重。支持职业院校大力开展面向企业职工、农村转移劳动力、贫困劳动力和贫困家庭子女的职业技能培训。</w:t>
      </w:r>
    </w:p>
    <w:p>
      <w:pPr>
        <w:rPr>
          <w:b/>
          <w:bCs/>
          <w:szCs w:val="32"/>
        </w:rPr>
      </w:pPr>
      <w:r>
        <w:rPr>
          <w:rFonts w:hint="eastAsia"/>
          <w:szCs w:val="32"/>
        </w:rPr>
        <w:t>到</w:t>
      </w:r>
      <w:r>
        <w:rPr>
          <w:szCs w:val="32"/>
        </w:rPr>
        <w:t>2025年，</w:t>
      </w:r>
      <w:r>
        <w:rPr>
          <w:rFonts w:hint="eastAsia"/>
          <w:szCs w:val="32"/>
        </w:rPr>
        <w:t>建设1所公办职业学校，推动普通高中和中等职业教育协调发展，科学制订普通高中和中等职业学校招生计划</w:t>
      </w:r>
      <w:r>
        <w:rPr>
          <w:szCs w:val="32"/>
        </w:rPr>
        <w:t>。</w:t>
      </w:r>
      <w:bookmarkEnd w:id="93"/>
      <w:bookmarkEnd w:id="94"/>
    </w:p>
    <w:p>
      <w:pPr>
        <w:rPr>
          <w:szCs w:val="32"/>
        </w:rPr>
      </w:pPr>
      <w:bookmarkStart w:id="95" w:name="_Toc59180862"/>
      <w:bookmarkStart w:id="96" w:name="_Toc59180816"/>
      <w:r>
        <w:rPr>
          <w:rFonts w:hint="eastAsia"/>
          <w:b/>
          <w:bCs/>
          <w:szCs w:val="32"/>
        </w:rPr>
        <w:t>特殊教育。</w:t>
      </w:r>
      <w:r>
        <w:rPr>
          <w:rFonts w:hint="eastAsia"/>
          <w:szCs w:val="32"/>
        </w:rPr>
        <w:t>加大特殊教育投入力度，加强融合幼儿园、特殊教育学校建设。持续完善以特教学校为骨干、随班就读为主、以送教上门为补充的特殊人群教育体系，确保特殊人群受教育权利。全面改善特殊教育办学条件，完善随班就读支持保障体系建设。</w:t>
      </w:r>
      <w:r>
        <w:rPr>
          <w:szCs w:val="32"/>
        </w:rPr>
        <w:t>积极</w:t>
      </w:r>
      <w:r>
        <w:rPr>
          <w:rFonts w:hint="eastAsia"/>
          <w:szCs w:val="32"/>
        </w:rPr>
        <w:t>探索</w:t>
      </w:r>
      <w:r>
        <w:rPr>
          <w:szCs w:val="32"/>
        </w:rPr>
        <w:t>现有特殊教育向学前拓展，向职业教育延伸，全面提高特殊教育普及水平。</w:t>
      </w:r>
    </w:p>
    <w:p>
      <w:pPr>
        <w:rPr>
          <w:szCs w:val="32"/>
        </w:rPr>
      </w:pPr>
      <w:r>
        <w:rPr>
          <w:rFonts w:hint="eastAsia"/>
          <w:szCs w:val="32"/>
        </w:rPr>
        <w:t>到2</w:t>
      </w:r>
      <w:r>
        <w:rPr>
          <w:szCs w:val="32"/>
        </w:rPr>
        <w:t>025</w:t>
      </w:r>
      <w:r>
        <w:rPr>
          <w:rFonts w:hint="eastAsia"/>
          <w:szCs w:val="32"/>
        </w:rPr>
        <w:t>年</w:t>
      </w:r>
      <w:r>
        <w:rPr>
          <w:szCs w:val="32"/>
        </w:rPr>
        <w:t>，</w:t>
      </w:r>
      <w:r>
        <w:rPr>
          <w:rFonts w:hint="eastAsia"/>
          <w:szCs w:val="32"/>
        </w:rPr>
        <w:t>建成1所特殊教育学校，新区残疾儿童少年义务教育阶段入学率达到98%以上。</w:t>
      </w:r>
    </w:p>
    <w:bookmarkEnd w:id="95"/>
    <w:bookmarkEnd w:id="96"/>
    <w:p>
      <w:pPr>
        <w:rPr>
          <w:b/>
          <w:bCs/>
          <w:szCs w:val="32"/>
        </w:rPr>
      </w:pPr>
      <w:bookmarkStart w:id="97" w:name="_Toc59180863"/>
      <w:bookmarkStart w:id="98" w:name="_Toc59180817"/>
      <w:r>
        <w:rPr>
          <w:rFonts w:hint="eastAsia"/>
          <w:b/>
          <w:bCs/>
          <w:szCs w:val="32"/>
        </w:rPr>
        <w:t>终身教育。</w:t>
      </w:r>
      <w:r>
        <w:rPr>
          <w:rFonts w:hint="eastAsia"/>
          <w:szCs w:val="32"/>
        </w:rPr>
        <w:t>完善社区教育四级办学体系，建设线上线下相结合的学习支撑服务体系。充分发挥“互联网</w:t>
      </w:r>
      <w:r>
        <w:rPr>
          <w:szCs w:val="32"/>
        </w:rPr>
        <w:t>+教育”优势，推进在线教育资源和学习服务体系</w:t>
      </w:r>
      <w:r>
        <w:rPr>
          <w:rFonts w:hint="eastAsia"/>
          <w:szCs w:val="32"/>
        </w:rPr>
        <w:t>建设</w:t>
      </w:r>
      <w:r>
        <w:rPr>
          <w:szCs w:val="32"/>
        </w:rPr>
        <w:t>。探索建立社区教育院校、物业教学点、企业职工继续教育培训点、网络院校等多重终身教育</w:t>
      </w:r>
      <w:r>
        <w:rPr>
          <w:rFonts w:hint="eastAsia"/>
          <w:szCs w:val="32"/>
        </w:rPr>
        <w:t>模式</w:t>
      </w:r>
      <w:r>
        <w:rPr>
          <w:szCs w:val="32"/>
        </w:rPr>
        <w:t>，</w:t>
      </w:r>
      <w:r>
        <w:rPr>
          <w:rFonts w:hint="eastAsia"/>
          <w:szCs w:val="32"/>
        </w:rPr>
        <w:t>完善</w:t>
      </w:r>
      <w:r>
        <w:rPr>
          <w:szCs w:val="32"/>
        </w:rPr>
        <w:t>新区</w:t>
      </w:r>
      <w:r>
        <w:rPr>
          <w:rFonts w:hint="eastAsia"/>
          <w:szCs w:val="32"/>
        </w:rPr>
        <w:t>“</w:t>
      </w:r>
      <w:r>
        <w:rPr>
          <w:szCs w:val="32"/>
        </w:rPr>
        <w:t>15分钟</w:t>
      </w:r>
      <w:r>
        <w:rPr>
          <w:rFonts w:hint="eastAsia"/>
          <w:szCs w:val="32"/>
        </w:rPr>
        <w:t>社区</w:t>
      </w:r>
      <w:r>
        <w:rPr>
          <w:szCs w:val="32"/>
        </w:rPr>
        <w:t>圈</w:t>
      </w:r>
      <w:r>
        <w:rPr>
          <w:rFonts w:hint="eastAsia"/>
          <w:szCs w:val="32"/>
        </w:rPr>
        <w:t>”，开设服务市民学习的各类课程，开展多样化社区教育、老年教育，推进终身学习体系建设。</w:t>
      </w:r>
      <w:r>
        <w:rPr>
          <w:szCs w:val="32"/>
        </w:rPr>
        <w:t>引导教育机构通过微信平台、共享空间、读书会、讲座、论坛等活动方式，补充市民对教育资源多样化需求。</w:t>
      </w:r>
    </w:p>
    <w:p>
      <w:pPr>
        <w:rPr>
          <w:szCs w:val="32"/>
        </w:rPr>
      </w:pPr>
      <w:r>
        <w:rPr>
          <w:rFonts w:hint="eastAsia"/>
          <w:szCs w:val="32"/>
        </w:rPr>
        <w:t>到</w:t>
      </w:r>
      <w:r>
        <w:rPr>
          <w:szCs w:val="32"/>
        </w:rPr>
        <w:t>2025年</w:t>
      </w:r>
      <w:r>
        <w:rPr>
          <w:rFonts w:hint="eastAsia"/>
          <w:szCs w:val="32"/>
        </w:rPr>
        <w:t>，基本建成覆盖全社会的终身学习服务体系，初步建成终身教育数字化学习共享平台</w:t>
      </w:r>
      <w:bookmarkEnd w:id="97"/>
      <w:bookmarkEnd w:id="98"/>
      <w:r>
        <w:rPr>
          <w:rFonts w:hint="eastAsia"/>
          <w:szCs w:val="32"/>
        </w:rPr>
        <w:t>。</w:t>
      </w:r>
    </w:p>
    <w:p>
      <w:pPr>
        <w:pStyle w:val="2"/>
        <w:rPr>
          <w:rFonts w:eastAsia="仿宋_GB2312"/>
          <w:szCs w:val="32"/>
        </w:rPr>
      </w:pPr>
      <w:r>
        <w:rPr>
          <w:rFonts w:hint="eastAsia" w:eastAsia="仿宋_GB2312"/>
          <w:b/>
          <w:bCs/>
          <w:szCs w:val="32"/>
        </w:rPr>
        <w:t>家庭教育。</w:t>
      </w:r>
      <w:r>
        <w:rPr>
          <w:rFonts w:hint="eastAsia" w:eastAsia="仿宋_GB2312"/>
          <w:szCs w:val="32"/>
        </w:rPr>
        <w:t>高度重视家庭教育，推进家庭教育健康优质发展，树立正确的家校合作理念，增强家庭教育与学校教育的有机融合，形成教育合力，实现家庭教育、学校教育“同心同向同行”。发挥并完善家长委员会、家长会等的作用与功能，做好《家长学员培训手册》《家校共育指导手册》等编撰工作。从区级层面、社区（学区）层面、学校层面搭建不同平台，指导家庭教育的专业、高效开展。建好家庭教育网络平台，推进“互联网+家庭教育”，满足多元化的家庭教育指导需求。培育一支家庭教育专兼职队伍，帮助家长提升家庭教育质量。</w:t>
      </w:r>
    </w:p>
    <w:p>
      <w:pPr>
        <w:pStyle w:val="2"/>
        <w:rPr>
          <w:rFonts w:eastAsia="仿宋_GB2312"/>
          <w:szCs w:val="32"/>
        </w:rPr>
      </w:pPr>
      <w:r>
        <w:rPr>
          <w:rFonts w:hint="eastAsia" w:eastAsia="仿宋_GB2312"/>
          <w:szCs w:val="32"/>
        </w:rPr>
        <w:t>到2</w:t>
      </w:r>
      <w:r>
        <w:rPr>
          <w:rFonts w:eastAsia="仿宋_GB2312"/>
          <w:szCs w:val="32"/>
        </w:rPr>
        <w:t>025</w:t>
      </w:r>
      <w:r>
        <w:rPr>
          <w:rFonts w:hint="eastAsia" w:eastAsia="仿宋_GB2312"/>
          <w:szCs w:val="32"/>
        </w:rPr>
        <w:t>年，基本建成中小学家庭教育指导体系，推动实现家校共育方式多元化。</w:t>
      </w:r>
    </w:p>
    <w:p>
      <w:pPr>
        <w:pStyle w:val="3"/>
        <w:rPr>
          <w:szCs w:val="32"/>
        </w:rPr>
      </w:pPr>
      <w:bookmarkStart w:id="99" w:name="_Toc130476067"/>
      <w:bookmarkStart w:id="100" w:name="_Toc59547958"/>
      <w:bookmarkStart w:id="101" w:name="_Toc79393298"/>
      <w:bookmarkStart w:id="102" w:name="_Toc62810112"/>
      <w:bookmarkStart w:id="103" w:name="_Toc59547927"/>
      <w:bookmarkStart w:id="104" w:name="_Toc79397460"/>
      <w:bookmarkStart w:id="105" w:name="_Toc59547961"/>
      <w:bookmarkStart w:id="106" w:name="_Toc59180820"/>
      <w:bookmarkStart w:id="107" w:name="_Toc59180866"/>
      <w:bookmarkStart w:id="108" w:name="_Toc62810113"/>
      <w:bookmarkStart w:id="109" w:name="_Toc59547930"/>
      <w:bookmarkStart w:id="110" w:name="_Toc62810122"/>
      <w:r>
        <w:rPr>
          <w:rFonts w:hint="eastAsia"/>
          <w:szCs w:val="32"/>
        </w:rPr>
        <w:t>四、发展路径</w:t>
      </w:r>
      <w:bookmarkEnd w:id="99"/>
      <w:bookmarkEnd w:id="100"/>
      <w:bookmarkEnd w:id="101"/>
      <w:bookmarkEnd w:id="102"/>
      <w:bookmarkEnd w:id="103"/>
      <w:bookmarkEnd w:id="104"/>
    </w:p>
    <w:p>
      <w:pPr>
        <w:pStyle w:val="4"/>
      </w:pPr>
      <w:bookmarkStart w:id="111" w:name="_Toc130476068"/>
      <w:bookmarkStart w:id="112" w:name="_Toc79397461"/>
      <w:bookmarkStart w:id="113" w:name="_Toc79393299"/>
      <w:r>
        <w:rPr>
          <w:rFonts w:hint="eastAsia"/>
        </w:rPr>
        <w:t>（一）坚持统筹协调布局，提升教育供给能力</w:t>
      </w:r>
      <w:bookmarkEnd w:id="105"/>
      <w:bookmarkEnd w:id="106"/>
      <w:bookmarkEnd w:id="107"/>
      <w:bookmarkEnd w:id="108"/>
      <w:bookmarkEnd w:id="109"/>
      <w:bookmarkEnd w:id="111"/>
      <w:bookmarkEnd w:id="112"/>
      <w:bookmarkEnd w:id="113"/>
    </w:p>
    <w:p>
      <w:pPr>
        <w:rPr>
          <w:szCs w:val="32"/>
        </w:rPr>
      </w:pPr>
      <w:bookmarkStart w:id="114" w:name="_Toc62810114"/>
      <w:r>
        <w:rPr>
          <w:rFonts w:hint="eastAsia"/>
          <w:b/>
          <w:bCs/>
          <w:szCs w:val="32"/>
        </w:rPr>
        <w:t>统筹优化城乡学校布局</w:t>
      </w:r>
      <w:bookmarkEnd w:id="114"/>
      <w:r>
        <w:rPr>
          <w:rFonts w:hint="eastAsia"/>
          <w:b/>
          <w:bCs/>
          <w:szCs w:val="32"/>
        </w:rPr>
        <w:t>。</w:t>
      </w:r>
      <w:r>
        <w:rPr>
          <w:rFonts w:hint="eastAsia"/>
          <w:szCs w:val="32"/>
        </w:rPr>
        <w:t>坚持“存量做强、增量做优、高位均衡”教育建设理念，建立同新区人口增长相适应的学校资源配置格局，完善新增、撤并、整合动态调整机制，</w:t>
      </w:r>
      <w:r>
        <w:rPr>
          <w:rFonts w:hint="eastAsia" w:ascii="仿宋_GB2312" w:cs="仿宋_GB2312"/>
          <w:szCs w:val="32"/>
        </w:rPr>
        <w:t>优先保障学位供给</w:t>
      </w:r>
      <w:r>
        <w:rPr>
          <w:rFonts w:hint="eastAsia"/>
          <w:szCs w:val="32"/>
        </w:rPr>
        <w:t>。</w:t>
      </w:r>
      <w:r>
        <w:rPr>
          <w:rFonts w:hint="eastAsia" w:ascii="仿宋_GB2312" w:cs="仿宋_GB2312"/>
          <w:szCs w:val="32"/>
        </w:rPr>
        <w:t>依据</w:t>
      </w:r>
      <w:r>
        <w:rPr>
          <w:rFonts w:hint="eastAsia"/>
          <w:szCs w:val="32"/>
        </w:rPr>
        <w:t>人口规模和密度分布，科学编制教育设施专项规划，划定红线严格控制。</w:t>
      </w:r>
      <w:r>
        <w:rPr>
          <w:rFonts w:hint="eastAsia" w:ascii="仿宋_GB2312"/>
          <w:szCs w:val="32"/>
        </w:rPr>
        <w:t>优先进行学校规划布局建设，</w:t>
      </w:r>
      <w:r>
        <w:rPr>
          <w:rFonts w:hint="eastAsia"/>
          <w:szCs w:val="32"/>
        </w:rPr>
        <w:t>持续做好居住区配套教育设施规划建设，确保同步规划、同步建设、同步交付使用，满足就近入学需求。结合当地适龄学生数量变化、交通状况、学生就学习惯等实际，</w:t>
      </w:r>
      <w:r>
        <w:rPr>
          <w:szCs w:val="32"/>
        </w:rPr>
        <w:t>持续做好</w:t>
      </w:r>
      <w:r>
        <w:rPr>
          <w:rFonts w:hint="eastAsia"/>
          <w:szCs w:val="32"/>
        </w:rPr>
        <w:t>薄弱学校整合提升，</w:t>
      </w:r>
      <w:r>
        <w:rPr>
          <w:szCs w:val="32"/>
        </w:rPr>
        <w:t>保障</w:t>
      </w:r>
      <w:r>
        <w:rPr>
          <w:rFonts w:hint="eastAsia"/>
          <w:szCs w:val="32"/>
        </w:rPr>
        <w:t>学位供给，满足“十四五”期间人口增长对各学段学位需求。</w:t>
      </w:r>
    </w:p>
    <w:p>
      <w:pPr>
        <w:rPr>
          <w:rFonts w:ascii="仿宋_GB2312"/>
          <w:szCs w:val="32"/>
        </w:rPr>
      </w:pPr>
      <w:bookmarkStart w:id="115" w:name="_Toc62810115"/>
      <w:r>
        <w:rPr>
          <w:rFonts w:hint="eastAsia"/>
          <w:b/>
          <w:bCs/>
          <w:szCs w:val="32"/>
        </w:rPr>
        <w:t>扎实做好学校基础设施建设</w:t>
      </w:r>
      <w:bookmarkEnd w:id="115"/>
      <w:r>
        <w:rPr>
          <w:rFonts w:hint="eastAsia"/>
          <w:b/>
          <w:bCs/>
          <w:szCs w:val="32"/>
        </w:rPr>
        <w:t>。</w:t>
      </w:r>
      <w:r>
        <w:t>高标准建好新校，持续提升现有学校，加快改造薄弱学校</w:t>
      </w:r>
      <w:r>
        <w:rPr>
          <w:rFonts w:hint="eastAsia" w:ascii="仿宋_GB2312"/>
          <w:szCs w:val="32"/>
        </w:rPr>
        <w:t>。优化学校建设审批流程，开辟“绿色通道”，实行“容缺办理+承诺办理”，加快项目建设。在城市建设和城中村（棚户区）改造中，按照“先建后拆”原则实施迁建学校（幼儿园）项目。持续推进学校办学条件提升，打造一批优质学校。加强校园安防、操场、食堂等必要设施配套建设；稳步推进校园体育场地等设施对外开放。做好应急避难场所的设施、设备、物资建设及储备，突出韧性校园建设，提高配套设施建设标准及应急响应能力。</w:t>
      </w:r>
    </w:p>
    <w:p>
      <w:pPr>
        <w:rPr>
          <w:szCs w:val="32"/>
        </w:rPr>
      </w:pPr>
      <w:r>
        <w:rPr>
          <w:rFonts w:hint="eastAsia"/>
          <w:b/>
          <w:bCs/>
          <w:szCs w:val="32"/>
        </w:rPr>
        <w:t>发挥优质教育资源引领作用。</w:t>
      </w:r>
      <w:r>
        <w:rPr>
          <w:rFonts w:hint="eastAsia"/>
          <w:szCs w:val="32"/>
        </w:rPr>
        <w:t>继续加大优质教育资源引入，进一步发挥优质教育资源辐射带动效应，形成名校引领、名师带动、名班主任领航的协同发展新格局。按照“新建学校名校标准打造，现存学校改造提升”的总体思路，灵活运用“教育专家办学、委托管理、集团化办学、一长多校、兼并融合”五种模式，持续释放“名校+”的动能和潜力，推进“+校”在教学改革、教育教学管理等方面内涵提升。</w:t>
      </w:r>
    </w:p>
    <w:p>
      <w:pPr>
        <w:pStyle w:val="4"/>
      </w:pPr>
      <w:bookmarkStart w:id="116" w:name="_Toc130476069"/>
      <w:bookmarkStart w:id="117" w:name="_Toc59547962"/>
      <w:bookmarkStart w:id="118" w:name="_Toc79397462"/>
      <w:bookmarkStart w:id="119" w:name="_Toc62810118"/>
      <w:bookmarkStart w:id="120" w:name="_Toc79393300"/>
      <w:bookmarkStart w:id="121" w:name="_Toc59547931"/>
      <w:bookmarkStart w:id="122" w:name="_Toc59180867"/>
      <w:bookmarkStart w:id="123" w:name="_Toc59180821"/>
      <w:r>
        <w:rPr>
          <w:rFonts w:hint="eastAsia"/>
        </w:rPr>
        <w:t>（二）落实立德树人任务，持续提升育人质量</w:t>
      </w:r>
      <w:bookmarkEnd w:id="116"/>
      <w:bookmarkEnd w:id="117"/>
      <w:bookmarkEnd w:id="118"/>
      <w:bookmarkEnd w:id="119"/>
      <w:bookmarkEnd w:id="120"/>
      <w:bookmarkEnd w:id="121"/>
      <w:bookmarkEnd w:id="122"/>
      <w:bookmarkEnd w:id="123"/>
    </w:p>
    <w:p>
      <w:pPr>
        <w:rPr>
          <w:rFonts w:ascii="仿宋_GB2312"/>
          <w:szCs w:val="32"/>
        </w:rPr>
      </w:pPr>
      <w:bookmarkStart w:id="124" w:name="_Toc62810120"/>
      <w:r>
        <w:rPr>
          <w:rFonts w:hint="eastAsia" w:ascii="仿宋_GB2312"/>
          <w:b/>
          <w:bCs/>
          <w:szCs w:val="32"/>
        </w:rPr>
        <w:t>加强学校思政课建设。</w:t>
      </w:r>
      <w:r>
        <w:rPr>
          <w:rFonts w:hint="eastAsia"/>
        </w:rPr>
        <w:t>坚持党对思政课建设的全面领导，把加强和改进思政课建设摆在突出位置。全面落实思政课课程目标，高中阶段重在提升政治素养，初中阶段重在打牢思想基础，小学阶段重在启蒙道德情感。坚持用习近平新时代中国特色社会主义思想铸魂育人，以政治认同、家国情怀、道德修养、法治意识、文化素养为重点，以爱党、爱国、爱社会主义、爱人民、爱集体为主线，遵循学生认知规律设计课程内容，体现不同学段特点。加强中小学专职思政课教师配备，统筹解决好思政课教师缺口问题，实行不合格思政课教师退出机制；加大思政课教师激励力度，增强教师的职业认同感、荣誉感、责任感；严把政治关、师德关、业务关，建设一支政治强、情怀深、思维新、视野广、自律严、人格正的思政课教师队伍。落实新时代思政课改革创新要求，不断增强思政课的思想性、理论性和亲和力、针对性；普遍实行思政课教师集体备课制度，全面提升教研水平；统筹中小学思政课一体化建设，推动各类课程与思政课建设形成协同效应。</w:t>
      </w:r>
    </w:p>
    <w:p>
      <w:pPr>
        <w:pStyle w:val="2"/>
        <w:rPr>
          <w:rFonts w:ascii="仿宋_GB2312" w:eastAsia="仿宋_GB2312" w:cs="仿宋_GB2312"/>
          <w:b/>
          <w:bCs/>
          <w:szCs w:val="32"/>
        </w:rPr>
      </w:pPr>
      <w:r>
        <w:rPr>
          <w:rFonts w:hint="eastAsia" w:ascii="仿宋_GB2312" w:eastAsia="仿宋_GB2312"/>
          <w:b/>
          <w:bCs/>
          <w:szCs w:val="32"/>
        </w:rPr>
        <w:t>提升教科研水平。</w:t>
      </w:r>
      <w:r>
        <w:rPr>
          <w:rFonts w:hint="eastAsia" w:ascii="仿宋_GB2312" w:eastAsia="仿宋_GB2312"/>
          <w:szCs w:val="32"/>
        </w:rPr>
        <w:t>建立健全新区及各学校的教科研部门设置，加强教研机构建设，形成上下联动、高效运行的教研工作机制。高度重视教科研工作，确保教研工作方向正确，将教研工作经费纳入教育事业经费预算，保障教研工作经费随教育事业的发展逐步增加，在中小学校公用经费中统筹安排教研经费，用于课题研究、课程研究、教育教学评价研究、校本教研等工作。在中小学校设置教研室、学科教研组、年级备课组，形成以教育行政部门为主导，教科研部门为主体，中小学校为基地，相关部门通力协作的教研工作新格局。深化改革，提高教科研工作质量。按照德智体美劳全面发展要求，探索全面育人新途径，加强课程、教学、作业、考试评价等关键环节研究，推动</w:t>
      </w:r>
      <w:r>
        <w:rPr>
          <w:rFonts w:ascii="仿宋_GB2312" w:eastAsia="仿宋_GB2312"/>
          <w:szCs w:val="32"/>
        </w:rPr>
        <w:t>教科</w:t>
      </w:r>
      <w:r>
        <w:rPr>
          <w:rFonts w:hint="eastAsia" w:ascii="仿宋_GB2312" w:eastAsia="仿宋_GB2312"/>
          <w:szCs w:val="32"/>
        </w:rPr>
        <w:t>研工作由以研究教为主向以研究学为主转变，由基于经验向基于事实和数据转变，积极探索应用信息技术，开展跨学科、跨学段、跨区域的教研活动。优化教研队伍，建立专兼结合、优势互补的教研人才体系。根据教育事业发展规模、国家课程方案规定的课程门类，配齐配足学科专职教研员，尤其要配备好体育与健康、艺术、心理健康、综合实践活动、劳动教育和技术类课程等学科的教研员。原则上每个学科每个学段至少配备一名专职教研员。完善机制，做好教研工作组织保障。</w:t>
      </w:r>
    </w:p>
    <w:bookmarkEnd w:id="124"/>
    <w:p>
      <w:pPr>
        <w:pStyle w:val="10"/>
        <w:rPr>
          <w:sz w:val="32"/>
          <w:szCs w:val="32"/>
        </w:rPr>
      </w:pPr>
      <w:bookmarkStart w:id="125" w:name="_Toc62810121"/>
      <w:r>
        <w:rPr>
          <w:rFonts w:hint="eastAsia"/>
          <w:b/>
          <w:bCs/>
          <w:sz w:val="32"/>
          <w:szCs w:val="32"/>
        </w:rPr>
        <w:t>全面发展素质教育。</w:t>
      </w:r>
      <w:r>
        <w:rPr>
          <w:rFonts w:hint="eastAsia"/>
          <w:sz w:val="32"/>
          <w:szCs w:val="32"/>
        </w:rPr>
        <w:t>坚决</w:t>
      </w:r>
      <w:r>
        <w:rPr>
          <w:spacing w:val="-2"/>
          <w:sz w:val="32"/>
          <w:szCs w:val="32"/>
        </w:rPr>
        <w:t>贯彻党的教育方针，将立</w:t>
      </w:r>
      <w:r>
        <w:rPr>
          <w:sz w:val="32"/>
          <w:szCs w:val="32"/>
        </w:rPr>
        <w:t>德树</w:t>
      </w:r>
      <w:r>
        <w:rPr>
          <w:rFonts w:hint="eastAsia"/>
          <w:sz w:val="32"/>
          <w:szCs w:val="32"/>
          <w:lang w:val="en-US"/>
        </w:rPr>
        <w:t>人</w:t>
      </w:r>
      <w:r>
        <w:rPr>
          <w:sz w:val="32"/>
          <w:szCs w:val="32"/>
        </w:rPr>
        <w:t>根本任务深度融入到思想道德、文化知识、社会实践</w:t>
      </w:r>
      <w:r>
        <w:rPr>
          <w:rFonts w:hint="eastAsia"/>
          <w:sz w:val="32"/>
          <w:szCs w:val="32"/>
        </w:rPr>
        <w:t>等</w:t>
      </w:r>
      <w:r>
        <w:rPr>
          <w:sz w:val="32"/>
          <w:szCs w:val="32"/>
        </w:rPr>
        <w:t>教育各个环节，贯穿</w:t>
      </w:r>
      <w:r>
        <w:rPr>
          <w:rFonts w:hint="eastAsia"/>
          <w:sz w:val="32"/>
          <w:szCs w:val="32"/>
          <w:lang w:val="en-US"/>
        </w:rPr>
        <w:t>至</w:t>
      </w:r>
      <w:r>
        <w:rPr>
          <w:sz w:val="32"/>
          <w:szCs w:val="32"/>
        </w:rPr>
        <w:t>教育各个领域。</w:t>
      </w:r>
      <w:r>
        <w:rPr>
          <w:rFonts w:hint="eastAsia"/>
          <w:sz w:val="32"/>
          <w:szCs w:val="32"/>
        </w:rPr>
        <w:t>坚持“五育”并举，以服务学生全面发展、增强综合素质为目标，</w:t>
      </w:r>
      <w:r>
        <w:rPr>
          <w:sz w:val="32"/>
          <w:szCs w:val="32"/>
        </w:rPr>
        <w:t>培养德智体美劳全面发展的社会主义建设者和接班人</w:t>
      </w:r>
      <w:r>
        <w:rPr>
          <w:rFonts w:hint="eastAsia"/>
          <w:sz w:val="32"/>
          <w:szCs w:val="32"/>
        </w:rPr>
        <w:t>。分学段落实德育工作目标，培养学生爱党爱国爱人民，增强国家意识和社会责任意识，了解中华优秀传统文化和革命文化、社会主义先进文化，引导学生准确理解和把握社会主义核心价值观的深刻内涵和实践要求，养成良好政治素质、道德品质、法治意识和行为习惯，形成积极健康的人格和良好心理品质。突出学生主体地位，注重保护学生的好奇心、想象力、求知欲，激发学习兴趣，提高学习能力。坚持健康第一的教育理念，推动青少年文化学习和体育锻炼协调发展，实现学校体育“以体育智”“以体育心”的独特功能。补齐师资、场馆、器材等短板，促进学校体育均衡发展；坚持整体推进与典型引领相结合，鼓励特色发展，弘扬中华体育精神，推广中华传统体育项目，形成“一校一特色”的学校体育发展新局面；以提高学生审美和人文素养为目标，弘扬中华美育精神，以美育人、以美化人、以美培元，把美育纳入各级各类学校人才培养全过程，贯穿学校教育各学段，完善课程设置，丰富艺术实践活动，建立常态化学生艺术展演机制，加强示范性中小学生艺术团建设。丰富劳动教育资源，依托新区实际，加强产教融合，建设一批学生学农、学工和社会服务型劳动教育实践基地。根据各学段特点，在中小学设立劳动教育必修课程，系统加强劳动教育。有目的、有计划地组织学生参加日常生活劳动、生产劳动和服务性劳动，让学生动手实践、出力流汗，接受锻炼、</w:t>
      </w:r>
      <w:r>
        <w:rPr>
          <w:rFonts w:hint="eastAsia" w:cs="Times New Roman"/>
        </w:rPr>
        <w:t>磨炼</w:t>
      </w:r>
      <w:r>
        <w:rPr>
          <w:rFonts w:hint="eastAsia"/>
          <w:sz w:val="32"/>
          <w:szCs w:val="32"/>
        </w:rPr>
        <w:t>意志，培养学生正确劳动价值观和良好劳动品质。充分利用社会资源，将国家安全教育内容融入各学科专业教育教学。</w:t>
      </w:r>
      <w:r>
        <w:rPr>
          <w:sz w:val="32"/>
          <w:szCs w:val="32"/>
        </w:rPr>
        <w:t>加强家庭教育和家校共育</w:t>
      </w:r>
      <w:r>
        <w:rPr>
          <w:rFonts w:hint="eastAsia"/>
          <w:sz w:val="32"/>
          <w:szCs w:val="32"/>
        </w:rPr>
        <w:t>机制</w:t>
      </w:r>
      <w:r>
        <w:rPr>
          <w:sz w:val="32"/>
          <w:szCs w:val="32"/>
        </w:rPr>
        <w:t>，依托社区、学校建立家长学校，为家长提供公益性家庭教育指导服务。</w:t>
      </w:r>
    </w:p>
    <w:p>
      <w:pPr>
        <w:rPr>
          <w:szCs w:val="32"/>
        </w:rPr>
      </w:pPr>
      <w:r>
        <w:rPr>
          <w:szCs w:val="32"/>
        </w:rPr>
        <w:t>到2025年，创建30所体育特色学校</w:t>
      </w:r>
      <w:r>
        <w:rPr>
          <w:rFonts w:hint="eastAsia"/>
          <w:szCs w:val="32"/>
        </w:rPr>
        <w:t>，</w:t>
      </w:r>
      <w:r>
        <w:rPr>
          <w:szCs w:val="32"/>
        </w:rPr>
        <w:t>30所艺术示范学校</w:t>
      </w:r>
      <w:r>
        <w:rPr>
          <w:rFonts w:hint="eastAsia"/>
          <w:szCs w:val="32"/>
        </w:rPr>
        <w:t>，</w:t>
      </w:r>
      <w:r>
        <w:rPr>
          <w:szCs w:val="32"/>
        </w:rPr>
        <w:t>30所劳动教育示范学校</w:t>
      </w:r>
      <w:r>
        <w:rPr>
          <w:rFonts w:hint="eastAsia"/>
          <w:szCs w:val="32"/>
        </w:rPr>
        <w:t>，创建</w:t>
      </w:r>
      <w:r>
        <w:rPr>
          <w:szCs w:val="32"/>
        </w:rPr>
        <w:t>10个市级、20个区级劳动教育实践基地</w:t>
      </w:r>
      <w:r>
        <w:rPr>
          <w:rFonts w:hint="eastAsia" w:ascii="仿宋_GB2312"/>
          <w:szCs w:val="32"/>
        </w:rPr>
        <w:t>。</w:t>
      </w:r>
    </w:p>
    <w:p>
      <w:pPr>
        <w:widowControl/>
        <w:rPr>
          <w:rFonts w:ascii="仿宋_GB2312" w:cs="仿宋_GB2312"/>
          <w:szCs w:val="32"/>
        </w:rPr>
      </w:pPr>
      <w:r>
        <w:rPr>
          <w:rFonts w:hint="eastAsia" w:ascii="仿宋_GB2312" w:cs="仿宋_GB2312"/>
          <w:b/>
          <w:bCs/>
          <w:szCs w:val="32"/>
        </w:rPr>
        <w:t>加强校园文化建设</w:t>
      </w:r>
      <w:bookmarkEnd w:id="125"/>
      <w:r>
        <w:rPr>
          <w:rFonts w:hint="eastAsia" w:ascii="仿宋_GB2312" w:cs="仿宋_GB2312"/>
          <w:b/>
          <w:bCs/>
          <w:szCs w:val="32"/>
        </w:rPr>
        <w:t>。</w:t>
      </w:r>
      <w:r>
        <w:rPr>
          <w:rFonts w:hint="eastAsia" w:ascii="仿宋_GB2312"/>
          <w:szCs w:val="32"/>
        </w:rPr>
        <w:t>推进校园文化环境建设</w:t>
      </w:r>
      <w:r>
        <w:rPr>
          <w:rFonts w:hint="eastAsia" w:ascii="仿宋_GB2312" w:cs="仿宋_GB2312"/>
          <w:szCs w:val="32"/>
        </w:rPr>
        <w:t>，</w:t>
      </w:r>
      <w:r>
        <w:rPr>
          <w:rFonts w:hint="eastAsia" w:ascii="仿宋_GB2312"/>
          <w:szCs w:val="32"/>
        </w:rPr>
        <w:t>用中华文明和传统文化浸润校园</w:t>
      </w:r>
      <w:r>
        <w:rPr>
          <w:rFonts w:hint="eastAsia" w:ascii="仿宋_GB2312" w:cs="仿宋_GB2312"/>
          <w:szCs w:val="32"/>
        </w:rPr>
        <w:t>。全面贯彻国家语言文字方针政策和法律法规，大力推广和规范使用国家通用语言文字。</w:t>
      </w:r>
      <w:r>
        <w:rPr>
          <w:rFonts w:hint="eastAsia" w:ascii="仿宋_GB2312"/>
          <w:szCs w:val="32"/>
        </w:rPr>
        <w:t>坚持显性文化和隐性文化相结合的校园文化阵地建设，形成既要载体丰富、品味较高，又要充分体现学校传统精神与特色文化风貌的整体校园氛围。积极构建与新区创新城市发展方式主题相统一的</w:t>
      </w:r>
      <w:r>
        <w:rPr>
          <w:rFonts w:hint="eastAsia" w:ascii="仿宋_GB2312"/>
        </w:rPr>
        <w:t>教育文化，通过活动举办、文化交流等各种载体，持续深化新区校园文化体系内涵，彰显新区教育文化特色</w:t>
      </w:r>
      <w:r>
        <w:t>。</w:t>
      </w:r>
    </w:p>
    <w:p>
      <w:pPr>
        <w:pStyle w:val="4"/>
      </w:pPr>
      <w:bookmarkStart w:id="126" w:name="_Toc79397463"/>
      <w:bookmarkStart w:id="127" w:name="_Toc130476070"/>
      <w:bookmarkStart w:id="128" w:name="_Toc79393301"/>
      <w:r>
        <w:rPr>
          <w:rFonts w:hint="eastAsia"/>
        </w:rPr>
        <w:t>（三）促进教育内涵发展，深化教育改革创新</w:t>
      </w:r>
      <w:bookmarkEnd w:id="110"/>
      <w:bookmarkEnd w:id="126"/>
      <w:bookmarkEnd w:id="127"/>
      <w:bookmarkEnd w:id="128"/>
    </w:p>
    <w:p>
      <w:pPr>
        <w:rPr>
          <w:rFonts w:ascii="仿宋_GB2312" w:cs="仿宋_GB2312"/>
          <w:szCs w:val="32"/>
        </w:rPr>
      </w:pPr>
      <w:bookmarkStart w:id="129" w:name="_Toc62810124"/>
      <w:bookmarkStart w:id="130" w:name="_Toc62810126"/>
      <w:bookmarkStart w:id="131" w:name="_Toc59547964"/>
      <w:bookmarkStart w:id="132" w:name="_Toc62810130"/>
      <w:bookmarkStart w:id="133" w:name="_Toc59180869"/>
      <w:bookmarkStart w:id="134" w:name="_Toc79397464"/>
      <w:bookmarkStart w:id="135" w:name="_Toc59547933"/>
      <w:bookmarkStart w:id="136" w:name="_Toc79393302"/>
      <w:bookmarkStart w:id="137" w:name="_Toc59180823"/>
      <w:r>
        <w:rPr>
          <w:rFonts w:hint="eastAsia" w:ascii="仿宋_GB2312" w:cs="仿宋_GB2312"/>
          <w:b/>
          <w:bCs/>
          <w:szCs w:val="32"/>
        </w:rPr>
        <w:t>推进育人方式改革</w:t>
      </w:r>
      <w:bookmarkEnd w:id="129"/>
      <w:r>
        <w:rPr>
          <w:rFonts w:hint="eastAsia" w:ascii="仿宋_GB2312" w:cs="仿宋_GB2312"/>
          <w:b/>
          <w:bCs/>
          <w:szCs w:val="32"/>
        </w:rPr>
        <w:t>。</w:t>
      </w:r>
      <w:r>
        <w:rPr>
          <w:rFonts w:ascii="Arial" w:hAnsi="Arial" w:cs="Arial"/>
          <w:shd w:val="clear" w:color="auto" w:fill="FFFFFF"/>
        </w:rPr>
        <w:t>强化综合素质培养，拓宽综合实践渠道；完善综合素质评价，强化其对促进学生全面发展的重要导向作用</w:t>
      </w:r>
      <w:r>
        <w:rPr>
          <w:rFonts w:hint="eastAsia" w:ascii="Arial" w:hAnsi="Arial" w:cs="Arial"/>
          <w:shd w:val="clear" w:color="auto" w:fill="FFFFFF"/>
        </w:rPr>
        <w:t>。</w:t>
      </w:r>
      <w:r>
        <w:rPr>
          <w:rFonts w:ascii="Arial" w:hAnsi="Arial" w:cs="Arial"/>
          <w:shd w:val="clear" w:color="auto" w:fill="FFFFFF"/>
        </w:rPr>
        <w:t>推进信息技术与教育教学深度融合；优化教学管理，严禁超课标教学、抢赶教学进度和提前结束课程。</w:t>
      </w:r>
      <w:r>
        <w:rPr>
          <w:rFonts w:hint="eastAsia" w:ascii="Arial" w:hAnsi="Arial" w:cs="Arial"/>
          <w:shd w:val="clear" w:color="auto" w:fill="FFFFFF"/>
        </w:rPr>
        <w:t>依托青少年校外活动中心网络，开展中小学生校外实践、劳动教育、研学旅行、主题活动。推动博物馆、科技馆、美术馆、图书馆、展览馆、综合实践基地等机构向中小学生免费开放，面向中小学生开展公益性教育活动。</w:t>
      </w:r>
      <w:r>
        <w:rPr>
          <w:rFonts w:hint="eastAsia" w:ascii="仿宋_GB2312" w:cs="仿宋_GB2312"/>
          <w:szCs w:val="32"/>
        </w:rPr>
        <w:t>创新校外教育育人机制，建立学校教育、校外教育和家庭教育有机结合的教育体系。提升学校课后服务水平，满足学生多样化需求。坚持从严治理，全面规范校外培训行为。明确家长在家庭教育中的主体责任，完善家庭教育专项课程体系设计，传授家长科学育人方法。</w:t>
      </w:r>
    </w:p>
    <w:p>
      <w:pPr>
        <w:rPr>
          <w:rFonts w:ascii="仿宋_GB2312"/>
          <w:szCs w:val="32"/>
        </w:rPr>
      </w:pPr>
      <w:r>
        <w:rPr>
          <w:rFonts w:hint="eastAsia" w:ascii="仿宋_GB2312" w:cs="仿宋_GB2312"/>
          <w:b/>
          <w:bCs/>
          <w:szCs w:val="32"/>
        </w:rPr>
        <w:t>深化人事制度改革。</w:t>
      </w:r>
      <w:r>
        <w:rPr>
          <w:rFonts w:hint="eastAsia" w:ascii="仿宋_GB2312" w:cs="仿宋_GB2312"/>
          <w:szCs w:val="32"/>
        </w:rPr>
        <w:t>加快实施校长职级制改革，逐步建立起以职级制管理为核心的校长管理机制。持续深化教职工全员聘任制改革，按照新人新办法、老人老办法的原则，对新招聘的教职工全部实行聘任制，对存量学校和存量教师按照“成熟一个、改革一个”的原则，逐步推行聘任制。进一步提高幼儿园、中小学专业技术中高级岗位结构比例，完善各类教师专业技术水平评价标准，将教师师德修养、教育教学能力等，作为职称评审的主要条件。</w:t>
      </w:r>
    </w:p>
    <w:bookmarkEnd w:id="130"/>
    <w:p>
      <w:pPr>
        <w:rPr>
          <w:rFonts w:ascii="仿宋_GB2312" w:cs="仿宋_GB2312"/>
          <w:szCs w:val="32"/>
        </w:rPr>
      </w:pPr>
      <w:bookmarkStart w:id="138" w:name="_Toc62810129"/>
      <w:r>
        <w:rPr>
          <w:rFonts w:hint="eastAsia" w:ascii="仿宋_GB2312" w:cs="仿宋_GB2312"/>
          <w:b/>
          <w:bCs/>
          <w:szCs w:val="32"/>
        </w:rPr>
        <w:t>激发学校办学活力</w:t>
      </w:r>
      <w:bookmarkEnd w:id="138"/>
      <w:r>
        <w:rPr>
          <w:rFonts w:hint="eastAsia" w:ascii="仿宋_GB2312" w:cs="仿宋_GB2312"/>
          <w:b/>
          <w:bCs/>
          <w:szCs w:val="32"/>
        </w:rPr>
        <w:t>。</w:t>
      </w:r>
      <w:r>
        <w:rPr>
          <w:rFonts w:hint="eastAsia" w:ascii="仿宋_GB2312" w:cs="仿宋_GB2312"/>
          <w:szCs w:val="32"/>
        </w:rPr>
        <w:t>完善学校法人治理结构。加快推进学校章程建设，持续健全管理层、监督机构为主要构架的法人治理结构制度，形成决策、执行、监督有效运行的体制机制。减少对自主办学学校的行政干预，持续推进初级职称评审权下放，进一步扩大学校自主权。支持学校健全完善教师激励体系，强化评价导向和校内激励作用，增强学校办学内生动力。推进中小学家长委员会制度建设，加强学校民主管理。加强教职工代表大会和学生代表大会建设，发挥群众团体的作用。依法健全民办学校和中外合作办学机构议事决策机制。细化民办学校分类管理，形成更加完善的管理体制和政策支持体系。完善民办学校清单式管理制度，建立健全新区民办学校健康发展机制。完善开放办学机制，促进教育资源和社会资源融通共享。</w:t>
      </w:r>
    </w:p>
    <w:p>
      <w:pPr>
        <w:pStyle w:val="4"/>
      </w:pPr>
      <w:bookmarkStart w:id="139" w:name="_Toc130476071"/>
      <w:r>
        <w:rPr>
          <w:rFonts w:hint="eastAsia"/>
        </w:rPr>
        <w:t>（四）优化教师资源配置，打造一流教师队伍</w:t>
      </w:r>
      <w:bookmarkEnd w:id="131"/>
      <w:bookmarkEnd w:id="132"/>
      <w:bookmarkEnd w:id="133"/>
      <w:bookmarkEnd w:id="134"/>
      <w:bookmarkEnd w:id="135"/>
      <w:bookmarkEnd w:id="136"/>
      <w:bookmarkEnd w:id="137"/>
      <w:bookmarkEnd w:id="139"/>
    </w:p>
    <w:p>
      <w:pPr>
        <w:rPr>
          <w:rFonts w:ascii="仿宋_GB2312" w:cs="仿宋_GB2312"/>
          <w:szCs w:val="32"/>
        </w:rPr>
      </w:pPr>
      <w:r>
        <w:rPr>
          <w:rFonts w:hint="eastAsia" w:ascii="仿宋_GB2312" w:cs="仿宋_GB2312"/>
          <w:b/>
          <w:bCs/>
          <w:szCs w:val="32"/>
        </w:rPr>
        <w:t>加强师德师风建设。</w:t>
      </w:r>
      <w:r>
        <w:rPr>
          <w:rFonts w:hint="eastAsia" w:ascii="仿宋_GB2312" w:cs="仿宋_GB2312"/>
          <w:szCs w:val="32"/>
        </w:rPr>
        <w:t>创新师德师风教育方式，加强教师理想信念教育，加强教师队伍思想政治工作，进一步强化国家责任、政治责任、社会责任和教育责任，引导党员教师强化教书育人使命感，争做“四有”好老师。开展多种形式的师德教育，把教师职业理想、职业道德、法治、心理健康等教育融入培养、培训和管理的全过程。将师德师风作为评价教师队伍素质的第一标准，落实教育行政部门主体责任和校园长第一责任人责任，进一步健全教育、宣传、考核、奖惩与监督相结合制度，推动师德师风建设制度化、长效化。完善师德师风考评监督机制，构建学校、教师、学生、家长和社会广泛参与的师德监督体系。完善师德考核评价指标，建立健全师德师风档案，推行师德考核“负面清单制度”，将失范者列入行业禁入。突出教师正面激励，持续开展“师德标兵”等各类先进评选。建立健全教师个人信用档案，在评优评先、职称评聘等方面实行“一票否决”。</w:t>
      </w:r>
    </w:p>
    <w:p>
      <w:pPr>
        <w:rPr>
          <w:rFonts w:ascii="仿宋_GB2312" w:cs="仿宋_GB2312"/>
          <w:b/>
          <w:bCs/>
          <w:szCs w:val="32"/>
        </w:rPr>
      </w:pPr>
      <w:r>
        <w:rPr>
          <w:rFonts w:hint="eastAsia" w:ascii="仿宋_GB2312" w:cs="仿宋_GB2312"/>
          <w:b/>
          <w:bCs/>
          <w:szCs w:val="32"/>
        </w:rPr>
        <w:t>改进教师准入和补充机制。</w:t>
      </w:r>
      <w:r>
        <w:rPr>
          <w:rFonts w:hint="eastAsia" w:ascii="仿宋_GB2312" w:cs="仿宋_GB2312"/>
          <w:szCs w:val="32"/>
        </w:rPr>
        <w:t>创新教师招聘方式，落实教师资格定期注册制度，严把教师入口质量关，合理提升教师聘用门槛</w:t>
      </w:r>
      <w:r>
        <w:rPr>
          <w:szCs w:val="32"/>
        </w:rPr>
        <w:t>。</w:t>
      </w:r>
      <w:r>
        <w:rPr>
          <w:rFonts w:hint="eastAsia" w:ascii="仿宋_GB2312" w:cs="仿宋_GB2312"/>
          <w:szCs w:val="32"/>
        </w:rPr>
        <w:t>建立以公开招聘为主，全国巡回招聘、校园直招、公费师范生招聘、基础教育急需人才引进为辅的招聘方式，引进一批具有丰富办学治校和教育教学经验的教师，优化教师队伍结构，提升新区教职人员整体素质。建立灵活有效的教师补充机制，探索更加符合教育规律和教师成长规律的公开招聘方式。完善教师终身培养成长机制，推动教师终身学习和专业发展，畅通教师发展渠道。</w:t>
      </w:r>
    </w:p>
    <w:p>
      <w:pPr>
        <w:rPr>
          <w:rFonts w:ascii="仿宋_GB2312" w:cs="仿宋_GB2312"/>
          <w:szCs w:val="32"/>
        </w:rPr>
      </w:pPr>
      <w:r>
        <w:rPr>
          <w:rFonts w:hint="eastAsia" w:ascii="仿宋_GB2312" w:cs="仿宋_GB2312"/>
          <w:b/>
          <w:bCs/>
          <w:szCs w:val="32"/>
        </w:rPr>
        <w:t>完善师资队伍培训交流体系。</w:t>
      </w:r>
      <w:r>
        <w:rPr>
          <w:rFonts w:hint="eastAsia" w:ascii="仿宋_GB2312" w:cs="仿宋_GB2312"/>
          <w:szCs w:val="32"/>
        </w:rPr>
        <w:t>建立教师培训管理制度，将教师培训学时与培训结果作为教师资格注册、考核和职务聘任、职称晋升的必备条件和重要依据。</w:t>
      </w:r>
      <w:r>
        <w:rPr>
          <w:rFonts w:hint="eastAsia" w:ascii="仿宋_GB2312" w:cs="仿宋_GB2312"/>
          <w:bCs/>
          <w:szCs w:val="32"/>
        </w:rPr>
        <w:t>持续做好中小学校长、幼儿园园长和教师全员培训制度</w:t>
      </w:r>
      <w:r>
        <w:rPr>
          <w:rFonts w:hint="eastAsia" w:ascii="仿宋_GB2312" w:cs="仿宋_GB2312"/>
          <w:szCs w:val="32"/>
        </w:rPr>
        <w:t>，分级、分层、分类、分岗制定培训计划，确保每位中小学教师每五年不少于</w:t>
      </w:r>
      <w:r>
        <w:rPr>
          <w:szCs w:val="32"/>
        </w:rPr>
        <w:t>360学</w:t>
      </w:r>
      <w:r>
        <w:rPr>
          <w:rFonts w:hint="eastAsia" w:ascii="仿宋_GB2312" w:cs="仿宋_GB2312"/>
          <w:szCs w:val="32"/>
        </w:rPr>
        <w:t>时的培训。不断创新培训方式，大力开展“自选式”“订单式”培训，增强培训的适配性，提升教师受训的针对性和有效性。开展新聘教师岗前培训，强化职前教师培养和职后教师发展的有机衔接。推进校本研修和网络研修相结合，建立健全校本研修评价体系，提高教师专业素养。持续为薄弱学校骨干教师名校访学、高端研修、跟岗实践、域外交流、学历提升等创造条件，继续做好“走进西咸”援教计划和新区优秀教师赴西安市跟岗学习工作。完善薄弱学校对口帮带工作机制，选派全区优质学校教师每学年到薄弱学校交流轮岗</w:t>
      </w:r>
      <w:r>
        <w:rPr>
          <w:szCs w:val="32"/>
        </w:rPr>
        <w:t>，骨干教师不低于交流轮岗教师总数的30%</w:t>
      </w:r>
      <w:r>
        <w:rPr>
          <w:rFonts w:hint="eastAsia" w:ascii="仿宋_GB2312" w:cs="仿宋_GB2312"/>
          <w:szCs w:val="32"/>
        </w:rPr>
        <w:t>，全面提升薄弱学校教师教学能力。</w:t>
      </w:r>
    </w:p>
    <w:p>
      <w:pPr>
        <w:rPr>
          <w:rFonts w:ascii="仿宋_GB2312" w:cs="仿宋_GB2312"/>
          <w:szCs w:val="32"/>
        </w:rPr>
      </w:pPr>
      <w:bookmarkStart w:id="140" w:name="_Toc62810133"/>
      <w:r>
        <w:rPr>
          <w:rFonts w:hint="eastAsia" w:ascii="仿宋_GB2312" w:cs="仿宋_GB2312"/>
          <w:b/>
          <w:bCs/>
          <w:szCs w:val="32"/>
        </w:rPr>
        <w:t>优化教师考核激励机制</w:t>
      </w:r>
      <w:bookmarkEnd w:id="140"/>
      <w:r>
        <w:rPr>
          <w:rFonts w:hint="eastAsia" w:ascii="仿宋_GB2312" w:cs="仿宋_GB2312"/>
          <w:b/>
          <w:bCs/>
          <w:szCs w:val="32"/>
        </w:rPr>
        <w:t>。</w:t>
      </w:r>
      <w:r>
        <w:rPr>
          <w:rFonts w:hint="eastAsia" w:ascii="仿宋_GB2312" w:cs="仿宋_GB2312"/>
          <w:szCs w:val="32"/>
        </w:rPr>
        <w:t>建立健全教师绩效评价体系，制定科学、合理的教师绩效（量化）评价指标和评价办法，为教师考核、晋升、奖惩、分配等提供科学依据。建立教师工资长效增长机制，完善绩效工资分配制度，改进绩效考核办法，逐步提高奖励性绩效工资比例。高度重视和关注教师的身体和心理健康，改善教师工作、生活条件。建立教师荣誉制度，加大教师评优树模表彰力度，对在师德、教学、科研、管理等方面成绩突出的教师和教育工作者予以表彰奖励。设立新区校长教师专项奖励资金，努力提高教师政治地位、社会地位、职业地位。</w:t>
      </w:r>
    </w:p>
    <w:p>
      <w:pPr>
        <w:pStyle w:val="2"/>
        <w:rPr>
          <w:rFonts w:ascii="仿宋_GB2312" w:eastAsia="仿宋_GB2312"/>
          <w:szCs w:val="32"/>
        </w:rPr>
      </w:pPr>
      <w:r>
        <w:rPr>
          <w:rFonts w:hint="eastAsia" w:ascii="仿宋_GB2312" w:eastAsia="仿宋_GB2312"/>
          <w:b/>
          <w:bCs/>
          <w:szCs w:val="32"/>
        </w:rPr>
        <w:t>加强校园长队伍建设。</w:t>
      </w:r>
      <w:r>
        <w:rPr>
          <w:rFonts w:hint="eastAsia" w:ascii="仿宋_GB2312" w:eastAsia="仿宋_GB2312"/>
          <w:szCs w:val="32"/>
        </w:rPr>
        <w:t>采用内部培养、外部引进等多种方式拓宽选拔渠道，制定新区教育高层次人才引进计划，面向全国招聘公办中小学校（园）长。建立校（园）长培养储备计划，实施后备干部培养工程，充实完善校（园）长后备队伍人才库，探索跟岗锻炼、结伴成长、模拟培训、交流任职等多轨并行的培养机制。健全“定岗定责”“因岗设人”的校长管理机制。搭建多类型校长交流平台，建立校长定期交流任职机制。加快推进校长职级制改革，逐步建立起以职级制为核心的校长管理体制。定期召开新区校（园）长大会，不断提升办学自主权，激发办学活力。到</w:t>
      </w:r>
      <w:r>
        <w:rPr>
          <w:rFonts w:eastAsia="仿宋_GB2312"/>
          <w:szCs w:val="32"/>
        </w:rPr>
        <w:t>2025</w:t>
      </w:r>
      <w:r>
        <w:rPr>
          <w:rFonts w:hint="eastAsia" w:ascii="仿宋_GB2312" w:eastAsia="仿宋_GB2312"/>
          <w:szCs w:val="32"/>
        </w:rPr>
        <w:t>年，初步形成成长型、专家型、领航型校（园）长队伍梯队培养体系。</w:t>
      </w:r>
    </w:p>
    <w:p>
      <w:pPr>
        <w:pStyle w:val="4"/>
      </w:pPr>
      <w:bookmarkStart w:id="141" w:name="_Toc130476072"/>
      <w:bookmarkStart w:id="142" w:name="_Toc79397465"/>
      <w:bookmarkStart w:id="143" w:name="_Toc79393303"/>
      <w:bookmarkStart w:id="144" w:name="_Toc59180879"/>
      <w:bookmarkStart w:id="145" w:name="_Toc62810157"/>
      <w:bookmarkStart w:id="146" w:name="_Toc59547969"/>
      <w:bookmarkStart w:id="147" w:name="_Toc59180833"/>
      <w:bookmarkStart w:id="148" w:name="_Toc59547938"/>
      <w:r>
        <w:rPr>
          <w:rFonts w:hint="eastAsia"/>
        </w:rPr>
        <w:t>（五）促进产教融合发展，加快学习型新区建设</w:t>
      </w:r>
      <w:bookmarkEnd w:id="141"/>
      <w:bookmarkEnd w:id="142"/>
      <w:bookmarkEnd w:id="143"/>
    </w:p>
    <w:p>
      <w:pPr>
        <w:rPr>
          <w:rFonts w:ascii="仿宋_GB2312" w:cs="仿宋_GB2312"/>
          <w:kern w:val="0"/>
          <w:szCs w:val="32"/>
        </w:rPr>
      </w:pPr>
      <w:r>
        <w:rPr>
          <w:rFonts w:hint="eastAsia" w:ascii="仿宋_GB2312" w:cs="仿宋_GB2312"/>
          <w:b/>
          <w:bCs/>
          <w:kern w:val="0"/>
          <w:szCs w:val="32"/>
        </w:rPr>
        <w:t>完善现代职业教育体系。</w:t>
      </w:r>
      <w:r>
        <w:rPr>
          <w:rFonts w:hint="eastAsia" w:ascii="仿宋_GB2312" w:cs="仿宋_GB2312"/>
          <w:kern w:val="0"/>
          <w:szCs w:val="32"/>
        </w:rPr>
        <w:t>立足新区经济产业结构，建立职业紧缺人才服务体系，健全职业教育集团化运行机制。建设新区职业教育资源管理服务中心，挖掘区域产业和专业资源优势，合作共建一批职业教育特色专业和精品课程，认证一批职业教育大师企业和职业教育基地。加强创新创业教育，推进创新创业人才培养工程。</w:t>
      </w:r>
    </w:p>
    <w:p>
      <w:pPr>
        <w:rPr>
          <w:rFonts w:ascii="仿宋_GB2312" w:cs="仿宋_GB2312"/>
          <w:kern w:val="0"/>
          <w:szCs w:val="32"/>
        </w:rPr>
      </w:pPr>
      <w:r>
        <w:rPr>
          <w:rFonts w:hint="eastAsia" w:ascii="仿宋_GB2312" w:cs="仿宋_GB2312"/>
          <w:b/>
          <w:bCs/>
          <w:kern w:val="0"/>
          <w:szCs w:val="32"/>
        </w:rPr>
        <w:t>促进职业教育品牌化发展。</w:t>
      </w:r>
      <w:r>
        <w:rPr>
          <w:rFonts w:hint="eastAsia" w:ascii="仿宋_GB2312" w:cs="仿宋_GB2312"/>
          <w:kern w:val="0"/>
          <w:szCs w:val="32"/>
        </w:rPr>
        <w:t>深化产教融合良性互动，实施产教融合创新工程，建立产教融合发展先导区。将人才培养作为增强产业核心竞争力、汇聚新区发展新动能的有力支撑。依托“秦创原”创新驱动总平台窗口示范作用，结合新区功能、产业特点，聚焦重点产业，打造一批产教融合型园区、院校和专业群。建立产教融合导向的教育质量评价机制，支持学校深度融入和服务新区产业发展。</w:t>
      </w:r>
    </w:p>
    <w:p>
      <w:pPr>
        <w:rPr>
          <w:szCs w:val="32"/>
        </w:rPr>
      </w:pPr>
      <w:r>
        <w:rPr>
          <w:rFonts w:hint="eastAsia" w:ascii="仿宋_GB2312" w:cs="仿宋_GB2312"/>
          <w:b/>
          <w:bCs/>
          <w:kern w:val="0"/>
          <w:szCs w:val="32"/>
        </w:rPr>
        <w:t>建立完善终身教育制度</w:t>
      </w:r>
      <w:r>
        <w:rPr>
          <w:rFonts w:hint="eastAsia" w:ascii="仿宋_GB2312" w:cs="仿宋_GB2312"/>
          <w:kern w:val="0"/>
          <w:szCs w:val="32"/>
        </w:rPr>
        <w:t>。</w:t>
      </w:r>
      <w:r>
        <w:rPr>
          <w:rFonts w:hint="eastAsia" w:ascii="仿宋_GB2312" w:cs="仿宋_GB2312"/>
          <w:szCs w:val="32"/>
        </w:rPr>
        <w:t>全面加强人力资源开发力度，构建适应市场需求、体现终身教育理念的现代教育体系。</w:t>
      </w:r>
      <w:r>
        <w:rPr>
          <w:rFonts w:hint="eastAsia" w:ascii="仿宋_GB2312" w:cs="仿宋_GB2312"/>
          <w:kern w:val="0"/>
          <w:szCs w:val="32"/>
        </w:rPr>
        <w:t>探索建设以学习者为中心的多元化学习平台，创新推进各类终身学习场所和学习资源整合开放，建设方式更灵活、资源更丰富、学习更便捷的终身学习体系。</w:t>
      </w:r>
      <w:r>
        <w:rPr>
          <w:rFonts w:hint="eastAsia" w:ascii="仿宋_GB2312" w:cs="仿宋_GB2312"/>
          <w:szCs w:val="32"/>
        </w:rPr>
        <w:t>持续开展职业技能提升行动，扩大在岗职工、就业重点群体的培训规模。推动社区教学点全覆盖，以需求为导向，开发精品课程资源，增强社区教育的实效性和针对性。加快发展老年教育，探索养教结合的老年教育模式，构建老有所学的终身学习体系，丰富老年居民精神文化生活，满足社区老年人终身学习需求。</w:t>
      </w:r>
      <w:bookmarkStart w:id="149" w:name="_Toc59547967"/>
      <w:bookmarkStart w:id="150" w:name="_Toc62810148"/>
      <w:bookmarkStart w:id="151" w:name="_Toc59180826"/>
      <w:bookmarkStart w:id="152" w:name="_Toc59547936"/>
      <w:bookmarkStart w:id="153" w:name="_Toc59180872"/>
    </w:p>
    <w:p>
      <w:pPr>
        <w:pStyle w:val="4"/>
      </w:pPr>
      <w:bookmarkStart w:id="154" w:name="_Toc79393304"/>
      <w:bookmarkStart w:id="155" w:name="_Toc130476073"/>
      <w:bookmarkStart w:id="156" w:name="_Toc79397466"/>
      <w:r>
        <w:rPr>
          <w:rFonts w:hint="eastAsia"/>
        </w:rPr>
        <w:t>（六）提升教育数字化水平，推动教育提质增效</w:t>
      </w:r>
      <w:bookmarkEnd w:id="149"/>
      <w:bookmarkEnd w:id="150"/>
      <w:bookmarkEnd w:id="151"/>
      <w:bookmarkEnd w:id="152"/>
      <w:bookmarkEnd w:id="153"/>
      <w:bookmarkEnd w:id="154"/>
      <w:bookmarkEnd w:id="155"/>
      <w:bookmarkEnd w:id="156"/>
    </w:p>
    <w:p>
      <w:pPr>
        <w:rPr>
          <w:rFonts w:ascii="仿宋_GB2312" w:cs="仿宋_GB2312"/>
          <w:szCs w:val="32"/>
        </w:rPr>
      </w:pPr>
      <w:r>
        <w:rPr>
          <w:rFonts w:hint="eastAsia" w:ascii="仿宋_GB2312" w:cs="仿宋_GB2312"/>
          <w:b/>
          <w:bCs/>
          <w:szCs w:val="32"/>
        </w:rPr>
        <w:t>推进教育数字化工程建设。</w:t>
      </w:r>
      <w:r>
        <w:rPr>
          <w:rFonts w:hint="eastAsia" w:ascii="仿宋_GB2312" w:cs="仿宋_GB2312"/>
          <w:szCs w:val="32"/>
        </w:rPr>
        <w:t>发挥“国家级数字化教学实验区”作用，开展智慧教育示范区、智慧校园示范校、信息化创新示范校创建。构建新区智慧教育数据标准，统一规划、统一设计，实现不同业务之间的数据交换、互联互通，为新区教育大数据分析提供数据支撑。建设教育教学类应用平台，推动教与学新模式建立，促进优质教学资源共建共享、教学模式融合创新、学习方式多元自主，提升教学整体效率。建立教育信息一体化平台，保障教育管理、决策和公共服务的能力。</w:t>
      </w:r>
    </w:p>
    <w:p>
      <w:pPr>
        <w:rPr>
          <w:rFonts w:ascii="仿宋_GB2312" w:cs="仿宋_GB2312"/>
          <w:kern w:val="0"/>
          <w:szCs w:val="32"/>
        </w:rPr>
      </w:pPr>
      <w:r>
        <w:rPr>
          <w:rFonts w:hint="eastAsia" w:ascii="仿宋_GB2312" w:cs="仿宋_GB2312"/>
          <w:b/>
          <w:bCs/>
          <w:szCs w:val="32"/>
        </w:rPr>
        <w:t>提高数字化教育教学能力</w:t>
      </w:r>
      <w:r>
        <w:rPr>
          <w:rFonts w:hint="eastAsia" w:ascii="仿宋_GB2312" w:cs="仿宋_GB2312"/>
          <w:bCs/>
          <w:kern w:val="0"/>
          <w:szCs w:val="32"/>
        </w:rPr>
        <w:t>。</w:t>
      </w:r>
      <w:r>
        <w:rPr>
          <w:rFonts w:hint="eastAsia" w:ascii="仿宋_GB2312" w:cs="仿宋_GB2312"/>
          <w:kern w:val="0"/>
          <w:szCs w:val="32"/>
        </w:rPr>
        <w:t>促进新区教育信息化从融合应用向创新发展探索演进，将信息技术和智能技术深度融入教育全过程，促进教学改进、管理优化和绩效提升。建设中小学首席信息官队伍，制定各级教育信息化管理人员能力标准。加强培训，提高教师信息技术应用能力。推动“专递课堂”“名师课堂”“名校网络课堂”建设，形成具有区域特色的优质教育教学资源。提升学生信息素养和数字化思维能力，教育学生遵守信息伦理，培养学生正确利用网络技术的理智感，提升学生应用信息技术解决学习、生活问题的能力和基本素质。不断探索教育信息化应用实践推广新模式，形成应用一代、示范一代、推广一代的创新引领可持续发展态势。</w:t>
      </w:r>
    </w:p>
    <w:p>
      <w:pPr>
        <w:rPr>
          <w:rFonts w:ascii="仿宋_GB2312" w:cs="仿宋_GB2312"/>
          <w:kern w:val="0"/>
          <w:szCs w:val="32"/>
        </w:rPr>
      </w:pPr>
      <w:r>
        <w:rPr>
          <w:rFonts w:hint="eastAsia" w:ascii="仿宋_GB2312" w:cs="仿宋_GB2312"/>
          <w:b/>
          <w:bCs/>
          <w:kern w:val="0"/>
          <w:szCs w:val="32"/>
        </w:rPr>
        <w:t>推动教育数字化品牌发展。</w:t>
      </w:r>
      <w:r>
        <w:rPr>
          <w:rFonts w:hint="eastAsia" w:ascii="仿宋_GB2312" w:cs="仿宋_GB2312"/>
          <w:kern w:val="0"/>
          <w:szCs w:val="32"/>
        </w:rPr>
        <w:t>依托“秦创原”创新驱动平台辐射带动作用，以“国家级数字化教学实验区”建设为契机，打造融合数字技术与教、学模式的新型实验平台。开发人工智能、5G+教育、大数据、物联网等技术应用场景在教育教学中的运用，探索新技术支持下体验式、合作式、探究式教学模式的实践与应用，推动学校重塑教育理念、重组教育结构、重构教育流程。打造与新区城市发展能级相匹配的数字化教育资源共建共享机制，树立数字化教育品牌。</w:t>
      </w:r>
    </w:p>
    <w:p>
      <w:pPr>
        <w:pStyle w:val="4"/>
      </w:pPr>
      <w:bookmarkStart w:id="157" w:name="_Toc130476074"/>
      <w:bookmarkStart w:id="158" w:name="_Toc79397467"/>
      <w:bookmarkStart w:id="159" w:name="_Toc79393305"/>
      <w:r>
        <w:rPr>
          <w:rFonts w:hint="eastAsia"/>
        </w:rPr>
        <w:t>（七）</w:t>
      </w:r>
      <w:bookmarkStart w:id="160" w:name="_Hlk79081242"/>
      <w:r>
        <w:rPr>
          <w:rFonts w:hint="eastAsia"/>
        </w:rPr>
        <w:t>加强教育品牌建设</w:t>
      </w:r>
      <w:bookmarkEnd w:id="160"/>
      <w:r>
        <w:rPr>
          <w:rFonts w:hint="eastAsia"/>
        </w:rPr>
        <w:t>，构建开放合作新局面</w:t>
      </w:r>
      <w:bookmarkEnd w:id="157"/>
      <w:bookmarkEnd w:id="158"/>
      <w:bookmarkEnd w:id="159"/>
    </w:p>
    <w:p>
      <w:pPr>
        <w:pStyle w:val="2"/>
        <w:rPr>
          <w:rFonts w:ascii="仿宋_GB2312" w:eastAsia="仿宋_GB2312" w:cs="仿宋_GB2312"/>
          <w:szCs w:val="32"/>
        </w:rPr>
      </w:pPr>
      <w:r>
        <w:rPr>
          <w:rFonts w:hint="eastAsia" w:ascii="仿宋_GB2312" w:eastAsia="仿宋_GB2312" w:cs="仿宋_GB2312"/>
          <w:b/>
          <w:bCs/>
          <w:szCs w:val="32"/>
        </w:rPr>
        <w:t>打造一体化教育品牌。</w:t>
      </w:r>
      <w:r>
        <w:rPr>
          <w:rFonts w:hint="eastAsia" w:ascii="仿宋_GB2312" w:eastAsia="仿宋_GB2312" w:cs="仿宋_GB2312"/>
          <w:szCs w:val="32"/>
        </w:rPr>
        <w:t>深入推进新区教育融入西安都市圈、西咸一体化发展，进一步完善一体化发展教育协同推进机制，建立配套政策联动制度，形成具有重要影响力的交流品牌与合作项目。服务和支撑西安都市圈建设，鼓励优质学校采取集团化办学等方式开展一体化教育合作。推动建立教育一体化监测评价体系，提升一体化教育整体水平和服务能力。</w:t>
      </w:r>
    </w:p>
    <w:p>
      <w:pPr>
        <w:pStyle w:val="2"/>
        <w:rPr>
          <w:rFonts w:ascii="仿宋_GB2312" w:eastAsia="仿宋_GB2312" w:cs="仿宋_GB2312"/>
          <w:szCs w:val="32"/>
        </w:rPr>
      </w:pPr>
      <w:r>
        <w:rPr>
          <w:rFonts w:hint="eastAsia" w:ascii="仿宋_GB2312" w:eastAsia="仿宋_GB2312" w:cs="仿宋_GB2312"/>
          <w:b/>
          <w:bCs/>
          <w:szCs w:val="32"/>
        </w:rPr>
        <w:t>加强教育交流与合作。</w:t>
      </w:r>
      <w:r>
        <w:rPr>
          <w:rFonts w:hint="eastAsia" w:ascii="仿宋_GB2312" w:eastAsia="仿宋_GB2312" w:cs="仿宋_GB2312"/>
          <w:szCs w:val="32"/>
        </w:rPr>
        <w:t>抢抓国际教育合作新机遇，拓展与“一带一路”沿线城市教育合作空间，推动教育资源共享，建立新区校长、教师对外交流学习通道，加强与国内教育发达地区的经验交流，每年集中组织学习交流次数不少于2次。支持海外优质教育资源落户新区，力争建成若干个有影响力的中外合作办学项目。主动对接上海浦东新区、成都天府新区等国家级新区，建立教育发展合作交流机制。加强中小学国际理解教育，树立人类命运共同体意识。</w:t>
      </w:r>
      <w:bookmarkStart w:id="161" w:name="_Toc59547937"/>
      <w:bookmarkStart w:id="162" w:name="_Toc59180827"/>
      <w:bookmarkStart w:id="163" w:name="_Toc79397468"/>
      <w:bookmarkStart w:id="164" w:name="_Toc79393306"/>
      <w:bookmarkStart w:id="165" w:name="_Toc59547968"/>
      <w:bookmarkStart w:id="166" w:name="_Toc62810152"/>
      <w:bookmarkStart w:id="167" w:name="_Toc59180873"/>
    </w:p>
    <w:p>
      <w:pPr>
        <w:pStyle w:val="2"/>
      </w:pPr>
      <w:r>
        <w:rPr>
          <w:rFonts w:hint="eastAsia" w:ascii="仿宋_GB2312" w:eastAsia="仿宋_GB2312" w:cs="仿宋_GB2312"/>
          <w:szCs w:val="32"/>
        </w:rPr>
        <w:t>（八）</w:t>
      </w:r>
      <w:r>
        <w:rPr>
          <w:rFonts w:hint="eastAsia"/>
        </w:rPr>
        <w:t>加快平安校园建设，提升安全保障能力</w:t>
      </w:r>
      <w:bookmarkEnd w:id="161"/>
      <w:bookmarkEnd w:id="162"/>
      <w:bookmarkEnd w:id="163"/>
      <w:bookmarkEnd w:id="164"/>
      <w:bookmarkEnd w:id="165"/>
      <w:bookmarkEnd w:id="166"/>
      <w:bookmarkEnd w:id="167"/>
    </w:p>
    <w:p>
      <w:bookmarkStart w:id="168" w:name="_Toc62810156"/>
      <w:r>
        <w:rPr>
          <w:rFonts w:hint="eastAsia"/>
          <w:b/>
          <w:bCs/>
          <w:szCs w:val="32"/>
        </w:rPr>
        <w:t>加强平安校园建设。</w:t>
      </w:r>
      <w:r>
        <w:rPr>
          <w:rFonts w:hint="eastAsia"/>
          <w:szCs w:val="32"/>
        </w:rPr>
        <w:t>积极落实“党政同责、一岗双责、失职追责”责任体系，建立健全安全重大风险分析研判机制及安全管理制度，不断巩固提升校园安全“三个100%”建设。持续推进平安校园创建工作，加大安全宣传教育力度，强化心理教师队伍建设，完善学生心理健康服务体系。做好中小学欺凌和暴力防治工作宣传教育，建立防欺凌基础保障机制。建立新区教育系统安全管理专家库，强化校园及周边隐患排查治理。修订《校车安全管理联席会制度》，加强校车信息化管理和信息化使用许可审批，加强校车安全监管，深化校车安全隐患排查整治。积极运用科技手段做好校园安全管理工作，推进新区教育安防信息互联互通，形成多级联动的综合管理平台和多元参与的社会共治平安校园模式。</w:t>
      </w:r>
    </w:p>
    <w:bookmarkEnd w:id="168"/>
    <w:p>
      <w:r>
        <w:rPr>
          <w:rFonts w:hint="eastAsia"/>
          <w:b/>
          <w:bCs/>
          <w:szCs w:val="32"/>
        </w:rPr>
        <w:t>提高学校应急管理能力。</w:t>
      </w:r>
      <w:r>
        <w:rPr>
          <w:rFonts w:hint="eastAsia"/>
          <w:szCs w:val="32"/>
        </w:rPr>
        <w:t>全面加强教育系统突发事件风险管理能力，建立处置突发事件快速反应机制，健全突发事件应急预案，提高教育系统应对突发事件的能力和水平。遵循属地化管理原则，及时上报并采取应急响应措施。利用大数据、云计算等新一代信息技术，提高突发事件专业信息汇集、监测预警、应急决策和指挥调度能力。推动教育应急平台与各类应急平台之间互联互通、数据交换、系统对接、信息资源共享。正确引导处置突发事件舆情方向，切实增强师生自我保护意识，完善信息、物资、人员和培训演练等各项保障。</w:t>
      </w:r>
      <w:r>
        <w:rPr>
          <w:rFonts w:hint="eastAsia" w:ascii="仿宋_GB2312"/>
          <w:szCs w:val="32"/>
        </w:rPr>
        <w:t>丰富学校安全教育，建立课堂教学和课外实践体验相互补充的安全教育模式，推动学校、家庭、社会共同参与，增强师生危险防范意识，营造校园安全文化氛围。</w:t>
      </w:r>
    </w:p>
    <w:p>
      <w:pPr>
        <w:pStyle w:val="4"/>
      </w:pPr>
      <w:bookmarkStart w:id="169" w:name="_Toc130476075"/>
      <w:bookmarkStart w:id="170" w:name="_Toc79397469"/>
      <w:bookmarkStart w:id="171" w:name="_Toc79393307"/>
      <w:r>
        <w:rPr>
          <w:rFonts w:hint="eastAsia"/>
        </w:rPr>
        <w:t>（九）深化健康校园建设，提升师生健康素养</w:t>
      </w:r>
      <w:bookmarkEnd w:id="169"/>
      <w:bookmarkEnd w:id="170"/>
      <w:bookmarkEnd w:id="171"/>
    </w:p>
    <w:p>
      <w:pPr>
        <w:pStyle w:val="8"/>
        <w:rPr>
          <w:rFonts w:ascii="仿宋_GB2312"/>
          <w:szCs w:val="32"/>
        </w:rPr>
      </w:pPr>
      <w:r>
        <w:rPr>
          <w:rFonts w:hint="eastAsia" w:ascii="仿宋_GB2312" w:cs="仿宋_GB2312"/>
          <w:b/>
          <w:bCs/>
          <w:szCs w:val="32"/>
        </w:rPr>
        <w:t>营建三位一体校园健康环境。</w:t>
      </w:r>
      <w:r>
        <w:rPr>
          <w:rFonts w:hint="eastAsia" w:ascii="仿宋_GB2312" w:cs="仿宋_GB2312"/>
          <w:szCs w:val="32"/>
        </w:rPr>
        <w:t>坚持预防为主原则，大力宣传公共卫生安全、传染病防治和卫生健康知识，提高师生传染病防控意识和能力。加强学校预防结核病教育，切实预防和控制学生肥胖、脊柱弯曲异常等发生。持续做好儿童青少年近视防控，实现儿童青少年近视率每年下降1个百分点的目标。</w:t>
      </w:r>
      <w:r>
        <w:rPr>
          <w:rFonts w:hint="eastAsia" w:ascii="仿宋_GB2312"/>
          <w:szCs w:val="32"/>
        </w:rPr>
        <w:t>培育师生形成日常健康行为习惯理念，教育引导师生将新冠肺炎疫情防控期间的勤洗手、常通风、分餐制、使用公勺公筷、不滥食野生动物、科学就医用药等防疫行为转化为生活日常习惯行为，倡导师生养成规律作息、践行绿色环保理念、减少污染和浪费的习惯。增强师生对于心理健康的重视。积极开展师生生命教育、亲情教育和爱国主义教育，教育师生自觉维护心理健康，掌握正确应对不良情绪和心理压力的相关技能，提高心理适应能力。帮助学生培养健全人格，做到自尊自信、理性平和、乐观向上。</w:t>
      </w:r>
    </w:p>
    <w:p>
      <w:pPr>
        <w:pStyle w:val="8"/>
        <w:rPr>
          <w:rFonts w:ascii="仿宋_GB2312" w:cs="仿宋_GB2312"/>
          <w:szCs w:val="32"/>
        </w:rPr>
      </w:pPr>
      <w:r>
        <w:rPr>
          <w:rFonts w:hint="eastAsia" w:ascii="仿宋_GB2312" w:cs="仿宋_GB2312"/>
          <w:b/>
          <w:bCs/>
          <w:szCs w:val="32"/>
        </w:rPr>
        <w:t>强化学生体育健康教育。</w:t>
      </w:r>
      <w:r>
        <w:rPr>
          <w:rFonts w:hint="eastAsia" w:ascii="仿宋_GB2312" w:cs="仿宋_GB2312"/>
          <w:szCs w:val="32"/>
        </w:rPr>
        <w:t>落实《关于全面加强和改进新时代学校体育工作的意见》《关于深化体教融合促进青少年全面发展的意见》《全国青少年校园足球“八大体系”建设行动计划》等文件要求，完善“健康知识+运动技能”教学模式，按照教会、勤练、常赛要求，强化学校体育教学训练。严格落实课间操制度，开齐开足上好体育与健康课。健全学校体育竞赛制度、体育家庭作业制度，将学生体质改善工作作为教育质量监测和评价的重要内容。推动地方和学校落实学生每天</w:t>
      </w:r>
      <w:r>
        <w:rPr>
          <w:szCs w:val="32"/>
        </w:rPr>
        <w:t>1小时校内体育活动，引导学生每天放学后进行1</w:t>
      </w:r>
      <w:r>
        <w:rPr>
          <w:rFonts w:hint="eastAsia"/>
          <w:szCs w:val="32"/>
        </w:rPr>
        <w:t>-</w:t>
      </w:r>
      <w:r>
        <w:rPr>
          <w:szCs w:val="32"/>
        </w:rPr>
        <w:t>2小时户外</w:t>
      </w:r>
      <w:r>
        <w:rPr>
          <w:rFonts w:hint="eastAsia" w:ascii="仿宋_GB2312" w:cs="仿宋_GB2312"/>
          <w:szCs w:val="32"/>
        </w:rPr>
        <w:t>活动，家校协同营造良好体育氛围和体育锻炼习惯，掌握基本运动知识和</w:t>
      </w:r>
      <w:r>
        <w:rPr>
          <w:szCs w:val="32"/>
        </w:rPr>
        <w:t>1-2</w:t>
      </w:r>
      <w:r>
        <w:rPr>
          <w:rFonts w:hint="eastAsia"/>
          <w:szCs w:val="32"/>
        </w:rPr>
        <w:t>项</w:t>
      </w:r>
      <w:r>
        <w:rPr>
          <w:rFonts w:hint="eastAsia" w:ascii="仿宋_GB2312" w:cs="仿宋_GB2312"/>
          <w:szCs w:val="32"/>
        </w:rPr>
        <w:t>运动技能。</w:t>
      </w:r>
    </w:p>
    <w:p>
      <w:pPr>
        <w:pStyle w:val="8"/>
        <w:rPr>
          <w:rFonts w:ascii="仿宋_GB2312"/>
          <w:szCs w:val="32"/>
        </w:rPr>
      </w:pPr>
      <w:bookmarkStart w:id="172" w:name="_Hlk71720809"/>
      <w:r>
        <w:rPr>
          <w:rFonts w:hint="eastAsia" w:ascii="仿宋_GB2312" w:cs="仿宋_GB2312"/>
          <w:b/>
          <w:bCs/>
          <w:szCs w:val="32"/>
        </w:rPr>
        <w:t>提升学校卫生健康工作水平</w:t>
      </w:r>
      <w:bookmarkEnd w:id="172"/>
      <w:r>
        <w:rPr>
          <w:rFonts w:hint="eastAsia" w:ascii="仿宋_GB2312" w:cs="仿宋_GB2312"/>
          <w:b/>
          <w:bCs/>
          <w:szCs w:val="32"/>
        </w:rPr>
        <w:t>。</w:t>
      </w:r>
      <w:r>
        <w:rPr>
          <w:rFonts w:hint="eastAsia" w:ascii="仿宋_GB2312" w:cs="仿宋_GB2312"/>
          <w:szCs w:val="32"/>
        </w:rPr>
        <w:t>贯彻落实</w:t>
      </w:r>
      <w:r>
        <w:rPr>
          <w:rFonts w:hint="eastAsia" w:ascii="仿宋_GB2312" w:cs="仿宋_GB2312"/>
          <w:snapToGrid w:val="0"/>
          <w:kern w:val="0"/>
          <w:szCs w:val="32"/>
        </w:rPr>
        <w:t>“健康第一”理念</w:t>
      </w:r>
      <w:r>
        <w:rPr>
          <w:snapToGrid w:val="0"/>
          <w:kern w:val="0"/>
          <w:szCs w:val="32"/>
        </w:rPr>
        <w:t>，</w:t>
      </w:r>
      <w:r>
        <w:rPr>
          <w:rFonts w:hint="eastAsia"/>
          <w:szCs w:val="32"/>
        </w:rPr>
        <w:t>全面加强和改进学校卫生和健康教育工作。系统规划和教授卫生健康知识，帮助引导学生养成健康的生活方式和习惯，定期做好学生健康监测工作，构建完整的校园疾病预防体系。切实加强学校卫生保障，</w:t>
      </w:r>
      <w:r>
        <w:rPr>
          <w:rFonts w:hint="eastAsia"/>
          <w:snapToGrid w:val="0"/>
          <w:kern w:val="0"/>
          <w:szCs w:val="32"/>
        </w:rPr>
        <w:t>积极实施校园</w:t>
      </w:r>
      <w:r>
        <w:rPr>
          <w:snapToGrid w:val="0"/>
          <w:kern w:val="0"/>
          <w:szCs w:val="32"/>
        </w:rPr>
        <w:t>卫生标准化管理体系</w:t>
      </w:r>
      <w:r>
        <w:rPr>
          <w:rFonts w:hint="eastAsia"/>
          <w:snapToGrid w:val="0"/>
          <w:kern w:val="0"/>
          <w:szCs w:val="32"/>
        </w:rPr>
        <w:t>，实现</w:t>
      </w:r>
      <w:r>
        <w:rPr>
          <w:snapToGrid w:val="0"/>
          <w:kern w:val="0"/>
          <w:szCs w:val="32"/>
        </w:rPr>
        <w:t>学校卫生设施配备到位，</w:t>
      </w:r>
      <w:r>
        <w:rPr>
          <w:rFonts w:hint="eastAsia"/>
          <w:snapToGrid w:val="0"/>
          <w:kern w:val="0"/>
          <w:szCs w:val="32"/>
        </w:rPr>
        <w:t>校医保健教师</w:t>
      </w:r>
      <w:r>
        <w:rPr>
          <w:snapToGrid w:val="0"/>
          <w:kern w:val="0"/>
          <w:szCs w:val="32"/>
        </w:rPr>
        <w:t>充实到位，学校卫生</w:t>
      </w:r>
      <w:r>
        <w:rPr>
          <w:rFonts w:hint="eastAsia"/>
          <w:snapToGrid w:val="0"/>
          <w:kern w:val="0"/>
          <w:szCs w:val="32"/>
        </w:rPr>
        <w:t>环境品质进一步提升，创建</w:t>
      </w:r>
      <w:r>
        <w:rPr>
          <w:rFonts w:hint="eastAsia" w:ascii="仿宋_GB2312" w:cs="仿宋_GB2312"/>
          <w:szCs w:val="32"/>
        </w:rPr>
        <w:t>绿色学校和健康学校。</w:t>
      </w:r>
      <w:r>
        <w:rPr>
          <w:rFonts w:hint="eastAsia" w:ascii="仿宋_GB2312"/>
          <w:szCs w:val="32"/>
        </w:rPr>
        <w:t>营造干净整洁的健康校园环境，做好校园整体环境卫生整治，加强对校园公共区域清扫消毒、室内区域通风换气，落实生活垃圾分类，推进厕所革命，规范开展重点区域</w:t>
      </w:r>
      <w:r>
        <w:rPr>
          <w:rFonts w:ascii="仿宋_GB2312"/>
          <w:szCs w:val="32"/>
        </w:rPr>
        <w:t>病</w:t>
      </w:r>
      <w:r>
        <w:rPr>
          <w:rFonts w:hint="eastAsia" w:ascii="仿宋_GB2312"/>
          <w:szCs w:val="32"/>
        </w:rPr>
        <w:t>媒生物预防控制。推进无烟学校建设，加大学校控烟宣传教育力度，强化控烟措施，全面营造校园无烟环境。</w:t>
      </w:r>
    </w:p>
    <w:p>
      <w:pPr>
        <w:widowControl/>
        <w:rPr>
          <w:rFonts w:ascii="仿宋_GB2312" w:cs="仿宋_GB2312"/>
          <w:kern w:val="0"/>
          <w:szCs w:val="32"/>
        </w:rPr>
      </w:pPr>
      <w:bookmarkStart w:id="173" w:name="_Hlk71720755"/>
      <w:r>
        <w:rPr>
          <w:rFonts w:hint="eastAsia" w:ascii="仿宋_GB2312" w:cs="仿宋_GB2312"/>
          <w:b/>
          <w:bCs/>
          <w:kern w:val="0"/>
          <w:szCs w:val="32"/>
        </w:rPr>
        <w:t>实施学校膳食营养健康计划</w:t>
      </w:r>
      <w:bookmarkEnd w:id="173"/>
      <w:r>
        <w:rPr>
          <w:rFonts w:hint="eastAsia" w:ascii="仿宋_GB2312" w:cs="仿宋_GB2312"/>
          <w:b/>
          <w:bCs/>
          <w:kern w:val="0"/>
          <w:szCs w:val="32"/>
        </w:rPr>
        <w:t>。</w:t>
      </w:r>
      <w:r>
        <w:rPr>
          <w:rFonts w:hint="eastAsia" w:ascii="仿宋_GB2312" w:cs="仿宋_GB2312"/>
          <w:szCs w:val="32"/>
        </w:rPr>
        <w:t>加大投入力度，深入推进“食堂革命”，</w:t>
      </w:r>
      <w:r>
        <w:rPr>
          <w:rFonts w:hint="eastAsia" w:ascii="仿宋_GB2312"/>
          <w:szCs w:val="32"/>
        </w:rPr>
        <w:t>持续改造提升老旧食</w:t>
      </w:r>
      <w:r>
        <w:rPr>
          <w:rFonts w:ascii="仿宋_GB2312"/>
          <w:szCs w:val="32"/>
        </w:rPr>
        <w:t>堂硬件设施设备</w:t>
      </w:r>
      <w:r>
        <w:rPr>
          <w:rFonts w:hint="eastAsia" w:ascii="仿宋_GB2312"/>
          <w:szCs w:val="32"/>
        </w:rPr>
        <w:t>，建设让学生喜欢、家长放心、社会满意的校园食堂</w:t>
      </w:r>
      <w:r>
        <w:rPr>
          <w:rFonts w:hint="eastAsia" w:ascii="仿宋_GB2312" w:cs="仿宋_GB2312"/>
          <w:kern w:val="0"/>
          <w:szCs w:val="32"/>
        </w:rPr>
        <w:t>。将膳食营养知识融入幼儿园、中小学常规教育和各级教师培训中。</w:t>
      </w:r>
      <w:r>
        <w:rPr>
          <w:rFonts w:hint="eastAsia" w:ascii="仿宋_GB2312"/>
          <w:szCs w:val="32"/>
        </w:rPr>
        <w:t>健全食堂饮食各项管理制度，普及“</w:t>
      </w:r>
      <w:r>
        <w:rPr>
          <w:szCs w:val="32"/>
        </w:rPr>
        <w:t>4D</w:t>
      </w:r>
      <w:r>
        <w:rPr>
          <w:rFonts w:hint="eastAsia" w:ascii="仿宋_GB2312"/>
          <w:szCs w:val="32"/>
        </w:rPr>
        <w:t>”和色标管理模式</w:t>
      </w:r>
      <w:r>
        <w:rPr>
          <w:rFonts w:hint="eastAsia" w:ascii="仿宋_GB2312" w:cs="仿宋_GB2312"/>
          <w:kern w:val="0"/>
          <w:szCs w:val="32"/>
        </w:rPr>
        <w:t>。各学校</w:t>
      </w:r>
      <w:r>
        <w:rPr>
          <w:rFonts w:hint="eastAsia" w:ascii="仿宋_GB2312"/>
          <w:szCs w:val="32"/>
        </w:rPr>
        <w:t>食堂配备专（兼）职食品安全管理人员和营养健康管理人员</w:t>
      </w:r>
      <w:r>
        <w:rPr>
          <w:rFonts w:hint="eastAsia" w:ascii="仿宋_GB2312" w:cs="仿宋_GB2312"/>
          <w:kern w:val="0"/>
          <w:szCs w:val="32"/>
        </w:rPr>
        <w:t>，建立健全食品安全管理机构，制定食品安全突发事件应急处置预案，加强食品安全知识培训、教育。优化学生膳食结构，改善烹调方式，保证新鲜蔬菜水果、粗杂粮及适量鱼禽肉蛋奶等供应，按规定提供充足的符合国家标准的饮用水。落实中小学、幼儿园集中用餐陪餐制度，</w:t>
      </w:r>
      <w:r>
        <w:rPr>
          <w:rFonts w:hint="eastAsia" w:ascii="仿宋_GB2312"/>
          <w:szCs w:val="32"/>
        </w:rPr>
        <w:t>建立家长、学生无记名投票评价制度，</w:t>
      </w:r>
      <w:r>
        <w:rPr>
          <w:rFonts w:hint="eastAsia" w:ascii="仿宋_GB2312" w:cs="仿宋_GB2312"/>
          <w:kern w:val="0"/>
          <w:szCs w:val="32"/>
        </w:rPr>
        <w:t>对学生餐的营养与安全做好全面监督。加强饮食教育，引领学生践行“光盘”行动，反对食物浪费，积极引导家长科学安排家庭膳食，形成健康饮食新风尚。</w:t>
      </w:r>
    </w:p>
    <w:p>
      <w:pPr>
        <w:pStyle w:val="4"/>
      </w:pPr>
      <w:bookmarkStart w:id="174" w:name="_Toc59180865"/>
      <w:bookmarkStart w:id="175" w:name="_Toc130476076"/>
      <w:bookmarkStart w:id="176" w:name="_Toc59180819"/>
      <w:bookmarkStart w:id="177" w:name="_Toc59547960"/>
      <w:bookmarkStart w:id="178" w:name="_Toc62810135"/>
      <w:bookmarkStart w:id="179" w:name="_Toc59547929"/>
      <w:bookmarkStart w:id="180" w:name="_Toc79393308"/>
      <w:bookmarkStart w:id="181" w:name="_Toc79397470"/>
      <w:r>
        <w:rPr>
          <w:rFonts w:hint="eastAsia"/>
        </w:rPr>
        <w:t>（十）优化教育治理体系，提升教育治理水平</w:t>
      </w:r>
      <w:bookmarkEnd w:id="174"/>
      <w:bookmarkEnd w:id="175"/>
      <w:bookmarkEnd w:id="176"/>
      <w:bookmarkEnd w:id="177"/>
      <w:bookmarkEnd w:id="178"/>
      <w:bookmarkEnd w:id="179"/>
      <w:bookmarkEnd w:id="180"/>
      <w:bookmarkEnd w:id="181"/>
    </w:p>
    <w:p>
      <w:pPr>
        <w:widowControl/>
        <w:overflowPunct/>
        <w:topLinePunct w:val="0"/>
        <w:autoSpaceDE/>
        <w:autoSpaceDN/>
        <w:rPr>
          <w:rFonts w:ascii="仿宋_GB2312" w:cs="仿宋_GB2312"/>
          <w:kern w:val="0"/>
          <w:szCs w:val="32"/>
        </w:rPr>
      </w:pPr>
      <w:r>
        <w:rPr>
          <w:rFonts w:hint="eastAsia" w:ascii="仿宋_GB2312" w:cs="仿宋_GB2312"/>
          <w:b/>
          <w:bCs/>
          <w:kern w:val="0"/>
          <w:szCs w:val="32"/>
        </w:rPr>
        <w:t>提高依法治教水平。</w:t>
      </w:r>
      <w:r>
        <w:rPr>
          <w:rFonts w:hint="eastAsia" w:ascii="仿宋_GB2312" w:cs="仿宋_GB2312"/>
          <w:kern w:val="0"/>
          <w:szCs w:val="32"/>
        </w:rPr>
        <w:t>强化学校依法办学意识，开展依法治校能力培训，提高教师依法执教意识与能力。健全符合法治原则的教育救济制度。建立健全学校法律顾问制度。加大教育行政执法力度，运用行政指导、行政处罚、行政强制等手段，依法纠正学校和教育机构的违法违规行为。及时查处违反教育法律法规、侵害受教育者权益、扰乱教育秩序等行为。</w:t>
      </w:r>
    </w:p>
    <w:p>
      <w:pPr>
        <w:widowControl/>
        <w:overflowPunct/>
        <w:topLinePunct w:val="0"/>
        <w:autoSpaceDE/>
        <w:autoSpaceDN/>
        <w:rPr>
          <w:rFonts w:ascii="仿宋_GB2312" w:cs="仿宋_GB2312"/>
          <w:kern w:val="0"/>
          <w:szCs w:val="32"/>
        </w:rPr>
      </w:pPr>
      <w:r>
        <w:rPr>
          <w:rFonts w:hint="eastAsia" w:ascii="仿宋_GB2312" w:cs="仿宋_GB2312"/>
          <w:b/>
          <w:bCs/>
          <w:kern w:val="0"/>
          <w:szCs w:val="32"/>
        </w:rPr>
        <w:t>深入推进教育放管服管理体制改革。</w:t>
      </w:r>
      <w:r>
        <w:rPr>
          <w:rFonts w:hint="eastAsia" w:ascii="仿宋_GB2312" w:cs="仿宋_GB2312"/>
          <w:kern w:val="0"/>
          <w:szCs w:val="32"/>
        </w:rPr>
        <w:t>深化办学体制和教育管理改革，切实履行统筹规划、政策引导、监督管理职责，建立学校办学正负面清单，优化政府服务职能，减轻基层学校和中小学教师的负担，运用法律法规、政策、信息服务等手段加强对学校的监管，提高公共教育服务水平和办事效率。建立重大教育政策科学决策机制，规范决策程序，重大教育政策出台前要公开讨论，充分听取专家、群众意见，提高教育决策的科学性和管理的有效性。分类管理、规范促进新区民办教育发展，鼓励、引导民办学校提高质量、办出特色，满足多样化教育需求。全面深化新区校外培训机构治理，建立长效机制推进校外培训机构专项治理工作，规范校外培训行为。</w:t>
      </w:r>
    </w:p>
    <w:p>
      <w:r>
        <w:rPr>
          <w:rFonts w:hint="eastAsia"/>
          <w:b/>
          <w:bCs/>
        </w:rPr>
        <w:t>深化新时代教育督导体制机制改革。</w:t>
      </w:r>
      <w:r>
        <w:rPr>
          <w:rFonts w:hint="eastAsia"/>
        </w:rPr>
        <w:t>完善督政、督学、评估监测三位一体的现代教育督导体系，健全覆盖各级各类教育的督导评估与质量监测体系。进一步健全教育督导机构，加强教育督导队伍建设，组建一支数量充足、结构合理、业务精湛、廉洁高效的专兼职督学队伍。坚持督政与督学、监督与指导、综合督导与专项督导并重，实现教育督导工作制度化、常态化。统筹做好新区管委会履行教育职责督导评价工作。扎实做好“316工程”督导评价、学前普及普惠和义务教育优质均衡发展等督导评估。加强督学责任区建设，做好中小学校、幼儿园责任督学挂牌督导。建立健全教育督导部门统一归口管理的教育评估监测机制。改进教育督导方式方法，充分利用互联网、大数据、云计算等信息手段开展督导评估监测工作。进一步强化教育督导权威运行机制，健全部门联动奖惩、问责和综合运用机制，切实提高教育督导评估和监测结果的使用效能。</w:t>
      </w:r>
    </w:p>
    <w:p>
      <w:pPr>
        <w:pStyle w:val="3"/>
        <w:rPr>
          <w:szCs w:val="32"/>
        </w:rPr>
      </w:pPr>
      <w:bookmarkStart w:id="182" w:name="_Toc79397471"/>
      <w:bookmarkStart w:id="183" w:name="_Toc130476077"/>
      <w:bookmarkStart w:id="184" w:name="_Toc79393309"/>
      <w:r>
        <w:rPr>
          <w:rFonts w:hint="eastAsia"/>
          <w:szCs w:val="32"/>
        </w:rPr>
        <w:t>五、保障措施</w:t>
      </w:r>
      <w:bookmarkEnd w:id="144"/>
      <w:bookmarkEnd w:id="145"/>
      <w:bookmarkEnd w:id="146"/>
      <w:bookmarkEnd w:id="147"/>
      <w:bookmarkEnd w:id="148"/>
      <w:bookmarkEnd w:id="182"/>
      <w:bookmarkEnd w:id="183"/>
      <w:bookmarkEnd w:id="184"/>
    </w:p>
    <w:p>
      <w:pPr>
        <w:pStyle w:val="4"/>
      </w:pPr>
      <w:bookmarkStart w:id="185" w:name="_Toc79393310"/>
      <w:bookmarkStart w:id="186" w:name="_Toc130476078"/>
      <w:bookmarkStart w:id="187" w:name="_Toc59547970"/>
      <w:bookmarkStart w:id="188" w:name="_Toc59547939"/>
      <w:bookmarkStart w:id="189" w:name="_Toc62810158"/>
      <w:bookmarkStart w:id="190" w:name="_Toc79397472"/>
      <w:bookmarkStart w:id="191" w:name="_Toc59180834"/>
      <w:bookmarkStart w:id="192" w:name="_Toc59180880"/>
      <w:r>
        <w:rPr>
          <w:rFonts w:hint="eastAsia"/>
        </w:rPr>
        <w:t>（一）加强组织领导</w:t>
      </w:r>
      <w:bookmarkEnd w:id="185"/>
      <w:bookmarkEnd w:id="186"/>
      <w:bookmarkEnd w:id="187"/>
      <w:bookmarkEnd w:id="188"/>
      <w:bookmarkEnd w:id="189"/>
      <w:bookmarkEnd w:id="190"/>
      <w:bookmarkEnd w:id="191"/>
      <w:bookmarkEnd w:id="192"/>
    </w:p>
    <w:p>
      <w:pPr>
        <w:rPr>
          <w:szCs w:val="32"/>
        </w:rPr>
      </w:pPr>
      <w:r>
        <w:rPr>
          <w:szCs w:val="32"/>
        </w:rPr>
        <w:t>加强党对教育事业的全面领导，各级党委要把教育改革发展纳入议事日程，协调动员各方面力量共同推进</w:t>
      </w:r>
      <w:r>
        <w:rPr>
          <w:rFonts w:hint="eastAsia"/>
          <w:szCs w:val="32"/>
        </w:rPr>
        <w:t>新区</w:t>
      </w:r>
      <w:r>
        <w:rPr>
          <w:szCs w:val="32"/>
        </w:rPr>
        <w:t>教育现代化</w:t>
      </w:r>
      <w:r>
        <w:rPr>
          <w:rFonts w:hint="eastAsia"/>
          <w:szCs w:val="32"/>
        </w:rPr>
        <w:t>建设</w:t>
      </w:r>
      <w:r>
        <w:rPr>
          <w:szCs w:val="32"/>
        </w:rPr>
        <w:t>。建立健全</w:t>
      </w:r>
      <w:r>
        <w:rPr>
          <w:rFonts w:hint="eastAsia"/>
          <w:szCs w:val="32"/>
        </w:rPr>
        <w:t>党组织</w:t>
      </w:r>
      <w:r>
        <w:rPr>
          <w:szCs w:val="32"/>
        </w:rPr>
        <w:t>统一领导、党政齐抓共管、部门各负其责的教育领导体制。建设高素质专业化教育系统干部队伍。加强各级各类学校党的领导和党的建设工作。深入推进教育系统全面从严治党、党风廉政建设和反腐败斗争。</w:t>
      </w:r>
      <w:r>
        <w:rPr>
          <w:rFonts w:hint="eastAsia"/>
          <w:szCs w:val="32"/>
        </w:rPr>
        <w:t>健全领导体制和科学决策机制，按照本规划的事项安排，严格执行各项工作。对规划提出的目标、任务和措施进行分解，制定时间表、路线图，明确责任分工。加强与上级有关部门沟通，加强对重点项目和工程实施的指导。定期发布教育改革发展动态，及时总结在规划实施过程中的经验教训，积极推广先进经验和做法。建立科学发展观和综合考核评价体系，把推进教育事业发展作为相关部门绩效考核的重要内容。建立教育工作联席会议制度，协商解决教育改革和发展中的问题。</w:t>
      </w:r>
    </w:p>
    <w:p>
      <w:pPr>
        <w:pStyle w:val="4"/>
      </w:pPr>
      <w:bookmarkStart w:id="193" w:name="_Toc62810159"/>
      <w:bookmarkStart w:id="194" w:name="_Toc59547971"/>
      <w:bookmarkStart w:id="195" w:name="_Toc59547940"/>
      <w:bookmarkStart w:id="196" w:name="_Toc59180882"/>
      <w:bookmarkStart w:id="197" w:name="_Toc130476079"/>
      <w:bookmarkStart w:id="198" w:name="_Toc79397473"/>
      <w:bookmarkStart w:id="199" w:name="_Toc79393311"/>
      <w:bookmarkStart w:id="200" w:name="_Toc59180836"/>
      <w:r>
        <w:rPr>
          <w:rFonts w:hint="eastAsia"/>
        </w:rPr>
        <w:t>（二）保障财政投入</w:t>
      </w:r>
      <w:bookmarkEnd w:id="193"/>
      <w:bookmarkEnd w:id="194"/>
      <w:bookmarkEnd w:id="195"/>
      <w:bookmarkEnd w:id="196"/>
      <w:bookmarkEnd w:id="197"/>
      <w:bookmarkEnd w:id="198"/>
      <w:bookmarkEnd w:id="199"/>
      <w:bookmarkEnd w:id="200"/>
    </w:p>
    <w:p>
      <w:pPr>
        <w:spacing w:line="550" w:lineRule="exact"/>
        <w:rPr>
          <w:rFonts w:ascii="仿宋_GB2312"/>
          <w:szCs w:val="32"/>
        </w:rPr>
      </w:pPr>
      <w:r>
        <w:rPr>
          <w:rFonts w:hint="eastAsia"/>
          <w:szCs w:val="32"/>
        </w:rPr>
        <w:t>确保公办学校生均教育经费、奖补政策落实到位，依法落实新区教育经费支出责任，根据新区财政收入状况建立持续稳定增长机制。认真落实“两个只增不减”“三个增长”和教育经费优先保障要求，建立以零基预算为基础的经费保障制度。完善教育经费管理体制机制，优化使用结构，统筹新区教育均衡协调发展。在保障公办校（园）新建与基础设施条件改造升级建设资金的基础上，逐步加大对各类教育质量提升软件项目的投入力度，完善多渠道教育经费筹措体制，完善国家、社会和受教育者合理分担非义务教育培养成本的机制，支持和规范社会力量兴办教育。规范资金使用程序，建立健全公正、合理、高效的监督管理机制，强化公办学校教育经费审计，层层落实责任追究制度，提高资金使用效益。</w:t>
      </w:r>
    </w:p>
    <w:p>
      <w:pPr>
        <w:pStyle w:val="4"/>
        <w:spacing w:line="550" w:lineRule="exact"/>
      </w:pPr>
      <w:bookmarkStart w:id="201" w:name="_Toc59547973"/>
      <w:bookmarkStart w:id="202" w:name="_Toc59547942"/>
      <w:bookmarkStart w:id="203" w:name="_Toc130476080"/>
      <w:bookmarkStart w:id="204" w:name="_Toc59180838"/>
      <w:bookmarkStart w:id="205" w:name="_Toc79397474"/>
      <w:bookmarkStart w:id="206" w:name="_Toc79393312"/>
      <w:bookmarkStart w:id="207" w:name="_Toc62810161"/>
      <w:bookmarkStart w:id="208" w:name="_Toc59180884"/>
      <w:r>
        <w:rPr>
          <w:rFonts w:hint="eastAsia"/>
        </w:rPr>
        <w:t>（三）加强督导评估</w:t>
      </w:r>
      <w:bookmarkEnd w:id="201"/>
      <w:bookmarkEnd w:id="202"/>
      <w:bookmarkEnd w:id="203"/>
      <w:bookmarkEnd w:id="204"/>
      <w:bookmarkEnd w:id="205"/>
      <w:bookmarkEnd w:id="206"/>
      <w:bookmarkEnd w:id="207"/>
      <w:bookmarkEnd w:id="208"/>
    </w:p>
    <w:p>
      <w:pPr>
        <w:spacing w:line="550" w:lineRule="exact"/>
        <w:rPr>
          <w:szCs w:val="32"/>
        </w:rPr>
      </w:pPr>
      <w:r>
        <w:rPr>
          <w:szCs w:val="32"/>
        </w:rPr>
        <w:t>建立健全跨部门统筹协调机制，建立教育发展监测评价机制和督导问责机制</w:t>
      </w:r>
      <w:r>
        <w:rPr>
          <w:rFonts w:hint="eastAsia"/>
          <w:szCs w:val="32"/>
        </w:rPr>
        <w:t>。成立规划目标监测组与专家评估组，对规划实施情况跟踪监测与评估，及时发现问题，调整规划目标、任务与保障措施。将规划实施情况纳入到党工委管委会督导检查工作议程之中，加大督导检查与推进力度。各级教育行政部门要定期向社会公布教育规划实施进展状况，建立第三方社会力量参与的多元评估机制，主动接受家庭、学校、社会、媒体的监督，收集社会各方的反馈意见，为科学实施规划和决策参考提供重要依据。确保规划总体目标任务如期完成。</w:t>
      </w:r>
    </w:p>
    <w:p>
      <w:pPr>
        <w:pStyle w:val="4"/>
        <w:spacing w:line="550" w:lineRule="exact"/>
      </w:pPr>
      <w:bookmarkStart w:id="209" w:name="_Toc59180839"/>
      <w:bookmarkStart w:id="210" w:name="_Toc79393313"/>
      <w:bookmarkStart w:id="211" w:name="_Toc59180885"/>
      <w:bookmarkStart w:id="212" w:name="_Toc62810162"/>
      <w:bookmarkStart w:id="213" w:name="_Toc79397475"/>
      <w:bookmarkStart w:id="214" w:name="_Toc59547974"/>
      <w:bookmarkStart w:id="215" w:name="_Toc59547943"/>
      <w:bookmarkStart w:id="216" w:name="_Toc130476081"/>
      <w:r>
        <w:rPr>
          <w:rFonts w:hint="eastAsia"/>
        </w:rPr>
        <w:t>（四）营造良好氛围</w:t>
      </w:r>
      <w:bookmarkEnd w:id="209"/>
      <w:bookmarkEnd w:id="210"/>
      <w:bookmarkEnd w:id="211"/>
      <w:bookmarkEnd w:id="212"/>
      <w:bookmarkEnd w:id="213"/>
      <w:bookmarkEnd w:id="214"/>
      <w:bookmarkEnd w:id="215"/>
      <w:bookmarkEnd w:id="216"/>
    </w:p>
    <w:p>
      <w:pPr>
        <w:spacing w:line="550" w:lineRule="exact"/>
        <w:rPr>
          <w:szCs w:val="32"/>
        </w:rPr>
      </w:pPr>
      <w:r>
        <w:rPr>
          <w:szCs w:val="32"/>
        </w:rPr>
        <w:t>推动教育宣传多元化，统筹运用传统媒体和新媒体，不断扩大教育影响力。广泛宣传新区教育发展改革相关政策</w:t>
      </w:r>
      <w:r>
        <w:rPr>
          <w:rFonts w:hint="eastAsia"/>
          <w:szCs w:val="32"/>
        </w:rPr>
        <w:t>、</w:t>
      </w:r>
      <w:r>
        <w:rPr>
          <w:rFonts w:ascii="Arial" w:hAnsi="Arial" w:cs="Arial"/>
          <w:szCs w:val="32"/>
          <w:shd w:val="clear" w:color="auto" w:fill="FFFFFF"/>
        </w:rPr>
        <w:t>典型案例、</w:t>
      </w:r>
      <w:r>
        <w:rPr>
          <w:rFonts w:hint="eastAsia" w:ascii="Arial" w:hAnsi="Arial" w:cs="Arial"/>
          <w:szCs w:val="32"/>
          <w:shd w:val="clear" w:color="auto" w:fill="FFFFFF"/>
        </w:rPr>
        <w:t>成功经验</w:t>
      </w:r>
      <w:r>
        <w:rPr>
          <w:rFonts w:ascii="Arial" w:hAnsi="Arial" w:cs="Arial"/>
          <w:szCs w:val="32"/>
          <w:shd w:val="clear" w:color="auto" w:fill="FFFFFF"/>
        </w:rPr>
        <w:t>，</w:t>
      </w:r>
      <w:r>
        <w:rPr>
          <w:szCs w:val="32"/>
        </w:rPr>
        <w:t>引导</w:t>
      </w:r>
      <w:r>
        <w:rPr>
          <w:rFonts w:ascii="Arial" w:hAnsi="Arial" w:cs="Arial"/>
          <w:szCs w:val="32"/>
          <w:shd w:val="clear" w:color="auto" w:fill="FFFFFF"/>
        </w:rPr>
        <w:t>全社会关心、支持和参与教育</w:t>
      </w:r>
      <w:r>
        <w:rPr>
          <w:rFonts w:hint="eastAsia" w:ascii="Arial" w:hAnsi="Arial" w:cs="Arial"/>
          <w:szCs w:val="32"/>
          <w:shd w:val="clear" w:color="auto" w:fill="FFFFFF"/>
        </w:rPr>
        <w:t>发展工作</w:t>
      </w:r>
      <w:r>
        <w:rPr>
          <w:rFonts w:ascii="Arial" w:hAnsi="Arial" w:cs="Arial"/>
          <w:szCs w:val="32"/>
          <w:shd w:val="clear" w:color="auto" w:fill="FFFFFF"/>
        </w:rPr>
        <w:t>。</w:t>
      </w:r>
      <w:r>
        <w:rPr>
          <w:szCs w:val="32"/>
        </w:rPr>
        <w:t>加强教育智库建设，通过购买社会服务，用好政府类综合性研究机构、大学科研机构、民间企业型三级三类教育智库，形成</w:t>
      </w:r>
      <w:r>
        <w:rPr>
          <w:rFonts w:hint="eastAsia"/>
          <w:szCs w:val="32"/>
        </w:rPr>
        <w:t>“</w:t>
      </w:r>
      <w:r>
        <w:rPr>
          <w:szCs w:val="32"/>
        </w:rPr>
        <w:t>政府</w:t>
      </w:r>
      <w:r>
        <w:rPr>
          <w:rFonts w:hint="eastAsia"/>
          <w:szCs w:val="32"/>
        </w:rPr>
        <w:t>—</w:t>
      </w:r>
      <w:r>
        <w:rPr>
          <w:szCs w:val="32"/>
        </w:rPr>
        <w:t>学校</w:t>
      </w:r>
      <w:r>
        <w:rPr>
          <w:rFonts w:hint="eastAsia"/>
          <w:szCs w:val="32"/>
        </w:rPr>
        <w:t>—</w:t>
      </w:r>
      <w:r>
        <w:rPr>
          <w:szCs w:val="32"/>
        </w:rPr>
        <w:t>智库</w:t>
      </w:r>
      <w:r>
        <w:rPr>
          <w:rFonts w:hint="eastAsia"/>
          <w:szCs w:val="32"/>
        </w:rPr>
        <w:t>”</w:t>
      </w:r>
      <w:r>
        <w:rPr>
          <w:szCs w:val="32"/>
        </w:rPr>
        <w:t>联动机制。打造教育创新和决策研究专项任务平台，建立教育现代化科学决策支持系统，提升</w:t>
      </w:r>
      <w:r>
        <w:rPr>
          <w:rFonts w:hint="eastAsia"/>
          <w:szCs w:val="32"/>
        </w:rPr>
        <w:t>新区</w:t>
      </w:r>
      <w:r>
        <w:rPr>
          <w:szCs w:val="32"/>
        </w:rPr>
        <w:t>教育改革发展的理论品质和领导力。</w:t>
      </w:r>
      <w:r>
        <w:rPr>
          <w:rFonts w:ascii="Arial" w:hAnsi="Arial" w:cs="Arial"/>
          <w:szCs w:val="32"/>
          <w:shd w:val="clear" w:color="auto" w:fill="FFFFFF"/>
        </w:rPr>
        <w:t>充分调动</w:t>
      </w:r>
      <w:r>
        <w:rPr>
          <w:rFonts w:hint="eastAsia" w:ascii="Arial" w:hAnsi="Arial" w:cs="Arial"/>
          <w:szCs w:val="32"/>
          <w:shd w:val="clear" w:color="auto" w:fill="FFFFFF"/>
        </w:rPr>
        <w:t>全社会</w:t>
      </w:r>
      <w:r>
        <w:rPr>
          <w:rFonts w:ascii="Arial" w:hAnsi="Arial" w:cs="Arial"/>
          <w:szCs w:val="32"/>
          <w:shd w:val="clear" w:color="auto" w:fill="FFFFFF"/>
        </w:rPr>
        <w:t>参与学习的积极性和主动性，积极</w:t>
      </w:r>
      <w:r>
        <w:rPr>
          <w:rFonts w:hint="eastAsia" w:ascii="Arial" w:hAnsi="Arial" w:cs="Arial"/>
          <w:szCs w:val="32"/>
          <w:shd w:val="clear" w:color="auto" w:fill="FFFFFF"/>
        </w:rPr>
        <w:t>建设</w:t>
      </w:r>
      <w:r>
        <w:rPr>
          <w:rFonts w:ascii="Arial" w:hAnsi="Arial" w:cs="Arial"/>
          <w:szCs w:val="32"/>
          <w:shd w:val="clear" w:color="auto" w:fill="FFFFFF"/>
        </w:rPr>
        <w:t>学习型社会，使教育融入人们日常生活，使教育成为增进</w:t>
      </w:r>
      <w:r>
        <w:rPr>
          <w:rFonts w:hint="eastAsia" w:ascii="Arial" w:hAnsi="Arial" w:cs="Arial"/>
          <w:szCs w:val="32"/>
          <w:shd w:val="clear" w:color="auto" w:fill="FFFFFF"/>
        </w:rPr>
        <w:t>新区</w:t>
      </w:r>
      <w:r>
        <w:rPr>
          <w:rFonts w:ascii="Arial" w:hAnsi="Arial" w:cs="Arial"/>
          <w:szCs w:val="32"/>
          <w:shd w:val="clear" w:color="auto" w:fill="FFFFFF"/>
        </w:rPr>
        <w:t>居民福祉的重要内容。</w:t>
      </w:r>
      <w:bookmarkEnd w:id="0"/>
    </w:p>
    <w:bookmarkEnd w:id="217"/>
    <w:sectPr>
      <w:footerReference r:id="rId21" w:type="first"/>
      <w:headerReference r:id="rId17" w:type="default"/>
      <w:footerReference r:id="rId19" w:type="default"/>
      <w:headerReference r:id="rId18" w:type="even"/>
      <w:footerReference r:id="rId20" w:type="even"/>
      <w:pgSz w:w="11906" w:h="16838"/>
      <w:pgMar w:top="2098" w:right="1474" w:bottom="1985" w:left="1588" w:header="1417" w:footer="992" w:gutter="0"/>
      <w:pgNumType w:start="1" w:chapStyle="1"/>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Times New Roman Regular">
    <w:altName w:val="Times New Roman"/>
    <w:panose1 w:val="00000000000000000000"/>
    <w:charset w:val="00"/>
    <w:family w:val="auto"/>
    <w:pitch w:val="default"/>
    <w:sig w:usb0="00000000" w:usb1="00000000" w:usb2="00000009" w:usb3="00000000" w:csb0="400001FF" w:csb1="FFFF0000"/>
  </w:font>
  <w:font w:name="文泉驿正黑">
    <w:panose1 w:val="02000603000000000000"/>
    <w:charset w:val="86"/>
    <w:family w:val="auto"/>
    <w:pitch w:val="default"/>
    <w:sig w:usb0="900002BF" w:usb1="2BDF7DFB" w:usb2="00000036" w:usb3="00000000" w:csb0="603E000D" w:csb1="D2D7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280" w:firstLineChars="100"/>
      <w:rPr>
        <w:rFonts w:ascii="宋体" w:eastAsia="宋体"/>
        <w:sz w:val="28"/>
      </w:rPr>
    </w:pPr>
    <w:r>
      <w:rPr>
        <w:rFonts w:hint="eastAsia" w:ascii="宋体" w:eastAsia="宋体"/>
        <w:sz w:val="28"/>
      </w:rPr>
      <w:t>—</w:t>
    </w:r>
    <w:r>
      <w:rPr>
        <w:rFonts w:ascii="宋体" w:eastAsia="宋体"/>
        <w:sz w:val="28"/>
      </w:rPr>
      <w:t xml:space="preserve"> </w:t>
    </w:r>
    <w:r>
      <w:rPr>
        <w:rFonts w:ascii="宋体" w:eastAsia="宋体"/>
        <w:sz w:val="28"/>
      </w:rPr>
      <w:fldChar w:fldCharType="begin"/>
    </w:r>
    <w:r>
      <w:rPr>
        <w:rFonts w:ascii="宋体" w:eastAsia="宋体"/>
        <w:sz w:val="28"/>
      </w:rPr>
      <w:instrText xml:space="preserve"> PAGE \* Arabic \* MERGEFORMAT </w:instrText>
    </w:r>
    <w:r>
      <w:rPr>
        <w:rFonts w:ascii="宋体" w:eastAsia="宋体"/>
        <w:sz w:val="28"/>
      </w:rPr>
      <w:fldChar w:fldCharType="separate"/>
    </w:r>
    <w:r>
      <w:rPr>
        <w:rFonts w:ascii="宋体" w:eastAsia="宋体"/>
        <w:sz w:val="28"/>
      </w:rPr>
      <w:t>2</w:t>
    </w:r>
    <w:r>
      <w:rPr>
        <w:rFonts w:ascii="宋体" w:eastAsia="宋体"/>
        <w:sz w:val="28"/>
      </w:rPr>
      <w:fldChar w:fldCharType="end"/>
    </w:r>
    <w:r>
      <w:rPr>
        <w:rFonts w:asci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20" w:rightChars="100"/>
      <w:jc w:val="right"/>
      <w:rPr>
        <w:rFonts w:ascii="宋体" w:eastAsia="宋体"/>
        <w:sz w:val="28"/>
      </w:rPr>
    </w:pPr>
    <w:r>
      <w:rPr>
        <w:rFonts w:hint="eastAsia" w:ascii="宋体" w:eastAsia="宋体"/>
        <w:sz w:val="28"/>
      </w:rPr>
      <w:t>—</w:t>
    </w:r>
    <w:r>
      <w:rPr>
        <w:rFonts w:ascii="宋体" w:eastAsia="宋体"/>
        <w:sz w:val="28"/>
      </w:rPr>
      <w:t xml:space="preserve"> </w:t>
    </w:r>
    <w:r>
      <w:rPr>
        <w:rFonts w:ascii="宋体" w:eastAsia="宋体"/>
        <w:sz w:val="28"/>
      </w:rPr>
      <w:fldChar w:fldCharType="begin"/>
    </w:r>
    <w:r>
      <w:rPr>
        <w:rFonts w:ascii="宋体" w:eastAsia="宋体"/>
        <w:sz w:val="28"/>
      </w:rPr>
      <w:instrText xml:space="preserve"> PAGE \* Arabic \* MERGEFORMAT </w:instrText>
    </w:r>
    <w:r>
      <w:rPr>
        <w:rFonts w:ascii="宋体" w:eastAsia="宋体"/>
        <w:sz w:val="28"/>
      </w:rPr>
      <w:fldChar w:fldCharType="separate"/>
    </w:r>
    <w:r>
      <w:rPr>
        <w:rFonts w:ascii="宋体" w:eastAsia="宋体"/>
        <w:sz w:val="28"/>
      </w:rPr>
      <w:t>2</w:t>
    </w:r>
    <w:r>
      <w:rPr>
        <w:rFonts w:ascii="宋体" w:eastAsia="宋体"/>
        <w:sz w:val="28"/>
      </w:rPr>
      <w:fldChar w:fldCharType="end"/>
    </w:r>
    <w:r>
      <w:rPr>
        <w:rFonts w:ascii="宋体" w:eastAsia="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20" w:rightChars="100"/>
      <w:jc w:val="right"/>
      <w:rPr>
        <w:rFonts w:ascii="宋体" w:eastAsia="宋体"/>
        <w:sz w:val="28"/>
      </w:rPr>
    </w:pPr>
    <w:r>
      <w:rPr>
        <w:rFonts w:hint="eastAsia" w:ascii="仿宋_GB2312"/>
        <w:sz w:val="28"/>
      </w:rPr>
      <w:t>—</w:t>
    </w:r>
    <w:r>
      <w:rPr>
        <w:rFonts w:ascii="宋体" w:eastAsia="宋体"/>
        <w:sz w:val="28"/>
      </w:rPr>
      <w:t xml:space="preserve"> </w:t>
    </w:r>
    <w:r>
      <w:rPr>
        <w:rFonts w:ascii="宋体" w:eastAsia="宋体"/>
        <w:sz w:val="28"/>
      </w:rPr>
      <w:fldChar w:fldCharType="begin"/>
    </w:r>
    <w:r>
      <w:rPr>
        <w:rFonts w:ascii="宋体" w:eastAsia="宋体"/>
        <w:sz w:val="28"/>
      </w:rPr>
      <w:instrText xml:space="preserve"> PAGE \* Arabic \* MERGEFORMAT </w:instrText>
    </w:r>
    <w:r>
      <w:rPr>
        <w:rFonts w:ascii="宋体" w:eastAsia="宋体"/>
        <w:sz w:val="28"/>
      </w:rPr>
      <w:fldChar w:fldCharType="separate"/>
    </w:r>
    <w:r>
      <w:rPr>
        <w:rFonts w:ascii="宋体" w:eastAsia="宋体"/>
        <w:sz w:val="28"/>
      </w:rPr>
      <w:t>1</w:t>
    </w:r>
    <w:r>
      <w:rPr>
        <w:rFonts w:ascii="宋体" w:eastAsia="宋体"/>
        <w:sz w:val="28"/>
      </w:rPr>
      <w:fldChar w:fldCharType="end"/>
    </w:r>
    <w:r>
      <w:rPr>
        <w:rFonts w:ascii="宋体" w:eastAsia="宋体"/>
        <w:sz w:val="28"/>
      </w:rPr>
      <w:t xml:space="preserve"> </w:t>
    </w:r>
    <w:r>
      <w:rPr>
        <w:rFonts w:hint="eastAsia" w:ascii="仿宋_GB2312"/>
        <w:sz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280" w:firstLineChars="100"/>
      <w:rPr>
        <w:rFonts w:ascii="宋体" w:eastAsia="宋体"/>
        <w:sz w:val="28"/>
      </w:rPr>
    </w:pPr>
    <w:r>
      <w:rPr>
        <w:rFonts w:hint="eastAsia" w:ascii="仿宋_GB2312"/>
        <w:sz w:val="28"/>
      </w:rPr>
      <w:t>—</w:t>
    </w:r>
    <w:r>
      <w:rPr>
        <w:rFonts w:ascii="宋体" w:eastAsia="宋体"/>
        <w:sz w:val="28"/>
      </w:rPr>
      <w:t xml:space="preserve"> </w:t>
    </w:r>
    <w:r>
      <w:rPr>
        <w:rFonts w:ascii="宋体" w:eastAsia="宋体"/>
        <w:sz w:val="28"/>
      </w:rPr>
      <w:fldChar w:fldCharType="begin"/>
    </w:r>
    <w:r>
      <w:rPr>
        <w:rFonts w:ascii="宋体" w:eastAsia="宋体"/>
        <w:sz w:val="28"/>
      </w:rPr>
      <w:instrText xml:space="preserve"> PAGE \* Arabic \* MERGEFORMAT </w:instrText>
    </w:r>
    <w:r>
      <w:rPr>
        <w:rFonts w:ascii="宋体" w:eastAsia="宋体"/>
        <w:sz w:val="28"/>
      </w:rPr>
      <w:fldChar w:fldCharType="separate"/>
    </w:r>
    <w:r>
      <w:rPr>
        <w:rFonts w:ascii="宋体" w:eastAsia="宋体"/>
        <w:sz w:val="28"/>
      </w:rPr>
      <w:t>2</w:t>
    </w:r>
    <w:r>
      <w:rPr>
        <w:rFonts w:ascii="宋体" w:eastAsia="宋体"/>
        <w:sz w:val="28"/>
      </w:rPr>
      <w:fldChar w:fldCharType="end"/>
    </w:r>
    <w:r>
      <w:rPr>
        <w:rFonts w:ascii="宋体" w:eastAsia="宋体"/>
        <w:sz w:val="28"/>
      </w:rPr>
      <w:t xml:space="preserve"> </w:t>
    </w:r>
    <w:r>
      <w:rPr>
        <w:rFonts w:hint="eastAsia" w:ascii="仿宋_GB2312"/>
        <w:sz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rPr>
      <w:t>西咸新区“十四五”教育事业发展规划</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rPr>
      <w:t>西咸新区“十四五”教育事业发展规划</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rPr>
      <w:t>西咸新区“十四五”教育事业发展规划</w:t>
    </w:r>
  </w:p>
  <w:p>
    <w:pPr>
      <w:pStyle w:val="15"/>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rPr>
      <w:t>西咸新区“十四五”教育事业发展规划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dit="readOnly" w:enforcement="0"/>
  <w:defaultTabStop w:val="420"/>
  <w:evenAndOddHeaders w:val="true"/>
  <w:drawingGridHorizontalSpacing w:val="160"/>
  <w:drawingGridVerticalSpacing w:val="435"/>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ExpandShiftReturn/>
    <w:adjustLineHeightInTable/>
    <w:useFELayout/>
    <w:compatSetting w:name="compatibilityMode" w:uri="http://schemas.microsoft.com/office/word" w:val="15"/>
  </w:compat>
  <w:docVars>
    <w:docVar w:name="commondata" w:val="eyJoZGlkIjoiOTNjMGI4YTY5YTkxZjVjNTI2NDYyMTJkMjFjYzkxMGEifQ=="/>
  </w:docVars>
  <w:rsids>
    <w:rsidRoot w:val="00000000"/>
    <w:rsid w:val="3711BC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autoSpaceDE w:val="0"/>
      <w:autoSpaceDN w:val="0"/>
      <w:spacing w:line="56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styleId="3">
    <w:name w:val="heading 1"/>
    <w:basedOn w:val="1"/>
    <w:next w:val="1"/>
    <w:qFormat/>
    <w:uiPriority w:val="0"/>
    <w:pPr>
      <w:outlineLvl w:val="0"/>
    </w:pPr>
    <w:rPr>
      <w:rFonts w:eastAsia="黑体"/>
      <w:bCs/>
      <w:kern w:val="44"/>
      <w:szCs w:val="44"/>
    </w:rPr>
  </w:style>
  <w:style w:type="paragraph" w:styleId="4">
    <w:name w:val="heading 2"/>
    <w:basedOn w:val="1"/>
    <w:next w:val="1"/>
    <w:qFormat/>
    <w:uiPriority w:val="0"/>
    <w:pPr>
      <w:outlineLvl w:val="1"/>
    </w:pPr>
    <w:rPr>
      <w:rFonts w:eastAsia="楷体_GB2312"/>
      <w:bCs/>
      <w:szCs w:val="32"/>
    </w:rPr>
  </w:style>
  <w:style w:type="paragraph" w:styleId="5">
    <w:name w:val="heading 3"/>
    <w:basedOn w:val="1"/>
    <w:next w:val="1"/>
    <w:qFormat/>
    <w:uiPriority w:val="0"/>
    <w:pPr>
      <w:snapToGrid w:val="0"/>
      <w:outlineLvl w:val="2"/>
    </w:pPr>
    <w:rPr>
      <w:rFonts w:ascii="仿宋_GB2312"/>
      <w:b/>
      <w:bCs/>
      <w:szCs w:val="32"/>
    </w:rPr>
  </w:style>
  <w:style w:type="paragraph" w:styleId="6">
    <w:name w:val="heading 4"/>
    <w:basedOn w:val="1"/>
    <w:next w:val="1"/>
    <w:qFormat/>
    <w:uiPriority w:val="0"/>
    <w:pPr>
      <w:keepNext/>
      <w:keepLines/>
      <w:widowControl w:val="0"/>
      <w:outlineLvl w:val="3"/>
    </w:pPr>
    <w:rPr>
      <w:rFonts w:ascii="Cambria" w:hAnsi="Cambria" w:eastAsia="宋体" w:cs="Cambria"/>
      <w:b/>
      <w:bCs/>
      <w:sz w:val="30"/>
      <w:szCs w:val="30"/>
    </w:rPr>
  </w:style>
  <w:style w:type="character" w:default="1" w:styleId="28">
    <w:name w:val="Default Paragraph Font"/>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rPr>
      <w:rFonts w:eastAsia="楷体_GB2312"/>
    </w:rPr>
  </w:style>
  <w:style w:type="paragraph" w:styleId="7">
    <w:name w:val="toc 7"/>
    <w:basedOn w:val="1"/>
    <w:next w:val="1"/>
    <w:qFormat/>
    <w:uiPriority w:val="0"/>
    <w:pPr>
      <w:ind w:left="1920"/>
      <w:jc w:val="left"/>
    </w:pPr>
    <w:rPr>
      <w:rFonts w:eastAsia="等线"/>
      <w:sz w:val="18"/>
      <w:szCs w:val="18"/>
    </w:rPr>
  </w:style>
  <w:style w:type="paragraph" w:styleId="8">
    <w:name w:val="Normal Indent"/>
    <w:basedOn w:val="1"/>
    <w:qFormat/>
    <w:uiPriority w:val="0"/>
  </w:style>
  <w:style w:type="paragraph" w:styleId="9">
    <w:name w:val="annotation text"/>
    <w:basedOn w:val="1"/>
    <w:qFormat/>
    <w:uiPriority w:val="0"/>
    <w:pPr>
      <w:jc w:val="left"/>
    </w:pPr>
  </w:style>
  <w:style w:type="paragraph" w:styleId="10">
    <w:name w:val="Body Text"/>
    <w:basedOn w:val="1"/>
    <w:qFormat/>
    <w:uiPriority w:val="0"/>
    <w:rPr>
      <w:rFonts w:ascii="仿宋_GB2312" w:cs="仿宋_GB2312"/>
      <w:sz w:val="31"/>
      <w:szCs w:val="31"/>
      <w:lang w:val="zh-CN" w:bidi="zh-CN"/>
    </w:rPr>
  </w:style>
  <w:style w:type="paragraph" w:styleId="11">
    <w:name w:val="toc 5"/>
    <w:basedOn w:val="1"/>
    <w:next w:val="1"/>
    <w:qFormat/>
    <w:uiPriority w:val="0"/>
    <w:pPr>
      <w:ind w:left="1280"/>
      <w:jc w:val="left"/>
    </w:pPr>
    <w:rPr>
      <w:rFonts w:eastAsia="等线"/>
      <w:sz w:val="18"/>
      <w:szCs w:val="18"/>
    </w:rPr>
  </w:style>
  <w:style w:type="paragraph" w:styleId="12">
    <w:name w:val="toc 3"/>
    <w:basedOn w:val="1"/>
    <w:next w:val="1"/>
    <w:qFormat/>
    <w:uiPriority w:val="0"/>
    <w:pPr>
      <w:tabs>
        <w:tab w:val="right" w:leader="dot" w:pos="8296"/>
      </w:tabs>
      <w:spacing w:line="620" w:lineRule="exact"/>
      <w:ind w:firstLine="400" w:firstLineChars="400"/>
      <w:jc w:val="left"/>
    </w:pPr>
    <w:rPr>
      <w:iCs/>
      <w:szCs w:val="20"/>
    </w:rPr>
  </w:style>
  <w:style w:type="paragraph" w:styleId="13">
    <w:name w:val="toc 8"/>
    <w:basedOn w:val="1"/>
    <w:next w:val="1"/>
    <w:qFormat/>
    <w:uiPriority w:val="0"/>
    <w:pPr>
      <w:ind w:left="2240"/>
      <w:jc w:val="left"/>
    </w:pPr>
    <w:rPr>
      <w:rFonts w:eastAsia="等线"/>
      <w:sz w:val="18"/>
      <w:szCs w:val="18"/>
    </w:rPr>
  </w:style>
  <w:style w:type="paragraph" w:styleId="14">
    <w:name w:val="footer"/>
    <w:basedOn w:val="1"/>
    <w:qFormat/>
    <w:uiPriority w:val="0"/>
    <w:pPr>
      <w:tabs>
        <w:tab w:val="center" w:pos="4153"/>
        <w:tab w:val="right" w:pos="8306"/>
      </w:tabs>
      <w:snapToGrid w:val="0"/>
      <w:spacing w:line="240" w:lineRule="atLeast"/>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6">
    <w:name w:val="toc 1"/>
    <w:basedOn w:val="1"/>
    <w:next w:val="1"/>
    <w:qFormat/>
    <w:uiPriority w:val="0"/>
    <w:pPr>
      <w:tabs>
        <w:tab w:val="right" w:leader="dot" w:pos="8296"/>
      </w:tabs>
      <w:adjustRightInd w:val="0"/>
      <w:snapToGrid w:val="0"/>
      <w:ind w:firstLine="0" w:firstLineChars="0"/>
      <w:jc w:val="center"/>
    </w:pPr>
    <w:rPr>
      <w:rFonts w:eastAsia="黑体"/>
      <w:bCs/>
      <w:caps/>
      <w:szCs w:val="32"/>
    </w:rPr>
  </w:style>
  <w:style w:type="paragraph" w:styleId="17">
    <w:name w:val="toc 4"/>
    <w:basedOn w:val="1"/>
    <w:next w:val="1"/>
    <w:qFormat/>
    <w:uiPriority w:val="0"/>
    <w:pPr>
      <w:spacing w:line="400" w:lineRule="exact"/>
      <w:jc w:val="left"/>
    </w:pPr>
    <w:rPr>
      <w:sz w:val="28"/>
      <w:szCs w:val="18"/>
    </w:rPr>
  </w:style>
  <w:style w:type="paragraph" w:styleId="18">
    <w:name w:val="footnote text"/>
    <w:basedOn w:val="1"/>
    <w:qFormat/>
    <w:uiPriority w:val="0"/>
    <w:pPr>
      <w:snapToGrid w:val="0"/>
      <w:jc w:val="left"/>
    </w:pPr>
    <w:rPr>
      <w:sz w:val="18"/>
      <w:szCs w:val="18"/>
    </w:rPr>
  </w:style>
  <w:style w:type="paragraph" w:styleId="19">
    <w:name w:val="toc 6"/>
    <w:basedOn w:val="1"/>
    <w:next w:val="1"/>
    <w:qFormat/>
    <w:uiPriority w:val="0"/>
    <w:pPr>
      <w:ind w:left="1600"/>
      <w:jc w:val="left"/>
    </w:pPr>
    <w:rPr>
      <w:rFonts w:eastAsia="等线"/>
      <w:sz w:val="18"/>
      <w:szCs w:val="18"/>
    </w:rPr>
  </w:style>
  <w:style w:type="paragraph" w:styleId="20">
    <w:name w:val="toc 2"/>
    <w:basedOn w:val="1"/>
    <w:next w:val="1"/>
    <w:qFormat/>
    <w:uiPriority w:val="0"/>
    <w:pPr>
      <w:tabs>
        <w:tab w:val="right" w:leader="dot" w:pos="8296"/>
      </w:tabs>
      <w:adjustRightInd w:val="0"/>
      <w:snapToGrid w:val="0"/>
      <w:ind w:left="200" w:leftChars="200" w:firstLine="0" w:firstLineChars="0"/>
      <w:jc w:val="left"/>
    </w:pPr>
    <w:rPr>
      <w:rFonts w:eastAsia="楷体_GB2312"/>
      <w:smallCaps/>
      <w:szCs w:val="20"/>
    </w:rPr>
  </w:style>
  <w:style w:type="paragraph" w:styleId="21">
    <w:name w:val="toc 9"/>
    <w:basedOn w:val="1"/>
    <w:next w:val="1"/>
    <w:qFormat/>
    <w:uiPriority w:val="0"/>
    <w:pPr>
      <w:ind w:left="2560"/>
      <w:jc w:val="left"/>
    </w:pPr>
    <w:rPr>
      <w:rFonts w:eastAsia="等线"/>
      <w:sz w:val="18"/>
      <w:szCs w:val="18"/>
    </w:r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kern w:val="0"/>
      <w:sz w:val="24"/>
      <w:szCs w:val="24"/>
    </w:rPr>
  </w:style>
  <w:style w:type="paragraph" w:styleId="23">
    <w:name w:val="Normal (Web)"/>
    <w:basedOn w:val="1"/>
    <w:qFormat/>
    <w:uiPriority w:val="0"/>
    <w:pPr>
      <w:spacing w:before="100" w:beforeAutospacing="1" w:after="100" w:afterAutospacing="1"/>
      <w:jc w:val="left"/>
    </w:pPr>
    <w:rPr>
      <w:kern w:val="0"/>
      <w:sz w:val="24"/>
    </w:rPr>
  </w:style>
  <w:style w:type="paragraph" w:styleId="24">
    <w:name w:val="Title"/>
    <w:basedOn w:val="1"/>
    <w:next w:val="1"/>
    <w:qFormat/>
    <w:uiPriority w:val="0"/>
    <w:pPr>
      <w:ind w:firstLine="0" w:firstLineChars="0"/>
      <w:jc w:val="center"/>
      <w:outlineLvl w:val="0"/>
    </w:pPr>
    <w:rPr>
      <w:rFonts w:ascii="等线 Light" w:hAnsi="等线 Light" w:eastAsia="方正小标宋简体"/>
      <w:bCs/>
      <w:sz w:val="36"/>
      <w:szCs w:val="32"/>
    </w:rPr>
  </w:style>
  <w:style w:type="paragraph" w:styleId="25">
    <w:name w:val="annotation subject"/>
    <w:basedOn w:val="9"/>
    <w:next w:val="9"/>
    <w:qFormat/>
    <w:uiPriority w:val="0"/>
    <w:rPr>
      <w:b/>
      <w:bCs/>
    </w:rPr>
  </w:style>
  <w:style w:type="paragraph" w:styleId="26">
    <w:name w:val="Body Text First Indent"/>
    <w:basedOn w:val="10"/>
    <w:qFormat/>
    <w:uiPriority w:val="0"/>
    <w:pPr>
      <w:ind w:firstLine="100" w:firstLineChars="100"/>
    </w:pPr>
  </w:style>
  <w:style w:type="character" w:styleId="29">
    <w:name w:val="Strong"/>
    <w:qFormat/>
    <w:uiPriority w:val="0"/>
    <w:rPr>
      <w:b/>
    </w:rPr>
  </w:style>
  <w:style w:type="character" w:styleId="30">
    <w:name w:val="Emphasis"/>
    <w:qFormat/>
    <w:uiPriority w:val="0"/>
    <w:rPr>
      <w:i/>
    </w:rPr>
  </w:style>
  <w:style w:type="character" w:styleId="31">
    <w:name w:val="Hyperlink"/>
    <w:qFormat/>
    <w:uiPriority w:val="0"/>
    <w:rPr>
      <w:color w:val="0563C1"/>
      <w:u w:val="single"/>
    </w:rPr>
  </w:style>
  <w:style w:type="character" w:styleId="32">
    <w:name w:val="annotation reference"/>
    <w:basedOn w:val="28"/>
    <w:qFormat/>
    <w:uiPriority w:val="0"/>
    <w:rPr>
      <w:sz w:val="21"/>
      <w:szCs w:val="21"/>
    </w:rPr>
  </w:style>
  <w:style w:type="character" w:styleId="33">
    <w:name w:val="footnote reference"/>
    <w:basedOn w:val="28"/>
    <w:qFormat/>
    <w:uiPriority w:val="0"/>
    <w:rPr>
      <w:vertAlign w:val="superscript"/>
    </w:rPr>
  </w:style>
  <w:style w:type="paragraph" w:customStyle="1" w:styleId="34">
    <w:name w:val="TOC 标题1"/>
    <w:basedOn w:val="3"/>
    <w:next w:val="1"/>
    <w:qFormat/>
    <w:uiPriority w:val="0"/>
    <w:pPr>
      <w:keepNext/>
      <w:keepLines/>
      <w:widowControl/>
      <w:overflowPunct/>
      <w:topLinePunct/>
      <w:autoSpaceDE/>
      <w:autoSpaceDN/>
      <w:spacing w:before="240" w:line="259" w:lineRule="auto"/>
      <w:jc w:val="left"/>
      <w:outlineLvl w:val="9"/>
    </w:pPr>
    <w:rPr>
      <w:rFonts w:ascii="等线 Light" w:eastAsia="等线 Light"/>
      <w:bCs w:val="0"/>
      <w:color w:val="2F5496"/>
      <w:kern w:val="0"/>
      <w:szCs w:val="32"/>
    </w:rPr>
  </w:style>
  <w:style w:type="paragraph" w:customStyle="1" w:styleId="35">
    <w:name w:val="无间隔1"/>
    <w:qFormat/>
    <w:uiPriority w:val="0"/>
    <w:pPr>
      <w:widowControl w:val="0"/>
      <w:kinsoku w:val="0"/>
      <w:overflowPunct w:val="0"/>
      <w:autoSpaceDE w:val="0"/>
      <w:autoSpaceDN w:val="0"/>
      <w:ind w:firstLine="200" w:firstLineChars="200"/>
      <w:jc w:val="both"/>
    </w:pPr>
    <w:rPr>
      <w:rFonts w:ascii="等线" w:hAnsi="等线" w:eastAsia="仿宋_GB2312" w:cs="Times New Roman"/>
      <w:kern w:val="2"/>
      <w:sz w:val="32"/>
      <w:szCs w:val="22"/>
      <w:lang w:val="en-US" w:eastAsia="zh-CN" w:bidi="ar-SA"/>
    </w:rPr>
  </w:style>
  <w:style w:type="paragraph" w:customStyle="1" w:styleId="36">
    <w:name w:val="列表段落1"/>
    <w:basedOn w:val="1"/>
    <w:qFormat/>
    <w:uiPriority w:val="0"/>
  </w:style>
  <w:style w:type="character" w:customStyle="1" w:styleId="37">
    <w:name w:val="font01"/>
    <w:qFormat/>
    <w:uiPriority w:val="0"/>
    <w:rPr>
      <w:rFonts w:ascii="宋体" w:eastAsia="宋体" w:cs="宋体"/>
      <w:color w:val="000000"/>
      <w:sz w:val="22"/>
      <w:szCs w:val="22"/>
      <w:u w:val="none"/>
    </w:rPr>
  </w:style>
  <w:style w:type="character" w:customStyle="1" w:styleId="38">
    <w:name w:val="font31"/>
    <w:qFormat/>
    <w:uiPriority w:val="0"/>
    <w:rPr>
      <w:rFonts w:ascii="Times New Roman" w:hAnsi="Times New Roman" w:cs="Times New Roman"/>
      <w:color w:val="000000"/>
      <w:sz w:val="22"/>
      <w:szCs w:val="22"/>
      <w:u w:val="none"/>
    </w:rPr>
  </w:style>
  <w:style w:type="paragraph" w:customStyle="1" w:styleId="39">
    <w:name w:val="TOC 标题11"/>
    <w:basedOn w:val="3"/>
    <w:next w:val="1"/>
    <w:qFormat/>
    <w:uiPriority w:val="0"/>
    <w:pPr>
      <w:widowControl/>
      <w:spacing w:before="240" w:line="259" w:lineRule="auto"/>
      <w:ind w:firstLine="0" w:firstLineChars="0"/>
      <w:jc w:val="left"/>
      <w:outlineLvl w:val="9"/>
    </w:pPr>
    <w:rPr>
      <w:rFonts w:ascii="Cambria" w:hAnsi="Cambria" w:eastAsia="宋体"/>
      <w:bCs w:val="0"/>
      <w:color w:val="365F91"/>
      <w:kern w:val="0"/>
      <w:szCs w:val="32"/>
    </w:rPr>
  </w:style>
  <w:style w:type="paragraph" w:customStyle="1" w:styleId="40">
    <w:name w:val="TOC 标题2"/>
    <w:basedOn w:val="3"/>
    <w:next w:val="1"/>
    <w:qFormat/>
    <w:uiPriority w:val="0"/>
    <w:pPr>
      <w:keepNext/>
      <w:keepLines/>
      <w:widowControl/>
      <w:overflowPunct/>
      <w:topLinePunct w:val="0"/>
      <w:autoSpaceDE/>
      <w:autoSpaceDN/>
      <w:spacing w:before="240" w:line="259" w:lineRule="auto"/>
      <w:ind w:firstLine="0" w:firstLineChars="0"/>
      <w:jc w:val="left"/>
      <w:outlineLvl w:val="9"/>
    </w:pPr>
    <w:rPr>
      <w:rFonts w:ascii="Cambria" w:hAnsi="Cambria" w:eastAsia="宋体"/>
      <w:bCs w:val="0"/>
      <w:color w:val="365F91"/>
      <w:kern w:val="0"/>
      <w:szCs w:val="32"/>
    </w:rPr>
  </w:style>
  <w:style w:type="character" w:customStyle="1" w:styleId="41">
    <w:name w:val="m"/>
    <w:basedOn w:val="28"/>
    <w:qFormat/>
    <w:uiPriority w:val="0"/>
  </w:style>
  <w:style w:type="paragraph" w:customStyle="1" w:styleId="42">
    <w:name w:val="修订1"/>
    <w:qFormat/>
    <w:uiPriority w:val="0"/>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footer" Target="footer4.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45</Pages>
  <Words>22747</Words>
  <Characters>23389</Characters>
  <Lines>1100</Lines>
  <Paragraphs>354</Paragraphs>
  <TotalTime>63</TotalTime>
  <ScaleCrop>false</ScaleCrop>
  <LinksUpToDate>false</LinksUpToDate>
  <CharactersWithSpaces>23420</CharactersWithSpaces>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2023-03-23T15:01:00Z</dcterms:created>
  <dc:creator>刘 乾</dc:creator>
  <cp:lastModifiedBy>guest</cp:lastModifiedBy>
  <cp:lastPrinted>2023-03-24T17:04:00Z</cp:lastPrinted>
  <dcterms:modified xsi:type="dcterms:W3CDTF">2023-03-30T11:03:30Z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CB6D5FBCA104484D8B659E3824B41CAD</vt:lpwstr>
  </property>
</Properties>
</file>