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</w:rPr>
        <w:t>西咸新区考古工作管理实施细则</w:t>
      </w:r>
    </w:p>
    <w:p>
      <w:pPr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2023年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修订版）</w:t>
      </w:r>
    </w:p>
    <w:p>
      <w:pPr>
        <w:ind w:left="0" w:leftChars="0" w:firstLine="0" w:firstLineChars="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  <w:bookmarkStart w:id="0" w:name="_GoBack"/>
      <w:bookmarkEnd w:id="0"/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第一条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依据《西咸新区考古工作管理办法</w:t>
      </w:r>
      <w:r>
        <w:rPr>
          <w:rFonts w:hint="eastAsia" w:cs="Times New Roman"/>
          <w:color w:val="auto"/>
          <w:szCs w:val="32"/>
          <w:highlight w:val="none"/>
          <w:lang w:eastAsia="zh-CN"/>
        </w:rPr>
        <w:t>（修订稿）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》，制定本实施细则。</w:t>
      </w:r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 xml:space="preserve">第二条 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调查是为了解地面、地下、水下的古代文化遗存而进行的查阅文献、实地踏勘、采集标本并做出文字、绘图、摄影记录，提出勘探或考古发掘计划等工作。考古勘探是为了解地下、水下古代文化遗存的性质、结构、范围、面积等基本情况而进行的钻探工作。考古发掘是对古代文化遗存进行清理和研究的工作。</w:t>
      </w:r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第三条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考古前置工作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"/>
        </w:rPr>
        <w:t>管理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流程：新城委托考古单位开展考古调查勘探工作并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新区备案，完成考古调查勘探出具报告后，组织质量验收。验收通过，未发现古代文化遗存的，新城向新区提交考古工作审核申请。发现古代文化遗存的，完成考古发掘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并组织验收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后，提交考古工作审核申请。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新区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审核通过后出具考古工作审核意见书。</w:t>
      </w:r>
    </w:p>
    <w:p>
      <w:pPr>
        <w:ind w:firstLine="643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 xml:space="preserve">第四条 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协议签订后5个工作日内，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在新区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进行备案。备案时须附考古项目备案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表、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考古单位介绍信、考古单位资质证明、事业单位法人证书或企业营业执照、新城文物主管部门预选址意见、土地红线图和卫星影像图、考古协议、考古（调查、勘探、发掘）工程质量承诺书、勘探报告及考古发掘</w:t>
      </w:r>
      <w:r>
        <w:rPr>
          <w:rFonts w:hint="eastAsia" w:cs="Times New Roman"/>
          <w:color w:val="auto"/>
          <w:szCs w:val="32"/>
          <w:highlight w:val="none"/>
          <w:lang w:eastAsia="zh-CN"/>
        </w:rPr>
        <w:t>证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照。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（详见附件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2、3、4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）。</w:t>
      </w:r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第五条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考古勘探完成后，考古单位应在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5个工作日内提交考古勘探报告。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考古勘探后发现地下文物的，须委托具有考古发掘资质的单位进行考古发掘。考古发掘工作结束后，考古发掘单位应在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15个工作日内提交考古成果报告和文物保护建议。</w:t>
      </w:r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第六条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 xml:space="preserve"> 新城会同考古单位对考古勘探、考古发掘工作进行验收。验收时应核查土地位置、面积、考古工作是否符合《田野考古工作规程》和《考古勘探工作规程（试行）》的要求。对于已经进行过考古工作但不具备验收条件的，核查后出具情况说明（详见附件5、6、7）。</w:t>
      </w:r>
    </w:p>
    <w:p>
      <w:pPr>
        <w:ind w:firstLine="64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 xml:space="preserve">条 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新城向新区提交考古工作审核意见申请时，须附考古工作审核申请文件、新城文物主管部门预选址意见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考古勘探报告、考古勘探项目验收单或情况说明、土地红线图和相对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位置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图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基于卫星影像图和城市路网图的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JPG图、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CAD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文件），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有古代文化遗存的须附考古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成果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报告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、考古发掘项目验收单（均须提供纸质和电子版）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（详见附件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）。 </w:t>
      </w:r>
    </w:p>
    <w:p>
      <w:pPr>
        <w:ind w:firstLine="64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 xml:space="preserve">条 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新区接到考古工作审核意见的申请文件及相关资料后，在10个工作日内出具考古工作审核意见。如相关资料不符合要求，即日退回并说明申报材料要求。在出具考古工作审核意见时，对于确需原址保护和履行文物报批手续的，应提出明确要求，并纳入土地供应要求；对于确需调整用地规划的，按规定调整。 </w:t>
      </w:r>
    </w:p>
    <w:p>
      <w:pPr>
        <w:ind w:firstLine="640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  <w:highlight w:val="none"/>
          <w:lang w:eastAsia="zh-CN"/>
        </w:rPr>
        <w:t>第九条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 xml:space="preserve"> 新城申请考古工作延缓时，须附考古工作延缓申请文件、新城文物部门预选址意见、土地红线图和相对位置图（基于卫星影像图和城市路网图的JPG图、CAD文件）以及用地符合延缓条件的佐证资料（详见附件9）。</w:t>
      </w:r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highlight w:val="none"/>
        </w:rPr>
        <w:t>河道、堤防、水库、铁路、轨道交通、道路等重要基础设施的建设项目用地，经新城同意，可先进行考古调查，再确定具体考古勘探范围。</w:t>
      </w:r>
    </w:p>
    <w:p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lang w:eastAsia="zh-CN"/>
        </w:rPr>
        <w:t>十一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 xml:space="preserve">条 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对于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《西咸新区考古工作管理办法》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第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条规定的可不进行考古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调查勘探和必要的考古发掘工作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的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种情况，新城负责对情况真实性进行核查，出具核查意见。已有建（构）筑物改造超过原有区域和深度、城市绿地和边角地改变用途的，须进行考古调查勘探和必要的考古发掘工作，并按程序上报。</w:t>
      </w:r>
    </w:p>
    <w:p>
      <w:pPr>
        <w:ind w:firstLine="643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第十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highlight w:val="none"/>
        </w:rPr>
        <w:t>新区、新城要加强考古调查、勘探、发掘工作的动态监管，建立考古工作台账，并将考古工作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延缓</w:t>
      </w:r>
      <w:r>
        <w:rPr>
          <w:rFonts w:hint="default" w:ascii="Times New Roman" w:hAnsi="Times New Roman" w:cs="Times New Roman"/>
          <w:color w:val="auto"/>
          <w:highlight w:val="none"/>
        </w:rPr>
        <w:t>、涉及级别文物保护单位的项目文物报批手续履行情况纳入台账管理。</w:t>
      </w:r>
    </w:p>
    <w:p>
      <w:pPr>
        <w:ind w:firstLine="643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highlight w:val="none"/>
        </w:rPr>
        <w:t>第十</w:t>
      </w: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highlight w:val="none"/>
        </w:rPr>
        <w:t xml:space="preserve"> 办理考古工作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延缓</w:t>
      </w:r>
      <w:r>
        <w:rPr>
          <w:rFonts w:hint="default" w:ascii="Times New Roman" w:hAnsi="Times New Roman" w:cs="Times New Roman"/>
          <w:color w:val="auto"/>
          <w:highlight w:val="none"/>
        </w:rPr>
        <w:t>前，新城须对土地是否涉及文物保护单位和一般不可移动文物进行核查，并对办理考古工作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延缓</w:t>
      </w:r>
      <w:r>
        <w:rPr>
          <w:rFonts w:hint="default" w:ascii="Times New Roman" w:hAnsi="Times New Roman" w:cs="Times New Roman"/>
          <w:color w:val="auto"/>
          <w:highlight w:val="none"/>
        </w:rPr>
        <w:t>的必要性进行审查。对办理考古工作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延缓</w:t>
      </w:r>
      <w:r>
        <w:rPr>
          <w:rFonts w:hint="default" w:ascii="Times New Roman" w:hAnsi="Times New Roman" w:cs="Times New Roman"/>
          <w:color w:val="auto"/>
          <w:highlight w:val="none"/>
        </w:rPr>
        <w:t>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建设</w:t>
      </w:r>
      <w:r>
        <w:rPr>
          <w:rFonts w:hint="default" w:ascii="Times New Roman" w:hAnsi="Times New Roman" w:cs="Times New Roman"/>
          <w:color w:val="auto"/>
          <w:highlight w:val="none"/>
        </w:rPr>
        <w:t>用地加强监管。</w:t>
      </w:r>
    </w:p>
    <w:p>
      <w:pPr>
        <w:ind w:firstLine="64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lang w:eastAsia="zh-CN"/>
        </w:rPr>
        <w:t>第十四条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新区组建考古、文博专家库，对需办理考古工作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延缓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的土地，组织3位及以上考古、文博专家通过查阅资料、现场勘察等方式进行评估。专家评估通过后，经新区审查同意后，出具考古工作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延缓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的意见。</w:t>
      </w:r>
    </w:p>
    <w:p>
      <w:pPr>
        <w:ind w:firstLine="643"/>
        <w:rPr>
          <w:rFonts w:hint="default" w:ascii="Times New Roman" w:hAnsi="Times New Roman" w:cs="Times New Roman"/>
          <w:color w:val="auto"/>
          <w:highlight w:val="none"/>
          <w:lang w:val="en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  <w:t>第十五条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新城负责对已办理考古延缓的土地加强监管。已办理考古延缓的土地，须在交付前完成考古工作并报新区审核。</w:t>
      </w:r>
    </w:p>
    <w:p>
      <w:pPr>
        <w:ind w:firstLine="643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  <w:t>第十六条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highlight w:val="none"/>
        </w:rPr>
        <w:t>按照《中华人民共和国文物保护法》《陕西省重大文物安全事故行政责任追究规定》的有关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规定</w:t>
      </w:r>
      <w:r>
        <w:rPr>
          <w:rFonts w:hint="default" w:ascii="Times New Roman" w:hAnsi="Times New Roman" w:cs="Times New Roman"/>
          <w:color w:val="auto"/>
          <w:highlight w:val="none"/>
        </w:rPr>
        <w:t>，考古工作中出现以下情况，视情节严重程度，依法依规追究相关单位和个人责任：</w:t>
      </w: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（一）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考古工作存在质量问题，造成古代文化遗存破坏或出土文物损毁的；</w:t>
      </w: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二</w:t>
      </w:r>
      <w:r>
        <w:rPr>
          <w:rFonts w:hint="default" w:ascii="Times New Roman" w:hAnsi="Times New Roman" w:cs="Times New Roman"/>
          <w:color w:val="auto"/>
          <w:highlight w:val="none"/>
        </w:rPr>
        <w:t>）考古勘探出现不探、漏探、误探、瞒报、弄虚作假的；</w:t>
      </w: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highlight w:val="none"/>
        </w:rPr>
        <w:t>）未经相应文物行政主管部门批准，违法进行考古调查、勘探、发掘的；</w:t>
      </w: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color w:val="auto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在办理考古延缓期间擅自进行工程建设破坏文物的；</w:t>
      </w:r>
    </w:p>
    <w:p>
      <w:pPr>
        <w:ind w:firstLine="640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（五）</w:t>
      </w:r>
      <w:r>
        <w:rPr>
          <w:rFonts w:hint="default" w:ascii="Times New Roman" w:hAnsi="Times New Roman" w:cs="Times New Roman"/>
          <w:color w:val="auto"/>
          <w:highlight w:val="none"/>
        </w:rPr>
        <w:t>在进行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项目建设</w:t>
      </w:r>
      <w:r>
        <w:rPr>
          <w:rFonts w:hint="default" w:ascii="Times New Roman" w:hAnsi="Times New Roman" w:cs="Times New Roman"/>
          <w:color w:val="auto"/>
          <w:highlight w:val="none"/>
        </w:rPr>
        <w:t>前未按规定进行考古工作对文物安全造成破坏的；</w:t>
      </w: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六</w:t>
      </w:r>
      <w:r>
        <w:rPr>
          <w:rFonts w:hint="default" w:ascii="Times New Roman" w:hAnsi="Times New Roman" w:cs="Times New Roman"/>
          <w:color w:val="auto"/>
          <w:highlight w:val="none"/>
        </w:rPr>
        <w:t>）项目建设中发现文物仍继续施工，不保护现场，或在考古工作结束前擅自在考古工作区域继续施工、进行生产活动的；</w:t>
      </w:r>
    </w:p>
    <w:p>
      <w:pPr>
        <w:ind w:firstLine="640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color w:val="auto"/>
          <w:highlight w:val="none"/>
        </w:rPr>
        <w:t>）阻挠考古调查、勘探和发掘活动正常进行，造成文物灭失、损毁的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（八）</w:t>
      </w:r>
      <w:r>
        <w:rPr>
          <w:rFonts w:hint="default" w:ascii="Times New Roman" w:hAnsi="Times New Roman" w:cs="Times New Roman"/>
          <w:color w:val="auto"/>
          <w:highlight w:val="none"/>
        </w:rPr>
        <w:t>考古工地发生重大文物安全或者人员安全事件的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。</w:t>
      </w:r>
    </w:p>
    <w:p>
      <w:pPr>
        <w:ind w:firstLine="64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540" w:lineRule="exact"/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spacing w:line="540" w:lineRule="exact"/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</w:p>
    <w:p>
      <w:pPr>
        <w:ind w:firstLine="0" w:firstLineChars="0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附件1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  <w:t>考古前置工作流程图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" w:eastAsia="zh-CN"/>
        </w:rPr>
        <w:drawing>
          <wp:inline distT="0" distB="0" distL="114300" distR="114300">
            <wp:extent cx="4392295" cy="7809865"/>
            <wp:effectExtent l="0" t="0" r="8255" b="635"/>
            <wp:docPr id="1" name="图片 1" descr="新建 Microsoft PowerPoint 演示文稿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建 Microsoft PowerPoint 演示文稿_0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80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附件2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  <w:t>备案资料清单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西咸新区考古项目备案表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考古单位介绍信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考古单位资质证明（按年度提供）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事业单位法人证书或企业营业执照（按年度提供）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新城文物主管部门预选址意见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6.土地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红线图和卫星影像图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考古协议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考古（调查、勘探、发掘）工程质量承诺书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勘探报告及考古发掘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证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照（仅发掘项目提供）</w:t>
      </w: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firstLine="1927" w:firstLineChars="60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</w:p>
    <w:p>
      <w:pPr>
        <w:ind w:left="0" w:leftChars="0" w:firstLine="0" w:firstLineChars="0"/>
        <w:rPr>
          <w:rFonts w:hint="default" w:ascii="Times New Roman" w:hAnsi="Times New Roman" w:eastAsia="黑体" w:cs="Times New Roman"/>
          <w:b w:val="0"/>
          <w:bCs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西咸新区考古项目备案表</w:t>
      </w:r>
    </w:p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</w:pPr>
    </w:p>
    <w:p>
      <w:pPr>
        <w:ind w:firstLine="0" w:firstLineChars="0"/>
        <w:rPr>
          <w:rFonts w:hint="default" w:ascii="Times New Roman" w:hAnsi="Times New Roman" w:cs="Times New Roman"/>
          <w:b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考古单位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（盖章）</w:t>
      </w:r>
      <w:r>
        <w:rPr>
          <w:rFonts w:hint="default" w:ascii="Times New Roman" w:hAnsi="Times New Roman" w:cs="Times New Roman"/>
          <w:b/>
          <w:color w:val="auto"/>
          <w:szCs w:val="32"/>
          <w:highlight w:val="none"/>
        </w:rPr>
        <w:t xml:space="preserve">   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     ××年××月××日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宗地号（地块名称）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位置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  <w:lang w:eastAsia="zh-CN"/>
              </w:rPr>
              <w:t>面积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是否涉及文物保护单位和一般不可移动文物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勘探</w:t>
            </w: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  <w:lang w:val="e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  <w:lang w:val="en" w:eastAsia="zh-CN"/>
              </w:rPr>
              <w:t>发掘时间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领队及联系方式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  <w:lang w:eastAsia="zh-CN"/>
              </w:rPr>
              <w:t>探工及联系方式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考古协议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82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  <w:t>备注</w:t>
            </w:r>
          </w:p>
        </w:tc>
        <w:tc>
          <w:tcPr>
            <w:tcW w:w="447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</w:tr>
    </w:tbl>
    <w:p>
      <w:pPr>
        <w:ind w:firstLine="0" w:firstLineChars="0"/>
        <w:rPr>
          <w:rFonts w:hint="default" w:ascii="Times New Roman" w:hAnsi="Times New Roman" w:cs="Times New Roman"/>
          <w:color w:val="auto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4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西咸新区考古（调查、勘探、发掘）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工程质量承诺书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西咸新区文物局：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我单位承揽了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考古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调查、勘探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、发掘）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工程。为保证工程质量，确保地下文物安全，在施工过程中承诺如下：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依法取得相应等级的资质证书，并在其资质等级许可的范围内承揽工程，不转包或违规分包工程。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工程领队人员具有领队资格证书，考古工作人员经岗前培训，并持证上岗。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严格依照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国家、省、市相关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考古操作规程进行施工，做到不漏探、不误探、不发生质量事故，确保地下文物安全。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4.严格遵守文物管理部门批准备案的施工范围，因特殊原因超范围的必须先行告知文物管理部门再施工。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若在施工中发生漏探、误探、隐匿不报或发生重大安全责任事故的；或因此而导致地下文物遭受破坏，对新区投资环境改善造成严重影响的，愿接受相应处理。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遵守防疫、防汛、安全生产等工作要求，做好现场警戒和安全保护工作，发掘清运等工作需按章操作，确保人员安全和文物安全。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7.考古单位在调查、勘探、发掘期间要提高安全意识，考古单位要对考古工作人员做好安全保密教育工作，考古工地要杜绝闲杂人员进入，做好安保工作。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对重要的考古勘探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、发掘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资料及地理信息要做好保密工作，严禁将考古资料及地理信息外泄，若因考古期间保密工作没有做好，而导致地下文物被盗等事件发生的，考古单位要承担相应的责任。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承诺单位代表（签字）：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日  期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附件5</w:t>
      </w:r>
    </w:p>
    <w:p>
      <w:pPr>
        <w:ind w:firstLine="0" w:firstLineChars="0"/>
        <w:jc w:val="center"/>
        <w:rPr>
          <w:rFonts w:hint="default" w:ascii="Times New Roman" w:hAnsi="Times New Roman" w:eastAsia="宋体" w:cs="Times New Roman"/>
          <w:color w:val="auto"/>
          <w:sz w:val="4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考古勘探项目验收单</w:t>
      </w:r>
    </w:p>
    <w:tbl>
      <w:tblPr>
        <w:tblStyle w:val="7"/>
        <w:tblW w:w="8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597"/>
        <w:gridCol w:w="1392"/>
        <w:gridCol w:w="26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考古勘探项目地块名称</w:t>
            </w:r>
          </w:p>
        </w:tc>
        <w:tc>
          <w:tcPr>
            <w:tcW w:w="2597" w:type="dxa"/>
            <w:vAlign w:val="center"/>
          </w:tcPr>
          <w:p>
            <w:pPr>
              <w:ind w:firstLine="64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39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2679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涉及文物保护单位及一般不可移动文物情况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交接验收时间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考古勘探单位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单位名称：                        签字（盖章）：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70" w:type="dxa"/>
            <w:vMerge w:val="restart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工期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开工日期：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竣工日期：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验收结果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依照《田野考古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规程》及考古勘探工作的相关规定，该地块（ 是   否 ）按要求完成考古勘探工作。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地块总面积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平方米（          亩），已全部完成考古勘探工作。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该地块经考古勘探发现古墓葬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座、灰坑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处，其他古代文化遗存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                          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验收结果           （合格     不合格）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970" w:type="dxa"/>
            <w:vMerge w:val="restart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组织验收单位</w:t>
            </w:r>
          </w:p>
        </w:tc>
        <w:tc>
          <w:tcPr>
            <w:tcW w:w="6668" w:type="dxa"/>
            <w:gridSpan w:val="3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考古工作委托单位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签字（盖章）：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新城文物主管部门签字（盖章）：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1.本报告一式四份，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考古工作委托单位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、新区文物局、新城文物局、考古单位各执一份予以备案。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2.附现场验收照片，地块红线图。</w:t>
            </w: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6</w:t>
      </w:r>
    </w:p>
    <w:p>
      <w:pPr>
        <w:ind w:firstLine="0" w:firstLineChars="0"/>
        <w:jc w:val="center"/>
        <w:rPr>
          <w:rFonts w:hint="default" w:ascii="Times New Roman" w:hAnsi="Times New Roman" w:eastAsia="宋体" w:cs="Times New Roman"/>
          <w:color w:val="auto"/>
          <w:sz w:val="4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考古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发掘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项目验收单</w:t>
      </w:r>
    </w:p>
    <w:tbl>
      <w:tblPr>
        <w:tblStyle w:val="7"/>
        <w:tblW w:w="8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597"/>
        <w:gridCol w:w="1392"/>
        <w:gridCol w:w="26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发掘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项目地块名称</w:t>
            </w:r>
          </w:p>
        </w:tc>
        <w:tc>
          <w:tcPr>
            <w:tcW w:w="2597" w:type="dxa"/>
            <w:vAlign w:val="center"/>
          </w:tcPr>
          <w:p>
            <w:pPr>
              <w:ind w:firstLine="64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39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2679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涉及文物保护单位及一般不可移动文物情况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交接验收时间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发掘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单位名称：                        签字（盖章）：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70" w:type="dxa"/>
            <w:vMerge w:val="restart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工期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开工日期：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竣工日期：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1970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验收结果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依照《田野考古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规程》的相关规定，该地块（ 是   否 ）按要求完成考古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发掘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工作。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地块总面积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平方米（          亩），已全部完成考古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发掘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工作。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该地块经考古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发掘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发现古墓葬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座、灰坑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处，其他古代文化遗存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                          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验收结果           （合格     不合格）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970" w:type="dxa"/>
            <w:vMerge w:val="restart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组织验收单位</w:t>
            </w:r>
          </w:p>
        </w:tc>
        <w:tc>
          <w:tcPr>
            <w:tcW w:w="6668" w:type="dxa"/>
            <w:gridSpan w:val="3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考古工作委托单位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签字（盖章）：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9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8" w:type="dxa"/>
            <w:gridSpan w:val="3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新城文物主管部门签字（盖章）：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8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1.本报告一式四份，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考古工作委托单位、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新区文物局、新城文物局、考古单位各执一份予以备案。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2.附现场验收照片，地块红线图。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7</w:t>
      </w:r>
    </w:p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  <w:t>陕西省西咸新区××新城××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  <w:t>关于××宗地考古工作的情况说明</w:t>
      </w:r>
    </w:p>
    <w:p>
      <w:pPr>
        <w:ind w:firstLine="0" w:firstLineChars="0"/>
        <w:jc w:val="lef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ind w:firstLine="0" w:firstLineChars="0"/>
        <w:jc w:val="left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××：</w:t>
      </w:r>
    </w:p>
    <w:p>
      <w:pPr>
        <w:ind w:firstLine="640"/>
        <w:rPr>
          <w:rFonts w:hint="default"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××新城××宗地位于××，用地面积为××平方米（折合××亩），不涉及/涉及××文物保护单位保护范围、建设控制地带和一般不可移动文物点××。</w:t>
      </w:r>
    </w:p>
    <w:p>
      <w:pPr>
        <w:ind w:firstLine="640"/>
        <w:rPr>
          <w:rFonts w:hint="default"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该宗地由××单位于××年××月至××年××月完成了考古勘探工作，实际勘探区域面积××平方米（折合××亩），未发现古代文化遗存/发现古代文化遗存××处，已由××单位于××年××月至××年××月完成了考古发掘工作。</w:t>
      </w:r>
    </w:p>
    <w:p>
      <w:pPr>
        <w:ind w:firstLine="64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经我局核查，该宗地已于××年××月取得了土地权属，目前建设情况××，现已不具备考古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验收条件，特此说明。</w:t>
      </w:r>
    </w:p>
    <w:p>
      <w:pPr>
        <w:ind w:right="1440" w:firstLine="640"/>
        <w:jc w:val="righ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ind w:right="1440" w:firstLine="640"/>
        <w:jc w:val="right"/>
        <w:rPr>
          <w:rFonts w:hint="default"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××新城××</w:t>
      </w:r>
    </w:p>
    <w:p>
      <w:pPr>
        <w:ind w:right="960" w:firstLine="640"/>
        <w:jc w:val="right"/>
        <w:rPr>
          <w:rFonts w:hint="default" w:ascii="Times New Roman" w:hAnsi="Times New Roman" w:cs="Times New Roman"/>
          <w:color w:val="auto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××年××月××日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  <w:t>陕西省西咸新区××新城××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highlight w:val="none"/>
        </w:rPr>
        <w:t>关于审核××宗地考古工作的函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西咸新区文物局：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××新城××宗地位于××，用地面积为××平方米（折合××亩），不涉及/涉及××文物保护单位保护范围、建设控制地带和一般不可移动文物点××。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该宗地由××单位于××年××月至××年××月完成了考古勘探工作，实际勘探区域面积××平方米（折合××亩），未发现古代文化遗存/发现古代文化遗存××处，已由××单位于××年××月至××年××月完成了考古发掘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××考古工作已全部完成，现将相关资料呈报贵局，请予审核。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附件：1.考古勘探报告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     2.考古勘探项目验收单/考古工作情况说明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     3.考古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发掘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项目验收单（存在古代文化遗存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须提交）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考古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成果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报告（存在古代文化遗存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须提交）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     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.土地红线图及相对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位置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图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基于卫星影像图和城市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路网图的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JPG图、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CAD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文件）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新城文物主管部门预选址意见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 xml:space="preserve">××新城××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××年××月××日</w:t>
      </w:r>
    </w:p>
    <w:p>
      <w:pPr>
        <w:wordWrap w:val="0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Cs w:val="32"/>
          <w:highlight w:val="none"/>
          <w:lang w:val="en-US" w:eastAsia="zh-CN"/>
        </w:rPr>
        <w:t>9</w:t>
      </w:r>
    </w:p>
    <w:p>
      <w:pPr>
        <w:pStyle w:val="2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陕西省西咸新区××新城××</w:t>
      </w:r>
    </w:p>
    <w:p>
      <w:pPr>
        <w:pStyle w:val="2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关于延缓××宗地考古工作的函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西咸新区文物局：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××新城××宗地位于××，用地面积为××平方米（折合××亩），不涉及××文物保护单位保护范围、建设控制地带和一般不可移动文物点。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该地块是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用地。（如已开展部分考古工作，请写明；如无，则不写）。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因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，该宗地短时间内无法完成考古工作。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承诺，于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××年××月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前完成考古工作，并及时上报新区文物主管部门审核；完成全部考古工作前不会将土地交付使用，不开展项目建设，并在工作过程中加强监管。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附件：1.土地红线图及相对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位置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图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基于卫星影像图和城市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路网图的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JPG图、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CAD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文件）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2.新城文物主管部门预选址意见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     3.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用地符合延缓条件的佐证资料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Times New Roman" w:hAnsi="Times New Roman" w:cs="Times New Roman"/>
          <w:bCs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 xml:space="preserve">××新城××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Cs w:val="32"/>
          <w:highlight w:val="none"/>
        </w:rPr>
        <w:t>××年××月××日</w:t>
      </w:r>
    </w:p>
    <w:p>
      <w:pPr>
        <w:wordWrap w:val="0"/>
        <w:ind w:left="0" w:leftChars="0" w:firstLine="0" w:firstLineChars="0"/>
        <w:rPr>
          <w:rFonts w:hint="default" w:ascii="Times New Roman" w:hAnsi="Times New Roman" w:cs="Times New Roman"/>
          <w:bCs/>
          <w:color w:val="auto"/>
          <w:szCs w:val="32"/>
          <w:highlight w:val="none"/>
          <w:lang w:val="en-US" w:eastAsia="zh-CN"/>
        </w:rPr>
      </w:pPr>
    </w:p>
    <w:sectPr>
      <w:headerReference r:id="rId15" w:type="default"/>
      <w:footerReference r:id="rId17" w:type="default"/>
      <w:headerReference r:id="rId16" w:type="even"/>
      <w:footerReference r:id="rId18" w:type="even"/>
      <w:pgSz w:w="11906" w:h="16838"/>
      <w:pgMar w:top="2098" w:right="1474" w:bottom="1985" w:left="1588" w:header="851" w:footer="1304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0597300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>
        <w:pPr>
          <w:pStyle w:val="5"/>
          <w:ind w:firstLine="360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3 -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387741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firstLine="36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387741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firstLine="36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ind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9F"/>
    <w:rsid w:val="00011DFB"/>
    <w:rsid w:val="0001511F"/>
    <w:rsid w:val="0001583A"/>
    <w:rsid w:val="000226EF"/>
    <w:rsid w:val="00024ABA"/>
    <w:rsid w:val="00033C0F"/>
    <w:rsid w:val="00035B0E"/>
    <w:rsid w:val="000440A5"/>
    <w:rsid w:val="0004487C"/>
    <w:rsid w:val="00046571"/>
    <w:rsid w:val="00047103"/>
    <w:rsid w:val="00050B28"/>
    <w:rsid w:val="00077AC4"/>
    <w:rsid w:val="000837B1"/>
    <w:rsid w:val="00097E4A"/>
    <w:rsid w:val="000A0BF5"/>
    <w:rsid w:val="000A147F"/>
    <w:rsid w:val="000A45DC"/>
    <w:rsid w:val="000B0047"/>
    <w:rsid w:val="000C4295"/>
    <w:rsid w:val="000C5D95"/>
    <w:rsid w:val="000E55E3"/>
    <w:rsid w:val="000E7EFE"/>
    <w:rsid w:val="000E7F22"/>
    <w:rsid w:val="001113EB"/>
    <w:rsid w:val="00113037"/>
    <w:rsid w:val="00114121"/>
    <w:rsid w:val="001175BA"/>
    <w:rsid w:val="001210BC"/>
    <w:rsid w:val="00124985"/>
    <w:rsid w:val="00134D30"/>
    <w:rsid w:val="001426F6"/>
    <w:rsid w:val="0014507B"/>
    <w:rsid w:val="0015143C"/>
    <w:rsid w:val="001549C3"/>
    <w:rsid w:val="001602D2"/>
    <w:rsid w:val="001655AF"/>
    <w:rsid w:val="00176E36"/>
    <w:rsid w:val="00177B8B"/>
    <w:rsid w:val="00180982"/>
    <w:rsid w:val="001852A1"/>
    <w:rsid w:val="001A59AD"/>
    <w:rsid w:val="001A6FD9"/>
    <w:rsid w:val="001A7F43"/>
    <w:rsid w:val="001B38E6"/>
    <w:rsid w:val="001B7FC0"/>
    <w:rsid w:val="001C4CAF"/>
    <w:rsid w:val="001C691F"/>
    <w:rsid w:val="001D08E7"/>
    <w:rsid w:val="001D30A6"/>
    <w:rsid w:val="001D5508"/>
    <w:rsid w:val="001F0099"/>
    <w:rsid w:val="001F1361"/>
    <w:rsid w:val="001F176C"/>
    <w:rsid w:val="001F2D3B"/>
    <w:rsid w:val="00207778"/>
    <w:rsid w:val="00214F53"/>
    <w:rsid w:val="00244BDC"/>
    <w:rsid w:val="00244E2D"/>
    <w:rsid w:val="00250DDC"/>
    <w:rsid w:val="0025697C"/>
    <w:rsid w:val="002802A1"/>
    <w:rsid w:val="002808AF"/>
    <w:rsid w:val="00292D47"/>
    <w:rsid w:val="002B0751"/>
    <w:rsid w:val="002B7829"/>
    <w:rsid w:val="002D35FC"/>
    <w:rsid w:val="002D6D1D"/>
    <w:rsid w:val="002E7AC5"/>
    <w:rsid w:val="002F7D98"/>
    <w:rsid w:val="00302251"/>
    <w:rsid w:val="003043FA"/>
    <w:rsid w:val="00304EB2"/>
    <w:rsid w:val="00306BDE"/>
    <w:rsid w:val="003205E6"/>
    <w:rsid w:val="0032192E"/>
    <w:rsid w:val="003220D8"/>
    <w:rsid w:val="00325457"/>
    <w:rsid w:val="0033002D"/>
    <w:rsid w:val="00331E16"/>
    <w:rsid w:val="003323B7"/>
    <w:rsid w:val="00336D5A"/>
    <w:rsid w:val="00343859"/>
    <w:rsid w:val="003475CF"/>
    <w:rsid w:val="00347920"/>
    <w:rsid w:val="00357E7B"/>
    <w:rsid w:val="003946B2"/>
    <w:rsid w:val="00395D51"/>
    <w:rsid w:val="003A482E"/>
    <w:rsid w:val="003B35B0"/>
    <w:rsid w:val="003C353E"/>
    <w:rsid w:val="003C3E46"/>
    <w:rsid w:val="003C40C3"/>
    <w:rsid w:val="003D3F78"/>
    <w:rsid w:val="003E0137"/>
    <w:rsid w:val="003E33AC"/>
    <w:rsid w:val="003F496C"/>
    <w:rsid w:val="00412777"/>
    <w:rsid w:val="0041371D"/>
    <w:rsid w:val="004163F9"/>
    <w:rsid w:val="00420BC9"/>
    <w:rsid w:val="0042167F"/>
    <w:rsid w:val="00422189"/>
    <w:rsid w:val="0042470F"/>
    <w:rsid w:val="004247EB"/>
    <w:rsid w:val="00426DE7"/>
    <w:rsid w:val="00450341"/>
    <w:rsid w:val="0045092F"/>
    <w:rsid w:val="00450BB8"/>
    <w:rsid w:val="0045189B"/>
    <w:rsid w:val="004569FF"/>
    <w:rsid w:val="00461894"/>
    <w:rsid w:val="004627E3"/>
    <w:rsid w:val="00465546"/>
    <w:rsid w:val="0048603E"/>
    <w:rsid w:val="00487217"/>
    <w:rsid w:val="004A11D5"/>
    <w:rsid w:val="004A4222"/>
    <w:rsid w:val="004B3791"/>
    <w:rsid w:val="004B3899"/>
    <w:rsid w:val="004B53A5"/>
    <w:rsid w:val="004C5F75"/>
    <w:rsid w:val="004D2CE3"/>
    <w:rsid w:val="004E13BE"/>
    <w:rsid w:val="004E3C9F"/>
    <w:rsid w:val="004E51CB"/>
    <w:rsid w:val="004F0C6E"/>
    <w:rsid w:val="004F194B"/>
    <w:rsid w:val="004F5A40"/>
    <w:rsid w:val="005001BF"/>
    <w:rsid w:val="00500EBF"/>
    <w:rsid w:val="00534E1D"/>
    <w:rsid w:val="005447FF"/>
    <w:rsid w:val="00547EAF"/>
    <w:rsid w:val="005537C0"/>
    <w:rsid w:val="005541FB"/>
    <w:rsid w:val="00554FCB"/>
    <w:rsid w:val="005620CB"/>
    <w:rsid w:val="0056328F"/>
    <w:rsid w:val="00563BA9"/>
    <w:rsid w:val="00563C55"/>
    <w:rsid w:val="00565343"/>
    <w:rsid w:val="00571AC7"/>
    <w:rsid w:val="00574CD2"/>
    <w:rsid w:val="00577081"/>
    <w:rsid w:val="00580191"/>
    <w:rsid w:val="005837DE"/>
    <w:rsid w:val="0059203F"/>
    <w:rsid w:val="0059783A"/>
    <w:rsid w:val="00597A69"/>
    <w:rsid w:val="005C038E"/>
    <w:rsid w:val="005C6D4F"/>
    <w:rsid w:val="005D22DD"/>
    <w:rsid w:val="005D5209"/>
    <w:rsid w:val="005D6A26"/>
    <w:rsid w:val="005F18F8"/>
    <w:rsid w:val="005F44EA"/>
    <w:rsid w:val="0060066C"/>
    <w:rsid w:val="00607356"/>
    <w:rsid w:val="00611CC4"/>
    <w:rsid w:val="006234E0"/>
    <w:rsid w:val="00635C72"/>
    <w:rsid w:val="006378E6"/>
    <w:rsid w:val="006624F3"/>
    <w:rsid w:val="0066346E"/>
    <w:rsid w:val="00663AF9"/>
    <w:rsid w:val="006729B8"/>
    <w:rsid w:val="00673590"/>
    <w:rsid w:val="00692255"/>
    <w:rsid w:val="00696E23"/>
    <w:rsid w:val="006A099E"/>
    <w:rsid w:val="006A1822"/>
    <w:rsid w:val="006C5326"/>
    <w:rsid w:val="006D46C2"/>
    <w:rsid w:val="006E57B1"/>
    <w:rsid w:val="006E6C72"/>
    <w:rsid w:val="00706FEB"/>
    <w:rsid w:val="007159C2"/>
    <w:rsid w:val="00721E89"/>
    <w:rsid w:val="007341CD"/>
    <w:rsid w:val="007448B6"/>
    <w:rsid w:val="00755361"/>
    <w:rsid w:val="00776FA5"/>
    <w:rsid w:val="00787747"/>
    <w:rsid w:val="00790D65"/>
    <w:rsid w:val="007A1386"/>
    <w:rsid w:val="007B5FC4"/>
    <w:rsid w:val="007E1240"/>
    <w:rsid w:val="007F5A30"/>
    <w:rsid w:val="00805929"/>
    <w:rsid w:val="0081092A"/>
    <w:rsid w:val="00830EC1"/>
    <w:rsid w:val="00835144"/>
    <w:rsid w:val="00837689"/>
    <w:rsid w:val="00841CCD"/>
    <w:rsid w:val="008430E5"/>
    <w:rsid w:val="00850068"/>
    <w:rsid w:val="00853C7B"/>
    <w:rsid w:val="008558BD"/>
    <w:rsid w:val="0085788A"/>
    <w:rsid w:val="00863F71"/>
    <w:rsid w:val="00870CE3"/>
    <w:rsid w:val="00870D01"/>
    <w:rsid w:val="00874E32"/>
    <w:rsid w:val="00875578"/>
    <w:rsid w:val="00883BF9"/>
    <w:rsid w:val="00883F8D"/>
    <w:rsid w:val="0089206B"/>
    <w:rsid w:val="008A3744"/>
    <w:rsid w:val="008B5958"/>
    <w:rsid w:val="008C55C8"/>
    <w:rsid w:val="008E6AF5"/>
    <w:rsid w:val="008F72AC"/>
    <w:rsid w:val="00905351"/>
    <w:rsid w:val="0090764B"/>
    <w:rsid w:val="00912364"/>
    <w:rsid w:val="0091643B"/>
    <w:rsid w:val="00931E29"/>
    <w:rsid w:val="009370DC"/>
    <w:rsid w:val="0094205B"/>
    <w:rsid w:val="009420C7"/>
    <w:rsid w:val="00952F6A"/>
    <w:rsid w:val="00954668"/>
    <w:rsid w:val="00954E42"/>
    <w:rsid w:val="0095543B"/>
    <w:rsid w:val="009576AD"/>
    <w:rsid w:val="00964327"/>
    <w:rsid w:val="00966740"/>
    <w:rsid w:val="00972361"/>
    <w:rsid w:val="00974DBF"/>
    <w:rsid w:val="0097759D"/>
    <w:rsid w:val="00977608"/>
    <w:rsid w:val="00980278"/>
    <w:rsid w:val="00983759"/>
    <w:rsid w:val="0098639A"/>
    <w:rsid w:val="00987885"/>
    <w:rsid w:val="009947F5"/>
    <w:rsid w:val="009A06C1"/>
    <w:rsid w:val="009A4E0D"/>
    <w:rsid w:val="009A5D9F"/>
    <w:rsid w:val="009A6C78"/>
    <w:rsid w:val="009A6EC6"/>
    <w:rsid w:val="009B25AF"/>
    <w:rsid w:val="009C5B87"/>
    <w:rsid w:val="009D6E94"/>
    <w:rsid w:val="009F297D"/>
    <w:rsid w:val="009F6087"/>
    <w:rsid w:val="00A02416"/>
    <w:rsid w:val="00A14872"/>
    <w:rsid w:val="00A21D28"/>
    <w:rsid w:val="00A438C0"/>
    <w:rsid w:val="00A47EE5"/>
    <w:rsid w:val="00A508B0"/>
    <w:rsid w:val="00A57582"/>
    <w:rsid w:val="00A6206D"/>
    <w:rsid w:val="00A6479C"/>
    <w:rsid w:val="00A9469A"/>
    <w:rsid w:val="00AA4663"/>
    <w:rsid w:val="00AA526C"/>
    <w:rsid w:val="00AA6AE2"/>
    <w:rsid w:val="00AB1AEF"/>
    <w:rsid w:val="00AB20AA"/>
    <w:rsid w:val="00AB2979"/>
    <w:rsid w:val="00AB4FE7"/>
    <w:rsid w:val="00AB5514"/>
    <w:rsid w:val="00AC2729"/>
    <w:rsid w:val="00AD5798"/>
    <w:rsid w:val="00AD64A4"/>
    <w:rsid w:val="00AD6C62"/>
    <w:rsid w:val="00AE5BDB"/>
    <w:rsid w:val="00AE717A"/>
    <w:rsid w:val="00B02833"/>
    <w:rsid w:val="00B4094D"/>
    <w:rsid w:val="00B40A5D"/>
    <w:rsid w:val="00B40C74"/>
    <w:rsid w:val="00B47344"/>
    <w:rsid w:val="00B51487"/>
    <w:rsid w:val="00B63E7E"/>
    <w:rsid w:val="00B75CCB"/>
    <w:rsid w:val="00B85293"/>
    <w:rsid w:val="00B86B6B"/>
    <w:rsid w:val="00B9082D"/>
    <w:rsid w:val="00B91453"/>
    <w:rsid w:val="00B93FD8"/>
    <w:rsid w:val="00B96B10"/>
    <w:rsid w:val="00BB4902"/>
    <w:rsid w:val="00BB5797"/>
    <w:rsid w:val="00BB6548"/>
    <w:rsid w:val="00BD459B"/>
    <w:rsid w:val="00BD5B4A"/>
    <w:rsid w:val="00BE62DB"/>
    <w:rsid w:val="00C0053E"/>
    <w:rsid w:val="00C00AAE"/>
    <w:rsid w:val="00C04AA1"/>
    <w:rsid w:val="00C12E0A"/>
    <w:rsid w:val="00C13A9A"/>
    <w:rsid w:val="00C173CD"/>
    <w:rsid w:val="00C174B0"/>
    <w:rsid w:val="00C34E4A"/>
    <w:rsid w:val="00C37DBE"/>
    <w:rsid w:val="00C43FBF"/>
    <w:rsid w:val="00C5130D"/>
    <w:rsid w:val="00C560D4"/>
    <w:rsid w:val="00C64FBA"/>
    <w:rsid w:val="00C724C2"/>
    <w:rsid w:val="00C8558B"/>
    <w:rsid w:val="00C90D48"/>
    <w:rsid w:val="00C91B10"/>
    <w:rsid w:val="00CA1205"/>
    <w:rsid w:val="00CA32D9"/>
    <w:rsid w:val="00CA4A2A"/>
    <w:rsid w:val="00CA6E3D"/>
    <w:rsid w:val="00CB312A"/>
    <w:rsid w:val="00CB32C5"/>
    <w:rsid w:val="00CB7B35"/>
    <w:rsid w:val="00CC1323"/>
    <w:rsid w:val="00CC3192"/>
    <w:rsid w:val="00CC6CDF"/>
    <w:rsid w:val="00CD3362"/>
    <w:rsid w:val="00CD510C"/>
    <w:rsid w:val="00CD5DC7"/>
    <w:rsid w:val="00CD740A"/>
    <w:rsid w:val="00CD7A1A"/>
    <w:rsid w:val="00CF02CA"/>
    <w:rsid w:val="00CF16EF"/>
    <w:rsid w:val="00CF28BB"/>
    <w:rsid w:val="00CF6049"/>
    <w:rsid w:val="00D02D81"/>
    <w:rsid w:val="00D05394"/>
    <w:rsid w:val="00D07264"/>
    <w:rsid w:val="00D075CD"/>
    <w:rsid w:val="00D11B16"/>
    <w:rsid w:val="00D13962"/>
    <w:rsid w:val="00D20EA5"/>
    <w:rsid w:val="00D21122"/>
    <w:rsid w:val="00D21D46"/>
    <w:rsid w:val="00D430A2"/>
    <w:rsid w:val="00D536DB"/>
    <w:rsid w:val="00D55998"/>
    <w:rsid w:val="00D761C9"/>
    <w:rsid w:val="00D809C7"/>
    <w:rsid w:val="00D84B3F"/>
    <w:rsid w:val="00D91742"/>
    <w:rsid w:val="00D92BF2"/>
    <w:rsid w:val="00D944D2"/>
    <w:rsid w:val="00DA4834"/>
    <w:rsid w:val="00DB06D5"/>
    <w:rsid w:val="00DB0EBC"/>
    <w:rsid w:val="00DB7C44"/>
    <w:rsid w:val="00DC1932"/>
    <w:rsid w:val="00DC4E36"/>
    <w:rsid w:val="00DC53EB"/>
    <w:rsid w:val="00DD3DA4"/>
    <w:rsid w:val="00DD6DB1"/>
    <w:rsid w:val="00DD7445"/>
    <w:rsid w:val="00DE596E"/>
    <w:rsid w:val="00DE6089"/>
    <w:rsid w:val="00DF3672"/>
    <w:rsid w:val="00DF7033"/>
    <w:rsid w:val="00DF7C88"/>
    <w:rsid w:val="00E141C2"/>
    <w:rsid w:val="00E25ECD"/>
    <w:rsid w:val="00E2761F"/>
    <w:rsid w:val="00E34157"/>
    <w:rsid w:val="00E40D72"/>
    <w:rsid w:val="00E43D97"/>
    <w:rsid w:val="00E470CB"/>
    <w:rsid w:val="00E61495"/>
    <w:rsid w:val="00E74501"/>
    <w:rsid w:val="00E761D5"/>
    <w:rsid w:val="00E85177"/>
    <w:rsid w:val="00E87E34"/>
    <w:rsid w:val="00E90E4A"/>
    <w:rsid w:val="00E91377"/>
    <w:rsid w:val="00E93F37"/>
    <w:rsid w:val="00E97A93"/>
    <w:rsid w:val="00EA195E"/>
    <w:rsid w:val="00EB5743"/>
    <w:rsid w:val="00EB6F29"/>
    <w:rsid w:val="00EC2531"/>
    <w:rsid w:val="00ED072C"/>
    <w:rsid w:val="00ED256B"/>
    <w:rsid w:val="00EE5173"/>
    <w:rsid w:val="00EE54DB"/>
    <w:rsid w:val="00EF13D4"/>
    <w:rsid w:val="00EF1E43"/>
    <w:rsid w:val="00F024E2"/>
    <w:rsid w:val="00F049A9"/>
    <w:rsid w:val="00F158D0"/>
    <w:rsid w:val="00F17963"/>
    <w:rsid w:val="00F225E4"/>
    <w:rsid w:val="00F345E1"/>
    <w:rsid w:val="00F53CFC"/>
    <w:rsid w:val="00F56C98"/>
    <w:rsid w:val="00F67471"/>
    <w:rsid w:val="00F75AD2"/>
    <w:rsid w:val="00F800DA"/>
    <w:rsid w:val="00F80221"/>
    <w:rsid w:val="00F84ECD"/>
    <w:rsid w:val="00FA1DF1"/>
    <w:rsid w:val="00FA23B4"/>
    <w:rsid w:val="00FA3CAD"/>
    <w:rsid w:val="00FB2287"/>
    <w:rsid w:val="00FB2C54"/>
    <w:rsid w:val="00FB586B"/>
    <w:rsid w:val="00FB6774"/>
    <w:rsid w:val="00FC1F87"/>
    <w:rsid w:val="00FD1BA4"/>
    <w:rsid w:val="00FD4277"/>
    <w:rsid w:val="00FE1DA5"/>
    <w:rsid w:val="00FE34A1"/>
    <w:rsid w:val="00FF048C"/>
    <w:rsid w:val="00FF57DB"/>
    <w:rsid w:val="00FF7991"/>
    <w:rsid w:val="0FF133BF"/>
    <w:rsid w:val="1B3B2C7C"/>
    <w:rsid w:val="1B97206B"/>
    <w:rsid w:val="1BFD82FA"/>
    <w:rsid w:val="1CFFF540"/>
    <w:rsid w:val="1EFBC849"/>
    <w:rsid w:val="1EFCF30D"/>
    <w:rsid w:val="1F7DB2AB"/>
    <w:rsid w:val="1FFD2E03"/>
    <w:rsid w:val="24FECEB5"/>
    <w:rsid w:val="2B771C72"/>
    <w:rsid w:val="2DDF1728"/>
    <w:rsid w:val="2FCD1631"/>
    <w:rsid w:val="2FDF6C1D"/>
    <w:rsid w:val="33ECD23E"/>
    <w:rsid w:val="36BFC9DA"/>
    <w:rsid w:val="37B76984"/>
    <w:rsid w:val="3DB6E969"/>
    <w:rsid w:val="3EF73626"/>
    <w:rsid w:val="3FC7C5A6"/>
    <w:rsid w:val="3FE7DE40"/>
    <w:rsid w:val="3FEC6D3E"/>
    <w:rsid w:val="4DBF1187"/>
    <w:rsid w:val="4EEFA02D"/>
    <w:rsid w:val="57CFD842"/>
    <w:rsid w:val="5BCF8177"/>
    <w:rsid w:val="5F3D8D0F"/>
    <w:rsid w:val="5F8D5833"/>
    <w:rsid w:val="5FB77AED"/>
    <w:rsid w:val="5FFCD589"/>
    <w:rsid w:val="67A5829D"/>
    <w:rsid w:val="67CF317E"/>
    <w:rsid w:val="67DF588D"/>
    <w:rsid w:val="6CEE3561"/>
    <w:rsid w:val="6F65EB4B"/>
    <w:rsid w:val="6FDE1B85"/>
    <w:rsid w:val="76A93904"/>
    <w:rsid w:val="76DFD22D"/>
    <w:rsid w:val="78750509"/>
    <w:rsid w:val="79F56165"/>
    <w:rsid w:val="7B956DA4"/>
    <w:rsid w:val="7BF73CE6"/>
    <w:rsid w:val="7BFB445C"/>
    <w:rsid w:val="7BFF56C0"/>
    <w:rsid w:val="7D5F93C6"/>
    <w:rsid w:val="7D7DF5A8"/>
    <w:rsid w:val="7DBF1461"/>
    <w:rsid w:val="7DCE9E10"/>
    <w:rsid w:val="7DFBEBE7"/>
    <w:rsid w:val="7DFD239A"/>
    <w:rsid w:val="7E2499AA"/>
    <w:rsid w:val="7E5E2BC8"/>
    <w:rsid w:val="7E6BE05B"/>
    <w:rsid w:val="7EEB3343"/>
    <w:rsid w:val="7EFDDA95"/>
    <w:rsid w:val="7F5E8B73"/>
    <w:rsid w:val="7F7DE4C4"/>
    <w:rsid w:val="7F7E1F59"/>
    <w:rsid w:val="7F7E435B"/>
    <w:rsid w:val="7F7FEBA0"/>
    <w:rsid w:val="7FBF80F0"/>
    <w:rsid w:val="7FDF0A7C"/>
    <w:rsid w:val="7FEFA997"/>
    <w:rsid w:val="8DBDDF20"/>
    <w:rsid w:val="977BC8AC"/>
    <w:rsid w:val="97DFBE7C"/>
    <w:rsid w:val="9EEB6911"/>
    <w:rsid w:val="9FF676BD"/>
    <w:rsid w:val="A97F49FE"/>
    <w:rsid w:val="ACF7B2A7"/>
    <w:rsid w:val="AD3738C8"/>
    <w:rsid w:val="B454E648"/>
    <w:rsid w:val="B6DF38AF"/>
    <w:rsid w:val="BA7B23C6"/>
    <w:rsid w:val="BF8F1CE4"/>
    <w:rsid w:val="BFF51C6B"/>
    <w:rsid w:val="BFFD5BB9"/>
    <w:rsid w:val="C83D6529"/>
    <w:rsid w:val="CAF6EDB3"/>
    <w:rsid w:val="CF358644"/>
    <w:rsid w:val="CFFFF449"/>
    <w:rsid w:val="D5FF51E3"/>
    <w:rsid w:val="D72DA19C"/>
    <w:rsid w:val="D7E34A65"/>
    <w:rsid w:val="D7FF677D"/>
    <w:rsid w:val="DBFB7173"/>
    <w:rsid w:val="DBFCD8C8"/>
    <w:rsid w:val="DDF758F8"/>
    <w:rsid w:val="DDFB70D5"/>
    <w:rsid w:val="DEFF3B75"/>
    <w:rsid w:val="DF5E5EC7"/>
    <w:rsid w:val="DFAFDD43"/>
    <w:rsid w:val="DFF7A4B4"/>
    <w:rsid w:val="DFFFE1E9"/>
    <w:rsid w:val="E78FFCE9"/>
    <w:rsid w:val="E7E3F490"/>
    <w:rsid w:val="EAED20B5"/>
    <w:rsid w:val="EE5A7A81"/>
    <w:rsid w:val="EE7D09D6"/>
    <w:rsid w:val="EFF740C3"/>
    <w:rsid w:val="EFFC871E"/>
    <w:rsid w:val="EFFF0FF9"/>
    <w:rsid w:val="F2FF2FEE"/>
    <w:rsid w:val="F3E48386"/>
    <w:rsid w:val="F48FE736"/>
    <w:rsid w:val="F5FE2B26"/>
    <w:rsid w:val="F96E5536"/>
    <w:rsid w:val="FCC73FAF"/>
    <w:rsid w:val="FCE56056"/>
    <w:rsid w:val="FD5E39EB"/>
    <w:rsid w:val="FDDBF360"/>
    <w:rsid w:val="FEE9DB65"/>
    <w:rsid w:val="FEFF92F6"/>
    <w:rsid w:val="FFBAD912"/>
    <w:rsid w:val="FFBD33CB"/>
    <w:rsid w:val="FFF9B9C6"/>
    <w:rsid w:val="FFFB4EEB"/>
    <w:rsid w:val="FFFF8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2940"/>
      <w:jc w:val="center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695</Words>
  <Characters>3966</Characters>
  <Lines>33</Lines>
  <Paragraphs>9</Paragraphs>
  <TotalTime>0</TotalTime>
  <ScaleCrop>false</ScaleCrop>
  <LinksUpToDate>false</LinksUpToDate>
  <CharactersWithSpaces>4652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2020-12-14T22:42:00Z</dcterms:created>
  <dc:creator>Administrator</dc:creator>
  <cp:lastModifiedBy>guest</cp:lastModifiedBy>
  <cp:lastPrinted>2023-03-23T20:01:00Z</cp:lastPrinted>
  <dcterms:modified xsi:type="dcterms:W3CDTF">2023-03-31T11:22:02Z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29CE4BF395E07D010A73C663844FC485</vt:lpwstr>
  </property>
</Properties>
</file>