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10</w:t>
      </w: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日杂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</w:t>
      </w:r>
      <w:r>
        <w:rPr>
          <w:rFonts w:hint="eastAsia" w:ascii="仿宋_GB2312" w:hAnsi="仿宋" w:eastAsia="仿宋_GB2312" w:cs="仿宋_GB2312"/>
          <w:lang w:eastAsia="zh-CN"/>
        </w:rPr>
        <w:t>新区市场局</w:t>
      </w:r>
      <w:r>
        <w:rPr>
          <w:rFonts w:hint="eastAsia" w:ascii="仿宋_GB2312" w:hAnsi="仿宋" w:eastAsia="仿宋_GB2312" w:cs="仿宋_GB2312"/>
        </w:rPr>
        <w:t>组织实施了</w:t>
      </w:r>
      <w:r>
        <w:rPr>
          <w:rFonts w:hint="eastAsia" w:ascii="仿宋_GB2312" w:hAnsi="仿宋" w:eastAsia="仿宋_GB2312" w:cs="仿宋_GB2312"/>
          <w:lang w:eastAsia="zh-CN"/>
        </w:rPr>
        <w:t>重点工业</w:t>
      </w:r>
      <w:r>
        <w:rPr>
          <w:rFonts w:hint="eastAsia" w:ascii="仿宋_GB2312" w:hAnsi="仿宋" w:eastAsia="仿宋_GB2312" w:cs="仿宋_GB2312"/>
        </w:rPr>
        <w:t>产（商）品</w:t>
      </w:r>
      <w:r>
        <w:rPr>
          <w:rFonts w:hint="eastAsia" w:ascii="仿宋_GB2312" w:hAnsi="仿宋" w:eastAsia="仿宋_GB2312" w:cs="仿宋_GB2312"/>
          <w:lang w:eastAsia="zh-CN"/>
        </w:rPr>
        <w:t>日杂产品质量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</w:rPr>
        <w:t>眼镜、学生书包、安全带、安全帽、移动电源、电热毯、电子锁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</w:rPr>
        <w:t>7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。2024年产品共抽检样品</w:t>
      </w:r>
      <w:r>
        <w:rPr>
          <w:rFonts w:hint="eastAsia" w:ascii="仿宋_GB2312" w:hAnsi="仿宋" w:eastAsia="仿宋_GB2312" w:cs="仿宋_GB2312"/>
          <w:u w:val="single"/>
          <w:lang w:eastAsia="zh-CN"/>
        </w:rPr>
        <w:t>55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42</w:t>
      </w:r>
      <w:r>
        <w:rPr>
          <w:rFonts w:hint="eastAsia" w:ascii="仿宋_GB2312" w:hAnsi="仿宋" w:eastAsia="仿宋_GB2312" w:cs="仿宋_GB2312"/>
          <w:lang w:eastAsia="zh-CN"/>
        </w:rPr>
        <w:t>批次，发现不合格产品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23.64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eastAsia="zh-CN"/>
        </w:rPr>
        <w:t>学生书包、安全帽、电子锁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lang w:val="en-US" w:eastAsia="zh-CN"/>
        </w:rPr>
        <w:t>3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>眼镜、安全带、移动电源、电热毯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929"/>
        <w:gridCol w:w="1738"/>
        <w:gridCol w:w="2059"/>
        <w:gridCol w:w="1964"/>
        <w:gridCol w:w="1616"/>
        <w:gridCol w:w="1118"/>
        <w:gridCol w:w="2387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33" w:hRule="atLeast"/>
          <w:jc w:val="center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背提包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西咸新区空港新城万家惠生活超市店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河北申润箱包制造有限公司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佳佳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面料材质:牛津纺 里料材质:涤纶 货号:PM3385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背提包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西咸新区泾河新城典隆大乐城商贸有限公司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河北申润箱包制造有限公司（标称）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佳佳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货号:8395 规格:46*32*16 面料材质:牛津纺 里料材质:涤纶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手提包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西咸新区泾河新城典隆大乐城商贸有限公司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广州市启升皮具有限公司（标称）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货号:00B162 尺寸:宽38*高17*厚30（cm）材质:PVC 内衬:涤纶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学生书包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泾河新城陈杏文具店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保定白沟江文皮具制造有限公司（标称）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旗彩学堂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3291＃ 43*31*23cm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休闲包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泾河新城陈杏文具店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糖可可商贸有限公司（标称）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糖可可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D6188＃熊头笑脸、34×33×12cm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背包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泾河新城佳汇文化用品超市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白沟新城振迈箱包销售部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新意达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材质:面料:聚酯纤维100%（涂层除外） 里料:聚酯纤维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唯加时尚休闲背包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陕西永辉超市有限公司西安沣明路分公司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泉州市美凯博进出口有限公司（标称）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唯加WEPLUS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货号:WPB1702 30*15*42cm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唯加轻便护脊书包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陕西永辉超市有限公司西安沣明路分公司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泉州市美凯博进出口有限公司（标称）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唯加WEPLUS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货号:WPB2057 30*15*40cm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H02两用休闲包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西咸新区沣东新城生活集合日用百货经销店（个体工商户）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高碑店市威斌皮具有限公司（标称）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涤纶牛津布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背提包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西咸新区沣东新城生活集合日用百货经销店（个体工商户）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广州厚米箱包贸易有限公司（标称）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单双号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牛津布/复合布 型号:D-073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老视镜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2020年06月10日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西安余落洲豪雅眼镜有限公司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临海市繁华眼镜厂（标称）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古月红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OCD=63±1 +4.00D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老视镜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西咸新区王府井商业有限公司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瑞安市精丽眼镜有限公司（标称）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骏朗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+3.50D OCD=61mm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老视镜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2024年6月8日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西咸新区王府井商业有限公司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临海市嘉营眼镜厂（标称）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骏朗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+1.50D OCD=62mm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老视成镜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20180126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陕西柒米眼镜有限公司白马河路分公司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温州市盟大光学眼镜有限公司（标称）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年轻态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+1.00D OCD=61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老人100老视镜系列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2021-05-17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西咸新区空港新城千叶眼镜店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台州市俊博眼镜有限公司（标称）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老人100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OCD=62 +2.00D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尚花老视成镜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西咸新区空港新城千叶眼镜店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丹阳市开发区美欣眼镜厂（标称）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尚花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+3.50  PD62-64mm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老花镜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秦汉新城斌斌朗视达眼镜店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临海市福佬眼镜有限公司（标称）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福佬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OCD-63 +3.00D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卡美多1.600（防蓝光）超薄非球面镜片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2020/09/06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空港新城大视力眼镜店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江苏帕美多光电科技有限公司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卡美多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球光:-1.00DS 散光:-1.50DS 中心厚度:1.6mm 直径:75mm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中折非球面加膜树脂镜片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2024/7/15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西咸新区镜匠人视光眼镜有限公司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视悦光学有限公司（标称）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规格:Φ72mm  中心厚度:1.3mm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防蓝光非球面树脂镜片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12022023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沣西新城新博视眼镜行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江苏鸿晨集团有限公司（标称）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直径71mm中心（边缘）厚度1.6mm×2片 中心（边缘）厚度1.2mm×2片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眼镜镜片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2022/11/11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西安精功眼镜销售有限公司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江苏优立光学眼镜有限公司（标称）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卡帕斯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Φ72  S:-4.50  C:-0.00  CT:1.20mm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1.553耐磨型非球面树脂镜片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2022/11/21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秦汉新城明光眼镜行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江苏俊视光学有限公司（标称）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俊视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球镜:-3.75DS 柱镜:-0.00DC 规格:Φ75mm 中心厚度:1.2mm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1.553抗辐射蓝膜树脂镜片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2024/09/30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秦汉新城明光眼镜行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上海坤岳光学眼镜有限公司（标称）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依视雅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直径:72mm 中心厚度:1.2mm×2片  中心厚度:1.4mm×2片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1.552非球面发水膜（眼镜镜片）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09102024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西咸新区视佰科眼镜销售有限公司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镇江共镜光学科技有限公司（标称）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直径:71mm 中心（边缘）厚度:1.2mm×3片  中心（边缘）厚度:1.4mm×1片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超薄非球面加膜树脂镜片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321177DL30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泾河新城新光眼镜行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江苏视无界光学眼镜有限公司（标称）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CATINO卡帝诺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Ds-3.75 -3.75 Dc-0.00 +0.00 中心厚度:CT=1.1mm 规格:Φ75mm/无色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1.60无底防蓝光树脂镜片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泾河新城新光眼镜行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奥普泰克光学（江苏）有限公司（标称）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中心厚度:CT=1.70mm  规格:Φ75mm/无色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防蓝光树脂镜片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西安余落洲豪雅眼镜有限公司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明月镜片股份有限公司（标称）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直径:73mm中心厚度:1.70mm×3片 中心厚度:1.50mm×1片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V型透气安全帽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沣西新城大王杨蓬勃五金工具店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河北政豪劳动防护用品有限公司（标称）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安全帽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秦汉新城刘惠家百货店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邯郸冀南新区腾达劳保制品有限公司（标称）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锐安达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普通型安全帽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921（安全帽）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24年3月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泾河新城陈杏文具店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临沂晟裕塑料制品厂（标称）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久建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玻钢型（P类）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安全帽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21年3月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西咸新区沣东新城燕子五金劳保经销部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磁县建安劳保塑料制品有限公司（标称）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德安邦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PE·ABS·玻璃钢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安全帽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空港新城晓坤百货商店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临沂晟裕塑料制品厂（标称）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裕威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玻钢型（P类）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移动电源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西咸新区沣东新城宝兵通讯服务部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深圳市思科耐实业有限公司（标称）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SIKENAI（思科耐）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型号:QS-18 电池容量:10000mAh（3.7V/37Wh）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移动电源/Power bank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24年6月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西咸新区沣东新城宝兵通讯服务部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深圳市思科耐实业有限公司（标称）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SIKENAI（思科耐）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型号/Model:DS-10 容量/Capacity:10000mAh（3.7V/37Wh）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Power Bank移动电源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西咸新区沣东新城博雷通讯服务部（个体工商户）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深圳市乔威电源有限公司（标称）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型号:JP301 锂电池能量:10000mAh 37Wh 额定容量:5400mAh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Wireless Power Bank无线充移动电源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西咸新区沣东新城博雷通讯服务部（个体工商户）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深圳市乔威电源有限公司（标称）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型号:JP511 锂电池能量:10000mAh 38.5Wh 额定容量:5000mAh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电热毯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沣西新城哆先森日用百货店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渭南市华州区华山电器有限公司（标称）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華山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型号:TT145×115-6X 规格:1450mm×1150mm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飞利浦智能锁 DDL603E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西咸新区沣东新城銧銘拉手五金经销部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广东柯伲斯智能科技有限公司（标称）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DDL603E-5HW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智能门锁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沣东新城鑫海丽五金卫浴经营部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深圳市凯迪仕智能科技股份有限公司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Kaadas凯迪仕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特畅恒智能锁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2024年10月17日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泾河新城崇文锁业开锁店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永康市铄鑫安防科技有限公司（标称）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K16J（双锂电）磨砂黑 三摄+人脸+猫眼+对讲款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电子防盗锁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24H05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泾河新城崇文锁业开锁店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聚盛智能科技（中山）有限公司（标称）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山东精准产品质量检测有限公司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普鑫品牌智能锁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西咸新区泾河新城凯迪仕锁店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广东正鑫智能科技有限公司（标称）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PUXIn 普鑫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Q27S-3DR 哑枪黑间外灰拉丝 标称电压:8.4V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山东精准产品质量检测有限公司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2F9E7B0C"/>
    <w:rsid w:val="32F901D7"/>
    <w:rsid w:val="334E1C12"/>
    <w:rsid w:val="3F9B8F72"/>
    <w:rsid w:val="41912690"/>
    <w:rsid w:val="4253715C"/>
    <w:rsid w:val="427457F3"/>
    <w:rsid w:val="48C36FCD"/>
    <w:rsid w:val="53AD7E9B"/>
    <w:rsid w:val="55EB4D21"/>
    <w:rsid w:val="5AF10045"/>
    <w:rsid w:val="66D778FA"/>
    <w:rsid w:val="6DCF4CBC"/>
    <w:rsid w:val="73C44879"/>
    <w:rsid w:val="97F7889F"/>
    <w:rsid w:val="BF7E0FBB"/>
    <w:rsid w:val="EFA652F2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4365</Words>
  <Characters>5390</Characters>
  <Lines>35</Lines>
  <Paragraphs>9</Paragraphs>
  <TotalTime>6</TotalTime>
  <ScaleCrop>false</ScaleCrop>
  <LinksUpToDate>false</LinksUpToDate>
  <CharactersWithSpaces>5475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2025-01-23T16:01:26Z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eyJoZGlkIjoiYWVhMTIyMmRlMmVhNzhkZWI1OTgxZjRjMDczMTQxOGQiLCJ1c2VySWQiOiI2NDU3Mzg4NjcifQ==</vt:lpwstr>
  </property>
  <property fmtid="{D5CDD505-2E9C-101B-9397-08002B2CF9AE}" pid="4" name="ICV">
    <vt:lpwstr>126421762A6B4B3EB990BAE2AFFFFA46_13</vt:lpwstr>
  </property>
</Properties>
</file>