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2</w:t>
      </w:r>
    </w:p>
    <w:p>
      <w:pPr>
        <w:keepNext w:val="0"/>
        <w:keepLines w:val="0"/>
        <w:pageBreakBefore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黑体" w:cs="Times New Roman"/>
          <w:kern w:val="2"/>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rPr>
        <w:t>秦创原总窗口产业链首席科学顾问</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方正小标宋简体" w:cs="Times New Roman"/>
          <w:color w:val="333333"/>
          <w:kern w:val="0"/>
          <w:sz w:val="44"/>
          <w:szCs w:val="44"/>
          <w:lang w:val="en-US" w:eastAsia="zh-CN"/>
        </w:rPr>
      </w:pPr>
      <w:r>
        <w:rPr>
          <w:rFonts w:hint="default" w:ascii="Times New Roman" w:hAnsi="Times New Roman" w:eastAsia="方正小标宋简体" w:cs="Times New Roman"/>
          <w:color w:val="333333"/>
          <w:kern w:val="0"/>
          <w:sz w:val="44"/>
          <w:szCs w:val="44"/>
        </w:rPr>
        <w:t>和科技企业首席科学家</w:t>
      </w:r>
      <w:r>
        <w:rPr>
          <w:rFonts w:hint="eastAsia" w:ascii="Times New Roman" w:hAnsi="Times New Roman" w:eastAsia="方正小标宋简体" w:cs="Times New Roman"/>
          <w:color w:val="333333"/>
          <w:kern w:val="0"/>
          <w:sz w:val="44"/>
          <w:szCs w:val="44"/>
          <w:lang w:val="en-US" w:eastAsia="zh-CN"/>
        </w:rPr>
        <w:t>专项</w:t>
      </w:r>
      <w:r>
        <w:rPr>
          <w:rFonts w:hint="default" w:ascii="Times New Roman" w:hAnsi="Times New Roman" w:eastAsia="方正小标宋简体" w:cs="Times New Roman"/>
          <w:color w:val="333333"/>
          <w:kern w:val="0"/>
          <w:sz w:val="44"/>
          <w:szCs w:val="44"/>
        </w:rPr>
        <w:t>申报</w:t>
      </w:r>
      <w:r>
        <w:rPr>
          <w:rFonts w:hint="eastAsia" w:ascii="Times New Roman" w:hAnsi="Times New Roman" w:eastAsia="方正小标宋简体" w:cs="Times New Roman"/>
          <w:color w:val="333333"/>
          <w:kern w:val="0"/>
          <w:sz w:val="44"/>
          <w:szCs w:val="44"/>
          <w:lang w:val="en-US" w:eastAsia="zh-CN"/>
        </w:rPr>
        <w:t>指南</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方正小标宋简体" w:cs="Times New Roman"/>
          <w:color w:val="333333"/>
          <w:kern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秦创原总窗口产业链首席科学顾问和科技企业首席科学家，是指以企业或高水平创新平台为依托，以攻克产业重大技术难题，促进科技成果转化，突出产业链补链、强链、延链、增链、稳链，做强长板优势，补齐短板弱项为目的，围绕秦创原创新驱动平台建设，结合“两链”融合部署在新区重点产业领域有突出贡献的科技创新人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工作职责</w:t>
      </w:r>
    </w:p>
    <w:p>
      <w:pPr>
        <w:bidi w:val="0"/>
        <w:rPr>
          <w:rFonts w:hint="default" w:ascii="Times New Roman" w:hAnsi="Times New Roman" w:cs="Times New Roman"/>
        </w:rPr>
      </w:pPr>
      <w:r>
        <w:rPr>
          <w:rFonts w:hint="eastAsia" w:ascii="楷体_GB2312" w:hAnsi="楷体_GB2312" w:eastAsia="楷体_GB2312" w:cs="楷体_GB2312"/>
        </w:rPr>
        <w:t>产业链首席科学顾问：</w:t>
      </w:r>
      <w:r>
        <w:rPr>
          <w:rFonts w:hint="default" w:ascii="Times New Roman" w:hAnsi="Times New Roman" w:cs="Times New Roman"/>
        </w:rPr>
        <w:t>围绕秦创原创新驱动平台总窗口“两链”融合部署，以新区重点产业链为重点主攻方向，在各个产业链链主企业及产业链关键节点企业，从重大关键共性技术到应用示范，为区内产业链链主企业、龙头企业提供产业定位、产品布局规划、产业发展策划、技术路线图及中长期产业规划等相关业务的战略咨询与指导服务，指导制定产业链提升方案，为新区统筹推进产业链企业发展、招商引资、项目建设、人才引进、技术创新等重大事项提供决策依据和智力支持，促进新区重点产业链资源垂直整合，培育若干产业链配套企业，形成产业链优质企业梯次培育格局。(每年每条产业链拟评选1-2名)</w:t>
      </w:r>
    </w:p>
    <w:p>
      <w:pPr>
        <w:bidi w:val="0"/>
        <w:rPr>
          <w:rFonts w:hint="default" w:ascii="Times New Roman" w:hAnsi="Times New Roman" w:cs="Times New Roman"/>
        </w:rPr>
      </w:pPr>
      <w:r>
        <w:rPr>
          <w:rFonts w:hint="default" w:ascii="楷体_GB2312" w:hAnsi="楷体_GB2312" w:eastAsia="楷体_GB2312" w:cs="楷体_GB2312"/>
        </w:rPr>
        <w:t>科技企业首席科学家：</w:t>
      </w:r>
      <w:r>
        <w:rPr>
          <w:rFonts w:hint="default" w:ascii="Times New Roman" w:hAnsi="Times New Roman" w:cs="Times New Roman"/>
        </w:rPr>
        <w:t>研究把握国内外产业技术发展方向，参与制定企业技术发展战略规划、年度研究计划的制定;负责对企业技术创新及技改研究工作的管理和全面指导;负责产品研发流程的规划、审查与监督;有效推动和指导已进入研发的新产品，并有效地实施，以保证研发项目按计划完成;对研发中心建设提供科学、有效、及时的技术咨询和建议，提升企业整体研发水平。(每年拟评选10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申报范围</w:t>
      </w:r>
    </w:p>
    <w:p>
      <w:pPr>
        <w:bidi w:val="0"/>
        <w:ind w:firstLine="640"/>
        <w:rPr>
          <w:rFonts w:hint="default" w:ascii="Times New Roman" w:hAnsi="Times New Roman" w:cs="Times New Roman"/>
        </w:rPr>
      </w:pPr>
      <w:r>
        <w:rPr>
          <w:rFonts w:hint="default" w:ascii="Times New Roman" w:hAnsi="Times New Roman" w:cs="Times New Roman"/>
        </w:rPr>
        <w:t>区内符合条件的科技型企业、创新平台等主体均可申报。产业链首席科学顾问队伍项目和科技企业首席科学家队伍申请不受其他省、市科技计划限项规定限制。鼓励受资助项目加快工作进度，及时解决问题，尽快满足企业发展需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申报条件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楷体_GB2312" w:hAnsi="楷体_GB2312" w:eastAsia="楷体_GB2312" w:cs="楷体_GB2312"/>
          <w:sz w:val="32"/>
          <w:szCs w:val="32"/>
        </w:rPr>
      </w:pPr>
      <w:r>
        <w:rPr>
          <w:rStyle w:val="9"/>
          <w:rFonts w:hint="eastAsia" w:ascii="楷体_GB2312" w:hAnsi="楷体_GB2312" w:eastAsia="楷体_GB2312" w:cs="楷体_GB2312"/>
          <w:sz w:val="32"/>
          <w:szCs w:val="32"/>
        </w:rPr>
        <w:t>(一)产业链首席科学顾问应符合以下条件</w:t>
      </w:r>
    </w:p>
    <w:p>
      <w:pPr>
        <w:bidi w:val="0"/>
        <w:ind w:firstLine="640"/>
        <w:rPr>
          <w:rFonts w:hint="default" w:ascii="Times New Roman" w:hAnsi="Times New Roman" w:cs="Times New Roman"/>
        </w:rPr>
      </w:pPr>
      <w:r>
        <w:rPr>
          <w:rFonts w:hint="default" w:ascii="Times New Roman" w:hAnsi="Times New Roman" w:cs="Times New Roman"/>
        </w:rPr>
        <w:t>1.在相关学术领域有一定影响，对相关行业有深度研究，具有解决关键技术问题的能力的高校院所专家、智库专家，与区内重点企业签订相关的合作协议(本条文中重点企业条件见第5条)。</w:t>
      </w:r>
    </w:p>
    <w:p>
      <w:pPr>
        <w:bidi w:val="0"/>
        <w:ind w:firstLine="64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w:t>
      </w:r>
      <w:r>
        <w:rPr>
          <w:rFonts w:hint="eastAsia" w:ascii="Times New Roman" w:hAnsi="Times New Roman" w:cs="Times New Roman"/>
          <w:lang w:val="en-US" w:eastAsia="zh-CN"/>
        </w:rPr>
        <w:t>一</w:t>
      </w:r>
      <w:r>
        <w:rPr>
          <w:rFonts w:hint="default" w:ascii="Times New Roman" w:hAnsi="Times New Roman" w:cs="Times New Roman"/>
        </w:rPr>
        <w:t>般应具有副高以上职称或同等工作经验，主持国家级科研项目1项或主持省部级科研项目2项或市级科研项目3项以上且结题情况良好。</w:t>
      </w:r>
    </w:p>
    <w:p>
      <w:pPr>
        <w:bidi w:val="0"/>
        <w:ind w:firstLine="640"/>
        <w:rPr>
          <w:rFonts w:hint="default" w:ascii="Times New Roman" w:hAnsi="Times New Roman" w:cs="Times New Roman"/>
        </w:rPr>
      </w:pPr>
      <w:r>
        <w:rPr>
          <w:rFonts w:hint="default" w:ascii="Times New Roman" w:hAnsi="Times New Roman" w:cs="Times New Roman"/>
        </w:rPr>
        <w:t>3.已取得高水平创新性成果，所在行业或领域业绩突出，具有较大的创新发展潜力，主要精力放在科研一线从事研究开发工作。</w:t>
      </w:r>
    </w:p>
    <w:p>
      <w:pPr>
        <w:bidi w:val="0"/>
        <w:ind w:firstLine="640"/>
        <w:rPr>
          <w:rFonts w:hint="default" w:ascii="Times New Roman" w:hAnsi="Times New Roman" w:cs="Times New Roman"/>
        </w:rPr>
      </w:pPr>
      <w:r>
        <w:rPr>
          <w:rFonts w:hint="default" w:ascii="Times New Roman" w:hAnsi="Times New Roman" w:cs="Times New Roman"/>
        </w:rPr>
        <w:t>4.具有较强的科研领军才能和团队组织管理能力。</w:t>
      </w:r>
    </w:p>
    <w:p>
      <w:pPr>
        <w:bidi w:val="0"/>
        <w:ind w:firstLine="640"/>
        <w:rPr>
          <w:rFonts w:hint="default" w:ascii="Times New Roman" w:hAnsi="Times New Roman" w:cs="Times New Roman"/>
        </w:rPr>
      </w:pPr>
      <w:r>
        <w:rPr>
          <w:rFonts w:hint="default" w:ascii="Times New Roman" w:hAnsi="Times New Roman" w:cs="Times New Roman"/>
        </w:rPr>
        <w:t>5.重点企业指的是：区内产业链链主企业、龙头企业销售收入在1亿元-2亿元的企业，科技人员数占企业职工总数的比例为15%以上，研发费用总额占同期销售收入总额的比例为5%以上;</w:t>
      </w:r>
    </w:p>
    <w:p>
      <w:pPr>
        <w:bidi w:val="0"/>
        <w:ind w:firstLine="640"/>
        <w:rPr>
          <w:rFonts w:hint="eastAsia" w:ascii="Times New Roman" w:hAnsi="Times New Roman" w:cs="Times New Roman"/>
          <w:lang w:eastAsia="zh-CN"/>
        </w:rPr>
      </w:pPr>
      <w:r>
        <w:rPr>
          <w:rFonts w:hint="default" w:ascii="Times New Roman" w:hAnsi="Times New Roman" w:cs="Times New Roman"/>
        </w:rPr>
        <w:t>产业链链主企业、区内龙头企业销售收入销售收入在2亿元以上企业，科技人员数占企业职工总数的比例为15%以上，研发费用总额占同期销售收入总额的比例为4%以上</w:t>
      </w:r>
      <w:r>
        <w:rPr>
          <w:rFonts w:hint="eastAsia" w:ascii="Times New Roman" w:hAnsi="Times New Roman" w:cs="Times New Roman"/>
          <w:lang w:eastAsia="zh-CN"/>
        </w:rPr>
        <w:t>。</w:t>
      </w:r>
    </w:p>
    <w:p>
      <w:pPr>
        <w:bidi w:val="0"/>
        <w:ind w:firstLine="640"/>
        <w:rPr>
          <w:rFonts w:hint="eastAsia" w:ascii="Times New Roman" w:hAnsi="Times New Roman" w:eastAsia="仿宋_GB2312" w:cs="Times New Roman"/>
          <w:lang w:val="en-US" w:eastAsia="zh-CN"/>
        </w:rPr>
      </w:pPr>
      <w:r>
        <w:rPr>
          <w:rFonts w:hint="default" w:ascii="Times New Roman" w:hAnsi="Times New Roman" w:cs="Times New Roman"/>
        </w:rPr>
        <w:t>填写《2022年度秦创原总窗口产业链首席科学顾问申请表》</w:t>
      </w:r>
      <w:r>
        <w:rPr>
          <w:rFonts w:hint="eastAsia" w:ascii="Times New Roman" w:hAnsi="Times New Roman" w:cs="Times New Roman"/>
          <w:lang w:eastAsia="zh-CN"/>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Style w:val="9"/>
          <w:rFonts w:hint="default" w:ascii="楷体_GB2312" w:hAnsi="楷体_GB2312" w:eastAsia="楷体_GB2312" w:cs="楷体_GB2312"/>
          <w:sz w:val="32"/>
          <w:szCs w:val="32"/>
        </w:rPr>
      </w:pPr>
      <w:r>
        <w:rPr>
          <w:rStyle w:val="9"/>
          <w:rFonts w:hint="default" w:ascii="楷体_GB2312" w:hAnsi="楷体_GB2312" w:eastAsia="楷体_GB2312" w:cs="楷体_GB2312"/>
          <w:sz w:val="32"/>
          <w:szCs w:val="32"/>
        </w:rPr>
        <w:t>(二)科技企业首席科学家应符合以下条件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1.科技型企业销售收入在5000万元-1亿元的，科技人员数占企业职工总数的比例为15%以上，企业研发费用总额占同期销售收入总额的比例为5%以上。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科技型企业销售收入在1亿元以上的，科技人员数占企业职工总数的比例为15%以上，企业研发费用总额占同期销售收入总额的比例为4%以上。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2.新区科技企业正式或签订三年以上聘用合同人员，一般为分管科技业务的高级管理人员、企业研发项目的带头人等。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3.在企业项目管理、研发组织架构建设、研发与技术标准化和流程化有突出贡献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有研发管理经验，具有选题、立项、主持实施技术研发项目的能力。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4.具有主持承担省、市级重大科技项目或者大型企业技术研发项目的经验。</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5.与企业有明确合作协议和详细任务规划，任务指标合理，技术创新在本产业中具有国际、国内先进水平或我省领先水平，可为成果转化、企业发展提供智力和技术支持。</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般应主持企业科研项目或技术攻关1项以上，有解决企业技术瓶颈问题的基础能力和实践经验。</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仿宋_GB2312" w:cs="Times New Roman"/>
          <w:bCs/>
          <w:sz w:val="36"/>
          <w:szCs w:val="36"/>
          <w:lang w:eastAsia="zh-CN"/>
        </w:rPr>
      </w:pPr>
      <w:r>
        <w:rPr>
          <w:rFonts w:hint="default" w:ascii="Times New Roman" w:hAnsi="Times New Roman" w:eastAsia="仿宋_GB2312" w:cs="Times New Roman"/>
          <w:sz w:val="32"/>
          <w:szCs w:val="32"/>
        </w:rPr>
        <w:t>填写《2022年度秦创原总窗口科技企业首席科学家申请表》</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支持方式</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入选产业链首席科学顾问的企业，根据企业合作协议实际费用的50%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给予企业最高30万元的配套支持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入选科技企业首席科学家的企业，根据企业科技研发项目费用的50%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给予企业最高30万元的配套支持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所需资金从年度科技计划项目中列支。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组织实施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(一)申报主体填报推荐表或申报书，同一单位可同时申报</w:t>
      </w:r>
      <w:r>
        <w:rPr>
          <w:rFonts w:hint="eastAsia" w:ascii="Times New Roman" w:hAnsi="Times New Roman" w:eastAsia="仿宋_GB2312" w:cs="Times New Roman"/>
          <w:sz w:val="32"/>
          <w:szCs w:val="32"/>
          <w:lang w:val="en-US" w:eastAsia="zh-CN"/>
        </w:rPr>
        <w:t>两个类别的计划</w:t>
      </w:r>
      <w:r>
        <w:rPr>
          <w:rFonts w:hint="default"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西咸</w:t>
      </w:r>
      <w:r>
        <w:rPr>
          <w:rFonts w:hint="default" w:ascii="Times New Roman" w:hAnsi="Times New Roman" w:eastAsia="仿宋_GB2312" w:cs="Times New Roman"/>
          <w:sz w:val="32"/>
          <w:szCs w:val="32"/>
        </w:rPr>
        <w:t>新区</w:t>
      </w:r>
      <w:r>
        <w:rPr>
          <w:rFonts w:hint="eastAsia" w:ascii="Times New Roman" w:hAnsi="Times New Roman" w:eastAsia="仿宋_GB2312" w:cs="Times New Roman"/>
          <w:sz w:val="32"/>
          <w:szCs w:val="32"/>
          <w:lang w:val="en-US" w:eastAsia="zh-CN"/>
        </w:rPr>
        <w:t>科技局</w:t>
      </w:r>
      <w:r>
        <w:rPr>
          <w:rFonts w:hint="default" w:ascii="Times New Roman" w:hAnsi="Times New Roman" w:eastAsia="仿宋_GB2312" w:cs="Times New Roman"/>
          <w:sz w:val="32"/>
          <w:szCs w:val="32"/>
        </w:rPr>
        <w:t>组织初审和评审，围绕支持产业项目方向，遴选同行5-7名专家组成评审组进行评审。</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(三)经审定的产业链首席科学顾问和科技企业首席科学家优先纳入新区科技企业专家库。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2022年度秦创原总窗口产业链首席科学顾问</w:t>
      </w:r>
      <w:r>
        <w:rPr>
          <w:rFonts w:hint="eastAsia" w:ascii="方正小标宋简体" w:hAnsi="方正小标宋简体" w:eastAsia="方正小标宋简体" w:cs="方正小标宋简体"/>
          <w:bCs/>
          <w:sz w:val="36"/>
          <w:szCs w:val="36"/>
          <w:lang w:eastAsia="zh-CN"/>
        </w:rPr>
        <w:t>申请</w:t>
      </w:r>
      <w:r>
        <w:rPr>
          <w:rFonts w:hint="eastAsia" w:ascii="方正小标宋简体" w:hAnsi="方正小标宋简体" w:eastAsia="方正小标宋简体" w:cs="方正小标宋简体"/>
          <w:bCs/>
          <w:sz w:val="36"/>
          <w:szCs w:val="36"/>
        </w:rPr>
        <w:t>表</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Cs/>
          <w:sz w:val="36"/>
          <w:szCs w:val="36"/>
        </w:rPr>
      </w:pPr>
    </w:p>
    <w:tbl>
      <w:tblPr>
        <w:tblStyle w:val="7"/>
        <w:tblW w:w="9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7"/>
        <w:gridCol w:w="1830"/>
        <w:gridCol w:w="1966"/>
        <w:gridCol w:w="1933"/>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姓 名</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性 别</w:t>
            </w:r>
          </w:p>
        </w:tc>
        <w:tc>
          <w:tcPr>
            <w:tcW w:w="19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8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出生年月</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现职称/职务</w:t>
            </w:r>
          </w:p>
        </w:tc>
        <w:tc>
          <w:tcPr>
            <w:tcW w:w="19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工作单位</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毕业院校及</w:t>
            </w:r>
            <w:r>
              <w:rPr>
                <w:rFonts w:hint="eastAsia" w:ascii="仿宋_GB2312" w:hAnsi="宋体" w:eastAsia="仿宋_GB2312" w:cs="仿宋_GB2312"/>
                <w:i w:val="0"/>
                <w:iCs w:val="0"/>
                <w:color w:val="000000"/>
                <w:kern w:val="0"/>
                <w:sz w:val="24"/>
                <w:szCs w:val="24"/>
                <w:u w:val="none"/>
                <w:lang w:val="en-US" w:eastAsia="zh-CN" w:bidi="ar"/>
              </w:rPr>
              <w:t>专业</w:t>
            </w:r>
          </w:p>
        </w:tc>
        <w:tc>
          <w:tcPr>
            <w:tcW w:w="19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联系方式</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邮箱</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研究专业领域、近两年工作实绩</w:t>
            </w:r>
          </w:p>
        </w:tc>
        <w:tc>
          <w:tcPr>
            <w:tcW w:w="76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服务产业链及企业</w:t>
            </w:r>
          </w:p>
        </w:tc>
        <w:tc>
          <w:tcPr>
            <w:tcW w:w="76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jc w:val="center"/>
        </w:trPr>
        <w:tc>
          <w:tcPr>
            <w:tcW w:w="1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合作内容</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简介</w:t>
            </w:r>
          </w:p>
        </w:tc>
        <w:tc>
          <w:tcPr>
            <w:tcW w:w="76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6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申请单位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意见</w:t>
            </w:r>
          </w:p>
        </w:tc>
        <w:tc>
          <w:tcPr>
            <w:tcW w:w="7610"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2640" w:firstLineChars="1100"/>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ind w:firstLine="3840" w:firstLineChars="16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推荐单位（盖章）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6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归口管理部门意见</w:t>
            </w:r>
          </w:p>
        </w:tc>
        <w:tc>
          <w:tcPr>
            <w:tcW w:w="7610"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500"/>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ind w:left="4320" w:leftChars="135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（部门盖章）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6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新区科技局意见</w:t>
            </w:r>
          </w:p>
        </w:tc>
        <w:tc>
          <w:tcPr>
            <w:tcW w:w="7610"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4320" w:leftChars="135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（部门盖章）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61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bl>
    <w:p>
      <w:pPr>
        <w:ind w:left="0" w:lef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2022年度</w:t>
      </w:r>
      <w:r>
        <w:rPr>
          <w:rFonts w:hint="default" w:ascii="方正小标宋简体" w:hAnsi="方正小标宋简体" w:eastAsia="方正小标宋简体" w:cs="方正小标宋简体"/>
          <w:bCs/>
          <w:sz w:val="36"/>
          <w:szCs w:val="36"/>
        </w:rPr>
        <w:t>秦创原总窗口科技企业首席科学家</w:t>
      </w:r>
      <w:r>
        <w:rPr>
          <w:rFonts w:hint="eastAsia" w:ascii="方正小标宋简体" w:hAnsi="方正小标宋简体" w:eastAsia="方正小标宋简体" w:cs="方正小标宋简体"/>
          <w:bCs/>
          <w:sz w:val="36"/>
          <w:szCs w:val="36"/>
          <w:lang w:eastAsia="zh-CN"/>
        </w:rPr>
        <w:t>申请表</w:t>
      </w:r>
    </w:p>
    <w:p>
      <w:pPr>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cs="Times New Roman"/>
          <w:b/>
          <w:sz w:val="28"/>
          <w:szCs w:val="28"/>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hidden="1" allowOverlap="1">
                <wp:simplePos x="0" y="0"/>
                <wp:positionH relativeFrom="column">
                  <wp:posOffset>-83820</wp:posOffset>
                </wp:positionH>
                <wp:positionV relativeFrom="paragraph">
                  <wp:posOffset>322580</wp:posOffset>
                </wp:positionV>
                <wp:extent cx="6057900" cy="3656330"/>
                <wp:effectExtent l="11430" t="8255" r="7620" b="12065"/>
                <wp:wrapNone/>
                <wp:docPr id="1" name="文本框 1"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cmpd="sng">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60288;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H2qGNcAAAAKAQAADwAA&#10;AAAAAAABACAAAAAiAAAAZHJzL2Rvd25yZXYueG1sUEsBAhQAFAAAAAgAh07iQNRhV6dQAgAAngQA&#10;AA4AAAAAAAAAAQAgAAAAJgEAAGRycy9lMm9Eb2MueG1sUEsFBgAAAAAGAAYAWQEAAOg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v:textbox>
              </v:shape>
            </w:pict>
          </mc:Fallback>
        </mc:AlternateContent>
      </w:r>
      <w:r>
        <w:rPr>
          <w:rFonts w:hint="default" w:ascii="Times New Roman" w:hAnsi="Times New Roman" w:cs="Times New Roman"/>
          <w:b/>
          <w:sz w:val="28"/>
          <w:szCs w:val="28"/>
        </w:rPr>
        <w:t xml:space="preserve">                                                           </w:t>
      </w:r>
    </w:p>
    <w:tbl>
      <w:tblPr>
        <w:tblW w:w="891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85"/>
        <w:gridCol w:w="1696"/>
        <w:gridCol w:w="2218"/>
        <w:gridCol w:w="1436"/>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姓名</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性别</w:t>
            </w:r>
          </w:p>
        </w:tc>
        <w:tc>
          <w:tcPr>
            <w:tcW w:w="14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178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出生日期</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现职称/职务</w:t>
            </w:r>
          </w:p>
        </w:tc>
        <w:tc>
          <w:tcPr>
            <w:tcW w:w="14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1782"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联系方式</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bdr w:val="none" w:color="auto" w:sz="0" w:space="0"/>
                <w:lang w:val="en-US" w:eastAsia="zh-CN" w:bidi="ar"/>
              </w:rPr>
              <w:t>邮箱</w:t>
            </w:r>
          </w:p>
        </w:tc>
        <w:tc>
          <w:tcPr>
            <w:tcW w:w="14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1782"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bdr w:val="none" w:color="auto" w:sz="0" w:space="0"/>
                <w:lang w:val="en-US" w:eastAsia="zh-CN" w:bidi="ar"/>
              </w:rPr>
              <w:t>企业名称</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w:t>
            </w:r>
            <w:r>
              <w:rPr>
                <w:rFonts w:hint="eastAsia" w:ascii="仿宋_GB2312" w:hAnsi="宋体" w:cs="仿宋_GB2312"/>
                <w:i w:val="0"/>
                <w:iCs w:val="0"/>
                <w:color w:val="000000"/>
                <w:kern w:val="0"/>
                <w:sz w:val="24"/>
                <w:szCs w:val="24"/>
                <w:u w:val="none"/>
                <w:bdr w:val="none" w:color="auto" w:sz="0" w:space="0"/>
                <w:lang w:val="en-US" w:eastAsia="zh-CN" w:bidi="ar"/>
              </w:rPr>
              <w:t>性质</w:t>
            </w:r>
          </w:p>
        </w:tc>
        <w:tc>
          <w:tcPr>
            <w:tcW w:w="3218"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单位地址</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单位联系人</w:t>
            </w:r>
            <w:r>
              <w:rPr>
                <w:rFonts w:hint="eastAsia" w:ascii="仿宋_GB2312" w:hAnsi="宋体" w:cs="仿宋_GB2312"/>
                <w:i w:val="0"/>
                <w:iCs w:val="0"/>
                <w:color w:val="000000"/>
                <w:kern w:val="0"/>
                <w:sz w:val="24"/>
                <w:szCs w:val="24"/>
                <w:u w:val="none"/>
                <w:bdr w:val="none" w:color="auto" w:sz="0" w:space="0"/>
                <w:lang w:val="en-US" w:eastAsia="zh-CN" w:bidi="ar"/>
              </w:rPr>
              <w:t>及</w:t>
            </w:r>
            <w:r>
              <w:rPr>
                <w:rFonts w:hint="eastAsia" w:ascii="仿宋_GB2312" w:hAnsi="宋体" w:eastAsia="仿宋_GB2312" w:cs="仿宋_GB2312"/>
                <w:i w:val="0"/>
                <w:iCs w:val="0"/>
                <w:color w:val="000000"/>
                <w:kern w:val="0"/>
                <w:sz w:val="24"/>
                <w:szCs w:val="24"/>
                <w:u w:val="none"/>
                <w:bdr w:val="none" w:color="auto" w:sz="0" w:space="0"/>
                <w:lang w:val="en-US" w:eastAsia="zh-CN" w:bidi="ar"/>
              </w:rPr>
              <w:t>电话</w:t>
            </w:r>
          </w:p>
        </w:tc>
        <w:tc>
          <w:tcPr>
            <w:tcW w:w="3218"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电子邮箱</w:t>
            </w:r>
          </w:p>
        </w:tc>
        <w:tc>
          <w:tcPr>
            <w:tcW w:w="7132" w:type="dxa"/>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项目名称</w:t>
            </w:r>
          </w:p>
        </w:tc>
        <w:tc>
          <w:tcPr>
            <w:tcW w:w="7132" w:type="dxa"/>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3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项目简介</w:t>
            </w:r>
          </w:p>
        </w:tc>
        <w:tc>
          <w:tcPr>
            <w:tcW w:w="7132" w:type="dxa"/>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主要研究方向，研究内容及创新点。重点阐述开展的研究对企业发展的作用（产业创新能力、科研水平提升、研发队伍建设等）；对完成国家和省、市级重大战略任务，提升相关领域产业技术创新能力和竞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项目起止时间</w:t>
            </w:r>
          </w:p>
        </w:tc>
        <w:tc>
          <w:tcPr>
            <w:tcW w:w="7132" w:type="dxa"/>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行业领域</w:t>
            </w:r>
          </w:p>
        </w:tc>
        <w:tc>
          <w:tcPr>
            <w:tcW w:w="7132" w:type="dxa"/>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7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项目总投资</w:t>
            </w:r>
          </w:p>
        </w:tc>
        <w:tc>
          <w:tcPr>
            <w:tcW w:w="1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（万元）</w:t>
            </w:r>
          </w:p>
        </w:tc>
        <w:tc>
          <w:tcPr>
            <w:tcW w:w="221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b/>
                <w:bCs/>
                <w:i w:val="0"/>
                <w:iCs w:val="0"/>
                <w:color w:val="000000"/>
                <w:kern w:val="0"/>
                <w:sz w:val="24"/>
                <w:szCs w:val="24"/>
                <w:u w:val="none"/>
                <w:bdr w:val="none" w:color="auto" w:sz="0" w:space="0"/>
                <w:lang w:val="en-US" w:eastAsia="zh-CN" w:bidi="ar"/>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申请专项经费</w:t>
            </w:r>
          </w:p>
        </w:tc>
        <w:tc>
          <w:tcPr>
            <w:tcW w:w="3218"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（万元）</w:t>
            </w:r>
          </w:p>
        </w:tc>
      </w:tr>
    </w:tbl>
    <w:p>
      <w:pPr>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tbl>
      <w:tblPr>
        <w:tblW w:w="88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bdr w:val="none" w:color="auto" w:sz="0" w:space="0"/>
                <w:lang w:val="en-US" w:eastAsia="zh-CN" w:bidi="ar"/>
              </w:rPr>
            </w:pPr>
            <w:bookmarkStart w:id="0" w:name="_GoBack"/>
            <w:bookmarkEnd w:id="0"/>
            <w:r>
              <w:rPr>
                <w:rFonts w:hint="eastAsia" w:ascii="仿宋_GB2312" w:hAnsi="宋体" w:eastAsia="仿宋_GB2312" w:cs="仿宋_GB2312"/>
                <w:i w:val="0"/>
                <w:iCs w:val="0"/>
                <w:color w:val="000000"/>
                <w:kern w:val="0"/>
                <w:sz w:val="24"/>
                <w:szCs w:val="24"/>
                <w:u w:val="none"/>
                <w:bdr w:val="none" w:color="auto" w:sz="0" w:space="0"/>
                <w:lang w:val="en-US" w:eastAsia="zh-CN" w:bidi="ar"/>
              </w:rPr>
              <w:t>申请单位意见：</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bdr w:val="none" w:color="auto" w:sz="0" w:space="0"/>
                <w:lang w:val="en-US" w:eastAsia="zh-CN" w:bidi="ar"/>
              </w:rPr>
            </w:pPr>
          </w:p>
          <w:p>
            <w:pPr>
              <w:keepNext w:val="0"/>
              <w:keepLines w:val="0"/>
              <w:widowControl/>
              <w:suppressLineNumbers w:val="0"/>
              <w:ind w:left="480" w:leftChars="150" w:firstLine="0" w:firstLineChars="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申请人签字：</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单位负责人签字：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（单位盖章）</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885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2" w:hRule="atLeast"/>
        </w:trPr>
        <w:tc>
          <w:tcPr>
            <w:tcW w:w="885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8" w:hRule="atLeast"/>
        </w:trPr>
        <w:tc>
          <w:tcPr>
            <w:tcW w:w="885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归口管理部门审查意见：</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联系人：                                    </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（部门盖章）</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9"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4"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8858"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新区科技局审查意见：</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联系人：                                    </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（部门盖章）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9"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8858" w:type="dxa"/>
            <w:vMerge w:val="continue"/>
            <w:tcBorders>
              <w:top w:val="nil"/>
              <w:left w:val="single" w:color="000000" w:sz="8" w:space="0"/>
              <w:bottom w:val="single" w:color="000000" w:sz="8" w:space="0"/>
              <w:right w:val="single" w:color="000000" w:sz="8" w:space="0"/>
            </w:tcBorders>
            <w:shd w:val="clear"/>
            <w:vAlign w:val="center"/>
          </w:tcPr>
          <w:p>
            <w:pPr>
              <w:jc w:val="both"/>
              <w:rPr>
                <w:rFonts w:hint="eastAsia" w:ascii="仿宋_GB2312" w:hAnsi="宋体" w:eastAsia="仿宋_GB2312" w:cs="仿宋_GB2312"/>
                <w:i w:val="0"/>
                <w:iCs w:val="0"/>
                <w:color w:val="000000"/>
                <w:sz w:val="24"/>
                <w:szCs w:val="24"/>
                <w:u w:val="none"/>
              </w:rPr>
            </w:pPr>
          </w:p>
        </w:tc>
      </w:tr>
    </w:tbl>
    <w:p>
      <w:pPr>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A6AF3D-EE8B-4249-947A-2AF68D48D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FCA51D73-D95C-46DF-A7F8-0F0B01837C1B}"/>
  </w:font>
  <w:font w:name="方正小标宋简体">
    <w:panose1 w:val="02000000000000000000"/>
    <w:charset w:val="86"/>
    <w:family w:val="script"/>
    <w:pitch w:val="default"/>
    <w:sig w:usb0="00000001" w:usb1="080E0000" w:usb2="00000000" w:usb3="00000000" w:csb0="00040000" w:csb1="00000000"/>
    <w:embedRegular r:id="rId3" w:fontKey="{FB905729-B5B9-4ED5-A230-959A884F527C}"/>
  </w:font>
  <w:font w:name="楷体_GB2312">
    <w:panose1 w:val="02010609030101010101"/>
    <w:charset w:val="86"/>
    <w:family w:val="auto"/>
    <w:pitch w:val="default"/>
    <w:sig w:usb0="00000001" w:usb1="080E0000" w:usb2="00000000" w:usb3="00000000" w:csb0="00040000" w:csb1="00000000"/>
    <w:embedRegular r:id="rId4" w:fontKey="{5A4748EA-F7A7-46A7-8F99-EE2B8760A777}"/>
  </w:font>
  <w:font w:name="仿宋">
    <w:panose1 w:val="02010609060101010101"/>
    <w:charset w:val="86"/>
    <w:family w:val="modern"/>
    <w:pitch w:val="default"/>
    <w:sig w:usb0="800002BF" w:usb1="38CF7CFA" w:usb2="00000016" w:usb3="00000000" w:csb0="00040001" w:csb1="00000000"/>
    <w:embedRegular r:id="rId5" w:fontKey="{4F441256-A145-4717-A785-4C782856A4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367B0"/>
    <w:multiLevelType w:val="singleLevel"/>
    <w:tmpl w:val="751367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TJlM2U4ZTc4NTUxYWUxOWEwYTRiMGNkODA2NTkifQ=="/>
  </w:docVars>
  <w:rsids>
    <w:rsidRoot w:val="00FD24DD"/>
    <w:rsid w:val="000E7E10"/>
    <w:rsid w:val="001A17DF"/>
    <w:rsid w:val="003A7837"/>
    <w:rsid w:val="004A3397"/>
    <w:rsid w:val="00657E05"/>
    <w:rsid w:val="007E64B0"/>
    <w:rsid w:val="00FD24DD"/>
    <w:rsid w:val="0CAA565A"/>
    <w:rsid w:val="0E94531E"/>
    <w:rsid w:val="0FA24929"/>
    <w:rsid w:val="10FF7000"/>
    <w:rsid w:val="13FF400B"/>
    <w:rsid w:val="13FFC037"/>
    <w:rsid w:val="156E01D5"/>
    <w:rsid w:val="1C967FB8"/>
    <w:rsid w:val="213217A6"/>
    <w:rsid w:val="214339EC"/>
    <w:rsid w:val="241514AE"/>
    <w:rsid w:val="26A59D3D"/>
    <w:rsid w:val="2A482E16"/>
    <w:rsid w:val="2F452CAE"/>
    <w:rsid w:val="30121949"/>
    <w:rsid w:val="33A76C36"/>
    <w:rsid w:val="355E6E68"/>
    <w:rsid w:val="394911AC"/>
    <w:rsid w:val="449B5D7F"/>
    <w:rsid w:val="4AC03BEE"/>
    <w:rsid w:val="4C9E35A6"/>
    <w:rsid w:val="58C4719E"/>
    <w:rsid w:val="5B4576F9"/>
    <w:rsid w:val="5FF1F12C"/>
    <w:rsid w:val="6D7D108A"/>
    <w:rsid w:val="72632306"/>
    <w:rsid w:val="755E00A5"/>
    <w:rsid w:val="7769048B"/>
    <w:rsid w:val="77E79E78"/>
    <w:rsid w:val="7BC78970"/>
    <w:rsid w:val="7CE11C79"/>
    <w:rsid w:val="7FFFB211"/>
    <w:rsid w:val="B77E1280"/>
    <w:rsid w:val="B9F143B5"/>
    <w:rsid w:val="BBFB4A4F"/>
    <w:rsid w:val="CFFFF7AD"/>
    <w:rsid w:val="DDFFC38B"/>
    <w:rsid w:val="E7DF7424"/>
    <w:rsid w:val="F37A3A31"/>
    <w:rsid w:val="F6FEA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1"/>
    <w:qFormat/>
    <w:uiPriority w:val="9"/>
    <w:pPr>
      <w:keepNext/>
      <w:keepLines/>
      <w:spacing w:beforeLines="0" w:beforeAutospacing="0" w:afterLines="0" w:afterAutospacing="0" w:line="560" w:lineRule="exact"/>
      <w:outlineLvl w:val="0"/>
    </w:pPr>
    <w:rPr>
      <w:rFonts w:eastAsia="黑体"/>
      <w:b/>
      <w:kern w:val="44"/>
      <w:sz w:val="32"/>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0"/>
    <w:rPr>
      <w:sz w:val="18"/>
      <w:szCs w:val="18"/>
    </w:rPr>
  </w:style>
  <w:style w:type="character" w:customStyle="1" w:styleId="14">
    <w:name w:val="标题 3 字符"/>
    <w:basedOn w:val="8"/>
    <w:link w:val="3"/>
    <w:qFormat/>
    <w:uiPriority w:val="9"/>
    <w:rPr>
      <w:rFonts w:ascii="宋体" w:hAnsi="宋体" w:eastAsia="宋体" w:cs="宋体"/>
      <w:b/>
      <w:bCs/>
      <w:kern w:val="0"/>
      <w:sz w:val="27"/>
      <w:szCs w:val="27"/>
    </w:rPr>
  </w:style>
  <w:style w:type="character" w:customStyle="1" w:styleId="15">
    <w:name w:val="font01"/>
    <w:basedOn w:val="8"/>
    <w:uiPriority w:val="0"/>
    <w:rPr>
      <w:rFonts w:hint="default" w:ascii="Times New Roman" w:hAnsi="Times New Roman" w:cs="Times New Roman"/>
      <w:color w:val="000000"/>
      <w:sz w:val="24"/>
      <w:szCs w:val="24"/>
      <w:u w:val="none"/>
    </w:rPr>
  </w:style>
  <w:style w:type="character" w:customStyle="1" w:styleId="16">
    <w:name w:val="font21"/>
    <w:basedOn w:val="8"/>
    <w:uiPriority w:val="0"/>
    <w:rPr>
      <w:rFonts w:hint="eastAsia" w:ascii="仿宋_GB2312" w:eastAsia="仿宋_GB2312" w:cs="仿宋_GB2312"/>
      <w:color w:val="000000"/>
      <w:sz w:val="24"/>
      <w:szCs w:val="24"/>
      <w:u w:val="none"/>
    </w:rPr>
  </w:style>
  <w:style w:type="character" w:customStyle="1" w:styleId="17">
    <w:name w:val="font11"/>
    <w:basedOn w:val="8"/>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2272</Words>
  <Characters>2324</Characters>
  <Lines>35</Lines>
  <Paragraphs>10</Paragraphs>
  <TotalTime>44</TotalTime>
  <ScaleCrop>false</ScaleCrop>
  <LinksUpToDate>false</LinksUpToDate>
  <CharactersWithSpaces>2984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2022-08-03T09:49:00Z</dcterms:created>
  <dc:creator>PC</dc:creator>
  <cp:lastModifiedBy>自自</cp:lastModifiedBy>
  <cp:lastPrinted>2022-08-05T02:33:10Z</cp:lastPrinted>
  <dcterms:modified xsi:type="dcterms:W3CDTF">2022-08-05T03:14:56Z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F14076621EAA4A48BB1729C19F1FF472</vt:lpwstr>
  </property>
</Properties>
</file>