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F4BC4">
      <w:pPr>
        <w:pStyle w:val="2"/>
      </w:pPr>
      <w:r>
        <w:rPr>
          <w:rFonts w:hint="eastAsia" w:ascii="方正小标宋简体" w:hAnsi="方正小标宋简体" w:eastAsia="方正小标宋简体" w:cs="方正小标宋简体"/>
          <w:b w:val="0"/>
          <w:bCs/>
          <w:sz w:val="44"/>
          <w:szCs w:val="44"/>
          <w:lang w:eastAsia="zh-CN"/>
        </w:rPr>
        <w:t>残疾少年</w:t>
      </w:r>
      <w:r>
        <w:rPr>
          <w:rFonts w:hint="eastAsia" w:ascii="方正小标宋简体" w:hAnsi="方正小标宋简体" w:eastAsia="方正小标宋简体" w:cs="方正小标宋简体"/>
          <w:b w:val="0"/>
          <w:bCs/>
          <w:sz w:val="44"/>
          <w:szCs w:val="44"/>
        </w:rPr>
        <w:t>儿童</w:t>
      </w:r>
      <w:r>
        <w:rPr>
          <w:rFonts w:hint="eastAsia" w:ascii="方正小标宋简体" w:hAnsi="方正小标宋简体" w:eastAsia="方正小标宋简体" w:cs="方正小标宋简体"/>
          <w:b w:val="0"/>
          <w:bCs/>
          <w:sz w:val="44"/>
          <w:szCs w:val="44"/>
          <w:lang w:eastAsia="zh-CN"/>
        </w:rPr>
        <w:t>康复定点服务机构准入标准（矫治手术）</w:t>
      </w:r>
    </w:p>
    <w:p w14:paraId="1AD3915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bCs/>
          <w:color w:val="000000"/>
          <w:sz w:val="28"/>
          <w:szCs w:val="28"/>
        </w:rPr>
        <w:t xml:space="preserve">机构名称：                                       评价日期：                  </w:t>
      </w:r>
    </w:p>
    <w:tbl>
      <w:tblPr>
        <w:tblStyle w:val="7"/>
        <w:tblW w:w="15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6"/>
        <w:gridCol w:w="1185"/>
        <w:gridCol w:w="1143"/>
        <w:gridCol w:w="5847"/>
        <w:gridCol w:w="3852"/>
        <w:gridCol w:w="1093"/>
        <w:gridCol w:w="785"/>
      </w:tblGrid>
      <w:tr w14:paraId="15F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2521" w:type="dxa"/>
            <w:gridSpan w:val="2"/>
            <w:tcBorders>
              <w:tl2br w:val="nil"/>
              <w:tr2bl w:val="nil"/>
            </w:tcBorders>
            <w:vAlign w:val="center"/>
          </w:tcPr>
          <w:p w14:paraId="122FFF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评估指标</w:t>
            </w:r>
          </w:p>
        </w:tc>
        <w:tc>
          <w:tcPr>
            <w:tcW w:w="1143" w:type="dxa"/>
            <w:vMerge w:val="restart"/>
            <w:tcBorders>
              <w:tl2br w:val="nil"/>
              <w:tr2bl w:val="nil"/>
            </w:tcBorders>
            <w:vAlign w:val="center"/>
          </w:tcPr>
          <w:p w14:paraId="51F849E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标准</w:t>
            </w:r>
          </w:p>
          <w:p w14:paraId="464B9E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分值</w:t>
            </w:r>
          </w:p>
        </w:tc>
        <w:tc>
          <w:tcPr>
            <w:tcW w:w="5847" w:type="dxa"/>
            <w:vMerge w:val="restart"/>
            <w:tcBorders>
              <w:tl2br w:val="nil"/>
              <w:tr2bl w:val="nil"/>
            </w:tcBorders>
            <w:vAlign w:val="center"/>
          </w:tcPr>
          <w:p w14:paraId="67980A7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评分与计分</w:t>
            </w:r>
          </w:p>
        </w:tc>
        <w:tc>
          <w:tcPr>
            <w:tcW w:w="3852" w:type="dxa"/>
            <w:vMerge w:val="restart"/>
            <w:tcBorders>
              <w:tl2br w:val="nil"/>
              <w:tr2bl w:val="nil"/>
            </w:tcBorders>
            <w:vAlign w:val="center"/>
          </w:tcPr>
          <w:p w14:paraId="06E0300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备查材料或检查方法</w:t>
            </w:r>
          </w:p>
        </w:tc>
        <w:tc>
          <w:tcPr>
            <w:tcW w:w="1093" w:type="dxa"/>
            <w:vMerge w:val="restart"/>
            <w:tcBorders>
              <w:tl2br w:val="nil"/>
              <w:tr2bl w:val="nil"/>
            </w:tcBorders>
            <w:vAlign w:val="center"/>
          </w:tcPr>
          <w:p w14:paraId="78F1827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评估机构</w:t>
            </w:r>
          </w:p>
          <w:p w14:paraId="779587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计分</w:t>
            </w:r>
          </w:p>
        </w:tc>
        <w:tc>
          <w:tcPr>
            <w:tcW w:w="785" w:type="dxa"/>
            <w:vMerge w:val="restart"/>
            <w:tcBorders>
              <w:tl2br w:val="nil"/>
              <w:tr2bl w:val="nil"/>
            </w:tcBorders>
            <w:vAlign w:val="center"/>
          </w:tcPr>
          <w:p w14:paraId="110EDF8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复核</w:t>
            </w:r>
          </w:p>
          <w:p w14:paraId="307B82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计分</w:t>
            </w:r>
          </w:p>
        </w:tc>
      </w:tr>
      <w:tr w14:paraId="14D1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336" w:type="dxa"/>
            <w:tcBorders>
              <w:tl2br w:val="nil"/>
              <w:tr2bl w:val="nil"/>
            </w:tcBorders>
            <w:vAlign w:val="center"/>
          </w:tcPr>
          <w:p w14:paraId="04306C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一级指标</w:t>
            </w:r>
          </w:p>
        </w:tc>
        <w:tc>
          <w:tcPr>
            <w:tcW w:w="1185" w:type="dxa"/>
            <w:tcBorders>
              <w:tl2br w:val="nil"/>
              <w:tr2bl w:val="nil"/>
            </w:tcBorders>
            <w:vAlign w:val="center"/>
          </w:tcPr>
          <w:p w14:paraId="44A6AAC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二级指标</w:t>
            </w:r>
          </w:p>
        </w:tc>
        <w:tc>
          <w:tcPr>
            <w:tcW w:w="1143" w:type="dxa"/>
            <w:vMerge w:val="continue"/>
            <w:tcBorders>
              <w:tl2br w:val="nil"/>
              <w:tr2bl w:val="nil"/>
            </w:tcBorders>
            <w:vAlign w:val="center"/>
          </w:tcPr>
          <w:p w14:paraId="4F6B18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5847" w:type="dxa"/>
            <w:vMerge w:val="continue"/>
            <w:tcBorders>
              <w:tl2br w:val="nil"/>
              <w:tr2bl w:val="nil"/>
            </w:tcBorders>
            <w:vAlign w:val="center"/>
          </w:tcPr>
          <w:p w14:paraId="2733BBA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3852" w:type="dxa"/>
            <w:vMerge w:val="continue"/>
            <w:tcBorders>
              <w:tl2br w:val="nil"/>
              <w:tr2bl w:val="nil"/>
            </w:tcBorders>
            <w:vAlign w:val="center"/>
          </w:tcPr>
          <w:p w14:paraId="360E4FF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vMerge w:val="continue"/>
            <w:tcBorders>
              <w:tl2br w:val="nil"/>
              <w:tr2bl w:val="nil"/>
            </w:tcBorders>
            <w:vAlign w:val="center"/>
          </w:tcPr>
          <w:p w14:paraId="3A9E8B5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vMerge w:val="continue"/>
            <w:tcBorders>
              <w:tl2br w:val="nil"/>
              <w:tr2bl w:val="nil"/>
            </w:tcBorders>
            <w:vAlign w:val="center"/>
          </w:tcPr>
          <w:p w14:paraId="41DA35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2C4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336" w:type="dxa"/>
            <w:vMerge w:val="restart"/>
            <w:tcBorders>
              <w:tl2br w:val="nil"/>
              <w:tr2bl w:val="nil"/>
            </w:tcBorders>
            <w:vAlign w:val="center"/>
          </w:tcPr>
          <w:p w14:paraId="7F10666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一、基本条件</w:t>
            </w:r>
          </w:p>
          <w:p w14:paraId="0302E60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（20分）</w:t>
            </w:r>
          </w:p>
        </w:tc>
        <w:tc>
          <w:tcPr>
            <w:tcW w:w="1185" w:type="dxa"/>
            <w:vMerge w:val="restart"/>
            <w:tcBorders>
              <w:tl2br w:val="nil"/>
              <w:tr2bl w:val="nil"/>
            </w:tcBorders>
            <w:vAlign w:val="center"/>
          </w:tcPr>
          <w:p w14:paraId="38566A7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1、法人资格</w:t>
            </w:r>
          </w:p>
          <w:p w14:paraId="387844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w:t>
            </w:r>
          </w:p>
        </w:tc>
        <w:tc>
          <w:tcPr>
            <w:tcW w:w="1143" w:type="dxa"/>
            <w:tcBorders>
              <w:tl2br w:val="nil"/>
              <w:tr2bl w:val="nil"/>
            </w:tcBorders>
            <w:vAlign w:val="center"/>
          </w:tcPr>
          <w:p w14:paraId="70BD77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2C1D037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经政府相关职能部门审批登记，具有独立法人资格或有上级业务主管单位。</w:t>
            </w:r>
          </w:p>
        </w:tc>
        <w:tc>
          <w:tcPr>
            <w:tcW w:w="3852" w:type="dxa"/>
            <w:tcBorders>
              <w:tl2br w:val="nil"/>
              <w:tr2bl w:val="nil"/>
            </w:tcBorders>
            <w:vAlign w:val="center"/>
          </w:tcPr>
          <w:p w14:paraId="1AA52CEF">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查看工商或民政注册的证件（公办机构查看事业单位证书），有得2分，无则一票否决。</w:t>
            </w:r>
          </w:p>
        </w:tc>
        <w:tc>
          <w:tcPr>
            <w:tcW w:w="1093" w:type="dxa"/>
            <w:tcBorders>
              <w:tl2br w:val="nil"/>
              <w:tr2bl w:val="nil"/>
            </w:tcBorders>
            <w:vAlign w:val="center"/>
          </w:tcPr>
          <w:p w14:paraId="3DB674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C19A51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4C0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1336" w:type="dxa"/>
            <w:vMerge w:val="continue"/>
            <w:tcBorders>
              <w:tl2br w:val="nil"/>
              <w:tr2bl w:val="nil"/>
            </w:tcBorders>
            <w:vAlign w:val="center"/>
          </w:tcPr>
          <w:p w14:paraId="25501C4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E9373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074575A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604ADC1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具备卫健部门颁发的《医疗机构执业许可证》，且为二级甲等以上综合医疗机构或二级专科医疗机构，其审批诊疗科目中含神经外科、骨伤科、小儿外科等相关科目，并开设相关专业科室，有具备相关从业专业资质技术人员；具有较丰富的马蹄内翻足、肌腱松解手术等矫治手术后的康复训练经验。</w:t>
            </w:r>
          </w:p>
        </w:tc>
        <w:tc>
          <w:tcPr>
            <w:tcW w:w="3852" w:type="dxa"/>
            <w:tcBorders>
              <w:tl2br w:val="nil"/>
              <w:tr2bl w:val="nil"/>
            </w:tcBorders>
            <w:vAlign w:val="center"/>
          </w:tcPr>
          <w:p w14:paraId="0C078A8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查看资质，有得2分，无</w:t>
            </w:r>
            <w:r>
              <w:rPr>
                <w:rFonts w:hint="eastAsia" w:ascii="仿宋_GB2312" w:hAnsi="仿宋_GB2312" w:eastAsia="仿宋_GB2312" w:cs="仿宋_GB2312"/>
                <w:sz w:val="28"/>
                <w:szCs w:val="28"/>
              </w:rPr>
              <w:t>则一票否决</w:t>
            </w:r>
            <w:r>
              <w:rPr>
                <w:rFonts w:hint="eastAsia" w:ascii="仿宋_GB2312" w:hAnsi="仿宋_GB2312" w:eastAsia="仿宋_GB2312" w:cs="仿宋_GB2312"/>
                <w:color w:val="000000"/>
                <w:sz w:val="28"/>
                <w:szCs w:val="28"/>
              </w:rPr>
              <w:t>。</w:t>
            </w:r>
          </w:p>
        </w:tc>
        <w:tc>
          <w:tcPr>
            <w:tcW w:w="1093" w:type="dxa"/>
            <w:tcBorders>
              <w:tl2br w:val="nil"/>
              <w:tr2bl w:val="nil"/>
            </w:tcBorders>
            <w:vAlign w:val="center"/>
          </w:tcPr>
          <w:p w14:paraId="6A2070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3EC843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272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1336" w:type="dxa"/>
            <w:vMerge w:val="continue"/>
            <w:tcBorders>
              <w:tl2br w:val="nil"/>
              <w:tr2bl w:val="nil"/>
            </w:tcBorders>
            <w:vAlign w:val="center"/>
          </w:tcPr>
          <w:p w14:paraId="488DEEB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6EB2D7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F9796B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5847" w:type="dxa"/>
            <w:tcBorders>
              <w:tl2br w:val="nil"/>
              <w:tr2bl w:val="nil"/>
            </w:tcBorders>
            <w:vAlign w:val="center"/>
          </w:tcPr>
          <w:p w14:paraId="636CEBF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8"/>
                <w:szCs w:val="28"/>
              </w:rPr>
            </w:pPr>
            <w:r>
              <w:rPr>
                <w:rFonts w:hint="eastAsia" w:ascii="仿宋_GB2312" w:hAnsi="宋体" w:eastAsia="仿宋_GB2312" w:cs="宋体"/>
                <w:color w:val="auto"/>
                <w:sz w:val="28"/>
                <w:szCs w:val="28"/>
                <w:lang w:eastAsia="zh-CN"/>
              </w:rPr>
              <w:t>机构成立满</w:t>
            </w:r>
            <w:r>
              <w:rPr>
                <w:rFonts w:hint="eastAsia" w:ascii="仿宋_GB2312" w:hAnsi="宋体" w:eastAsia="仿宋_GB2312" w:cs="宋体"/>
                <w:color w:val="auto"/>
                <w:sz w:val="28"/>
                <w:szCs w:val="28"/>
                <w:lang w:val="en-US" w:eastAsia="zh-CN"/>
              </w:rPr>
              <w:t>12个月。建筑设计符合无障碍、防火等规范规定，在机构出入口及儿童活动区域安装视频安防监控系统、紧急报警装置，监控视频记录应至少保存30天。</w:t>
            </w:r>
          </w:p>
        </w:tc>
        <w:tc>
          <w:tcPr>
            <w:tcW w:w="3852" w:type="dxa"/>
            <w:tcBorders>
              <w:tl2br w:val="nil"/>
              <w:tr2bl w:val="nil"/>
            </w:tcBorders>
            <w:vAlign w:val="center"/>
          </w:tcPr>
          <w:p w14:paraId="6F55215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8"/>
                <w:szCs w:val="28"/>
              </w:rPr>
            </w:pPr>
            <w:r>
              <w:rPr>
                <w:rFonts w:hint="eastAsia" w:ascii="仿宋_GB2312" w:hAnsi="宋体" w:eastAsia="仿宋_GB2312" w:cs="宋体"/>
                <w:color w:val="auto"/>
                <w:sz w:val="24"/>
                <w:szCs w:val="24"/>
                <w:lang w:eastAsia="zh-CN"/>
              </w:rPr>
              <w:t>符合</w:t>
            </w:r>
            <w:r>
              <w:rPr>
                <w:rFonts w:hint="eastAsia" w:ascii="仿宋_GB2312" w:hAnsi="宋体" w:eastAsia="仿宋_GB2312" w:cs="宋体"/>
                <w:color w:val="auto"/>
                <w:sz w:val="24"/>
                <w:szCs w:val="24"/>
                <w:lang w:val="en-US" w:eastAsia="zh-CN"/>
              </w:rPr>
              <w:t>得1分，不符则一票否决。</w:t>
            </w:r>
          </w:p>
        </w:tc>
        <w:tc>
          <w:tcPr>
            <w:tcW w:w="1093" w:type="dxa"/>
            <w:tcBorders>
              <w:tl2br w:val="nil"/>
              <w:tr2bl w:val="nil"/>
            </w:tcBorders>
            <w:vAlign w:val="center"/>
          </w:tcPr>
          <w:p w14:paraId="5C3571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E559BA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8C5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336" w:type="dxa"/>
            <w:vMerge w:val="continue"/>
            <w:tcBorders>
              <w:tl2br w:val="nil"/>
              <w:tr2bl w:val="nil"/>
            </w:tcBorders>
            <w:vAlign w:val="center"/>
          </w:tcPr>
          <w:p w14:paraId="4DAE13F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restart"/>
            <w:tcBorders>
              <w:tl2br w:val="nil"/>
              <w:tr2bl w:val="nil"/>
            </w:tcBorders>
            <w:vAlign w:val="center"/>
          </w:tcPr>
          <w:p w14:paraId="18315E3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2、服务必要条件</w:t>
            </w:r>
          </w:p>
          <w:p w14:paraId="5784BE3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w:t>
            </w:r>
          </w:p>
        </w:tc>
        <w:tc>
          <w:tcPr>
            <w:tcW w:w="1143" w:type="dxa"/>
            <w:tcBorders>
              <w:tl2br w:val="nil"/>
              <w:tr2bl w:val="nil"/>
            </w:tcBorders>
            <w:vAlign w:val="center"/>
          </w:tcPr>
          <w:p w14:paraId="691688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w:t>
            </w:r>
          </w:p>
        </w:tc>
        <w:tc>
          <w:tcPr>
            <w:tcW w:w="5847" w:type="dxa"/>
            <w:tcBorders>
              <w:tl2br w:val="nil"/>
              <w:tr2bl w:val="nil"/>
            </w:tcBorders>
            <w:vAlign w:val="center"/>
          </w:tcPr>
          <w:p w14:paraId="688F771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上一年度未发生过医护人员打骂体罚及虐待救助对象或安全事故、医疗事故以及其他意外事件，且未造成不良影响。</w:t>
            </w:r>
          </w:p>
        </w:tc>
        <w:tc>
          <w:tcPr>
            <w:tcW w:w="3852" w:type="dxa"/>
            <w:tcBorders>
              <w:tl2br w:val="nil"/>
              <w:tr2bl w:val="nil"/>
            </w:tcBorders>
            <w:vAlign w:val="center"/>
          </w:tcPr>
          <w:p w14:paraId="4F3EFC7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无媒体、网络负面报道得2分，有</w:t>
            </w:r>
            <w:r>
              <w:rPr>
                <w:rFonts w:hint="eastAsia" w:ascii="仿宋_GB2312" w:hAnsi="仿宋_GB2312" w:eastAsia="仿宋_GB2312" w:cs="仿宋_GB2312"/>
                <w:color w:val="000000"/>
                <w:sz w:val="28"/>
                <w:szCs w:val="28"/>
                <w:lang w:eastAsia="zh-CN"/>
              </w:rPr>
              <w:t>则一票否决</w:t>
            </w:r>
            <w:r>
              <w:rPr>
                <w:rFonts w:hint="eastAsia" w:ascii="仿宋_GB2312" w:hAnsi="仿宋_GB2312" w:eastAsia="仿宋_GB2312" w:cs="仿宋_GB2312"/>
                <w:color w:val="000000"/>
                <w:sz w:val="28"/>
                <w:szCs w:val="28"/>
              </w:rPr>
              <w:t>。</w:t>
            </w:r>
          </w:p>
        </w:tc>
        <w:tc>
          <w:tcPr>
            <w:tcW w:w="1093" w:type="dxa"/>
            <w:tcBorders>
              <w:tl2br w:val="nil"/>
              <w:tr2bl w:val="nil"/>
            </w:tcBorders>
            <w:vAlign w:val="center"/>
          </w:tcPr>
          <w:p w14:paraId="1BB06A7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347835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4B71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1336" w:type="dxa"/>
            <w:vMerge w:val="continue"/>
            <w:tcBorders>
              <w:tl2br w:val="nil"/>
              <w:tr2bl w:val="nil"/>
            </w:tcBorders>
            <w:vAlign w:val="center"/>
          </w:tcPr>
          <w:p w14:paraId="313A895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5717DC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8E763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w:t>
            </w:r>
          </w:p>
        </w:tc>
        <w:tc>
          <w:tcPr>
            <w:tcW w:w="5847" w:type="dxa"/>
            <w:tcBorders>
              <w:tl2br w:val="nil"/>
              <w:tr2bl w:val="nil"/>
            </w:tcBorders>
            <w:vAlign w:val="center"/>
          </w:tcPr>
          <w:p w14:paraId="38C298E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上一年度未被主管部门、业务指导部门等相关部门通报批</w:t>
            </w:r>
            <w:bookmarkStart w:id="1" w:name="_GoBack"/>
            <w:r>
              <w:rPr>
                <w:rFonts w:hint="eastAsia" w:ascii="仿宋_GB2312" w:hAnsi="仿宋_GB2312" w:eastAsia="仿宋_GB2312" w:cs="仿宋_GB2312"/>
                <w:color w:val="000000"/>
                <w:sz w:val="28"/>
                <w:szCs w:val="28"/>
              </w:rPr>
              <w:t>评</w:t>
            </w:r>
            <w:r>
              <w:rPr>
                <w:rFonts w:hint="eastAsia" w:ascii="仿宋_GB2312" w:hAnsi="仿宋_GB2312" w:eastAsia="仿宋_GB2312" w:cs="仿宋_GB2312"/>
                <w:color w:val="000000"/>
                <w:sz w:val="28"/>
                <w:szCs w:val="28"/>
                <w:lang w:eastAsia="zh-CN"/>
              </w:rPr>
              <w:t>或处理</w:t>
            </w:r>
            <w:r>
              <w:rPr>
                <w:rFonts w:hint="eastAsia" w:ascii="仿宋_GB2312" w:hAnsi="仿宋_GB2312" w:eastAsia="仿宋_GB2312" w:cs="仿宋_GB2312"/>
                <w:color w:val="000000"/>
                <w:sz w:val="28"/>
                <w:szCs w:val="28"/>
              </w:rPr>
              <w:t>。</w:t>
            </w:r>
            <w:bookmarkEnd w:id="1"/>
          </w:p>
        </w:tc>
        <w:tc>
          <w:tcPr>
            <w:tcW w:w="3852" w:type="dxa"/>
            <w:tcBorders>
              <w:tl2br w:val="nil"/>
              <w:tr2bl w:val="nil"/>
            </w:tcBorders>
            <w:vAlign w:val="center"/>
          </w:tcPr>
          <w:p w14:paraId="7C3FCD4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征询主管单位，无得2分，有</w:t>
            </w:r>
            <w:r>
              <w:rPr>
                <w:rFonts w:hint="eastAsia" w:ascii="仿宋_GB2312" w:hAnsi="仿宋_GB2312" w:eastAsia="仿宋_GB2312" w:cs="仿宋_GB2312"/>
                <w:color w:val="000000"/>
                <w:sz w:val="28"/>
                <w:szCs w:val="28"/>
                <w:lang w:eastAsia="zh-CN"/>
              </w:rPr>
              <w:t>则一票否决</w:t>
            </w:r>
            <w:r>
              <w:rPr>
                <w:rFonts w:hint="eastAsia" w:ascii="仿宋_GB2312" w:hAnsi="仿宋_GB2312" w:eastAsia="仿宋_GB2312" w:cs="仿宋_GB2312"/>
                <w:sz w:val="28"/>
                <w:szCs w:val="28"/>
              </w:rPr>
              <w:t>。</w:t>
            </w:r>
          </w:p>
        </w:tc>
        <w:tc>
          <w:tcPr>
            <w:tcW w:w="1093" w:type="dxa"/>
            <w:tcBorders>
              <w:tl2br w:val="nil"/>
              <w:tr2bl w:val="nil"/>
            </w:tcBorders>
            <w:vAlign w:val="center"/>
          </w:tcPr>
          <w:p w14:paraId="31C544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06FE0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0516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1336" w:type="dxa"/>
            <w:vMerge w:val="continue"/>
            <w:tcBorders>
              <w:tl2br w:val="nil"/>
              <w:tr2bl w:val="nil"/>
            </w:tcBorders>
            <w:vAlign w:val="center"/>
          </w:tcPr>
          <w:p w14:paraId="71A8EF4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5B8C5C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E48F0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5847" w:type="dxa"/>
            <w:tcBorders>
              <w:tl2br w:val="nil"/>
              <w:tr2bl w:val="nil"/>
            </w:tcBorders>
            <w:vAlign w:val="center"/>
          </w:tcPr>
          <w:p w14:paraId="30D28FA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themeColor="text1"/>
                <w:sz w:val="28"/>
                <w:szCs w:val="28"/>
              </w:rPr>
              <w:t>日收训能力不少于10名肢体残疾儿童。</w:t>
            </w:r>
          </w:p>
        </w:tc>
        <w:tc>
          <w:tcPr>
            <w:tcW w:w="3852" w:type="dxa"/>
            <w:tcBorders>
              <w:tl2br w:val="nil"/>
              <w:tr2bl w:val="nil"/>
            </w:tcBorders>
            <w:vAlign w:val="center"/>
          </w:tcPr>
          <w:p w14:paraId="2DC9FC7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3</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部分符合的1分，</w:t>
            </w:r>
            <w:r>
              <w:rPr>
                <w:rFonts w:hint="eastAsia" w:ascii="仿宋_GB2312" w:hAnsi="仿宋_GB2312" w:eastAsia="仿宋_GB2312" w:cs="仿宋_GB2312"/>
                <w:color w:val="000000" w:themeColor="text1"/>
                <w:sz w:val="28"/>
                <w:szCs w:val="28"/>
              </w:rPr>
              <w:t>不符合得0分。</w:t>
            </w:r>
          </w:p>
        </w:tc>
        <w:tc>
          <w:tcPr>
            <w:tcW w:w="1093" w:type="dxa"/>
            <w:tcBorders>
              <w:tl2br w:val="nil"/>
              <w:tr2bl w:val="nil"/>
            </w:tcBorders>
            <w:vAlign w:val="center"/>
          </w:tcPr>
          <w:p w14:paraId="1A4A919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8"/>
                <w:szCs w:val="28"/>
              </w:rPr>
            </w:pPr>
          </w:p>
        </w:tc>
        <w:tc>
          <w:tcPr>
            <w:tcW w:w="785" w:type="dxa"/>
            <w:tcBorders>
              <w:tl2br w:val="nil"/>
              <w:tr2bl w:val="nil"/>
            </w:tcBorders>
            <w:vAlign w:val="center"/>
          </w:tcPr>
          <w:p w14:paraId="62C1B1E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8"/>
                <w:szCs w:val="28"/>
              </w:rPr>
            </w:pPr>
          </w:p>
        </w:tc>
      </w:tr>
      <w:tr w14:paraId="177E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1336" w:type="dxa"/>
            <w:vMerge w:val="continue"/>
            <w:tcBorders>
              <w:tl2br w:val="nil"/>
              <w:tr2bl w:val="nil"/>
            </w:tcBorders>
            <w:vAlign w:val="center"/>
          </w:tcPr>
          <w:p w14:paraId="736C71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3E5849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39F65C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5847" w:type="dxa"/>
            <w:tcBorders>
              <w:tl2br w:val="nil"/>
              <w:tr2bl w:val="nil"/>
            </w:tcBorders>
            <w:vAlign w:val="center"/>
          </w:tcPr>
          <w:p w14:paraId="309EA40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所有工作人员有健康证明。</w:t>
            </w:r>
            <w:r>
              <w:rPr>
                <w:rFonts w:hint="eastAsia" w:ascii="仿宋_GB2312" w:hAnsi="仿宋_GB2312" w:eastAsia="仿宋_GB2312" w:cs="仿宋_GB2312"/>
                <w:sz w:val="28"/>
                <w:szCs w:val="28"/>
              </w:rPr>
              <w:t>（医院可不提供，为合理缺项）</w:t>
            </w:r>
          </w:p>
        </w:tc>
        <w:tc>
          <w:tcPr>
            <w:tcW w:w="3852" w:type="dxa"/>
            <w:tcBorders>
              <w:tl2br w:val="nil"/>
              <w:tr2bl w:val="nil"/>
            </w:tcBorders>
            <w:vAlign w:val="center"/>
          </w:tcPr>
          <w:p w14:paraId="79C6167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themeColor="text1"/>
                <w:sz w:val="28"/>
                <w:szCs w:val="28"/>
              </w:rPr>
              <w:t>查看职工花名册，所有人提供健康证明得</w:t>
            </w:r>
            <w:r>
              <w:rPr>
                <w:rFonts w:hint="eastAsia" w:ascii="仿宋_GB2312" w:hAnsi="仿宋_GB2312" w:eastAsia="仿宋_GB2312" w:cs="仿宋_GB2312"/>
                <w:color w:val="000000" w:themeColor="text1"/>
                <w:sz w:val="28"/>
                <w:szCs w:val="28"/>
                <w:lang w:val="en-US" w:eastAsia="zh-CN"/>
              </w:rPr>
              <w:t>3</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eastAsia="zh-CN"/>
              </w:rPr>
              <w:t>不符则一票否决</w:t>
            </w:r>
            <w:r>
              <w:rPr>
                <w:rFonts w:hint="eastAsia" w:ascii="仿宋_GB2312" w:hAnsi="仿宋_GB2312" w:eastAsia="仿宋_GB2312" w:cs="仿宋_GB2312"/>
                <w:color w:val="000000" w:themeColor="text1"/>
                <w:sz w:val="28"/>
                <w:szCs w:val="28"/>
              </w:rPr>
              <w:t>。</w:t>
            </w:r>
          </w:p>
        </w:tc>
        <w:tc>
          <w:tcPr>
            <w:tcW w:w="1093" w:type="dxa"/>
            <w:tcBorders>
              <w:tl2br w:val="nil"/>
              <w:tr2bl w:val="nil"/>
            </w:tcBorders>
            <w:vAlign w:val="center"/>
          </w:tcPr>
          <w:p w14:paraId="7A4B8AD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1B328C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336E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336" w:type="dxa"/>
            <w:vMerge w:val="continue"/>
            <w:tcBorders>
              <w:tl2br w:val="nil"/>
              <w:tr2bl w:val="nil"/>
            </w:tcBorders>
            <w:vAlign w:val="center"/>
          </w:tcPr>
          <w:p w14:paraId="7C9C6BB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3DE5804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8316F3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5847" w:type="dxa"/>
            <w:tcBorders>
              <w:tl2br w:val="nil"/>
              <w:tr2bl w:val="nil"/>
            </w:tcBorders>
            <w:vAlign w:val="center"/>
          </w:tcPr>
          <w:p w14:paraId="001858C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themeColor="text1"/>
                <w:sz w:val="28"/>
                <w:szCs w:val="28"/>
              </w:rPr>
              <w:t>有灾害脆弱性分析，并制定应急预案。</w:t>
            </w:r>
          </w:p>
        </w:tc>
        <w:tc>
          <w:tcPr>
            <w:tcW w:w="3852" w:type="dxa"/>
            <w:tcBorders>
              <w:tl2br w:val="nil"/>
              <w:tr2bl w:val="nil"/>
            </w:tcBorders>
            <w:vAlign w:val="center"/>
          </w:tcPr>
          <w:p w14:paraId="72F5FE9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themeColor="text1"/>
                <w:sz w:val="28"/>
                <w:szCs w:val="28"/>
              </w:rPr>
              <w:t>有火灾、停电、摔倒、肌肉拉伤、误食异物、烫伤、走失等应急预案得</w:t>
            </w:r>
            <w:r>
              <w:rPr>
                <w:rFonts w:hint="eastAsia" w:ascii="仿宋_GB2312" w:hAnsi="仿宋_GB2312" w:eastAsia="仿宋_GB2312" w:cs="仿宋_GB2312"/>
                <w:color w:val="000000" w:themeColor="text1"/>
                <w:sz w:val="28"/>
                <w:szCs w:val="28"/>
                <w:lang w:val="en-US" w:eastAsia="zh-CN"/>
              </w:rPr>
              <w:t>2</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eastAsia="zh-CN"/>
              </w:rPr>
              <w:t>无得</w:t>
            </w:r>
            <w:r>
              <w:rPr>
                <w:rFonts w:hint="eastAsia" w:ascii="仿宋_GB2312" w:hAnsi="仿宋_GB2312" w:eastAsia="仿宋_GB2312" w:cs="仿宋_GB2312"/>
                <w:color w:val="000000" w:themeColor="text1"/>
                <w:sz w:val="28"/>
                <w:szCs w:val="28"/>
                <w:lang w:val="en-US" w:eastAsia="zh-CN"/>
              </w:rPr>
              <w:t>0分</w:t>
            </w:r>
            <w:r>
              <w:rPr>
                <w:rFonts w:hint="eastAsia" w:ascii="仿宋_GB2312" w:hAnsi="仿宋_GB2312" w:eastAsia="仿宋_GB2312" w:cs="仿宋_GB2312"/>
                <w:color w:val="000000" w:themeColor="text1"/>
                <w:sz w:val="28"/>
                <w:szCs w:val="28"/>
              </w:rPr>
              <w:t>。</w:t>
            </w:r>
          </w:p>
        </w:tc>
        <w:tc>
          <w:tcPr>
            <w:tcW w:w="1093" w:type="dxa"/>
            <w:tcBorders>
              <w:tl2br w:val="nil"/>
              <w:tr2bl w:val="nil"/>
            </w:tcBorders>
            <w:vAlign w:val="center"/>
          </w:tcPr>
          <w:p w14:paraId="3C5373F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c>
          <w:tcPr>
            <w:tcW w:w="785" w:type="dxa"/>
            <w:tcBorders>
              <w:tl2br w:val="nil"/>
              <w:tr2bl w:val="nil"/>
            </w:tcBorders>
            <w:vAlign w:val="center"/>
          </w:tcPr>
          <w:p w14:paraId="5BE2130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r>
      <w:tr w14:paraId="1478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1336" w:type="dxa"/>
            <w:vMerge w:val="continue"/>
            <w:tcBorders>
              <w:tl2br w:val="nil"/>
              <w:tr2bl w:val="nil"/>
            </w:tcBorders>
            <w:vAlign w:val="center"/>
          </w:tcPr>
          <w:p w14:paraId="22ED641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c>
          <w:tcPr>
            <w:tcW w:w="1185" w:type="dxa"/>
            <w:vMerge w:val="continue"/>
            <w:tcBorders>
              <w:tl2br w:val="nil"/>
              <w:tr2bl w:val="nil"/>
            </w:tcBorders>
            <w:vAlign w:val="center"/>
          </w:tcPr>
          <w:p w14:paraId="1E2175A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c>
          <w:tcPr>
            <w:tcW w:w="1143" w:type="dxa"/>
            <w:tcBorders>
              <w:tl2br w:val="nil"/>
              <w:tr2bl w:val="nil"/>
            </w:tcBorders>
            <w:vAlign w:val="center"/>
          </w:tcPr>
          <w:p w14:paraId="4FA62B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w:t>
            </w:r>
          </w:p>
        </w:tc>
        <w:tc>
          <w:tcPr>
            <w:tcW w:w="5847" w:type="dxa"/>
            <w:tcBorders>
              <w:tl2br w:val="nil"/>
              <w:tr2bl w:val="nil"/>
            </w:tcBorders>
            <w:vAlign w:val="center"/>
          </w:tcPr>
          <w:p w14:paraId="31B90C4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消防</w:t>
            </w:r>
            <w:r>
              <w:rPr>
                <w:rFonts w:hint="eastAsia" w:ascii="仿宋_GB2312" w:hAnsi="仿宋_GB2312" w:eastAsia="仿宋_GB2312" w:cs="仿宋_GB2312"/>
                <w:sz w:val="28"/>
                <w:szCs w:val="28"/>
              </w:rPr>
              <w:t>安全</w:t>
            </w:r>
            <w:r>
              <w:rPr>
                <w:rFonts w:hint="eastAsia" w:ascii="仿宋_GB2312" w:hAnsi="仿宋_GB2312" w:eastAsia="仿宋_GB2312" w:cs="仿宋_GB2312"/>
                <w:color w:val="000000"/>
                <w:sz w:val="28"/>
                <w:szCs w:val="28"/>
              </w:rPr>
              <w:t>等符合国家标准。</w:t>
            </w:r>
          </w:p>
        </w:tc>
        <w:tc>
          <w:tcPr>
            <w:tcW w:w="3852" w:type="dxa"/>
            <w:tcBorders>
              <w:tl2br w:val="nil"/>
              <w:tr2bl w:val="nil"/>
            </w:tcBorders>
            <w:vAlign w:val="center"/>
          </w:tcPr>
          <w:p w14:paraId="4890981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sz w:val="28"/>
                <w:szCs w:val="28"/>
              </w:rPr>
              <w:t>独立场地的需提供消防合格证或验收，依托住宅或商业区域开展的需提供主体消防合格证明。有得</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分，</w:t>
            </w:r>
            <w:r>
              <w:rPr>
                <w:rFonts w:hint="eastAsia" w:ascii="仿宋_GB2312" w:hAnsi="仿宋_GB2312" w:eastAsia="仿宋_GB2312" w:cs="仿宋_GB2312"/>
                <w:color w:val="000000"/>
                <w:sz w:val="28"/>
                <w:szCs w:val="28"/>
                <w:lang w:eastAsia="zh-CN"/>
              </w:rPr>
              <w:t>不符则一票否决</w:t>
            </w:r>
            <w:r>
              <w:rPr>
                <w:rFonts w:hint="eastAsia" w:ascii="仿宋_GB2312" w:hAnsi="仿宋_GB2312" w:eastAsia="仿宋_GB2312" w:cs="仿宋_GB2312"/>
                <w:sz w:val="28"/>
                <w:szCs w:val="28"/>
              </w:rPr>
              <w:t>。</w:t>
            </w:r>
          </w:p>
        </w:tc>
        <w:tc>
          <w:tcPr>
            <w:tcW w:w="1093" w:type="dxa"/>
            <w:tcBorders>
              <w:tl2br w:val="nil"/>
              <w:tr2bl w:val="nil"/>
            </w:tcBorders>
            <w:vAlign w:val="center"/>
          </w:tcPr>
          <w:p w14:paraId="5F144AB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c>
          <w:tcPr>
            <w:tcW w:w="785" w:type="dxa"/>
            <w:tcBorders>
              <w:tl2br w:val="nil"/>
              <w:tr2bl w:val="nil"/>
            </w:tcBorders>
            <w:vAlign w:val="center"/>
          </w:tcPr>
          <w:p w14:paraId="54C93D6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0"/>
                <w:sz w:val="28"/>
                <w:szCs w:val="28"/>
              </w:rPr>
            </w:pPr>
          </w:p>
        </w:tc>
      </w:tr>
      <w:tr w14:paraId="0A5F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336" w:type="dxa"/>
            <w:vMerge w:val="restart"/>
            <w:tcBorders>
              <w:tl2br w:val="nil"/>
              <w:tr2bl w:val="nil"/>
            </w:tcBorders>
            <w:vAlign w:val="center"/>
          </w:tcPr>
          <w:p w14:paraId="33787E41">
            <w:pPr>
              <w:keepNext w:val="0"/>
              <w:keepLines w:val="0"/>
              <w:pageBreakBefore w:val="0"/>
              <w:widowControl w:val="0"/>
              <w:numPr>
                <w:ilvl w:val="0"/>
                <w:numId w:val="1"/>
              </w:numPr>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场所设置与设施</w:t>
            </w:r>
          </w:p>
          <w:p w14:paraId="4672B610">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45</w:t>
            </w:r>
            <w:r>
              <w:rPr>
                <w:rFonts w:hint="eastAsia" w:ascii="仿宋_GB2312" w:hAnsi="仿宋_GB2312" w:eastAsia="仿宋_GB2312" w:cs="仿宋_GB2312"/>
                <w:color w:val="000000"/>
                <w:sz w:val="28"/>
                <w:szCs w:val="28"/>
                <w:lang w:val="zh-CN"/>
              </w:rPr>
              <w:t>分</w:t>
            </w:r>
            <w:r>
              <w:rPr>
                <w:rFonts w:hint="eastAsia" w:ascii="仿宋_GB2312" w:hAnsi="仿宋_GB2312" w:eastAsia="仿宋_GB2312" w:cs="仿宋_GB2312"/>
                <w:color w:val="000000"/>
                <w:sz w:val="28"/>
                <w:szCs w:val="28"/>
              </w:rPr>
              <w:t>)</w:t>
            </w:r>
          </w:p>
        </w:tc>
        <w:tc>
          <w:tcPr>
            <w:tcW w:w="1185" w:type="dxa"/>
            <w:vMerge w:val="restart"/>
            <w:tcBorders>
              <w:tl2br w:val="nil"/>
              <w:tr2bl w:val="nil"/>
            </w:tcBorders>
            <w:vAlign w:val="center"/>
          </w:tcPr>
          <w:p w14:paraId="289B282A">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3、场所设置</w:t>
            </w:r>
          </w:p>
          <w:p w14:paraId="49904178">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（20分）</w:t>
            </w:r>
          </w:p>
        </w:tc>
        <w:tc>
          <w:tcPr>
            <w:tcW w:w="1143" w:type="dxa"/>
            <w:tcBorders>
              <w:tl2br w:val="nil"/>
              <w:tr2bl w:val="nil"/>
            </w:tcBorders>
            <w:vAlign w:val="center"/>
          </w:tcPr>
          <w:p w14:paraId="07F0798B">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5847" w:type="dxa"/>
            <w:tcBorders>
              <w:tl2br w:val="nil"/>
              <w:tr2bl w:val="nil"/>
            </w:tcBorders>
            <w:vAlign w:val="center"/>
          </w:tcPr>
          <w:p w14:paraId="569E922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承接手术科室：应为独立的骨科、小儿骨科或矫形外科，床位不少于20张；</w:t>
            </w:r>
          </w:p>
        </w:tc>
        <w:tc>
          <w:tcPr>
            <w:tcW w:w="3852" w:type="dxa"/>
            <w:vMerge w:val="restart"/>
            <w:tcBorders>
              <w:tl2br w:val="nil"/>
              <w:tr2bl w:val="nil"/>
            </w:tcBorders>
            <w:vAlign w:val="center"/>
          </w:tcPr>
          <w:p w14:paraId="52316F9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kern w:val="2"/>
                <w:sz w:val="28"/>
                <w:szCs w:val="28"/>
                <w:lang w:val="en-US" w:eastAsia="zh-CN" w:bidi="ar-SA"/>
              </w:rPr>
              <w:t>实地查看，</w:t>
            </w: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相应</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不</w:t>
            </w:r>
            <w:r>
              <w:rPr>
                <w:rFonts w:hint="eastAsia" w:ascii="仿宋_GB2312" w:hAnsi="仿宋_GB2312" w:eastAsia="仿宋_GB2312" w:cs="仿宋_GB2312"/>
                <w:color w:val="000000" w:themeColor="text1"/>
                <w:sz w:val="28"/>
                <w:szCs w:val="28"/>
              </w:rPr>
              <w:t>符合得0分。</w:t>
            </w:r>
          </w:p>
        </w:tc>
        <w:tc>
          <w:tcPr>
            <w:tcW w:w="1093" w:type="dxa"/>
            <w:tcBorders>
              <w:tl2br w:val="nil"/>
              <w:tr2bl w:val="nil"/>
            </w:tcBorders>
            <w:vAlign w:val="center"/>
          </w:tcPr>
          <w:p w14:paraId="7E176FA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56391B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088A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336" w:type="dxa"/>
            <w:vMerge w:val="continue"/>
            <w:tcBorders>
              <w:tl2br w:val="nil"/>
              <w:tr2bl w:val="nil"/>
            </w:tcBorders>
            <w:vAlign w:val="center"/>
          </w:tcPr>
          <w:p w14:paraId="4F414F22">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color w:val="000000"/>
                <w:sz w:val="28"/>
                <w:szCs w:val="28"/>
                <w:lang w:val="zh-CN"/>
              </w:rPr>
            </w:pPr>
          </w:p>
        </w:tc>
        <w:tc>
          <w:tcPr>
            <w:tcW w:w="1185" w:type="dxa"/>
            <w:vMerge w:val="continue"/>
            <w:tcBorders>
              <w:tl2br w:val="nil"/>
              <w:tr2bl w:val="nil"/>
            </w:tcBorders>
            <w:vAlign w:val="center"/>
          </w:tcPr>
          <w:p w14:paraId="69890941">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color w:val="000000"/>
                <w:sz w:val="28"/>
                <w:szCs w:val="28"/>
              </w:rPr>
            </w:pPr>
          </w:p>
        </w:tc>
        <w:tc>
          <w:tcPr>
            <w:tcW w:w="1143" w:type="dxa"/>
            <w:tcBorders>
              <w:tl2br w:val="nil"/>
              <w:tr2bl w:val="nil"/>
            </w:tcBorders>
            <w:vAlign w:val="center"/>
          </w:tcPr>
          <w:p w14:paraId="249D4CB5">
            <w:pPr>
              <w:keepNext w:val="0"/>
              <w:keepLines w:val="0"/>
              <w:pageBreakBefore w:val="0"/>
              <w:widowControl w:val="0"/>
              <w:kinsoku/>
              <w:wordWrap/>
              <w:overflowPunct/>
              <w:topLinePunct w:val="0"/>
              <w:autoSpaceDE/>
              <w:autoSpaceDN/>
              <w:bidi w:val="0"/>
              <w:adjustRightInd/>
              <w:snapToGrid/>
              <w:spacing w:line="340" w:lineRule="exact"/>
              <w:ind w:left="-142"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847" w:type="dxa"/>
            <w:tcBorders>
              <w:tl2br w:val="nil"/>
              <w:tr2bl w:val="nil"/>
            </w:tcBorders>
            <w:vAlign w:val="center"/>
          </w:tcPr>
          <w:p w14:paraId="0D53C23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手术室具有达到卫健部门规范标准的手术室。</w:t>
            </w:r>
          </w:p>
        </w:tc>
        <w:tc>
          <w:tcPr>
            <w:tcW w:w="3852" w:type="dxa"/>
            <w:vMerge w:val="continue"/>
            <w:tcBorders>
              <w:tl2br w:val="nil"/>
              <w:tr2bl w:val="nil"/>
            </w:tcBorders>
            <w:vAlign w:val="center"/>
          </w:tcPr>
          <w:p w14:paraId="3E2E2A1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279E61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5739D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3EC5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1336" w:type="dxa"/>
            <w:vMerge w:val="continue"/>
            <w:tcBorders>
              <w:tl2br w:val="nil"/>
              <w:tr2bl w:val="nil"/>
            </w:tcBorders>
            <w:vAlign w:val="center"/>
          </w:tcPr>
          <w:p w14:paraId="71716E16">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color w:val="000000"/>
                <w:sz w:val="28"/>
                <w:szCs w:val="28"/>
                <w:lang w:val="zh-CN"/>
              </w:rPr>
            </w:pPr>
          </w:p>
        </w:tc>
        <w:tc>
          <w:tcPr>
            <w:tcW w:w="1185" w:type="dxa"/>
            <w:vMerge w:val="continue"/>
            <w:tcBorders>
              <w:tl2br w:val="nil"/>
              <w:tr2bl w:val="nil"/>
            </w:tcBorders>
            <w:vAlign w:val="center"/>
          </w:tcPr>
          <w:p w14:paraId="15301CD6">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color w:val="000000"/>
                <w:sz w:val="28"/>
                <w:szCs w:val="28"/>
              </w:rPr>
            </w:pPr>
          </w:p>
        </w:tc>
        <w:tc>
          <w:tcPr>
            <w:tcW w:w="1143" w:type="dxa"/>
            <w:tcBorders>
              <w:tl2br w:val="nil"/>
              <w:tr2bl w:val="nil"/>
            </w:tcBorders>
            <w:vAlign w:val="center"/>
          </w:tcPr>
          <w:p w14:paraId="23C72AD6">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847" w:type="dxa"/>
            <w:tcBorders>
              <w:tl2br w:val="nil"/>
              <w:tr2bl w:val="nil"/>
            </w:tcBorders>
            <w:vAlign w:val="center"/>
          </w:tcPr>
          <w:p w14:paraId="0EEB662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有术后监护病房或ICU病房。</w:t>
            </w:r>
          </w:p>
        </w:tc>
        <w:tc>
          <w:tcPr>
            <w:tcW w:w="3852" w:type="dxa"/>
            <w:vMerge w:val="continue"/>
            <w:tcBorders>
              <w:tl2br w:val="nil"/>
              <w:tr2bl w:val="nil"/>
            </w:tcBorders>
            <w:vAlign w:val="center"/>
          </w:tcPr>
          <w:p w14:paraId="79CF0BE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0380B90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0422E9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02A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336" w:type="dxa"/>
            <w:vMerge w:val="continue"/>
            <w:tcBorders>
              <w:tl2br w:val="nil"/>
              <w:tr2bl w:val="nil"/>
            </w:tcBorders>
            <w:vAlign w:val="center"/>
          </w:tcPr>
          <w:p w14:paraId="0CD4A995">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194AF78A">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5F11E07">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5F2EFDA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室内外康复训练场所通风透气，采光好</w:t>
            </w:r>
          </w:p>
        </w:tc>
        <w:tc>
          <w:tcPr>
            <w:tcW w:w="3852" w:type="dxa"/>
            <w:vMerge w:val="continue"/>
            <w:tcBorders>
              <w:tl2br w:val="nil"/>
              <w:tr2bl w:val="nil"/>
            </w:tcBorders>
            <w:vAlign w:val="center"/>
          </w:tcPr>
          <w:p w14:paraId="0E069D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79CC466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428763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FD9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336" w:type="dxa"/>
            <w:vMerge w:val="continue"/>
            <w:tcBorders>
              <w:tl2br w:val="nil"/>
              <w:tr2bl w:val="nil"/>
            </w:tcBorders>
            <w:vAlign w:val="center"/>
          </w:tcPr>
          <w:p w14:paraId="22CA0050">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1D2C2E40">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253135F3">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641296B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色彩设计、装饰</w:t>
            </w:r>
            <w:r>
              <w:rPr>
                <w:rFonts w:hint="eastAsia" w:ascii="仿宋_GB2312" w:hAnsi="仿宋_GB2312" w:eastAsia="仿宋_GB2312" w:cs="仿宋_GB2312"/>
                <w:sz w:val="28"/>
                <w:szCs w:val="28"/>
                <w:lang w:val="en-US" w:eastAsia="zh-CN"/>
              </w:rPr>
              <w:t>适合儿童的身心特点和</w:t>
            </w:r>
            <w:r>
              <w:rPr>
                <w:rFonts w:hint="eastAsia" w:ascii="仿宋_GB2312" w:hAnsi="仿宋_GB2312" w:eastAsia="仿宋_GB2312" w:cs="仿宋_GB2312"/>
                <w:sz w:val="28"/>
                <w:szCs w:val="28"/>
              </w:rPr>
              <w:t>无障碍建设要求</w:t>
            </w:r>
          </w:p>
        </w:tc>
        <w:tc>
          <w:tcPr>
            <w:tcW w:w="3852" w:type="dxa"/>
            <w:vMerge w:val="continue"/>
            <w:tcBorders>
              <w:tl2br w:val="nil"/>
              <w:tr2bl w:val="nil"/>
            </w:tcBorders>
            <w:vAlign w:val="center"/>
          </w:tcPr>
          <w:p w14:paraId="27AAB5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03CBC96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D00645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5EF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336" w:type="dxa"/>
            <w:vMerge w:val="continue"/>
            <w:tcBorders>
              <w:tl2br w:val="nil"/>
              <w:tr2bl w:val="nil"/>
            </w:tcBorders>
            <w:vAlign w:val="center"/>
          </w:tcPr>
          <w:p w14:paraId="4F7E9B31">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E8ED445">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6ED518DB">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047EB67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有专供儿童使用的卫生间</w:t>
            </w:r>
          </w:p>
        </w:tc>
        <w:tc>
          <w:tcPr>
            <w:tcW w:w="3852" w:type="dxa"/>
            <w:vMerge w:val="continue"/>
            <w:tcBorders>
              <w:tl2br w:val="nil"/>
              <w:tr2bl w:val="nil"/>
            </w:tcBorders>
            <w:vAlign w:val="center"/>
          </w:tcPr>
          <w:p w14:paraId="0105B1B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514DDC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4607BE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1C1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1336" w:type="dxa"/>
            <w:vMerge w:val="continue"/>
            <w:tcBorders>
              <w:tl2br w:val="nil"/>
              <w:tr2bl w:val="nil"/>
            </w:tcBorders>
            <w:vAlign w:val="center"/>
          </w:tcPr>
          <w:p w14:paraId="6A88DB7C">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5A3FF34">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02C9597F">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1BC60338">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基本康复训练场所面积不少于130㎡</w:t>
            </w:r>
          </w:p>
        </w:tc>
        <w:tc>
          <w:tcPr>
            <w:tcW w:w="3852" w:type="dxa"/>
            <w:vMerge w:val="continue"/>
            <w:tcBorders>
              <w:tl2br w:val="nil"/>
              <w:tr2bl w:val="nil"/>
            </w:tcBorders>
            <w:vAlign w:val="center"/>
          </w:tcPr>
          <w:p w14:paraId="1D90767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33D54E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67ED30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CC2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336" w:type="dxa"/>
            <w:vMerge w:val="continue"/>
            <w:tcBorders>
              <w:tl2br w:val="nil"/>
              <w:tr2bl w:val="nil"/>
            </w:tcBorders>
            <w:vAlign w:val="center"/>
          </w:tcPr>
          <w:p w14:paraId="57CDA85B">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ACB8700">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2A9DD736">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68EE6AC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运动治疗室至少一间，面积≥40m</w:t>
            </w:r>
            <w:r>
              <w:rPr>
                <w:rFonts w:hint="eastAsia" w:ascii="仿宋_GB2312" w:hAnsi="仿宋_GB2312" w:eastAsia="仿宋_GB2312" w:cs="仿宋_GB2312"/>
                <w:sz w:val="28"/>
                <w:szCs w:val="28"/>
                <w:vertAlign w:val="superscript"/>
              </w:rPr>
              <w:t xml:space="preserve">2    </w:t>
            </w:r>
            <w:r>
              <w:rPr>
                <w:rFonts w:hint="eastAsia" w:ascii="仿宋_GB2312" w:hAnsi="仿宋_GB2312" w:eastAsia="仿宋_GB2312" w:cs="仿宋_GB2312"/>
                <w:sz w:val="28"/>
                <w:szCs w:val="28"/>
              </w:rPr>
              <w:t>物理因子治疗室面积≥10m</w:t>
            </w:r>
            <w:r>
              <w:rPr>
                <w:rFonts w:hint="eastAsia" w:ascii="仿宋_GB2312" w:hAnsi="仿宋_GB2312" w:eastAsia="仿宋_GB2312" w:cs="仿宋_GB2312"/>
                <w:sz w:val="28"/>
                <w:szCs w:val="28"/>
                <w:vertAlign w:val="superscript"/>
              </w:rPr>
              <w:t>2</w:t>
            </w:r>
            <w:r>
              <w:rPr>
                <w:rFonts w:hint="eastAsia" w:ascii="仿宋_GB2312" w:hAnsi="仿宋_GB2312" w:eastAsia="仿宋_GB2312" w:cs="仿宋_GB2312"/>
                <w:sz w:val="28"/>
                <w:szCs w:val="28"/>
              </w:rPr>
              <w:t>；</w:t>
            </w:r>
          </w:p>
        </w:tc>
        <w:tc>
          <w:tcPr>
            <w:tcW w:w="3852" w:type="dxa"/>
            <w:vMerge w:val="continue"/>
            <w:tcBorders>
              <w:tl2br w:val="nil"/>
              <w:tr2bl w:val="nil"/>
            </w:tcBorders>
            <w:vAlign w:val="center"/>
          </w:tcPr>
          <w:p w14:paraId="2113C64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42614F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5B6949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7AB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336" w:type="dxa"/>
            <w:vMerge w:val="continue"/>
            <w:tcBorders>
              <w:tl2br w:val="nil"/>
              <w:tr2bl w:val="nil"/>
            </w:tcBorders>
            <w:vAlign w:val="center"/>
          </w:tcPr>
          <w:p w14:paraId="5BB56D53">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EC572AB">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CD0A751">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021F137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作业治疗室至少一间，面积≥30m</w:t>
            </w:r>
            <w:r>
              <w:rPr>
                <w:rFonts w:hint="eastAsia" w:ascii="仿宋_GB2312" w:hAnsi="仿宋_GB2312" w:eastAsia="仿宋_GB2312" w:cs="仿宋_GB2312"/>
                <w:sz w:val="28"/>
                <w:szCs w:val="28"/>
                <w:vertAlign w:val="superscript"/>
              </w:rPr>
              <w:t>2</w:t>
            </w:r>
            <w:r>
              <w:rPr>
                <w:rFonts w:hint="eastAsia" w:ascii="仿宋_GB2312" w:hAnsi="仿宋_GB2312" w:eastAsia="仿宋_GB2312" w:cs="仿宋_GB2312"/>
                <w:sz w:val="28"/>
                <w:szCs w:val="28"/>
              </w:rPr>
              <w:t>；</w:t>
            </w:r>
          </w:p>
        </w:tc>
        <w:tc>
          <w:tcPr>
            <w:tcW w:w="3852" w:type="dxa"/>
            <w:vMerge w:val="continue"/>
            <w:tcBorders>
              <w:tl2br w:val="nil"/>
              <w:tr2bl w:val="nil"/>
            </w:tcBorders>
            <w:vAlign w:val="center"/>
          </w:tcPr>
          <w:p w14:paraId="677368E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5CCA5B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B1AD0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196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336" w:type="dxa"/>
            <w:vMerge w:val="continue"/>
            <w:tcBorders>
              <w:tl2br w:val="nil"/>
              <w:tr2bl w:val="nil"/>
            </w:tcBorders>
            <w:vAlign w:val="center"/>
          </w:tcPr>
          <w:p w14:paraId="3343BF4A">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6F75B406">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13AE524">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5BFB6F2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中医治疗室面积≥20m</w:t>
            </w:r>
            <w:r>
              <w:rPr>
                <w:rFonts w:hint="eastAsia" w:ascii="仿宋_GB2312" w:hAnsi="仿宋_GB2312" w:eastAsia="仿宋_GB2312" w:cs="仿宋_GB2312"/>
                <w:sz w:val="28"/>
                <w:szCs w:val="28"/>
                <w:vertAlign w:val="superscript"/>
              </w:rPr>
              <w:t>2</w:t>
            </w:r>
          </w:p>
        </w:tc>
        <w:tc>
          <w:tcPr>
            <w:tcW w:w="3852" w:type="dxa"/>
            <w:vMerge w:val="continue"/>
            <w:tcBorders>
              <w:tl2br w:val="nil"/>
              <w:tr2bl w:val="nil"/>
            </w:tcBorders>
            <w:vAlign w:val="center"/>
          </w:tcPr>
          <w:p w14:paraId="0D42B5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0D9125E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601C7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C90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1336" w:type="dxa"/>
            <w:vMerge w:val="continue"/>
            <w:tcBorders>
              <w:tl2br w:val="nil"/>
              <w:tr2bl w:val="nil"/>
            </w:tcBorders>
            <w:vAlign w:val="center"/>
          </w:tcPr>
          <w:p w14:paraId="156D48E4">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167F47BC">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0436263">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1C6423E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家长指导室（或集体培训场所）不少于20m</w:t>
            </w:r>
            <w:r>
              <w:rPr>
                <w:rFonts w:hint="eastAsia" w:ascii="仿宋_GB2312" w:hAnsi="仿宋_GB2312" w:eastAsia="仿宋_GB2312" w:cs="仿宋_GB2312"/>
                <w:sz w:val="28"/>
                <w:szCs w:val="28"/>
                <w:vertAlign w:val="superscript"/>
              </w:rPr>
              <w:t>2</w:t>
            </w:r>
            <w:r>
              <w:rPr>
                <w:rFonts w:hint="eastAsia" w:ascii="仿宋_GB2312" w:hAnsi="仿宋_GB2312" w:eastAsia="仿宋_GB2312" w:cs="仿宋_GB2312"/>
                <w:sz w:val="28"/>
                <w:szCs w:val="28"/>
              </w:rPr>
              <w:t>；单独步行区域不少于15m长和2m</w:t>
            </w:r>
            <w:r>
              <w:rPr>
                <w:rFonts w:hint="eastAsia" w:ascii="仿宋_GB2312" w:hAnsi="仿宋_GB2312" w:eastAsia="仿宋_GB2312" w:cs="仿宋_GB2312"/>
                <w:sz w:val="28"/>
                <w:szCs w:val="28"/>
                <w:lang w:eastAsia="zh-CN"/>
              </w:rPr>
              <w:t>宽</w:t>
            </w:r>
            <w:r>
              <w:rPr>
                <w:rFonts w:hint="eastAsia" w:ascii="仿宋_GB2312" w:hAnsi="仿宋_GB2312" w:eastAsia="仿宋_GB2312" w:cs="仿宋_GB2312"/>
                <w:sz w:val="28"/>
                <w:szCs w:val="28"/>
              </w:rPr>
              <w:t>的步行区域（室内外均可）</w:t>
            </w:r>
          </w:p>
        </w:tc>
        <w:tc>
          <w:tcPr>
            <w:tcW w:w="3852" w:type="dxa"/>
            <w:vMerge w:val="continue"/>
            <w:tcBorders>
              <w:tl2br w:val="nil"/>
              <w:tr2bl w:val="nil"/>
            </w:tcBorders>
            <w:vAlign w:val="center"/>
          </w:tcPr>
          <w:p w14:paraId="3A5F593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8"/>
                <w:szCs w:val="28"/>
              </w:rPr>
            </w:pPr>
          </w:p>
        </w:tc>
        <w:tc>
          <w:tcPr>
            <w:tcW w:w="1093" w:type="dxa"/>
            <w:tcBorders>
              <w:tl2br w:val="nil"/>
              <w:tr2bl w:val="nil"/>
            </w:tcBorders>
            <w:vAlign w:val="center"/>
          </w:tcPr>
          <w:p w14:paraId="3161A15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6BF77B2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632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14:paraId="52E58543">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D6093A1">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DE056F6">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0.5</w:t>
            </w:r>
          </w:p>
        </w:tc>
        <w:tc>
          <w:tcPr>
            <w:tcW w:w="5847" w:type="dxa"/>
            <w:tcBorders>
              <w:tl2br w:val="nil"/>
              <w:tr2bl w:val="nil"/>
            </w:tcBorders>
            <w:vAlign w:val="center"/>
          </w:tcPr>
          <w:p w14:paraId="7817315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有可利用的户外活动场地，面积不少于100m</w:t>
            </w:r>
            <w:r>
              <w:rPr>
                <w:rFonts w:hint="eastAsia" w:ascii="仿宋_GB2312" w:hAnsi="仿宋_GB2312" w:eastAsia="仿宋_GB2312" w:cs="仿宋_GB2312"/>
                <w:sz w:val="28"/>
                <w:szCs w:val="28"/>
                <w:vertAlign w:val="superscript"/>
              </w:rPr>
              <w:t>2</w:t>
            </w:r>
            <w:r>
              <w:rPr>
                <w:rFonts w:hint="eastAsia" w:ascii="仿宋_GB2312" w:hAnsi="仿宋_GB2312" w:eastAsia="仿宋_GB2312" w:cs="仿宋_GB2312"/>
                <w:sz w:val="28"/>
                <w:szCs w:val="28"/>
              </w:rPr>
              <w:t>。</w:t>
            </w:r>
          </w:p>
        </w:tc>
        <w:tc>
          <w:tcPr>
            <w:tcW w:w="3852" w:type="dxa"/>
            <w:vMerge w:val="continue"/>
            <w:tcBorders>
              <w:tl2br w:val="nil"/>
              <w:tr2bl w:val="nil"/>
            </w:tcBorders>
            <w:vAlign w:val="center"/>
          </w:tcPr>
          <w:p w14:paraId="592D5D6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7F69DE4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277B1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6E0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336" w:type="dxa"/>
            <w:vMerge w:val="continue"/>
            <w:tcBorders>
              <w:tl2br w:val="nil"/>
              <w:tr2bl w:val="nil"/>
            </w:tcBorders>
            <w:vAlign w:val="center"/>
          </w:tcPr>
          <w:p w14:paraId="3AC06C79">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restart"/>
            <w:tcBorders>
              <w:tl2br w:val="nil"/>
              <w:tr2bl w:val="nil"/>
            </w:tcBorders>
            <w:vAlign w:val="center"/>
          </w:tcPr>
          <w:p w14:paraId="2070D3B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4、设备设施</w:t>
            </w:r>
          </w:p>
          <w:p w14:paraId="1581C287">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（25）</w:t>
            </w:r>
          </w:p>
        </w:tc>
        <w:tc>
          <w:tcPr>
            <w:tcW w:w="1143" w:type="dxa"/>
            <w:tcBorders>
              <w:tl2br w:val="nil"/>
              <w:tr2bl w:val="nil"/>
            </w:tcBorders>
            <w:vAlign w:val="center"/>
          </w:tcPr>
          <w:p w14:paraId="39036D61">
            <w:pPr>
              <w:keepNext w:val="0"/>
              <w:keepLines w:val="0"/>
              <w:pageBreakBefore w:val="0"/>
              <w:widowControl w:val="0"/>
              <w:kinsoku/>
              <w:wordWrap/>
              <w:overflowPunct/>
              <w:topLinePunct w:val="0"/>
              <w:autoSpaceDE/>
              <w:autoSpaceDN/>
              <w:bidi w:val="0"/>
              <w:adjustRightInd/>
              <w:snapToGrid/>
              <w:spacing w:line="340" w:lineRule="exact"/>
              <w:ind w:left="-142"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5BA7C31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手术室：应具有X线术中拍片及C型臂辅助设备。</w:t>
            </w:r>
          </w:p>
        </w:tc>
        <w:tc>
          <w:tcPr>
            <w:tcW w:w="3852" w:type="dxa"/>
            <w:vMerge w:val="restart"/>
            <w:tcBorders>
              <w:tl2br w:val="nil"/>
              <w:tr2bl w:val="nil"/>
            </w:tcBorders>
            <w:vAlign w:val="center"/>
          </w:tcPr>
          <w:p w14:paraId="3458B6C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themeColor="text1"/>
                <w:sz w:val="28"/>
                <w:szCs w:val="28"/>
              </w:rPr>
              <w:t>符合得2分，不符合得0分</w:t>
            </w:r>
          </w:p>
        </w:tc>
        <w:tc>
          <w:tcPr>
            <w:tcW w:w="1093" w:type="dxa"/>
            <w:tcBorders>
              <w:tl2br w:val="nil"/>
              <w:tr2bl w:val="nil"/>
            </w:tcBorders>
            <w:vAlign w:val="center"/>
          </w:tcPr>
          <w:p w14:paraId="024F19C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44F37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F51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14:paraId="1B193227">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70EE6B76">
            <w:pPr>
              <w:keepNext w:val="0"/>
              <w:keepLines w:val="0"/>
              <w:pageBreakBefore w:val="0"/>
              <w:widowControl w:val="0"/>
              <w:kinsoku/>
              <w:wordWrap/>
              <w:overflowPunct/>
              <w:topLinePunct w:val="0"/>
              <w:autoSpaceDE/>
              <w:autoSpaceDN/>
              <w:bidi w:val="0"/>
              <w:adjustRightInd/>
              <w:snapToGrid/>
              <w:spacing w:line="340" w:lineRule="exact"/>
              <w:ind w:left="-142" w:firstLine="560" w:firstLineChars="200"/>
              <w:jc w:val="left"/>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676381C">
            <w:pPr>
              <w:keepNext w:val="0"/>
              <w:keepLines w:val="0"/>
              <w:pageBreakBefore w:val="0"/>
              <w:widowControl w:val="0"/>
              <w:kinsoku/>
              <w:wordWrap/>
              <w:overflowPunct/>
              <w:topLinePunct w:val="0"/>
              <w:autoSpaceDE/>
              <w:autoSpaceDN/>
              <w:bidi w:val="0"/>
              <w:adjustRightInd/>
              <w:snapToGrid/>
              <w:spacing w:line="340" w:lineRule="exact"/>
              <w:ind w:left="-142"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1E567C2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有手术评估工具《医院治疗疗效评价标准》和《病人术后疗效信访表》。</w:t>
            </w:r>
          </w:p>
        </w:tc>
        <w:tc>
          <w:tcPr>
            <w:tcW w:w="3852" w:type="dxa"/>
            <w:vMerge w:val="continue"/>
            <w:tcBorders>
              <w:tl2br w:val="nil"/>
              <w:tr2bl w:val="nil"/>
            </w:tcBorders>
            <w:vAlign w:val="center"/>
          </w:tcPr>
          <w:p w14:paraId="4B65CE3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191E9C0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62620F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2C9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1336" w:type="dxa"/>
            <w:vMerge w:val="continue"/>
            <w:tcBorders>
              <w:tl2br w:val="nil"/>
              <w:tr2bl w:val="nil"/>
            </w:tcBorders>
            <w:vAlign w:val="center"/>
          </w:tcPr>
          <w:p w14:paraId="1471C5D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9CB133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7308F2E">
            <w:pPr>
              <w:keepNext w:val="0"/>
              <w:keepLines w:val="0"/>
              <w:pageBreakBefore w:val="0"/>
              <w:widowControl w:val="0"/>
              <w:kinsoku/>
              <w:wordWrap/>
              <w:overflowPunct/>
              <w:topLinePunct w:val="0"/>
              <w:autoSpaceDE/>
              <w:autoSpaceDN/>
              <w:bidi w:val="0"/>
              <w:adjustRightInd/>
              <w:snapToGrid/>
              <w:spacing w:line="340" w:lineRule="exact"/>
              <w:ind w:left="-142"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667091E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评估工具：基本评定工具（ROM）检查工具、肌力测试工具、脊柱测量仪等）、GMFM评定量表、FMFM评定量表等。</w:t>
            </w:r>
          </w:p>
        </w:tc>
        <w:tc>
          <w:tcPr>
            <w:tcW w:w="3852" w:type="dxa"/>
            <w:vMerge w:val="continue"/>
            <w:tcBorders>
              <w:tl2br w:val="nil"/>
              <w:tr2bl w:val="nil"/>
            </w:tcBorders>
            <w:vAlign w:val="center"/>
          </w:tcPr>
          <w:p w14:paraId="69CA893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28901BD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3B23A0F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4F6F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336" w:type="dxa"/>
            <w:vMerge w:val="continue"/>
            <w:tcBorders>
              <w:tl2br w:val="nil"/>
              <w:tr2bl w:val="nil"/>
            </w:tcBorders>
            <w:vAlign w:val="center"/>
          </w:tcPr>
          <w:p w14:paraId="09FB3E4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DD2B77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3FCD7D3">
            <w:pPr>
              <w:keepNext w:val="0"/>
              <w:keepLines w:val="0"/>
              <w:pageBreakBefore w:val="0"/>
              <w:widowControl w:val="0"/>
              <w:kinsoku/>
              <w:wordWrap/>
              <w:overflowPunct/>
              <w:topLinePunct w:val="0"/>
              <w:autoSpaceDE/>
              <w:autoSpaceDN/>
              <w:bidi w:val="0"/>
              <w:adjustRightInd/>
              <w:snapToGrid/>
              <w:spacing w:line="340" w:lineRule="exact"/>
              <w:ind w:left="-142"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5847" w:type="dxa"/>
            <w:tcBorders>
              <w:tl2br w:val="nil"/>
              <w:tr2bl w:val="nil"/>
            </w:tcBorders>
            <w:vAlign w:val="center"/>
          </w:tcPr>
          <w:p w14:paraId="251962E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训练器具：训练垫、PT床、楔形垫、巴氏球、花生球、滚筒、姿势矫正椅、股四头肌训练器、沙袋、哑铃、玩具、站立训练器具（站立架、起立床、踝关节矫正站立板、肋木）、步行训练器具（平衡杠、步行架、助行器、阶梯、姿势镜、多用组合箱）等。</w:t>
            </w:r>
          </w:p>
        </w:tc>
        <w:tc>
          <w:tcPr>
            <w:tcW w:w="3852" w:type="dxa"/>
            <w:tcBorders>
              <w:tl2br w:val="nil"/>
              <w:tr2bl w:val="nil"/>
            </w:tcBorders>
            <w:vAlign w:val="center"/>
          </w:tcPr>
          <w:p w14:paraId="2EFF3B0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缺一项扣1分，扣完为止。</w:t>
            </w:r>
          </w:p>
        </w:tc>
        <w:tc>
          <w:tcPr>
            <w:tcW w:w="1093" w:type="dxa"/>
            <w:tcBorders>
              <w:tl2br w:val="nil"/>
              <w:tr2bl w:val="nil"/>
            </w:tcBorders>
            <w:vAlign w:val="center"/>
          </w:tcPr>
          <w:p w14:paraId="57BE304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4E8E051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0DA8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1336" w:type="dxa"/>
            <w:vMerge w:val="continue"/>
            <w:tcBorders>
              <w:tl2br w:val="nil"/>
              <w:tr2bl w:val="nil"/>
            </w:tcBorders>
            <w:vAlign w:val="center"/>
          </w:tcPr>
          <w:p w14:paraId="1F7958C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7102032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378F8A4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5847" w:type="dxa"/>
            <w:tcBorders>
              <w:tl2br w:val="nil"/>
              <w:tr2bl w:val="nil"/>
            </w:tcBorders>
            <w:vAlign w:val="center"/>
          </w:tcPr>
          <w:p w14:paraId="65A53828">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特殊训练设备（根据具体情况而定）：Cybex等速训练系统、虚拟情境平衡训练系统、步行矫正系统、平衡和本体感觉训练系统、体感互动系统、生物反馈自行车、E-Link上肢功能活动训练设备等（有条件可配）。</w:t>
            </w:r>
          </w:p>
        </w:tc>
        <w:tc>
          <w:tcPr>
            <w:tcW w:w="3852" w:type="dxa"/>
            <w:tcBorders>
              <w:tl2br w:val="nil"/>
              <w:tr2bl w:val="nil"/>
            </w:tcBorders>
            <w:vAlign w:val="center"/>
          </w:tcPr>
          <w:p w14:paraId="4F28EA7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缺一项扣1分，扣完为止。</w:t>
            </w:r>
          </w:p>
        </w:tc>
        <w:tc>
          <w:tcPr>
            <w:tcW w:w="1093" w:type="dxa"/>
            <w:tcBorders>
              <w:tl2br w:val="nil"/>
              <w:tr2bl w:val="nil"/>
            </w:tcBorders>
            <w:vAlign w:val="center"/>
          </w:tcPr>
          <w:p w14:paraId="63D62B1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C7092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0B0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14:paraId="435126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8D5F89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F49E73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5847" w:type="dxa"/>
            <w:tcBorders>
              <w:tl2br w:val="nil"/>
              <w:tr2bl w:val="nil"/>
            </w:tcBorders>
            <w:vAlign w:val="center"/>
          </w:tcPr>
          <w:p w14:paraId="484E989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物理因子治疗设备：电疗、热敷袋、水疗、肌电生物反馈和功能性电刺激等。</w:t>
            </w:r>
          </w:p>
        </w:tc>
        <w:tc>
          <w:tcPr>
            <w:tcW w:w="3852" w:type="dxa"/>
            <w:tcBorders>
              <w:tl2br w:val="nil"/>
              <w:tr2bl w:val="nil"/>
            </w:tcBorders>
            <w:vAlign w:val="center"/>
          </w:tcPr>
          <w:p w14:paraId="0D2CB68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缺一项扣1分，扣完为止。</w:t>
            </w:r>
          </w:p>
        </w:tc>
        <w:tc>
          <w:tcPr>
            <w:tcW w:w="1093" w:type="dxa"/>
            <w:tcBorders>
              <w:tl2br w:val="nil"/>
              <w:tr2bl w:val="nil"/>
            </w:tcBorders>
            <w:vAlign w:val="center"/>
          </w:tcPr>
          <w:p w14:paraId="6AF45A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97EFA0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09EA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14:paraId="4C8CC6D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67B9628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6D2EB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847" w:type="dxa"/>
            <w:tcBorders>
              <w:tl2br w:val="nil"/>
              <w:tr2bl w:val="nil"/>
            </w:tcBorders>
            <w:vAlign w:val="center"/>
          </w:tcPr>
          <w:p w14:paraId="159F14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玩教具：摄影机、投影仪、电脑等，有开展集体教学和个别化康复训练所需的各类教具，有符合儿童特点的玩具和图书。</w:t>
            </w:r>
          </w:p>
        </w:tc>
        <w:tc>
          <w:tcPr>
            <w:tcW w:w="3852" w:type="dxa"/>
            <w:tcBorders>
              <w:tl2br w:val="nil"/>
              <w:tr2bl w:val="nil"/>
            </w:tcBorders>
            <w:vAlign w:val="center"/>
          </w:tcPr>
          <w:p w14:paraId="0ABA3D6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缺一项扣1分，扣完为止。</w:t>
            </w:r>
          </w:p>
        </w:tc>
        <w:tc>
          <w:tcPr>
            <w:tcW w:w="1093" w:type="dxa"/>
            <w:tcBorders>
              <w:tl2br w:val="nil"/>
              <w:tr2bl w:val="nil"/>
            </w:tcBorders>
            <w:vAlign w:val="center"/>
          </w:tcPr>
          <w:p w14:paraId="079A677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004379D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3CE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336" w:type="dxa"/>
            <w:vMerge w:val="continue"/>
            <w:tcBorders>
              <w:tl2br w:val="nil"/>
              <w:tr2bl w:val="nil"/>
            </w:tcBorders>
            <w:vAlign w:val="center"/>
          </w:tcPr>
          <w:p w14:paraId="162C44D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716E592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B9372B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2711D13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麻醉科：应具有儿童麻醉机。</w:t>
            </w:r>
          </w:p>
        </w:tc>
        <w:tc>
          <w:tcPr>
            <w:tcW w:w="3852" w:type="dxa"/>
            <w:vMerge w:val="restart"/>
            <w:tcBorders>
              <w:tl2br w:val="nil"/>
              <w:tr2bl w:val="nil"/>
            </w:tcBorders>
            <w:vAlign w:val="center"/>
          </w:tcPr>
          <w:p w14:paraId="4AD933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kern w:val="2"/>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rPr>
              <w:t>实地查看</w:t>
            </w:r>
          </w:p>
          <w:p w14:paraId="54E80148">
            <w:pPr>
              <w:pStyle w:val="2"/>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符合得分，不符合得0分</w:t>
            </w:r>
          </w:p>
        </w:tc>
        <w:tc>
          <w:tcPr>
            <w:tcW w:w="1093" w:type="dxa"/>
            <w:tcBorders>
              <w:tl2br w:val="nil"/>
              <w:tr2bl w:val="nil"/>
            </w:tcBorders>
            <w:vAlign w:val="center"/>
          </w:tcPr>
          <w:p w14:paraId="6E6A644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FED97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F31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1336" w:type="dxa"/>
            <w:vMerge w:val="continue"/>
            <w:tcBorders>
              <w:tl2br w:val="nil"/>
              <w:tr2bl w:val="nil"/>
            </w:tcBorders>
            <w:vAlign w:val="center"/>
          </w:tcPr>
          <w:p w14:paraId="7D5FCD9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09398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FEF9DD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7607E5B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具有基本办公场地、设备和用品。</w:t>
            </w:r>
          </w:p>
        </w:tc>
        <w:tc>
          <w:tcPr>
            <w:tcW w:w="3852" w:type="dxa"/>
            <w:vMerge w:val="continue"/>
            <w:tcBorders>
              <w:tl2br w:val="nil"/>
              <w:tr2bl w:val="nil"/>
            </w:tcBorders>
            <w:vAlign w:val="center"/>
          </w:tcPr>
          <w:p w14:paraId="39F1EBE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3758F2E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562921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E70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336" w:type="dxa"/>
            <w:vMerge w:val="continue"/>
            <w:tcBorders>
              <w:tl2br w:val="nil"/>
              <w:tr2bl w:val="nil"/>
            </w:tcBorders>
            <w:vAlign w:val="center"/>
          </w:tcPr>
          <w:p w14:paraId="507F3CA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7B4CCD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5CEC7A7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56A4E43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具有消防安全设备、器材。</w:t>
            </w:r>
          </w:p>
        </w:tc>
        <w:tc>
          <w:tcPr>
            <w:tcW w:w="3852" w:type="dxa"/>
            <w:vMerge w:val="continue"/>
            <w:tcBorders>
              <w:tl2br w:val="nil"/>
              <w:tr2bl w:val="nil"/>
            </w:tcBorders>
            <w:vAlign w:val="center"/>
          </w:tcPr>
          <w:p w14:paraId="21EC1ED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08697D9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37E62B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20D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restart"/>
            <w:tcBorders>
              <w:tl2br w:val="nil"/>
              <w:tr2bl w:val="nil"/>
            </w:tcBorders>
            <w:vAlign w:val="center"/>
          </w:tcPr>
          <w:p w14:paraId="2600A9A0">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三、人员</w:t>
            </w:r>
          </w:p>
          <w:p w14:paraId="2FF5A0C7">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（25分）</w:t>
            </w:r>
          </w:p>
        </w:tc>
        <w:tc>
          <w:tcPr>
            <w:tcW w:w="1185" w:type="dxa"/>
            <w:vMerge w:val="restart"/>
            <w:tcBorders>
              <w:tl2br w:val="nil"/>
              <w:tr2bl w:val="nil"/>
            </w:tcBorders>
            <w:vAlign w:val="center"/>
          </w:tcPr>
          <w:p w14:paraId="3B865D9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5、专业人员</w:t>
            </w:r>
          </w:p>
          <w:p w14:paraId="6A0A77DC">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（22分）</w:t>
            </w:r>
          </w:p>
        </w:tc>
        <w:tc>
          <w:tcPr>
            <w:tcW w:w="1143" w:type="dxa"/>
            <w:tcBorders>
              <w:tl2br w:val="nil"/>
              <w:tr2bl w:val="nil"/>
            </w:tcBorders>
            <w:vAlign w:val="center"/>
          </w:tcPr>
          <w:p w14:paraId="224E318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5847" w:type="dxa"/>
            <w:tcBorders>
              <w:tl2br w:val="nil"/>
              <w:tr2bl w:val="nil"/>
            </w:tcBorders>
            <w:vAlign w:val="center"/>
          </w:tcPr>
          <w:p w14:paraId="3D4A01D7">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康复医师：有专职康复医师至少1名，执业范围为康复医学与物理因子治疗学、儿科、中医或中西医专业之一，每年参加40学时以上相关技术培训。</w:t>
            </w:r>
          </w:p>
        </w:tc>
        <w:tc>
          <w:tcPr>
            <w:tcW w:w="3852" w:type="dxa"/>
            <w:vMerge w:val="restart"/>
            <w:tcBorders>
              <w:tl2br w:val="nil"/>
              <w:tr2bl w:val="nil"/>
            </w:tcBorders>
            <w:vAlign w:val="center"/>
          </w:tcPr>
          <w:p w14:paraId="563445D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实地查验资质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原件</w:t>
            </w:r>
          </w:p>
          <w:p w14:paraId="1FF6C00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3</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部分符合得1-2分，</w:t>
            </w:r>
            <w:r>
              <w:rPr>
                <w:rFonts w:hint="eastAsia" w:ascii="仿宋_GB2312" w:hAnsi="仿宋_GB2312" w:eastAsia="仿宋_GB2312" w:cs="仿宋_GB2312"/>
                <w:color w:val="000000" w:themeColor="text1"/>
                <w:sz w:val="28"/>
                <w:szCs w:val="28"/>
              </w:rPr>
              <w:t>不符合得0分。</w:t>
            </w:r>
          </w:p>
        </w:tc>
        <w:tc>
          <w:tcPr>
            <w:tcW w:w="1093" w:type="dxa"/>
            <w:tcBorders>
              <w:tl2br w:val="nil"/>
              <w:tr2bl w:val="nil"/>
            </w:tcBorders>
            <w:vAlign w:val="center"/>
          </w:tcPr>
          <w:p w14:paraId="20A282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06FB53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E98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14:paraId="5B5B3F62">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11AC0882">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color w:val="000000"/>
                <w:sz w:val="28"/>
                <w:szCs w:val="28"/>
              </w:rPr>
            </w:pPr>
          </w:p>
        </w:tc>
        <w:tc>
          <w:tcPr>
            <w:tcW w:w="1143" w:type="dxa"/>
            <w:tcBorders>
              <w:tl2br w:val="nil"/>
              <w:tr2bl w:val="nil"/>
            </w:tcBorders>
            <w:vAlign w:val="center"/>
          </w:tcPr>
          <w:p w14:paraId="13B2F7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5847" w:type="dxa"/>
            <w:tcBorders>
              <w:tl2br w:val="nil"/>
              <w:tr2bl w:val="nil"/>
            </w:tcBorders>
            <w:vAlign w:val="center"/>
          </w:tcPr>
          <w:p w14:paraId="2C9561B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康复治疗师：</w:t>
            </w:r>
            <w:r>
              <w:rPr>
                <w:rFonts w:hint="eastAsia" w:ascii="仿宋_GB2312" w:hAnsi="仿宋_GB2312" w:eastAsia="仿宋_GB2312" w:cs="仿宋_GB2312"/>
                <w:sz w:val="28"/>
                <w:szCs w:val="28"/>
                <w:lang w:val="en-US" w:eastAsia="zh-CN"/>
              </w:rPr>
              <w:t>有医疗、康复、护理等专业背景，有相关资格证并接受过肢残儿童康复专业培训；康复治疗师与术后儿童比例不低于1：5，每年参加40学时以上相关技术培训。</w:t>
            </w:r>
          </w:p>
        </w:tc>
        <w:tc>
          <w:tcPr>
            <w:tcW w:w="3852" w:type="dxa"/>
            <w:vMerge w:val="continue"/>
            <w:tcBorders>
              <w:tl2br w:val="nil"/>
              <w:tr2bl w:val="nil"/>
            </w:tcBorders>
            <w:vAlign w:val="center"/>
          </w:tcPr>
          <w:p w14:paraId="12D4510F">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8"/>
                <w:szCs w:val="28"/>
              </w:rPr>
            </w:pPr>
          </w:p>
        </w:tc>
        <w:tc>
          <w:tcPr>
            <w:tcW w:w="1093" w:type="dxa"/>
            <w:tcBorders>
              <w:tl2br w:val="nil"/>
              <w:tr2bl w:val="nil"/>
            </w:tcBorders>
            <w:vAlign w:val="center"/>
          </w:tcPr>
          <w:p w14:paraId="5E3DF9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141CFE5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945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14:paraId="5C7954EC">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28E70BC">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color w:val="000000"/>
                <w:sz w:val="28"/>
                <w:szCs w:val="28"/>
              </w:rPr>
            </w:pPr>
          </w:p>
        </w:tc>
        <w:tc>
          <w:tcPr>
            <w:tcW w:w="1143" w:type="dxa"/>
            <w:tcBorders>
              <w:tl2br w:val="nil"/>
              <w:tr2bl w:val="nil"/>
            </w:tcBorders>
            <w:vAlign w:val="center"/>
          </w:tcPr>
          <w:p w14:paraId="53F3B9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5847" w:type="dxa"/>
            <w:tcBorders>
              <w:tl2br w:val="nil"/>
              <w:tr2bl w:val="nil"/>
            </w:tcBorders>
            <w:vAlign w:val="center"/>
          </w:tcPr>
          <w:p w14:paraId="443A736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有专职中医治疗人员或假肢矫形师，需要有医学背景或工程的大专以上学历。</w:t>
            </w:r>
          </w:p>
        </w:tc>
        <w:tc>
          <w:tcPr>
            <w:tcW w:w="3852" w:type="dxa"/>
            <w:tcBorders>
              <w:tl2br w:val="nil"/>
              <w:tr2bl w:val="nil"/>
            </w:tcBorders>
            <w:vAlign w:val="center"/>
          </w:tcPr>
          <w:p w14:paraId="396AF8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实地查验资质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原件</w:t>
            </w:r>
          </w:p>
          <w:p w14:paraId="5976512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sz w:val="28"/>
                <w:szCs w:val="28"/>
              </w:rPr>
              <w:t>符合规定得</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val="en-US" w:eastAsia="zh-CN"/>
              </w:rPr>
              <w:t>不符合</w:t>
            </w:r>
            <w:r>
              <w:rPr>
                <w:rFonts w:hint="eastAsia" w:ascii="仿宋_GB2312" w:hAnsi="仿宋_GB2312" w:eastAsia="仿宋_GB2312" w:cs="仿宋_GB2312"/>
                <w:sz w:val="28"/>
                <w:szCs w:val="28"/>
              </w:rPr>
              <w:t>得0分。</w:t>
            </w:r>
          </w:p>
        </w:tc>
        <w:tc>
          <w:tcPr>
            <w:tcW w:w="1093" w:type="dxa"/>
            <w:tcBorders>
              <w:tl2br w:val="nil"/>
              <w:tr2bl w:val="nil"/>
            </w:tcBorders>
            <w:vAlign w:val="center"/>
          </w:tcPr>
          <w:p w14:paraId="099F56B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123DC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AEC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14:paraId="579ECD62">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43624FF">
            <w:pPr>
              <w:keepNext w:val="0"/>
              <w:keepLines w:val="0"/>
              <w:pageBreakBefore w:val="0"/>
              <w:widowControl w:val="0"/>
              <w:kinsoku/>
              <w:wordWrap/>
              <w:overflowPunct/>
              <w:topLinePunct w:val="0"/>
              <w:autoSpaceDE/>
              <w:autoSpaceDN/>
              <w:bidi w:val="0"/>
              <w:adjustRightInd/>
              <w:snapToGrid/>
              <w:spacing w:line="340" w:lineRule="exact"/>
              <w:ind w:firstLine="280" w:firstLineChars="100"/>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0D0D131">
            <w:pPr>
              <w:pStyle w:val="2"/>
              <w:keepNext w:val="0"/>
              <w:keepLines w:val="0"/>
              <w:pageBreakBefore w:val="0"/>
              <w:widowControl w:val="0"/>
              <w:kinsoku/>
              <w:wordWrap/>
              <w:overflowPunct/>
              <w:topLinePunct w:val="0"/>
              <w:autoSpaceDE/>
              <w:autoSpaceDN/>
              <w:bidi w:val="0"/>
              <w:adjustRightInd/>
              <w:snapToGrid/>
              <w:spacing w:line="340" w:lineRule="exact"/>
              <w:ind w:left="0" w:leftChars="0"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p>
        </w:tc>
        <w:tc>
          <w:tcPr>
            <w:tcW w:w="5847" w:type="dxa"/>
            <w:tcBorders>
              <w:tl2br w:val="nil"/>
              <w:tr2bl w:val="nil"/>
            </w:tcBorders>
            <w:vAlign w:val="center"/>
          </w:tcPr>
          <w:p w14:paraId="0CFE1F82">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手术负责人应具有高级技术职称，取得执业医师资格，从事骨科或矫形外科或小儿骨科相关专业10年以上。</w:t>
            </w:r>
          </w:p>
        </w:tc>
        <w:tc>
          <w:tcPr>
            <w:tcW w:w="3852" w:type="dxa"/>
            <w:tcBorders>
              <w:tl2br w:val="nil"/>
              <w:tr2bl w:val="nil"/>
            </w:tcBorders>
            <w:vAlign w:val="center"/>
          </w:tcPr>
          <w:p w14:paraId="1B9F23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实地查验资质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原件</w:t>
            </w:r>
          </w:p>
          <w:p w14:paraId="6C6373F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5</w:t>
            </w:r>
            <w:r>
              <w:rPr>
                <w:rFonts w:hint="eastAsia" w:ascii="仿宋_GB2312" w:hAnsi="仿宋_GB2312" w:eastAsia="仿宋_GB2312" w:cs="仿宋_GB2312"/>
                <w:color w:val="000000" w:themeColor="text1"/>
                <w:sz w:val="28"/>
                <w:szCs w:val="28"/>
              </w:rPr>
              <w:t>分，不符合得0分。</w:t>
            </w:r>
          </w:p>
        </w:tc>
        <w:tc>
          <w:tcPr>
            <w:tcW w:w="1093" w:type="dxa"/>
            <w:tcBorders>
              <w:tl2br w:val="nil"/>
              <w:tr2bl w:val="nil"/>
            </w:tcBorders>
            <w:vAlign w:val="center"/>
          </w:tcPr>
          <w:p w14:paraId="4B1A333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38D9A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420D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1336" w:type="dxa"/>
            <w:vMerge w:val="continue"/>
            <w:tcBorders>
              <w:tl2br w:val="nil"/>
              <w:tr2bl w:val="nil"/>
            </w:tcBorders>
            <w:vAlign w:val="center"/>
          </w:tcPr>
          <w:p w14:paraId="61F18796">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80ABF2C">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214C05D">
            <w:pPr>
              <w:pStyle w:val="2"/>
              <w:keepNext w:val="0"/>
              <w:keepLines w:val="0"/>
              <w:pageBreakBefore w:val="0"/>
              <w:widowControl w:val="0"/>
              <w:kinsoku/>
              <w:wordWrap/>
              <w:overflowPunct/>
              <w:topLinePunct w:val="0"/>
              <w:autoSpaceDE/>
              <w:autoSpaceDN/>
              <w:bidi w:val="0"/>
              <w:adjustRightInd/>
              <w:snapToGrid/>
              <w:spacing w:line="340" w:lineRule="exact"/>
              <w:ind w:firstLine="36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p>
        </w:tc>
        <w:tc>
          <w:tcPr>
            <w:tcW w:w="5847" w:type="dxa"/>
            <w:tcBorders>
              <w:tl2br w:val="nil"/>
              <w:tr2bl w:val="nil"/>
            </w:tcBorders>
            <w:vAlign w:val="center"/>
          </w:tcPr>
          <w:p w14:paraId="1DFCDF2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术科室副主任医师以上专家应不少于2名。手术者开展儿童肢体畸形矫治手术的经验应有较丰富的马蹄内翻足、小儿麻痹症后遗症、肢体残疾导致严重痉挛、肌腱痉挛、关节畸形及脱位、脊柱裂导致下肢畸形等病种的矫治经验，</w:t>
            </w:r>
            <w:r>
              <w:rPr>
                <w:rFonts w:hint="eastAsia" w:ascii="仿宋_GB2312" w:hAnsi="仿宋_GB2312" w:eastAsia="仿宋_GB2312" w:cs="仿宋_GB2312"/>
                <w:sz w:val="28"/>
                <w:szCs w:val="28"/>
                <w:lang w:val="zh-CN"/>
              </w:rPr>
              <w:t>手术医师能对术后患者提出康复训练和矫形器配置意见。</w:t>
            </w:r>
          </w:p>
        </w:tc>
        <w:tc>
          <w:tcPr>
            <w:tcW w:w="3852" w:type="dxa"/>
            <w:tcBorders>
              <w:tl2br w:val="nil"/>
              <w:tr2bl w:val="nil"/>
            </w:tcBorders>
            <w:vAlign w:val="center"/>
          </w:tcPr>
          <w:p w14:paraId="5BBBFAA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实地查验资质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原件</w:t>
            </w:r>
          </w:p>
          <w:p w14:paraId="172143D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6</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部分符合得1-5分，</w:t>
            </w:r>
            <w:r>
              <w:rPr>
                <w:rFonts w:hint="eastAsia" w:ascii="仿宋_GB2312" w:hAnsi="仿宋_GB2312" w:eastAsia="仿宋_GB2312" w:cs="仿宋_GB2312"/>
                <w:color w:val="000000" w:themeColor="text1"/>
                <w:sz w:val="28"/>
                <w:szCs w:val="28"/>
              </w:rPr>
              <w:t>不符合得0分。</w:t>
            </w:r>
          </w:p>
          <w:p w14:paraId="630E21F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1DACA3C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493F82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75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336" w:type="dxa"/>
            <w:vMerge w:val="continue"/>
            <w:tcBorders>
              <w:tl2br w:val="nil"/>
              <w:tr2bl w:val="nil"/>
            </w:tcBorders>
            <w:vAlign w:val="center"/>
          </w:tcPr>
          <w:p w14:paraId="2A4BF948">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4CD59A83">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054858C6">
            <w:pPr>
              <w:pStyle w:val="2"/>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5847" w:type="dxa"/>
            <w:tcBorders>
              <w:tl2br w:val="nil"/>
              <w:tr2bl w:val="nil"/>
            </w:tcBorders>
            <w:vAlign w:val="center"/>
          </w:tcPr>
          <w:p w14:paraId="36EECB4D">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麻醉科应具有</w:t>
            </w:r>
            <w:r>
              <w:rPr>
                <w:rFonts w:hint="eastAsia" w:ascii="仿宋_GB2312" w:hAnsi="仿宋_GB2312" w:eastAsia="仿宋_GB2312" w:cs="仿宋_GB2312"/>
                <w:sz w:val="28"/>
                <w:szCs w:val="28"/>
              </w:rPr>
              <w:t>中级技术职称以上麻醉医师不少于2名，应具有儿童麻醉经验，在专科医院进修麻醉一年以上。</w:t>
            </w:r>
          </w:p>
        </w:tc>
        <w:tc>
          <w:tcPr>
            <w:tcW w:w="3852" w:type="dxa"/>
            <w:tcBorders>
              <w:tl2br w:val="nil"/>
              <w:tr2bl w:val="nil"/>
            </w:tcBorders>
            <w:vAlign w:val="center"/>
          </w:tcPr>
          <w:p w14:paraId="1669A8D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实地查验资质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资料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原件</w:t>
            </w:r>
          </w:p>
          <w:p w14:paraId="58EB928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4</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部分符合得1-3分，</w:t>
            </w:r>
            <w:r>
              <w:rPr>
                <w:rFonts w:hint="eastAsia" w:ascii="仿宋_GB2312" w:hAnsi="仿宋_GB2312" w:eastAsia="仿宋_GB2312" w:cs="仿宋_GB2312"/>
                <w:color w:val="000000" w:themeColor="text1"/>
                <w:sz w:val="28"/>
                <w:szCs w:val="28"/>
              </w:rPr>
              <w:t>不符合得0分。</w:t>
            </w:r>
          </w:p>
        </w:tc>
        <w:tc>
          <w:tcPr>
            <w:tcW w:w="1093" w:type="dxa"/>
            <w:tcBorders>
              <w:tl2br w:val="nil"/>
              <w:tr2bl w:val="nil"/>
            </w:tcBorders>
            <w:vAlign w:val="center"/>
          </w:tcPr>
          <w:p w14:paraId="5F68BA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lang w:val="en-US" w:eastAsia="zh-CN"/>
              </w:rPr>
            </w:pPr>
          </w:p>
        </w:tc>
        <w:tc>
          <w:tcPr>
            <w:tcW w:w="785" w:type="dxa"/>
            <w:tcBorders>
              <w:tl2br w:val="nil"/>
              <w:tr2bl w:val="nil"/>
            </w:tcBorders>
            <w:vAlign w:val="center"/>
          </w:tcPr>
          <w:p w14:paraId="7176C2A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C5F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336" w:type="dxa"/>
            <w:vMerge w:val="continue"/>
            <w:tcBorders>
              <w:tl2br w:val="nil"/>
              <w:tr2bl w:val="nil"/>
            </w:tcBorders>
            <w:vAlign w:val="center"/>
          </w:tcPr>
          <w:p w14:paraId="28422F25">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85" w:type="dxa"/>
            <w:vMerge w:val="restart"/>
            <w:tcBorders>
              <w:tl2br w:val="nil"/>
              <w:tr2bl w:val="nil"/>
            </w:tcBorders>
            <w:vAlign w:val="center"/>
          </w:tcPr>
          <w:p w14:paraId="29A084B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6、管理人员</w:t>
            </w:r>
          </w:p>
          <w:p w14:paraId="336D2B4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（3分）</w:t>
            </w:r>
          </w:p>
        </w:tc>
        <w:tc>
          <w:tcPr>
            <w:tcW w:w="1143" w:type="dxa"/>
            <w:tcBorders>
              <w:tl2br w:val="nil"/>
              <w:tr2bl w:val="nil"/>
            </w:tcBorders>
            <w:vAlign w:val="center"/>
          </w:tcPr>
          <w:p w14:paraId="01E201D1">
            <w:pPr>
              <w:pStyle w:val="2"/>
              <w:keepNext w:val="0"/>
              <w:keepLines w:val="0"/>
              <w:pageBreakBefore w:val="0"/>
              <w:widowControl w:val="0"/>
              <w:kinsoku/>
              <w:wordWrap/>
              <w:overflowPunct/>
              <w:topLinePunct w:val="0"/>
              <w:autoSpaceDE/>
              <w:autoSpaceDN/>
              <w:bidi w:val="0"/>
              <w:adjustRightInd/>
              <w:snapToGrid/>
              <w:spacing w:line="340" w:lineRule="exact"/>
              <w:ind w:firstLine="3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3E2A9A6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管理人员应具有肢体残疾儿童康复基础知识及两年以上肢残儿童康复机构管理经验。</w:t>
            </w:r>
          </w:p>
        </w:tc>
        <w:tc>
          <w:tcPr>
            <w:tcW w:w="3852" w:type="dxa"/>
            <w:vMerge w:val="restart"/>
            <w:tcBorders>
              <w:tl2br w:val="nil"/>
              <w:tr2bl w:val="nil"/>
            </w:tcBorders>
            <w:vAlign w:val="center"/>
          </w:tcPr>
          <w:p w14:paraId="4648931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实地查看</w:t>
            </w:r>
          </w:p>
          <w:p w14:paraId="59721B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符合得1分，不符合得0分。</w:t>
            </w:r>
          </w:p>
        </w:tc>
        <w:tc>
          <w:tcPr>
            <w:tcW w:w="1093" w:type="dxa"/>
            <w:tcBorders>
              <w:tl2br w:val="nil"/>
              <w:tr2bl w:val="nil"/>
            </w:tcBorders>
            <w:vAlign w:val="center"/>
          </w:tcPr>
          <w:p w14:paraId="4FCB15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133997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409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336" w:type="dxa"/>
            <w:vMerge w:val="continue"/>
            <w:tcBorders>
              <w:tl2br w:val="nil"/>
              <w:tr2bl w:val="nil"/>
            </w:tcBorders>
            <w:vAlign w:val="center"/>
          </w:tcPr>
          <w:p w14:paraId="611C5BEB">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A0CC461">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109B0154">
            <w:pPr>
              <w:pStyle w:val="2"/>
              <w:keepNext w:val="0"/>
              <w:keepLines w:val="0"/>
              <w:pageBreakBefore w:val="0"/>
              <w:widowControl w:val="0"/>
              <w:kinsoku/>
              <w:wordWrap/>
              <w:overflowPunct/>
              <w:topLinePunct w:val="0"/>
              <w:autoSpaceDE/>
              <w:autoSpaceDN/>
              <w:bidi w:val="0"/>
              <w:adjustRightInd/>
              <w:snapToGrid/>
              <w:spacing w:line="340" w:lineRule="exact"/>
              <w:ind w:firstLine="3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59AEA7DF">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管理人员一名，由机构主任或分管肢残儿童康复工作的部门负责人担任。</w:t>
            </w:r>
          </w:p>
        </w:tc>
        <w:tc>
          <w:tcPr>
            <w:tcW w:w="3852" w:type="dxa"/>
            <w:vMerge w:val="continue"/>
            <w:tcBorders>
              <w:tl2br w:val="nil"/>
              <w:tr2bl w:val="nil"/>
            </w:tcBorders>
            <w:vAlign w:val="center"/>
          </w:tcPr>
          <w:p w14:paraId="194F40D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3628BF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6A93A99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7917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1336" w:type="dxa"/>
            <w:vMerge w:val="continue"/>
            <w:tcBorders>
              <w:tl2br w:val="nil"/>
              <w:tr2bl w:val="nil"/>
            </w:tcBorders>
            <w:vAlign w:val="center"/>
          </w:tcPr>
          <w:p w14:paraId="7F945E99">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3C9B74E2">
            <w:pPr>
              <w:keepNext w:val="0"/>
              <w:keepLines w:val="0"/>
              <w:pageBreakBefore w:val="0"/>
              <w:widowControl w:val="0"/>
              <w:kinsoku/>
              <w:wordWrap/>
              <w:overflowPunct/>
              <w:topLinePunct w:val="0"/>
              <w:autoSpaceDE/>
              <w:autoSpaceDN/>
              <w:bidi w:val="0"/>
              <w:adjustRightInd/>
              <w:snapToGrid/>
              <w:spacing w:line="340" w:lineRule="exact"/>
              <w:ind w:firstLine="560" w:firstLineChars="200"/>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A44BB5C">
            <w:pPr>
              <w:pStyle w:val="2"/>
              <w:keepNext w:val="0"/>
              <w:keepLines w:val="0"/>
              <w:pageBreakBefore w:val="0"/>
              <w:widowControl w:val="0"/>
              <w:kinsoku/>
              <w:wordWrap/>
              <w:overflowPunct/>
              <w:topLinePunct w:val="0"/>
              <w:autoSpaceDE/>
              <w:autoSpaceDN/>
              <w:bidi w:val="0"/>
              <w:adjustRightInd/>
              <w:snapToGrid/>
              <w:spacing w:line="340" w:lineRule="exact"/>
              <w:ind w:firstLine="3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78D4DD31">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有一定的业务管理和协调能力，并通过项目管理专项培训。</w:t>
            </w:r>
          </w:p>
        </w:tc>
        <w:tc>
          <w:tcPr>
            <w:tcW w:w="3852" w:type="dxa"/>
            <w:vMerge w:val="continue"/>
            <w:tcBorders>
              <w:tl2br w:val="nil"/>
              <w:tr2bl w:val="nil"/>
            </w:tcBorders>
            <w:vAlign w:val="center"/>
          </w:tcPr>
          <w:p w14:paraId="5F332C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093" w:type="dxa"/>
            <w:tcBorders>
              <w:tl2br w:val="nil"/>
              <w:tr2bl w:val="nil"/>
            </w:tcBorders>
            <w:vAlign w:val="center"/>
          </w:tcPr>
          <w:p w14:paraId="7F632CE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358BD46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1A2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336" w:type="dxa"/>
            <w:vMerge w:val="restart"/>
            <w:tcBorders>
              <w:tl2br w:val="nil"/>
              <w:tr2bl w:val="nil"/>
            </w:tcBorders>
            <w:vAlign w:val="center"/>
          </w:tcPr>
          <w:p w14:paraId="278F561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四、内部治理(10</w:t>
            </w:r>
            <w:r>
              <w:rPr>
                <w:rFonts w:hint="eastAsia" w:ascii="仿宋_GB2312" w:hAnsi="仿宋_GB2312" w:eastAsia="仿宋_GB2312" w:cs="仿宋_GB2312"/>
                <w:color w:val="000000"/>
                <w:sz w:val="28"/>
                <w:szCs w:val="28"/>
                <w:lang w:val="zh-CN"/>
              </w:rPr>
              <w:t>分）</w:t>
            </w:r>
          </w:p>
        </w:tc>
        <w:tc>
          <w:tcPr>
            <w:tcW w:w="1185" w:type="dxa"/>
            <w:vMerge w:val="restart"/>
            <w:tcBorders>
              <w:tl2br w:val="nil"/>
              <w:tr2bl w:val="nil"/>
            </w:tcBorders>
            <w:vAlign w:val="center"/>
          </w:tcPr>
          <w:p w14:paraId="2360BE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7、制度健全</w:t>
            </w:r>
          </w:p>
          <w:p w14:paraId="5E21D5C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（10分）</w:t>
            </w:r>
          </w:p>
        </w:tc>
        <w:tc>
          <w:tcPr>
            <w:tcW w:w="1143" w:type="dxa"/>
            <w:tcBorders>
              <w:tl2br w:val="nil"/>
              <w:tr2bl w:val="nil"/>
            </w:tcBorders>
            <w:vAlign w:val="center"/>
          </w:tcPr>
          <w:p w14:paraId="32BCD93B">
            <w:pPr>
              <w:pStyle w:val="2"/>
              <w:keepNext w:val="0"/>
              <w:keepLines w:val="0"/>
              <w:pageBreakBefore w:val="0"/>
              <w:widowControl w:val="0"/>
              <w:kinsoku/>
              <w:wordWrap/>
              <w:overflowPunct/>
              <w:topLinePunct w:val="0"/>
              <w:autoSpaceDE/>
              <w:autoSpaceDN/>
              <w:bidi w:val="0"/>
              <w:adjustRightInd/>
              <w:snapToGrid/>
              <w:spacing w:line="340" w:lineRule="exact"/>
              <w:ind w:firstLine="3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218EBDC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zh-CN"/>
              </w:rPr>
              <w:t>根据上级管理机构要求通过年检</w:t>
            </w:r>
          </w:p>
        </w:tc>
        <w:tc>
          <w:tcPr>
            <w:tcW w:w="3852" w:type="dxa"/>
            <w:tcBorders>
              <w:tl2br w:val="nil"/>
              <w:tr2bl w:val="nil"/>
            </w:tcBorders>
            <w:vAlign w:val="center"/>
          </w:tcPr>
          <w:p w14:paraId="0F72887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年检合格的1分，基本合格或不合格得0分。</w:t>
            </w:r>
          </w:p>
        </w:tc>
        <w:tc>
          <w:tcPr>
            <w:tcW w:w="1093" w:type="dxa"/>
            <w:tcBorders>
              <w:tl2br w:val="nil"/>
              <w:tr2bl w:val="nil"/>
            </w:tcBorders>
            <w:vAlign w:val="center"/>
          </w:tcPr>
          <w:p w14:paraId="5E3A01E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714CC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897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1336" w:type="dxa"/>
            <w:vMerge w:val="continue"/>
            <w:tcBorders>
              <w:tl2br w:val="nil"/>
              <w:tr2bl w:val="nil"/>
            </w:tcBorders>
            <w:vAlign w:val="center"/>
          </w:tcPr>
          <w:p w14:paraId="34B0772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5A162F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65BB8DE1">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5847" w:type="dxa"/>
            <w:tcBorders>
              <w:tl2br w:val="nil"/>
              <w:tr2bl w:val="nil"/>
            </w:tcBorders>
            <w:vAlign w:val="center"/>
          </w:tcPr>
          <w:p w14:paraId="050CD8A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肢体残疾儿童术后康复评估、训练建档率100%。</w:t>
            </w:r>
          </w:p>
        </w:tc>
        <w:tc>
          <w:tcPr>
            <w:tcW w:w="3852" w:type="dxa"/>
            <w:tcBorders>
              <w:tl2br w:val="nil"/>
              <w:tr2bl w:val="nil"/>
            </w:tcBorders>
            <w:vAlign w:val="center"/>
          </w:tcPr>
          <w:p w14:paraId="19B2F6A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rPr>
              <w:t>符合得</w:t>
            </w:r>
            <w:r>
              <w:rPr>
                <w:rFonts w:hint="eastAsia" w:ascii="仿宋_GB2312" w:hAnsi="仿宋_GB2312" w:eastAsia="仿宋_GB2312" w:cs="仿宋_GB2312"/>
                <w:color w:val="000000" w:themeColor="text1"/>
                <w:sz w:val="28"/>
                <w:szCs w:val="28"/>
                <w:lang w:val="en-US" w:eastAsia="zh-CN"/>
              </w:rPr>
              <w:t>2</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val="en-US" w:eastAsia="zh-CN"/>
              </w:rPr>
              <w:t>部分符合得1分，</w:t>
            </w:r>
            <w:r>
              <w:rPr>
                <w:rFonts w:hint="eastAsia" w:ascii="仿宋_GB2312" w:hAnsi="仿宋_GB2312" w:eastAsia="仿宋_GB2312" w:cs="仿宋_GB2312"/>
                <w:color w:val="000000" w:themeColor="text1"/>
                <w:sz w:val="28"/>
                <w:szCs w:val="28"/>
              </w:rPr>
              <w:t>不符合得0分。</w:t>
            </w:r>
          </w:p>
        </w:tc>
        <w:tc>
          <w:tcPr>
            <w:tcW w:w="1093" w:type="dxa"/>
            <w:tcBorders>
              <w:tl2br w:val="nil"/>
              <w:tr2bl w:val="nil"/>
            </w:tcBorders>
            <w:vAlign w:val="center"/>
          </w:tcPr>
          <w:p w14:paraId="1459B73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7D8B766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6426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336" w:type="dxa"/>
            <w:vMerge w:val="continue"/>
            <w:tcBorders>
              <w:tl2br w:val="nil"/>
              <w:tr2bl w:val="nil"/>
            </w:tcBorders>
            <w:vAlign w:val="center"/>
          </w:tcPr>
          <w:p w14:paraId="712F054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1FDC9C6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8"/>
                <w:szCs w:val="28"/>
              </w:rPr>
            </w:pPr>
          </w:p>
        </w:tc>
        <w:tc>
          <w:tcPr>
            <w:tcW w:w="1143" w:type="dxa"/>
            <w:tcBorders>
              <w:tl2br w:val="nil"/>
              <w:tr2bl w:val="nil"/>
            </w:tcBorders>
            <w:vAlign w:val="center"/>
          </w:tcPr>
          <w:p w14:paraId="3BAF42DA">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2995E3F5">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zh-CN"/>
              </w:rPr>
              <w:t>按国家要求规范用工制度，落实相应保障。</w:t>
            </w:r>
          </w:p>
        </w:tc>
        <w:tc>
          <w:tcPr>
            <w:tcW w:w="3852" w:type="dxa"/>
            <w:tcBorders>
              <w:tl2br w:val="nil"/>
              <w:tr2bl w:val="nil"/>
            </w:tcBorders>
            <w:vAlign w:val="center"/>
          </w:tcPr>
          <w:p w14:paraId="45D1E2B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与员工签订劳动合同并购买社保得1分，缺一项不得分。</w:t>
            </w:r>
          </w:p>
        </w:tc>
        <w:tc>
          <w:tcPr>
            <w:tcW w:w="1093" w:type="dxa"/>
            <w:tcBorders>
              <w:tl2br w:val="nil"/>
              <w:tr2bl w:val="nil"/>
            </w:tcBorders>
            <w:vAlign w:val="center"/>
          </w:tcPr>
          <w:p w14:paraId="15875F8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6F9543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276A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336" w:type="dxa"/>
            <w:vMerge w:val="continue"/>
            <w:tcBorders>
              <w:tl2br w:val="nil"/>
              <w:tr2bl w:val="nil"/>
            </w:tcBorders>
            <w:vAlign w:val="center"/>
          </w:tcPr>
          <w:p w14:paraId="0CDB953A">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019EB6F4">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4402BC9F">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5847" w:type="dxa"/>
            <w:tcBorders>
              <w:tl2br w:val="nil"/>
              <w:tr2bl w:val="nil"/>
            </w:tcBorders>
            <w:vAlign w:val="center"/>
          </w:tcPr>
          <w:p w14:paraId="3686CBD2">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zh-CN"/>
              </w:rPr>
              <w:t>收费标准、岗位职责、服务流程等制度公示，接受公众监督。</w:t>
            </w:r>
          </w:p>
        </w:tc>
        <w:tc>
          <w:tcPr>
            <w:tcW w:w="3852" w:type="dxa"/>
            <w:tcBorders>
              <w:tl2br w:val="nil"/>
              <w:tr2bl w:val="nil"/>
            </w:tcBorders>
            <w:vAlign w:val="center"/>
          </w:tcPr>
          <w:p w14:paraId="647362E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全部制度上墙得1分，缺一项得0分。</w:t>
            </w:r>
          </w:p>
        </w:tc>
        <w:tc>
          <w:tcPr>
            <w:tcW w:w="1093" w:type="dxa"/>
            <w:tcBorders>
              <w:tl2br w:val="nil"/>
              <w:tr2bl w:val="nil"/>
            </w:tcBorders>
            <w:vAlign w:val="center"/>
          </w:tcPr>
          <w:p w14:paraId="798F4F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6057012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4AB24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336" w:type="dxa"/>
            <w:vMerge w:val="continue"/>
            <w:tcBorders>
              <w:tl2br w:val="nil"/>
              <w:tr2bl w:val="nil"/>
            </w:tcBorders>
            <w:vAlign w:val="center"/>
          </w:tcPr>
          <w:p w14:paraId="3830A6DB">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tc>
        <w:tc>
          <w:tcPr>
            <w:tcW w:w="1185" w:type="dxa"/>
            <w:vMerge w:val="continue"/>
            <w:tcBorders>
              <w:tl2br w:val="nil"/>
              <w:tr2bl w:val="nil"/>
            </w:tcBorders>
            <w:vAlign w:val="center"/>
          </w:tcPr>
          <w:p w14:paraId="5AD2EE71">
            <w:pPr>
              <w:keepNext w:val="0"/>
              <w:keepLines w:val="0"/>
              <w:pageBreakBefore w:val="0"/>
              <w:widowControl w:val="0"/>
              <w:kinsoku/>
              <w:wordWrap/>
              <w:overflowPunct/>
              <w:topLinePunct w:val="0"/>
              <w:autoSpaceDE/>
              <w:autoSpaceDN/>
              <w:bidi w:val="0"/>
              <w:adjustRightInd/>
              <w:snapToGrid/>
              <w:spacing w:line="340" w:lineRule="exact"/>
              <w:ind w:firstLine="560" w:firstLineChars="200"/>
              <w:textAlignment w:val="auto"/>
              <w:rPr>
                <w:rFonts w:hint="eastAsia" w:ascii="仿宋_GB2312" w:hAnsi="仿宋_GB2312" w:eastAsia="仿宋_GB2312" w:cs="仿宋_GB2312"/>
                <w:sz w:val="28"/>
                <w:szCs w:val="28"/>
              </w:rPr>
            </w:pPr>
          </w:p>
        </w:tc>
        <w:tc>
          <w:tcPr>
            <w:tcW w:w="1143" w:type="dxa"/>
            <w:tcBorders>
              <w:tl2br w:val="nil"/>
              <w:tr2bl w:val="nil"/>
            </w:tcBorders>
            <w:vAlign w:val="center"/>
          </w:tcPr>
          <w:p w14:paraId="2E2B1F2D">
            <w:pPr>
              <w:pStyle w:val="2"/>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5847" w:type="dxa"/>
            <w:tcBorders>
              <w:tl2br w:val="nil"/>
              <w:tr2bl w:val="nil"/>
            </w:tcBorders>
            <w:vAlign w:val="center"/>
          </w:tcPr>
          <w:p w14:paraId="2DC3F06E">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lang w:val="zh-CN"/>
              </w:rPr>
              <w:t>建立各项规章制度，包括卫生、安全、财务、业务管理、服务管理、档案管理、设备管理制度等，每年度进行检查和总结。</w:t>
            </w:r>
          </w:p>
        </w:tc>
        <w:tc>
          <w:tcPr>
            <w:tcW w:w="3852" w:type="dxa"/>
            <w:tcBorders>
              <w:tl2br w:val="nil"/>
              <w:tr2bl w:val="nil"/>
            </w:tcBorders>
            <w:vAlign w:val="center"/>
          </w:tcPr>
          <w:p w14:paraId="61CC6BB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缺一项扣</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分</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扣完为止。</w:t>
            </w:r>
          </w:p>
        </w:tc>
        <w:tc>
          <w:tcPr>
            <w:tcW w:w="1093" w:type="dxa"/>
            <w:tcBorders>
              <w:tl2br w:val="nil"/>
              <w:tr2bl w:val="nil"/>
            </w:tcBorders>
            <w:vAlign w:val="center"/>
          </w:tcPr>
          <w:p w14:paraId="759ED4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5EAEFC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r w14:paraId="519D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3363" w:type="dxa"/>
            <w:gridSpan w:val="5"/>
            <w:tcBorders>
              <w:tl2br w:val="nil"/>
              <w:tr2bl w:val="nil"/>
            </w:tcBorders>
            <w:vAlign w:val="center"/>
          </w:tcPr>
          <w:p w14:paraId="04811B0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sz w:val="28"/>
                <w:szCs w:val="28"/>
              </w:rPr>
              <w:t>合计</w:t>
            </w:r>
          </w:p>
        </w:tc>
        <w:tc>
          <w:tcPr>
            <w:tcW w:w="1093" w:type="dxa"/>
            <w:tcBorders>
              <w:tl2br w:val="nil"/>
              <w:tr2bl w:val="nil"/>
            </w:tcBorders>
            <w:vAlign w:val="center"/>
          </w:tcPr>
          <w:p w14:paraId="7D93BE2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c>
          <w:tcPr>
            <w:tcW w:w="785" w:type="dxa"/>
            <w:tcBorders>
              <w:tl2br w:val="nil"/>
              <w:tr2bl w:val="nil"/>
            </w:tcBorders>
            <w:vAlign w:val="center"/>
          </w:tcPr>
          <w:p w14:paraId="25AF5E7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8"/>
                <w:szCs w:val="28"/>
              </w:rPr>
            </w:pPr>
          </w:p>
        </w:tc>
      </w:tr>
    </w:tbl>
    <w:p w14:paraId="0A521319">
      <w:pPr>
        <w:keepNext w:val="0"/>
        <w:keepLines w:val="0"/>
        <w:pageBreakBefore w:val="0"/>
        <w:widowControl w:val="0"/>
        <w:kinsoku/>
        <w:wordWrap/>
        <w:overflowPunct/>
        <w:topLinePunct w:val="0"/>
        <w:autoSpaceDE/>
        <w:autoSpaceDN/>
        <w:bidi w:val="0"/>
        <w:adjustRightInd/>
        <w:snapToGrid/>
        <w:spacing w:line="340" w:lineRule="exact"/>
        <w:textAlignment w:val="auto"/>
        <w:outlineLvl w:val="1"/>
        <w:rPr>
          <w:rFonts w:hint="eastAsia" w:ascii="仿宋_GB2312" w:hAnsi="仿宋_GB2312" w:eastAsia="仿宋_GB2312" w:cs="仿宋_GB2312"/>
          <w:sz w:val="28"/>
          <w:szCs w:val="28"/>
        </w:rPr>
      </w:pPr>
      <w:bookmarkStart w:id="0" w:name="_Toc26007"/>
      <w:r>
        <w:rPr>
          <w:rFonts w:hint="eastAsia" w:ascii="仿宋_GB2312" w:hAnsi="仿宋_GB2312" w:eastAsia="仿宋_GB2312" w:cs="仿宋_GB2312"/>
          <w:b/>
          <w:sz w:val="28"/>
          <w:szCs w:val="28"/>
        </w:rPr>
        <w:t xml:space="preserve">   专家组签字：              </w:t>
      </w:r>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65465">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A18E969">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A1ECD"/>
    <w:multiLevelType w:val="singleLevel"/>
    <w:tmpl w:val="943A1EC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83460FF"/>
    <w:rsid w:val="00025647"/>
    <w:rsid w:val="00041D00"/>
    <w:rsid w:val="000613BF"/>
    <w:rsid w:val="0007533A"/>
    <w:rsid w:val="00095563"/>
    <w:rsid w:val="000B6BCC"/>
    <w:rsid w:val="00101721"/>
    <w:rsid w:val="001260BE"/>
    <w:rsid w:val="00151C2B"/>
    <w:rsid w:val="001A3A93"/>
    <w:rsid w:val="00243674"/>
    <w:rsid w:val="00253C8F"/>
    <w:rsid w:val="00277DBA"/>
    <w:rsid w:val="00297206"/>
    <w:rsid w:val="002B5FB7"/>
    <w:rsid w:val="002D3165"/>
    <w:rsid w:val="002E3247"/>
    <w:rsid w:val="003356C4"/>
    <w:rsid w:val="003724FE"/>
    <w:rsid w:val="003874EA"/>
    <w:rsid w:val="003A0EF9"/>
    <w:rsid w:val="003B1A81"/>
    <w:rsid w:val="003F0875"/>
    <w:rsid w:val="00402779"/>
    <w:rsid w:val="004058FB"/>
    <w:rsid w:val="004406C4"/>
    <w:rsid w:val="00442E02"/>
    <w:rsid w:val="00531956"/>
    <w:rsid w:val="00546386"/>
    <w:rsid w:val="005F6CEE"/>
    <w:rsid w:val="00607D19"/>
    <w:rsid w:val="00645C70"/>
    <w:rsid w:val="00681E8B"/>
    <w:rsid w:val="0070395D"/>
    <w:rsid w:val="007153E3"/>
    <w:rsid w:val="00717C5F"/>
    <w:rsid w:val="00742C3D"/>
    <w:rsid w:val="007526CE"/>
    <w:rsid w:val="0075754E"/>
    <w:rsid w:val="00761C86"/>
    <w:rsid w:val="00776288"/>
    <w:rsid w:val="007A2367"/>
    <w:rsid w:val="007C0C91"/>
    <w:rsid w:val="00841B26"/>
    <w:rsid w:val="00887A5D"/>
    <w:rsid w:val="0089423F"/>
    <w:rsid w:val="008A1F9A"/>
    <w:rsid w:val="008C728C"/>
    <w:rsid w:val="008D53AF"/>
    <w:rsid w:val="00951DE8"/>
    <w:rsid w:val="00A04A6D"/>
    <w:rsid w:val="00A25407"/>
    <w:rsid w:val="00AA112D"/>
    <w:rsid w:val="00AB3C5D"/>
    <w:rsid w:val="00AD037C"/>
    <w:rsid w:val="00AF2BFA"/>
    <w:rsid w:val="00B01D50"/>
    <w:rsid w:val="00B14579"/>
    <w:rsid w:val="00B27B10"/>
    <w:rsid w:val="00B4549A"/>
    <w:rsid w:val="00B751DC"/>
    <w:rsid w:val="00B927B4"/>
    <w:rsid w:val="00BB4674"/>
    <w:rsid w:val="00C92CBB"/>
    <w:rsid w:val="00C9581F"/>
    <w:rsid w:val="00CE5669"/>
    <w:rsid w:val="00CE5A03"/>
    <w:rsid w:val="00D12D2B"/>
    <w:rsid w:val="00D164F7"/>
    <w:rsid w:val="00D20536"/>
    <w:rsid w:val="00D35A6B"/>
    <w:rsid w:val="00D37627"/>
    <w:rsid w:val="00DA7691"/>
    <w:rsid w:val="00E33E98"/>
    <w:rsid w:val="00E831DA"/>
    <w:rsid w:val="00EF763A"/>
    <w:rsid w:val="00EF7824"/>
    <w:rsid w:val="00F37F38"/>
    <w:rsid w:val="030B0407"/>
    <w:rsid w:val="03E159F9"/>
    <w:rsid w:val="0708351A"/>
    <w:rsid w:val="07C01924"/>
    <w:rsid w:val="07E66DF9"/>
    <w:rsid w:val="08A763DB"/>
    <w:rsid w:val="08BC230C"/>
    <w:rsid w:val="0A001145"/>
    <w:rsid w:val="0BE114DA"/>
    <w:rsid w:val="0C3A6352"/>
    <w:rsid w:val="0C444A30"/>
    <w:rsid w:val="0FA645EC"/>
    <w:rsid w:val="11904838"/>
    <w:rsid w:val="13DF5EB3"/>
    <w:rsid w:val="14CD07FE"/>
    <w:rsid w:val="178645DF"/>
    <w:rsid w:val="18EE69EC"/>
    <w:rsid w:val="19116366"/>
    <w:rsid w:val="192F1AD6"/>
    <w:rsid w:val="196B40ED"/>
    <w:rsid w:val="19EE2AD8"/>
    <w:rsid w:val="1A777E85"/>
    <w:rsid w:val="24584131"/>
    <w:rsid w:val="24681644"/>
    <w:rsid w:val="259D07C5"/>
    <w:rsid w:val="27DA2471"/>
    <w:rsid w:val="28C42F64"/>
    <w:rsid w:val="29E063E7"/>
    <w:rsid w:val="2A4100AB"/>
    <w:rsid w:val="2ADD191B"/>
    <w:rsid w:val="2B45175C"/>
    <w:rsid w:val="2B516DD8"/>
    <w:rsid w:val="2BA47406"/>
    <w:rsid w:val="2D3F75A1"/>
    <w:rsid w:val="2E363581"/>
    <w:rsid w:val="31E9161D"/>
    <w:rsid w:val="369308FE"/>
    <w:rsid w:val="38A1724A"/>
    <w:rsid w:val="3BF5245A"/>
    <w:rsid w:val="3C1B0F41"/>
    <w:rsid w:val="3C2A6E41"/>
    <w:rsid w:val="3F371A9A"/>
    <w:rsid w:val="3FCC76E3"/>
    <w:rsid w:val="3FD44C6A"/>
    <w:rsid w:val="44060BB8"/>
    <w:rsid w:val="45DA1BA8"/>
    <w:rsid w:val="46EA4E70"/>
    <w:rsid w:val="471D3B75"/>
    <w:rsid w:val="486625B5"/>
    <w:rsid w:val="498E5BCF"/>
    <w:rsid w:val="4CDB6A43"/>
    <w:rsid w:val="4D0A11AC"/>
    <w:rsid w:val="4D1B43DD"/>
    <w:rsid w:val="4EA36553"/>
    <w:rsid w:val="523A6D37"/>
    <w:rsid w:val="53ED3FAA"/>
    <w:rsid w:val="540669CD"/>
    <w:rsid w:val="55AA42EF"/>
    <w:rsid w:val="55BA7D2A"/>
    <w:rsid w:val="55CF70AF"/>
    <w:rsid w:val="57F849BE"/>
    <w:rsid w:val="5A0F163F"/>
    <w:rsid w:val="5A881985"/>
    <w:rsid w:val="5B4401E4"/>
    <w:rsid w:val="5C4C0928"/>
    <w:rsid w:val="60AD6AFE"/>
    <w:rsid w:val="63AA33A9"/>
    <w:rsid w:val="63F8233D"/>
    <w:rsid w:val="64A55079"/>
    <w:rsid w:val="64C51136"/>
    <w:rsid w:val="683460FF"/>
    <w:rsid w:val="6908536C"/>
    <w:rsid w:val="691532C2"/>
    <w:rsid w:val="697C0010"/>
    <w:rsid w:val="6A51799D"/>
    <w:rsid w:val="6A681023"/>
    <w:rsid w:val="6BB20BF0"/>
    <w:rsid w:val="6CCB4EF2"/>
    <w:rsid w:val="6D2F096E"/>
    <w:rsid w:val="6E425634"/>
    <w:rsid w:val="6EED23DD"/>
    <w:rsid w:val="6F766DBD"/>
    <w:rsid w:val="7017285A"/>
    <w:rsid w:val="70C60851"/>
    <w:rsid w:val="72157FD9"/>
    <w:rsid w:val="72511A0E"/>
    <w:rsid w:val="72CE4AED"/>
    <w:rsid w:val="734C1544"/>
    <w:rsid w:val="74AE5BFB"/>
    <w:rsid w:val="756D73BB"/>
    <w:rsid w:val="78D41F79"/>
    <w:rsid w:val="7CE32756"/>
    <w:rsid w:val="7EDA7584"/>
    <w:rsid w:val="7EE83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1"/>
    <w:qFormat/>
    <w:uiPriority w:val="0"/>
    <w:pPr>
      <w:jc w:val="left"/>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2"/>
    <w:unhideWhenUsed/>
    <w:qFormat/>
    <w:uiPriority w:val="99"/>
    <w:rPr>
      <w:rFonts w:asciiTheme="minorHAnsi" w:hAnsiTheme="minorHAnsi" w:eastAsiaTheme="minorEastAsia" w:cstheme="minorBidi"/>
      <w:b/>
      <w:bCs/>
    </w:rPr>
  </w:style>
  <w:style w:type="character" w:customStyle="1" w:styleId="9">
    <w:name w:val="页眉 Char"/>
    <w:basedOn w:val="8"/>
    <w:link w:val="5"/>
    <w:qFormat/>
    <w:uiPriority w:val="0"/>
    <w:rPr>
      <w:kern w:val="2"/>
      <w:sz w:val="18"/>
      <w:szCs w:val="18"/>
    </w:rPr>
  </w:style>
  <w:style w:type="character" w:customStyle="1" w:styleId="10">
    <w:name w:val="页脚 Char"/>
    <w:basedOn w:val="8"/>
    <w:link w:val="4"/>
    <w:qFormat/>
    <w:uiPriority w:val="0"/>
    <w:rPr>
      <w:kern w:val="2"/>
      <w:sz w:val="18"/>
      <w:szCs w:val="18"/>
    </w:rPr>
  </w:style>
  <w:style w:type="character" w:customStyle="1" w:styleId="11">
    <w:name w:val="批注文字 Char"/>
    <w:basedOn w:val="8"/>
    <w:link w:val="3"/>
    <w:qFormat/>
    <w:uiPriority w:val="0"/>
    <w:rPr>
      <w:kern w:val="2"/>
      <w:sz w:val="21"/>
      <w:szCs w:val="24"/>
    </w:rPr>
  </w:style>
  <w:style w:type="character" w:customStyle="1" w:styleId="12">
    <w:name w:val="批注主题 Char"/>
    <w:basedOn w:val="11"/>
    <w:link w:val="6"/>
    <w:qFormat/>
    <w:uiPriority w:val="99"/>
    <w:rPr>
      <w:rFonts w:asciiTheme="minorHAnsi" w:hAnsiTheme="minorHAnsi" w:eastAsiaTheme="minorEastAsia" w:cstheme="minorBidi"/>
      <w:b/>
      <w:bCs/>
    </w:rPr>
  </w:style>
  <w:style w:type="character" w:customStyle="1" w:styleId="13">
    <w:name w:val="正文文本 (2) + 9.5 pt"/>
    <w:basedOn w:val="14"/>
    <w:qFormat/>
    <w:uiPriority w:val="0"/>
    <w:rPr>
      <w:b/>
      <w:bCs/>
      <w:color w:val="000000"/>
      <w:spacing w:val="0"/>
      <w:w w:val="100"/>
      <w:position w:val="0"/>
      <w:sz w:val="19"/>
      <w:szCs w:val="19"/>
      <w:lang w:val="zh-TW" w:eastAsia="zh-TW" w:bidi="zh-TW"/>
    </w:rPr>
  </w:style>
  <w:style w:type="character" w:customStyle="1" w:styleId="14">
    <w:name w:val="正文文本 (2)_"/>
    <w:basedOn w:val="8"/>
    <w:link w:val="15"/>
    <w:qFormat/>
    <w:uiPriority w:val="0"/>
    <w:rPr>
      <w:rFonts w:ascii="MingLiU" w:hAnsi="MingLiU" w:eastAsia="MingLiU" w:cs="MingLiU"/>
      <w:spacing w:val="20"/>
      <w:sz w:val="28"/>
      <w:szCs w:val="28"/>
      <w:u w:val="none"/>
    </w:rPr>
  </w:style>
  <w:style w:type="paragraph" w:customStyle="1" w:styleId="15">
    <w:name w:val="正文文本 (2)2"/>
    <w:basedOn w:val="1"/>
    <w:link w:val="14"/>
    <w:qFormat/>
    <w:uiPriority w:val="0"/>
    <w:pPr>
      <w:widowControl w:val="0"/>
      <w:shd w:val="clear" w:color="auto" w:fill="FFFFFF"/>
      <w:spacing w:before="1200" w:after="1320" w:line="0" w:lineRule="exact"/>
      <w:ind w:hanging="460"/>
      <w:jc w:val="center"/>
    </w:pPr>
    <w:rPr>
      <w:rFonts w:ascii="MingLiU" w:hAnsi="MingLiU" w:eastAsia="MingLiU" w:cs="MingLiU"/>
      <w:spacing w:val="2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D270DC-1F05-400F-BC53-1A22FEBB1BF3}">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6</Pages>
  <Words>2487</Words>
  <Characters>2577</Characters>
  <Lines>22</Lines>
  <Paragraphs>6</Paragraphs>
  <TotalTime>0</TotalTime>
  <ScaleCrop>false</ScaleCrop>
  <LinksUpToDate>false</LinksUpToDate>
  <CharactersWithSpaces>2655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2019-06-17T09:20:00Z</dcterms:created>
  <dc:creator>hey！王加菲 </dc:creator>
  <cp:lastModifiedBy>空山灵雨</cp:lastModifiedBy>
  <cp:lastPrinted>2021-12-01T06:48:00Z</cp:lastPrinted>
  <dcterms:modified xsi:type="dcterms:W3CDTF">2026-03-20T03:13:17Z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EC662BD4A96045318A9EC2BED354928A</vt:lpwstr>
  </property>
  <property fmtid="{D5CDD505-2E9C-101B-9397-08002B2CF9AE}" pid="4" name="KSOTemplateDocerSaveRecord">
    <vt:lpwstr>eyJoZGlkIjoiNGU1MDJkMTgzNmY1ZDBlZTY5Njc0NDBiOGM4N2M1NmUiLCJ1c2VySWQiOiI2MzkxNzY1ODAifQ==</vt:lpwstr>
  </property>
</Properties>
</file>