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pacing w:line="560" w:lineRule="exact"/>
        <w:jc w:val="center"/>
        <w:textAlignment w:val="auto"/>
        <w:rPr>
          <w:rFonts w:ascii="方正小标宋简体" w:hAnsi="宋体" w:eastAsia="方正小标宋简体" w:cs="宋体"/>
          <w:color w:val="000000" w:themeColor="text1"/>
          <w:sz w:val="44"/>
          <w:szCs w:val="44"/>
          <w14:textFill>
            <w14:solidFill>
              <w14:schemeClr w14:val="tx1"/>
            </w14:solidFill>
          </w14:textFill>
        </w:rPr>
      </w:pPr>
      <w:r>
        <w:rPr>
          <w:rFonts w:hint="eastAsia" w:ascii="方正小标宋简体" w:hAnsi="宋体" w:eastAsia="方正小标宋简体" w:cs="宋体"/>
          <w:color w:val="000000" w:themeColor="text1"/>
          <w:sz w:val="44"/>
          <w:szCs w:val="44"/>
          <w14:textFill>
            <w14:solidFill>
              <w14:schemeClr w14:val="tx1"/>
            </w14:solidFill>
          </w14:textFill>
        </w:rPr>
        <w:t>西咸新区商品房预售资金监督管理办法</w:t>
      </w:r>
    </w:p>
    <w:p>
      <w:pPr>
        <w:keepNext w:val="0"/>
        <w:keepLines w:val="0"/>
        <w:pageBreakBefore w:val="0"/>
        <w:widowControl w:val="0"/>
        <w:tabs>
          <w:tab w:val="left" w:pos="1260"/>
          <w:tab w:val="left" w:pos="1440"/>
          <w:tab w:val="left" w:pos="2880"/>
          <w:tab w:val="left" w:pos="3240"/>
          <w:tab w:val="left" w:pos="3420"/>
          <w:tab w:val="left" w:pos="3780"/>
          <w:tab w:val="left" w:pos="4140"/>
        </w:tabs>
        <w:kinsoku/>
        <w:overflowPunct/>
        <w:topLinePunct w:val="0"/>
        <w:autoSpaceDE/>
        <w:autoSpaceDN/>
        <w:bidi w:val="0"/>
        <w:spacing w:line="560" w:lineRule="exact"/>
        <w:ind w:right="-128"/>
        <w:jc w:val="center"/>
        <w:textAlignment w:val="auto"/>
        <w:rPr>
          <w:rFonts w:hint="eastAsia" w:ascii="黑体" w:hAnsi="黑体" w:eastAsia="黑体"/>
          <w:color w:val="000000" w:themeColor="text1"/>
          <w:sz w:val="32"/>
          <w:szCs w:val="32"/>
          <w14:textFill>
            <w14:solidFill>
              <w14:schemeClr w14:val="tx1"/>
            </w14:solidFill>
          </w14:textFill>
        </w:rPr>
      </w:pPr>
    </w:p>
    <w:p>
      <w:pPr>
        <w:keepNext w:val="0"/>
        <w:keepLines w:val="0"/>
        <w:pageBreakBefore w:val="0"/>
        <w:widowControl w:val="0"/>
        <w:tabs>
          <w:tab w:val="left" w:pos="1260"/>
          <w:tab w:val="left" w:pos="1440"/>
          <w:tab w:val="left" w:pos="2880"/>
          <w:tab w:val="left" w:pos="3240"/>
          <w:tab w:val="left" w:pos="3420"/>
          <w:tab w:val="left" w:pos="3780"/>
          <w:tab w:val="left" w:pos="4140"/>
        </w:tabs>
        <w:kinsoku/>
        <w:overflowPunct/>
        <w:topLinePunct w:val="0"/>
        <w:autoSpaceDE/>
        <w:autoSpaceDN/>
        <w:bidi w:val="0"/>
        <w:spacing w:line="560" w:lineRule="exact"/>
        <w:ind w:right="-128"/>
        <w:jc w:val="center"/>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第一章 总  则</w:t>
      </w:r>
    </w:p>
    <w:p>
      <w:pPr>
        <w:pStyle w:val="11"/>
        <w:keepNext w:val="0"/>
        <w:keepLines w:val="0"/>
        <w:pageBreakBefore w:val="0"/>
        <w:widowControl w:val="0"/>
        <w:tabs>
          <w:tab w:val="left" w:pos="1260"/>
          <w:tab w:val="left" w:pos="1440"/>
          <w:tab w:val="left" w:pos="2880"/>
          <w:tab w:val="left" w:pos="3240"/>
          <w:tab w:val="left" w:pos="3420"/>
          <w:tab w:val="left" w:pos="3780"/>
        </w:tabs>
        <w:kinsoku/>
        <w:overflowPunct/>
        <w:topLinePunct w:val="0"/>
        <w:autoSpaceDE/>
        <w:autoSpaceDN/>
        <w:bidi w:val="0"/>
        <w:spacing w:line="560" w:lineRule="exact"/>
        <w:ind w:firstLine="720"/>
        <w:textAlignment w:val="auto"/>
        <w:rPr>
          <w:rFonts w:ascii="仿宋_GB2312" w:eastAsia="仿宋_GB2312"/>
          <w:color w:val="000000" w:themeColor="text1"/>
          <w:kern w:val="0"/>
          <w:szCs w:val="32"/>
          <w14:textFill>
            <w14:solidFill>
              <w14:schemeClr w14:val="tx1"/>
            </w14:solidFill>
          </w14:textFill>
        </w:rPr>
      </w:pPr>
      <w:r>
        <w:rPr>
          <w:rFonts w:hint="eastAsia" w:ascii="楷体" w:hAnsi="楷体" w:eastAsia="楷体" w:cs="楷体"/>
          <w:b w:val="0"/>
          <w:bCs/>
          <w:color w:val="000000" w:themeColor="text1"/>
          <w:kern w:val="0"/>
          <w:szCs w:val="32"/>
          <w14:textFill>
            <w14:solidFill>
              <w14:schemeClr w14:val="tx1"/>
            </w14:solidFill>
          </w14:textFill>
        </w:rPr>
        <w:t>第一条</w:t>
      </w:r>
      <w:r>
        <w:rPr>
          <w:rFonts w:hint="eastAsia" w:ascii="仿宋_GB2312" w:eastAsia="仿宋_GB2312"/>
          <w:color w:val="000000" w:themeColor="text1"/>
          <w:szCs w:val="32"/>
          <w14:textFill>
            <w14:solidFill>
              <w14:schemeClr w14:val="tx1"/>
            </w14:solidFill>
          </w14:textFill>
        </w:rPr>
        <w:t xml:space="preserve"> </w:t>
      </w:r>
      <w:r>
        <w:rPr>
          <w:rFonts w:hint="eastAsia" w:ascii="仿宋_GB2312" w:hAnsi="仿宋_GB2312" w:eastAsia="仿宋_GB2312"/>
          <w:color w:val="000000" w:themeColor="text1"/>
          <w:kern w:val="0"/>
          <w:szCs w:val="32"/>
          <w14:textFill>
            <w14:solidFill>
              <w14:schemeClr w14:val="tx1"/>
            </w14:solidFill>
          </w14:textFill>
        </w:rPr>
        <w:t>为规范新区商品房预售资金监督管理，维护商品房交易当事人合法权益，促进房地产市场健康有序发展，根据《中华人民共和国城市房地产管理法》《城市商品房预售管理办法》《关于进一步加强房地产市场监管完善商品住房预售制度有关问题的通知》</w:t>
      </w:r>
      <w:r>
        <w:rPr>
          <w:rFonts w:ascii="仿宋_GB2312" w:hAnsi="仿宋_GB2312" w:eastAsia="仿宋_GB2312"/>
          <w:color w:val="000000" w:themeColor="text1"/>
          <w:kern w:val="0"/>
          <w:szCs w:val="32"/>
          <w14:textFill>
            <w14:solidFill>
              <w14:schemeClr w14:val="tx1"/>
            </w14:solidFill>
          </w14:textFill>
        </w:rPr>
        <w:t>（建设部令第131号）</w:t>
      </w:r>
      <w:r>
        <w:rPr>
          <w:rFonts w:hint="eastAsia" w:ascii="仿宋_GB2312" w:hAnsi="仿宋_GB2312" w:eastAsia="仿宋_GB2312"/>
          <w:color w:val="000000" w:themeColor="text1"/>
          <w:kern w:val="0"/>
          <w:szCs w:val="32"/>
          <w14:textFill>
            <w14:solidFill>
              <w14:schemeClr w14:val="tx1"/>
            </w14:solidFill>
          </w14:textFill>
        </w:rPr>
        <w:t>及《关于加强商品房预售资金</w:t>
      </w:r>
      <w:r>
        <w:rPr>
          <w:rFonts w:hint="eastAsia" w:ascii="仿宋_GB2312" w:hAnsi="仿宋_GB2312" w:eastAsia="仿宋_GB2312"/>
          <w:color w:val="000000" w:themeColor="text1"/>
          <w:kern w:val="0"/>
          <w:szCs w:val="32"/>
          <w:lang w:eastAsia="zh-CN"/>
          <w14:textFill>
            <w14:solidFill>
              <w14:schemeClr w14:val="tx1"/>
            </w14:solidFill>
          </w14:textFill>
        </w:rPr>
        <w:t>、</w:t>
      </w:r>
      <w:r>
        <w:rPr>
          <w:rFonts w:hint="eastAsia" w:ascii="仿宋_GB2312" w:hAnsi="仿宋_GB2312" w:eastAsia="仿宋_GB2312"/>
          <w:color w:val="000000" w:themeColor="text1"/>
          <w:kern w:val="0"/>
          <w:szCs w:val="32"/>
          <w14:textFill>
            <w14:solidFill>
              <w14:schemeClr w14:val="tx1"/>
            </w14:solidFill>
          </w14:textFill>
        </w:rPr>
        <w:t>二手房交易资金监管的通知》（陕建发〔</w:t>
      </w:r>
      <w:r>
        <w:rPr>
          <w:rFonts w:ascii="仿宋_GB2312" w:hAnsi="仿宋_GB2312" w:eastAsia="仿宋_GB2312"/>
          <w:color w:val="000000" w:themeColor="text1"/>
          <w:kern w:val="0"/>
          <w:szCs w:val="32"/>
          <w14:textFill>
            <w14:solidFill>
              <w14:schemeClr w14:val="tx1"/>
            </w14:solidFill>
          </w14:textFill>
        </w:rPr>
        <w:t>2016〕107号）等</w:t>
      </w:r>
      <w:r>
        <w:rPr>
          <w:rFonts w:hint="eastAsia" w:ascii="仿宋_GB2312" w:hAnsi="仿宋_GB2312" w:eastAsia="仿宋_GB2312"/>
          <w:color w:val="000000" w:themeColor="text1"/>
          <w:kern w:val="0"/>
          <w:szCs w:val="32"/>
          <w14:textFill>
            <w14:solidFill>
              <w14:schemeClr w14:val="tx1"/>
            </w14:solidFill>
          </w14:textFill>
        </w:rPr>
        <w:t>有关规定，结合新区实际，制定本办法。</w:t>
      </w:r>
    </w:p>
    <w:p>
      <w:pPr>
        <w:pStyle w:val="12"/>
        <w:keepNext w:val="0"/>
        <w:keepLines w:val="0"/>
        <w:pageBreakBefore w:val="0"/>
        <w:widowControl w:val="0"/>
        <w:tabs>
          <w:tab w:val="left" w:pos="1440"/>
          <w:tab w:val="left" w:pos="2340"/>
          <w:tab w:val="left" w:pos="2880"/>
          <w:tab w:val="left" w:pos="3240"/>
          <w:tab w:val="left" w:pos="3420"/>
          <w:tab w:val="left" w:pos="3780"/>
          <w:tab w:val="left" w:pos="3960"/>
        </w:tabs>
        <w:kinsoku/>
        <w:overflowPunct/>
        <w:topLinePunct w:val="0"/>
        <w:autoSpaceDE/>
        <w:autoSpaceDN/>
        <w:bidi w:val="0"/>
        <w:spacing w:after="0" w:line="560" w:lineRule="exact"/>
        <w:ind w:firstLine="640" w:firstLineChars="200"/>
        <w:textAlignment w:val="auto"/>
        <w:rPr>
          <w:rFonts w:ascii="仿宋_GB2312" w:hAnsi="仿宋_GB2312" w:eastAsia="仿宋_GB2312"/>
          <w:color w:val="000000" w:themeColor="text1"/>
          <w:kern w:val="0"/>
          <w:sz w:val="32"/>
          <w:szCs w:val="32"/>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第二条</w:t>
      </w:r>
      <w:r>
        <w:rPr>
          <w:rFonts w:hint="eastAsia" w:ascii="仿宋_GB2312" w:hAnsi="宋体" w:eastAsia="仿宋_GB2312"/>
          <w:b/>
          <w:color w:val="000000" w:themeColor="text1"/>
          <w:kern w:val="0"/>
          <w:sz w:val="32"/>
          <w:szCs w:val="32"/>
          <w14:textFill>
            <w14:solidFill>
              <w14:schemeClr w14:val="tx1"/>
            </w14:solidFill>
          </w14:textFill>
        </w:rPr>
        <w:t xml:space="preserve"> </w:t>
      </w:r>
      <w:r>
        <w:rPr>
          <w:rFonts w:hint="eastAsia" w:ascii="仿宋_GB2312" w:hAnsi="仿宋_GB2312" w:eastAsia="仿宋_GB2312"/>
          <w:color w:val="000000" w:themeColor="text1"/>
          <w:kern w:val="0"/>
          <w:sz w:val="32"/>
          <w:szCs w:val="32"/>
          <w14:textFill>
            <w14:solidFill>
              <w14:schemeClr w14:val="tx1"/>
            </w14:solidFill>
          </w14:textFill>
        </w:rPr>
        <w:t>西咸新区范围内经预售许可的商品房开发项目，其商品房预售资金的交存、支取、使用及监督管理，适用本办法。</w:t>
      </w:r>
    </w:p>
    <w:p>
      <w:pPr>
        <w:pStyle w:val="12"/>
        <w:keepNext w:val="0"/>
        <w:keepLines w:val="0"/>
        <w:pageBreakBefore w:val="0"/>
        <w:widowControl w:val="0"/>
        <w:tabs>
          <w:tab w:val="left" w:pos="1440"/>
          <w:tab w:val="left" w:pos="2340"/>
          <w:tab w:val="left" w:pos="2880"/>
          <w:tab w:val="left" w:pos="3240"/>
          <w:tab w:val="left" w:pos="3420"/>
          <w:tab w:val="left" w:pos="3780"/>
          <w:tab w:val="left" w:pos="3960"/>
          <w:tab w:val="left" w:pos="4860"/>
        </w:tabs>
        <w:kinsoku/>
        <w:overflowPunct/>
        <w:topLinePunct w:val="0"/>
        <w:autoSpaceDE/>
        <w:autoSpaceDN/>
        <w:bidi w:val="0"/>
        <w:spacing w:after="0" w:line="560" w:lineRule="exact"/>
        <w:ind w:firstLine="640" w:firstLineChars="200"/>
        <w:textAlignment w:val="auto"/>
        <w:rPr>
          <w:rFonts w:ascii="仿宋_GB2312" w:hAnsi="仿宋_GB2312" w:eastAsia="仿宋_GB2312"/>
          <w:color w:val="000000" w:themeColor="text1"/>
          <w:kern w:val="0"/>
          <w:sz w:val="32"/>
          <w:szCs w:val="32"/>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第三条</w:t>
      </w:r>
      <w:r>
        <w:rPr>
          <w:rFonts w:hint="eastAsia" w:ascii="仿宋_GB2312" w:hAnsi="宋体" w:eastAsia="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olor w:val="000000" w:themeColor="text1"/>
          <w:kern w:val="0"/>
          <w:sz w:val="32"/>
          <w:szCs w:val="32"/>
          <w14:textFill>
            <w14:solidFill>
              <w14:schemeClr w14:val="tx1"/>
            </w14:solidFill>
          </w14:textFill>
        </w:rPr>
        <w:t>本办法所称商品房预售资金</w:t>
      </w:r>
      <w:r>
        <w:rPr>
          <w:rFonts w:ascii="仿宋_GB2312" w:hAnsi="仿宋_GB2312" w:eastAsia="仿宋_GB2312"/>
          <w:color w:val="000000" w:themeColor="text1"/>
          <w:kern w:val="0"/>
          <w:sz w:val="32"/>
          <w:szCs w:val="32"/>
          <w14:textFill>
            <w14:solidFill>
              <w14:schemeClr w14:val="tx1"/>
            </w14:solidFill>
          </w14:textFill>
        </w:rPr>
        <w:t>,是指房地产开发企业</w:t>
      </w:r>
      <w:r>
        <w:rPr>
          <w:rFonts w:hint="eastAsia" w:ascii="仿宋_GB2312" w:hAnsi="仿宋_GB2312" w:eastAsia="仿宋_GB2312"/>
          <w:color w:val="000000" w:themeColor="text1"/>
          <w:kern w:val="0"/>
          <w:sz w:val="32"/>
          <w:szCs w:val="32"/>
          <w14:textFill>
            <w14:solidFill>
              <w14:schemeClr w14:val="tx1"/>
            </w14:solidFill>
          </w14:textFill>
        </w:rPr>
        <w:t>（以下简称开发企业）取得《商品房预售许可证》预销售商品房时，购房人按照合同约定支付给开发企业的购房款，包括定金、首付款、购房贷款、分期付款、一次性付款及其他形式的全部房款。</w:t>
      </w:r>
    </w:p>
    <w:p>
      <w:pPr>
        <w:pStyle w:val="12"/>
        <w:keepNext w:val="0"/>
        <w:keepLines w:val="0"/>
        <w:pageBreakBefore w:val="0"/>
        <w:widowControl w:val="0"/>
        <w:kinsoku/>
        <w:overflowPunct/>
        <w:topLinePunct w:val="0"/>
        <w:autoSpaceDE/>
        <w:autoSpaceDN/>
        <w:bidi w:val="0"/>
        <w:spacing w:after="0" w:line="560" w:lineRule="exact"/>
        <w:ind w:firstLine="627" w:firstLineChars="196"/>
        <w:textAlignment w:val="auto"/>
        <w:rPr>
          <w:rFonts w:ascii="仿宋_GB2312" w:hAnsi="仿宋_GB2312" w:eastAsia="仿宋_GB2312"/>
          <w:color w:val="000000" w:themeColor="text1"/>
          <w:sz w:val="32"/>
          <w:szCs w:val="32"/>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第四条</w:t>
      </w:r>
      <w:r>
        <w:rPr>
          <w:rFonts w:ascii="仿宋_GB2312" w:hAnsi="仿宋_GB2312" w:eastAsia="仿宋_GB2312"/>
          <w:color w:val="000000" w:themeColor="text1"/>
          <w:kern w:val="0"/>
          <w:sz w:val="32"/>
          <w:szCs w:val="32"/>
          <w14:textFill>
            <w14:solidFill>
              <w14:schemeClr w14:val="tx1"/>
            </w14:solidFill>
          </w14:textFill>
        </w:rPr>
        <w:t xml:space="preserve"> 商品房预售资金监管遵循</w:t>
      </w:r>
      <w:r>
        <w:rPr>
          <w:rFonts w:hint="eastAsia" w:ascii="仿宋_GB2312" w:hAnsi="仿宋_GB2312" w:eastAsia="仿宋_GB2312"/>
          <w:color w:val="000000" w:themeColor="text1"/>
          <w:kern w:val="0"/>
          <w:sz w:val="32"/>
          <w:szCs w:val="32"/>
          <w14:textFill>
            <w14:solidFill>
              <w14:schemeClr w14:val="tx1"/>
            </w14:solidFill>
          </w14:textFill>
        </w:rPr>
        <w:t>政府主导</w:t>
      </w:r>
      <w:r>
        <w:rPr>
          <w:rFonts w:ascii="仿宋_GB2312" w:hAnsi="仿宋_GB2312" w:eastAsia="仿宋_GB2312"/>
          <w:color w:val="000000" w:themeColor="text1"/>
          <w:kern w:val="0"/>
          <w:sz w:val="32"/>
          <w:szCs w:val="32"/>
          <w14:textFill>
            <w14:solidFill>
              <w14:schemeClr w14:val="tx1"/>
            </w14:solidFill>
          </w14:textFill>
        </w:rPr>
        <w:t>、</w:t>
      </w:r>
      <w:r>
        <w:rPr>
          <w:rFonts w:hint="eastAsia" w:ascii="仿宋_GB2312" w:hAnsi="仿宋_GB2312" w:eastAsia="仿宋_GB2312"/>
          <w:color w:val="000000" w:themeColor="text1"/>
          <w:kern w:val="0"/>
          <w:sz w:val="32"/>
          <w:szCs w:val="32"/>
          <w14:textFill>
            <w14:solidFill>
              <w14:schemeClr w14:val="tx1"/>
            </w14:solidFill>
          </w14:textFill>
        </w:rPr>
        <w:t>多方参与，</w:t>
      </w:r>
      <w:r>
        <w:rPr>
          <w:rFonts w:ascii="仿宋_GB2312" w:hAnsi="仿宋_GB2312" w:eastAsia="仿宋_GB2312"/>
          <w:color w:val="000000" w:themeColor="text1"/>
          <w:kern w:val="0"/>
          <w:sz w:val="32"/>
          <w:szCs w:val="32"/>
          <w14:textFill>
            <w14:solidFill>
              <w14:schemeClr w14:val="tx1"/>
            </w14:solidFill>
          </w14:textFill>
        </w:rPr>
        <w:t>专款专用、封闭管理的原则，</w:t>
      </w:r>
      <w:r>
        <w:rPr>
          <w:rFonts w:hint="eastAsia" w:ascii="仿宋_GB2312" w:hAnsi="仿宋_GB2312" w:eastAsia="仿宋_GB2312"/>
          <w:color w:val="000000" w:themeColor="text1"/>
          <w:kern w:val="0"/>
          <w:sz w:val="32"/>
          <w:szCs w:val="32"/>
          <w14:textFill>
            <w14:solidFill>
              <w14:schemeClr w14:val="tx1"/>
            </w14:solidFill>
          </w14:textFill>
        </w:rPr>
        <w:t>实行专款专户存储。商品房预售资金</w:t>
      </w:r>
      <w:r>
        <w:rPr>
          <w:rFonts w:ascii="仿宋_GB2312" w:hAnsi="仿宋_GB2312" w:eastAsia="仿宋_GB2312"/>
          <w:color w:val="000000" w:themeColor="text1"/>
          <w:sz w:val="32"/>
          <w:szCs w:val="32"/>
          <w14:textFill>
            <w14:solidFill>
              <w14:schemeClr w14:val="tx1"/>
            </w14:solidFill>
          </w14:textFill>
        </w:rPr>
        <w:t>优先用于商品房开发项目所需的建设施工进度款、设备材料款、缴纳法定税费等与本工程相关的费用。</w:t>
      </w:r>
    </w:p>
    <w:p>
      <w:pPr>
        <w:keepNext w:val="0"/>
        <w:keepLines w:val="0"/>
        <w:pageBreakBefore w:val="0"/>
        <w:widowControl w:val="0"/>
        <w:tabs>
          <w:tab w:val="left" w:pos="8280"/>
        </w:tabs>
        <w:kinsoku/>
        <w:overflowPunct/>
        <w:topLinePunct w:val="0"/>
        <w:autoSpaceDE/>
        <w:autoSpaceDN/>
        <w:bidi w:val="0"/>
        <w:spacing w:line="560" w:lineRule="exact"/>
        <w:ind w:firstLine="627" w:firstLineChars="196"/>
        <w:textAlignment w:val="auto"/>
        <w:rPr>
          <w:rFonts w:ascii="仿宋_GB2312" w:hAnsi="仿宋_GB2312" w:eastAsia="仿宋_GB2312"/>
          <w:color w:val="000000" w:themeColor="text1"/>
          <w:sz w:val="32"/>
          <w:szCs w:val="32"/>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第五条</w:t>
      </w:r>
      <w:r>
        <w:rPr>
          <w:rFonts w:hint="eastAsia" w:ascii="仿宋_GB2312" w:hAnsi="仿宋_GB2312" w:eastAsia="仿宋_GB2312"/>
          <w:color w:val="000000" w:themeColor="text1"/>
          <w:sz w:val="32"/>
          <w:szCs w:val="32"/>
          <w14:textFill>
            <w14:solidFill>
              <w14:schemeClr w14:val="tx1"/>
            </w14:solidFill>
          </w14:textFill>
        </w:rPr>
        <w:t xml:space="preserve"> 新区住建行政主管部门负责全区商品房预售资金监管工作的指导监督，建立“西咸新区商品房预售资金交存监管平台”，制定《商品房预售资金监管协议书》示范文本，建立信用管理体系，对参与主体进行综合评价。</w:t>
      </w:r>
    </w:p>
    <w:p>
      <w:pPr>
        <w:keepNext w:val="0"/>
        <w:keepLines w:val="0"/>
        <w:pageBreakBefore w:val="0"/>
        <w:widowControl w:val="0"/>
        <w:tabs>
          <w:tab w:val="left" w:pos="8280"/>
        </w:tabs>
        <w:kinsoku/>
        <w:overflowPunct/>
        <w:topLinePunct w:val="0"/>
        <w:autoSpaceDE/>
        <w:autoSpaceDN/>
        <w:bidi w:val="0"/>
        <w:spacing w:line="560" w:lineRule="exact"/>
        <w:ind w:firstLine="627" w:firstLineChars="196"/>
        <w:textAlignment w:val="auto"/>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各新城住建行政主管部门负责辖区内商品房开发项目预售资金交存、支出、使用等活动的监督管理，其中关联项目预售资金的使用按照“商业与住宅关联项目预售资金监督管理实施细则”相关规定执行（详见附件</w:t>
      </w:r>
      <w:r>
        <w:rPr>
          <w:rFonts w:hint="eastAsia" w:ascii="仿宋_GB2312" w:hAnsi="仿宋_GB2312" w:eastAsia="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olor w:val="000000" w:themeColor="text1"/>
          <w:sz w:val="32"/>
          <w:szCs w:val="32"/>
          <w14:textFill>
            <w14:solidFill>
              <w14:schemeClr w14:val="tx1"/>
            </w14:solidFill>
          </w14:textFill>
        </w:rPr>
        <w:t>）。按工程建设进度核拨预售资金，依法对违法违规行为实施执法监察，并视违规情节纳入新区信用管理平台，进行联合惩戒。</w:t>
      </w:r>
    </w:p>
    <w:p>
      <w:pPr>
        <w:keepNext w:val="0"/>
        <w:keepLines w:val="0"/>
        <w:pageBreakBefore w:val="0"/>
        <w:widowControl w:val="0"/>
        <w:tabs>
          <w:tab w:val="left" w:pos="8280"/>
        </w:tabs>
        <w:kinsoku/>
        <w:overflowPunct/>
        <w:topLinePunct w:val="0"/>
        <w:autoSpaceDE/>
        <w:autoSpaceDN/>
        <w:bidi w:val="0"/>
        <w:spacing w:line="560" w:lineRule="exact"/>
        <w:ind w:firstLine="627" w:firstLineChars="196"/>
        <w:textAlignment w:val="auto"/>
        <w:rPr>
          <w:rFonts w:ascii="仿宋_GB2312" w:hAnsi="仿宋_GB2312" w:eastAsia="仿宋_GB2312"/>
          <w:color w:val="000000" w:themeColor="text1"/>
          <w:sz w:val="32"/>
          <w:szCs w:val="32"/>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第六条</w:t>
      </w:r>
      <w:r>
        <w:rPr>
          <w:rFonts w:hint="eastAsia" w:ascii="仿宋_GB2312" w:hAnsi="仿宋_GB2312" w:eastAsia="仿宋_GB2312"/>
          <w:color w:val="000000" w:themeColor="text1"/>
          <w:sz w:val="32"/>
          <w:szCs w:val="32"/>
          <w14:textFill>
            <w14:solidFill>
              <w14:schemeClr w14:val="tx1"/>
            </w14:solidFill>
          </w14:textFill>
        </w:rPr>
        <w:t xml:space="preserve"> 新区金融行政主管部门负责协调银行主管部门在各自职责范围内负责相关监管工作。</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西安住房公积金管理中心西咸新区分中心负责对受委托银行住房公积金贷款发放及结算情况的监督管理，配合开展商品房预售资金监管工作。</w:t>
      </w:r>
    </w:p>
    <w:p>
      <w:pPr>
        <w:keepNext w:val="0"/>
        <w:keepLines w:val="0"/>
        <w:pageBreakBefore w:val="0"/>
        <w:widowControl w:val="0"/>
        <w:tabs>
          <w:tab w:val="left" w:pos="8280"/>
        </w:tabs>
        <w:kinsoku/>
        <w:overflowPunct/>
        <w:topLinePunct w:val="0"/>
        <w:autoSpaceDE/>
        <w:autoSpaceDN/>
        <w:bidi w:val="0"/>
        <w:spacing w:line="560" w:lineRule="exact"/>
        <w:ind w:firstLine="627" w:firstLineChars="196"/>
        <w:textAlignment w:val="auto"/>
        <w:rPr>
          <w:rFonts w:ascii="仿宋_GB2312" w:hAnsi="仿宋_GB2312" w:eastAsia="仿宋_GB2312"/>
          <w:color w:val="000000" w:themeColor="text1"/>
          <w:sz w:val="32"/>
          <w:szCs w:val="32"/>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第七条</w:t>
      </w:r>
      <w:r>
        <w:rPr>
          <w:rFonts w:hint="eastAsia" w:ascii="仿宋_GB2312" w:hAnsi="仿宋_GB2312" w:eastAsia="仿宋_GB2312"/>
          <w:color w:val="000000" w:themeColor="text1"/>
          <w:sz w:val="32"/>
          <w:szCs w:val="32"/>
          <w14:textFill>
            <w14:solidFill>
              <w14:schemeClr w14:val="tx1"/>
            </w14:solidFill>
          </w14:textFill>
        </w:rPr>
        <w:t xml:space="preserve"> 承接商品房预售资金监管业务的商业银行（以下称监管银行）应与新区住建行政主管部门签订“商品房预售资金监管合作协议（以下简称合作协议）”，建立与住建行政主管部门现有端口相匹配的数据传输系统，实现交存、支出信息实时交互共享，做好商品房预售资金的收入、支出的日常管理，协助履行商品房预售资金的收取和划拨义务。</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color w:val="000000" w:themeColor="text1"/>
          <w:kern w:val="1"/>
          <w:sz w:val="32"/>
          <w:szCs w:val="32"/>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第八条</w:t>
      </w:r>
      <w:r>
        <w:rPr>
          <w:rFonts w:hint="eastAsia" w:ascii="仿宋_GB2312" w:hAnsi="仿宋_GB2312" w:eastAsia="仿宋_GB2312"/>
          <w:color w:val="000000" w:themeColor="text1"/>
          <w:kern w:val="1"/>
          <w:sz w:val="32"/>
          <w:szCs w:val="32"/>
          <w14:textFill>
            <w14:solidFill>
              <w14:schemeClr w14:val="tx1"/>
            </w14:solidFill>
          </w14:textFill>
        </w:rPr>
        <w:t xml:space="preserve"> 商品房预售资金应全部直接存入专用监管账户进行监管，开发企业不得直接收取或另设账户收存购房人的购房款。</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商品房开发项目预售资金监管银行与开发贷款银行为同一家银行时，未经住建行政主管部门审批</w:t>
      </w:r>
      <w:r>
        <w:rPr>
          <w:rFonts w:hint="eastAsia" w:ascii="仿宋_GB2312" w:hAnsi="仿宋_GB2312"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olor w:val="000000" w:themeColor="text1"/>
          <w:sz w:val="32"/>
          <w:szCs w:val="32"/>
          <w14:textFill>
            <w14:solidFill>
              <w14:schemeClr w14:val="tx1"/>
            </w14:solidFill>
          </w14:textFill>
        </w:rPr>
        <w:t>监管银行不得擅自将重点监管资金用于偿还项目开发贷款。</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b/>
          <w:color w:val="000000" w:themeColor="text1"/>
          <w:kern w:val="1"/>
          <w:sz w:val="32"/>
          <w:szCs w:val="32"/>
          <w:highlight w:val="yellow"/>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第九条</w:t>
      </w:r>
      <w:r>
        <w:rPr>
          <w:rFonts w:ascii="仿宋_GB2312" w:hAnsi="仿宋_GB2312" w:eastAsia="仿宋_GB2312"/>
          <w:b/>
          <w:color w:val="000000" w:themeColor="text1"/>
          <w:kern w:val="1"/>
          <w:sz w:val="32"/>
          <w:szCs w:val="32"/>
          <w14:textFill>
            <w14:solidFill>
              <w14:schemeClr w14:val="tx1"/>
            </w14:solidFill>
          </w14:textFill>
        </w:rPr>
        <w:t xml:space="preserve"> </w:t>
      </w:r>
      <w:r>
        <w:rPr>
          <w:rFonts w:hint="eastAsia" w:ascii="仿宋_GB2312" w:hAnsi="仿宋_GB2312" w:eastAsia="仿宋_GB2312"/>
          <w:color w:val="000000" w:themeColor="text1"/>
          <w:kern w:val="1"/>
          <w:sz w:val="32"/>
          <w:szCs w:val="32"/>
          <w14:textFill>
            <w14:solidFill>
              <w14:schemeClr w14:val="tx1"/>
            </w14:solidFill>
          </w14:textFill>
        </w:rPr>
        <w:t>商品房预售资金实行全额、全程监管，对用于保证商品房</w:t>
      </w:r>
      <w:r>
        <w:rPr>
          <w:rFonts w:hint="eastAsia" w:ascii="仿宋_GB2312" w:hAnsi="仿宋_GB2312" w:eastAsia="仿宋_GB2312"/>
          <w:color w:val="000000" w:themeColor="text1"/>
          <w:kern w:val="1"/>
          <w:sz w:val="32"/>
          <w:szCs w:val="32"/>
          <w:highlight w:val="none"/>
          <w14:textFill>
            <w14:solidFill>
              <w14:schemeClr w14:val="tx1"/>
            </w14:solidFill>
          </w14:textFill>
        </w:rPr>
        <w:t>开发项目</w:t>
      </w:r>
      <w:r>
        <w:rPr>
          <w:rFonts w:hint="eastAsia" w:ascii="仿宋_GB2312" w:hAnsi="仿宋_GB2312" w:eastAsia="仿宋_GB2312"/>
          <w:color w:val="000000" w:themeColor="text1"/>
          <w:kern w:val="1"/>
          <w:sz w:val="32"/>
          <w:szCs w:val="32"/>
          <w14:textFill>
            <w14:solidFill>
              <w14:schemeClr w14:val="tx1"/>
            </w14:solidFill>
          </w14:textFill>
        </w:rPr>
        <w:t>顺利交付所需要的</w:t>
      </w:r>
      <w:r>
        <w:rPr>
          <w:rFonts w:hint="eastAsia" w:ascii="仿宋_GB2312" w:hAnsi="仿宋_GB2312" w:eastAsia="仿宋_GB2312"/>
          <w:color w:val="000000" w:themeColor="text1"/>
          <w:kern w:val="1"/>
          <w:sz w:val="32"/>
          <w:szCs w:val="32"/>
          <w:highlight w:val="none"/>
          <w14:textFill>
            <w14:solidFill>
              <w14:schemeClr w14:val="tx1"/>
            </w14:solidFill>
          </w14:textFill>
        </w:rPr>
        <w:t>预售</w:t>
      </w:r>
      <w:r>
        <w:rPr>
          <w:rFonts w:hint="eastAsia" w:ascii="仿宋_GB2312" w:hAnsi="仿宋_GB2312" w:eastAsia="仿宋_GB2312"/>
          <w:color w:val="000000" w:themeColor="text1"/>
          <w:kern w:val="1"/>
          <w:sz w:val="32"/>
          <w:szCs w:val="32"/>
          <w14:textFill>
            <w14:solidFill>
              <w14:schemeClr w14:val="tx1"/>
            </w14:solidFill>
          </w14:textFill>
        </w:rPr>
        <w:t>资金实施重点监管</w:t>
      </w:r>
      <w:r>
        <w:rPr>
          <w:rFonts w:hint="eastAsia" w:ascii="仿宋_GB2312" w:hAnsi="仿宋_GB2312" w:eastAsia="仿宋_GB2312"/>
          <w:color w:val="000000" w:themeColor="text1"/>
          <w:kern w:val="1"/>
          <w:sz w:val="32"/>
          <w:szCs w:val="32"/>
          <w:highlight w:val="none"/>
          <w14:textFill>
            <w14:solidFill>
              <w14:schemeClr w14:val="tx1"/>
            </w14:solidFill>
          </w14:textFill>
        </w:rPr>
        <w:t>。</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color w:val="000000" w:themeColor="text1"/>
          <w:kern w:val="1"/>
          <w:sz w:val="32"/>
          <w:szCs w:val="32"/>
          <w14:textFill>
            <w14:solidFill>
              <w14:schemeClr w14:val="tx1"/>
            </w14:solidFill>
          </w14:textFill>
        </w:rPr>
      </w:pPr>
      <w:r>
        <w:rPr>
          <w:rFonts w:hint="eastAsia" w:ascii="仿宋_GB2312" w:hAnsi="仿宋_GB2312" w:eastAsia="仿宋_GB2312"/>
          <w:color w:val="000000" w:themeColor="text1"/>
          <w:kern w:val="1"/>
          <w:sz w:val="32"/>
          <w:szCs w:val="32"/>
          <w:highlight w:val="none"/>
          <w:lang w:val="en-US" w:eastAsia="zh-CN"/>
          <w14:textFill>
            <w14:solidFill>
              <w14:schemeClr w14:val="tx1"/>
            </w14:solidFill>
          </w14:textFill>
        </w:rPr>
        <w:t>重点监管</w:t>
      </w:r>
      <w:r>
        <w:rPr>
          <w:rFonts w:hint="eastAsia" w:ascii="仿宋_GB2312" w:hAnsi="仿宋_GB2312" w:eastAsia="仿宋_GB2312"/>
          <w:color w:val="000000" w:themeColor="text1"/>
          <w:kern w:val="1"/>
          <w:sz w:val="32"/>
          <w:szCs w:val="32"/>
          <w:highlight w:val="none"/>
          <w14:textFill>
            <w14:solidFill>
              <w14:schemeClr w14:val="tx1"/>
            </w14:solidFill>
          </w14:textFill>
        </w:rPr>
        <w:t>资金总额</w:t>
      </w:r>
      <w:r>
        <w:rPr>
          <w:rFonts w:hint="eastAsia" w:ascii="仿宋_GB2312" w:hAnsi="仿宋_GB2312" w:eastAsia="仿宋_GB2312"/>
          <w:color w:val="000000" w:themeColor="text1"/>
          <w:kern w:val="1"/>
          <w:sz w:val="32"/>
          <w:szCs w:val="32"/>
          <w14:textFill>
            <w14:solidFill>
              <w14:schemeClr w14:val="tx1"/>
            </w14:solidFill>
          </w14:textFill>
        </w:rPr>
        <w:t>由</w:t>
      </w:r>
      <w:r>
        <w:rPr>
          <w:rFonts w:hint="eastAsia" w:ascii="仿宋_GB2312" w:hAnsi="仿宋_GB2312" w:eastAsia="仿宋_GB2312"/>
          <w:color w:val="000000" w:themeColor="text1"/>
          <w:kern w:val="1"/>
          <w:sz w:val="32"/>
          <w:szCs w:val="32"/>
          <w:lang w:eastAsia="zh-CN"/>
          <w14:textFill>
            <w14:solidFill>
              <w14:schemeClr w14:val="tx1"/>
            </w14:solidFill>
          </w14:textFill>
        </w:rPr>
        <w:t>监管银行</w:t>
      </w:r>
      <w:r>
        <w:rPr>
          <w:rFonts w:hint="eastAsia" w:ascii="仿宋_GB2312" w:hAnsi="仿宋_GB2312" w:eastAsia="仿宋_GB2312"/>
          <w:color w:val="000000" w:themeColor="text1"/>
          <w:kern w:val="1"/>
          <w:sz w:val="32"/>
          <w:szCs w:val="32"/>
          <w14:textFill>
            <w14:solidFill>
              <w14:schemeClr w14:val="tx1"/>
            </w14:solidFill>
          </w14:textFill>
        </w:rPr>
        <w:t>根据工程建设成本等实际情况综合测算确定，但数额不得低于</w:t>
      </w:r>
      <w:r>
        <w:rPr>
          <w:rFonts w:hint="eastAsia" w:ascii="仿宋_GB2312" w:hAnsi="仿宋_GB2312" w:eastAsia="仿宋_GB2312"/>
          <w:color w:val="000000" w:themeColor="text1"/>
          <w:kern w:val="1"/>
          <w:sz w:val="32"/>
          <w:szCs w:val="32"/>
          <w:lang w:eastAsia="zh-CN"/>
          <w14:textFill>
            <w14:solidFill>
              <w14:schemeClr w14:val="tx1"/>
            </w14:solidFill>
          </w14:textFill>
        </w:rPr>
        <w:t>“</w:t>
      </w:r>
      <w:r>
        <w:rPr>
          <w:rFonts w:hint="eastAsia" w:ascii="仿宋_GB2312" w:hAnsi="仿宋_GB2312" w:eastAsia="仿宋_GB2312"/>
          <w:color w:val="000000" w:themeColor="text1"/>
          <w:kern w:val="1"/>
          <w:sz w:val="32"/>
          <w:szCs w:val="32"/>
          <w14:textFill>
            <w14:solidFill>
              <w14:schemeClr w14:val="tx1"/>
            </w14:solidFill>
          </w14:textFill>
        </w:rPr>
        <w:t>中国建设工程造</w:t>
      </w:r>
      <w:r>
        <w:rPr>
          <w:rFonts w:hint="eastAsia" w:ascii="仿宋_GB2312" w:hAnsi="仿宋_GB2312" w:eastAsia="仿宋_GB2312"/>
          <w:color w:val="000000" w:themeColor="text1"/>
          <w:kern w:val="1"/>
          <w:sz w:val="32"/>
          <w:szCs w:val="32"/>
          <w:lang w:val="en-US" w:eastAsia="zh-CN"/>
          <w14:textFill>
            <w14:solidFill>
              <w14:schemeClr w14:val="tx1"/>
            </w14:solidFill>
          </w14:textFill>
        </w:rPr>
        <w:t>价</w:t>
      </w:r>
      <w:r>
        <w:rPr>
          <w:rFonts w:hint="eastAsia" w:ascii="仿宋_GB2312" w:hAnsi="仿宋_GB2312" w:eastAsia="仿宋_GB2312"/>
          <w:color w:val="000000" w:themeColor="text1"/>
          <w:kern w:val="1"/>
          <w:sz w:val="32"/>
          <w:szCs w:val="32"/>
          <w14:textFill>
            <w14:solidFill>
              <w14:schemeClr w14:val="tx1"/>
            </w14:solidFill>
          </w14:textFill>
        </w:rPr>
        <w:t>信息网</w:t>
      </w:r>
      <w:r>
        <w:rPr>
          <w:rFonts w:hint="eastAsia" w:ascii="仿宋_GB2312" w:hAnsi="仿宋_GB2312" w:eastAsia="仿宋_GB2312"/>
          <w:color w:val="000000" w:themeColor="text1"/>
          <w:kern w:val="1"/>
          <w:sz w:val="32"/>
          <w:szCs w:val="32"/>
          <w:lang w:eastAsia="zh-CN"/>
          <w14:textFill>
            <w14:solidFill>
              <w14:schemeClr w14:val="tx1"/>
            </w14:solidFill>
          </w14:textFill>
        </w:rPr>
        <w:t>”</w:t>
      </w:r>
      <w:r>
        <w:rPr>
          <w:rFonts w:hint="eastAsia" w:ascii="仿宋_GB2312" w:hAnsi="仿宋_GB2312" w:eastAsia="仿宋_GB2312"/>
          <w:color w:val="000000" w:themeColor="text1"/>
          <w:kern w:val="1"/>
          <w:sz w:val="32"/>
          <w:szCs w:val="32"/>
          <w14:textFill>
            <w14:solidFill>
              <w14:schemeClr w14:val="tx1"/>
            </w14:solidFill>
          </w14:textFill>
        </w:rPr>
        <w:t>公示的西安市</w:t>
      </w:r>
      <w:r>
        <w:rPr>
          <w:rFonts w:hint="eastAsia" w:ascii="仿宋_GB2312" w:hAnsi="仿宋_GB2312" w:eastAsia="仿宋_GB2312"/>
          <w:color w:val="000000" w:themeColor="text1"/>
          <w:kern w:val="1"/>
          <w:sz w:val="32"/>
          <w:szCs w:val="32"/>
          <w:highlight w:val="none"/>
          <w14:textFill>
            <w14:solidFill>
              <w14:schemeClr w14:val="tx1"/>
            </w14:solidFill>
          </w14:textFill>
        </w:rPr>
        <w:t>（或西咸新区）</w:t>
      </w:r>
      <w:r>
        <w:rPr>
          <w:rFonts w:hint="eastAsia" w:ascii="仿宋_GB2312" w:hAnsi="仿宋_GB2312" w:eastAsia="仿宋_GB2312"/>
          <w:color w:val="000000" w:themeColor="text1"/>
          <w:kern w:val="1"/>
          <w:sz w:val="32"/>
          <w:szCs w:val="32"/>
          <w14:textFill>
            <w14:solidFill>
              <w14:schemeClr w14:val="tx1"/>
            </w14:solidFill>
          </w14:textFill>
        </w:rPr>
        <w:t>住宅单方工程造价乘以房产测绘成果报告中建筑面积的数额，全装修项目还应增加装修成本。新区住建行政主管部门可根据市场价格变动，适时调整工程建设资金总额最低额度计算标准。</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color w:val="000000" w:themeColor="text1"/>
          <w:kern w:val="1"/>
          <w:sz w:val="32"/>
          <w:szCs w:val="32"/>
          <w14:textFill>
            <w14:solidFill>
              <w14:schemeClr w14:val="tx1"/>
            </w14:solidFill>
          </w14:textFill>
        </w:rPr>
      </w:pPr>
      <w:r>
        <w:rPr>
          <w:rFonts w:hint="eastAsia" w:ascii="仿宋_GB2312" w:hAnsi="仿宋_GB2312" w:eastAsia="仿宋_GB2312"/>
          <w:color w:val="000000" w:themeColor="text1"/>
          <w:kern w:val="1"/>
          <w:sz w:val="32"/>
          <w:szCs w:val="32"/>
          <w14:textFill>
            <w14:solidFill>
              <w14:schemeClr w14:val="tx1"/>
            </w14:solidFill>
          </w14:textFill>
        </w:rPr>
        <w:t>超出重点监管资金额度部分的资金，开发企业可以申请提取使用。</w:t>
      </w:r>
    </w:p>
    <w:p>
      <w:pPr>
        <w:keepNext w:val="0"/>
        <w:keepLines w:val="0"/>
        <w:pageBreakBefore w:val="0"/>
        <w:widowControl w:val="0"/>
        <w:tabs>
          <w:tab w:val="left" w:pos="8280"/>
        </w:tabs>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olor w:val="000000" w:themeColor="text1"/>
          <w:sz w:val="32"/>
          <w:szCs w:val="32"/>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第十条</w:t>
      </w:r>
      <w:r>
        <w:rPr>
          <w:rFonts w:hint="eastAsia" w:ascii="仿宋_GB2312" w:hAnsi="仿宋_GB2312" w:eastAsia="仿宋_GB2312"/>
          <w:color w:val="000000" w:themeColor="text1"/>
          <w:sz w:val="32"/>
          <w:szCs w:val="32"/>
          <w14:textFill>
            <w14:solidFill>
              <w14:schemeClr w14:val="tx1"/>
            </w14:solidFill>
          </w14:textFill>
        </w:rPr>
        <w:t xml:space="preserve"> 商品房预售资金监管期限，自签订商品房预售资金监管协议开始，至开发项目监管楼幢办理不动产首次登记后止。</w:t>
      </w:r>
    </w:p>
    <w:p>
      <w:pPr>
        <w:keepNext w:val="0"/>
        <w:keepLines w:val="0"/>
        <w:pageBreakBefore w:val="0"/>
        <w:widowControl w:val="0"/>
        <w:tabs>
          <w:tab w:val="left" w:pos="8280"/>
        </w:tabs>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olor w:val="000000" w:themeColor="text1"/>
          <w:sz w:val="32"/>
          <w:szCs w:val="32"/>
          <w14:textFill>
            <w14:solidFill>
              <w14:schemeClr w14:val="tx1"/>
            </w14:solidFill>
          </w14:textFill>
        </w:rPr>
      </w:pPr>
    </w:p>
    <w:p>
      <w:pPr>
        <w:keepNext w:val="0"/>
        <w:keepLines w:val="0"/>
        <w:pageBreakBefore w:val="0"/>
        <w:widowControl w:val="0"/>
        <w:tabs>
          <w:tab w:val="left" w:pos="8280"/>
        </w:tabs>
        <w:kinsoku/>
        <w:overflowPunct/>
        <w:topLinePunct w:val="0"/>
        <w:autoSpaceDE/>
        <w:autoSpaceDN/>
        <w:bidi w:val="0"/>
        <w:spacing w:line="560" w:lineRule="exact"/>
        <w:jc w:val="center"/>
        <w:textAlignment w:val="auto"/>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第二章  专用账户的设立及监管协议的签订</w:t>
      </w:r>
    </w:p>
    <w:p>
      <w:pPr>
        <w:keepNext w:val="0"/>
        <w:keepLines w:val="0"/>
        <w:pageBreakBefore w:val="0"/>
        <w:widowControl w:val="0"/>
        <w:kinsoku/>
        <w:overflowPunct/>
        <w:topLinePunct w:val="0"/>
        <w:autoSpaceDE/>
        <w:autoSpaceDN/>
        <w:bidi w:val="0"/>
        <w:spacing w:line="560" w:lineRule="exact"/>
        <w:ind w:right="181" w:rightChars="86" w:firstLine="645"/>
        <w:textAlignment w:val="auto"/>
        <w:rPr>
          <w:rFonts w:ascii="仿宋_GB2312" w:hAnsi="仿宋_GB2312" w:eastAsia="仿宋_GB2312"/>
          <w:color w:val="000000" w:themeColor="text1"/>
          <w:sz w:val="32"/>
          <w:szCs w:val="32"/>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第十一条</w:t>
      </w:r>
      <w:r>
        <w:rPr>
          <w:rFonts w:hint="eastAsia" w:ascii="仿宋_GB2312" w:hAnsi="仿宋_GB2312" w:eastAsia="仿宋_GB2312"/>
          <w:color w:val="000000" w:themeColor="text1"/>
          <w:sz w:val="32"/>
          <w:szCs w:val="32"/>
          <w14:textFill>
            <w14:solidFill>
              <w14:schemeClr w14:val="tx1"/>
            </w14:solidFill>
          </w14:textFill>
        </w:rPr>
        <w:t xml:space="preserve"> 开发企业申请商品房预售许可前，应当选择一家监管银行，设立商品房预售资金监管专用账户（以下简称监管账户），并按照申请预售许可批次及开发项目楼幢范围，与监管银行</w:t>
      </w:r>
      <w:r>
        <w:rPr>
          <w:rFonts w:hint="eastAsia" w:ascii="仿宋_GB2312" w:hAnsi="仿宋_GB2312" w:eastAsia="仿宋_GB2312"/>
          <w:color w:val="000000" w:themeColor="text1"/>
          <w:sz w:val="32"/>
          <w:szCs w:val="32"/>
          <w:lang w:eastAsia="zh-CN"/>
          <w14:textFill>
            <w14:solidFill>
              <w14:schemeClr w14:val="tx1"/>
            </w14:solidFill>
          </w14:textFill>
        </w:rPr>
        <w:t>、工程监理</w:t>
      </w:r>
      <w:r>
        <w:rPr>
          <w:rFonts w:hint="eastAsia" w:ascii="仿宋_GB2312" w:hAnsi="仿宋_GB2312" w:eastAsia="仿宋_GB2312"/>
          <w:color w:val="000000" w:themeColor="text1"/>
          <w:sz w:val="32"/>
          <w:szCs w:val="32"/>
          <w14:textFill>
            <w14:solidFill>
              <w14:schemeClr w14:val="tx1"/>
            </w14:solidFill>
          </w14:textFill>
        </w:rPr>
        <w:t>签订三方《商品房预售资金监管协议书》。</w:t>
      </w:r>
    </w:p>
    <w:p>
      <w:pPr>
        <w:keepNext w:val="0"/>
        <w:keepLines w:val="0"/>
        <w:pageBreakBefore w:val="0"/>
        <w:widowControl w:val="0"/>
        <w:kinsoku/>
        <w:overflowPunct/>
        <w:topLinePunct w:val="0"/>
        <w:autoSpaceDE/>
        <w:autoSpaceDN/>
        <w:bidi w:val="0"/>
        <w:spacing w:line="560" w:lineRule="exact"/>
        <w:ind w:right="181" w:rightChars="86" w:firstLine="645"/>
        <w:textAlignment w:val="auto"/>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《商品房预售资金监管协议书》应作为《商品房预售方案》的内容，在申请商品房预售许可时一并提交。</w:t>
      </w:r>
    </w:p>
    <w:p>
      <w:pPr>
        <w:keepNext w:val="0"/>
        <w:keepLines w:val="0"/>
        <w:pageBreakBefore w:val="0"/>
        <w:widowControl w:val="0"/>
        <w:numPr>
          <w:ins w:id="0" w:author="马娜" w:date=""/>
        </w:numPr>
        <w:kinsoku/>
        <w:overflowPunct/>
        <w:topLinePunct w:val="0"/>
        <w:autoSpaceDE/>
        <w:autoSpaceDN/>
        <w:bidi w:val="0"/>
        <w:spacing w:line="560" w:lineRule="exact"/>
        <w:ind w:right="181" w:rightChars="86" w:firstLine="640" w:firstLineChars="200"/>
        <w:textAlignment w:val="auto"/>
        <w:rPr>
          <w:rFonts w:ascii="仿宋_GB2312" w:hAnsi="仿宋_GB2312" w:eastAsia="仿宋_GB2312"/>
          <w:color w:val="000000" w:themeColor="text1"/>
          <w:sz w:val="32"/>
          <w:szCs w:val="32"/>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第十二条</w:t>
      </w:r>
      <w:r>
        <w:rPr>
          <w:rFonts w:hint="eastAsia" w:ascii="仿宋_GB2312" w:hAnsi="仿宋_GB2312" w:eastAsia="仿宋_GB2312"/>
          <w:color w:val="000000" w:themeColor="text1"/>
          <w:sz w:val="32"/>
          <w:szCs w:val="32"/>
          <w14:textFill>
            <w14:solidFill>
              <w14:schemeClr w14:val="tx1"/>
            </w14:solidFill>
          </w14:textFill>
        </w:rPr>
        <w:t xml:space="preserve"> 监管账户的设立应当遵循一次预售许可对应一个监管账户的原则，同一开发项目（以预售证记载名称为准）在一家监管银行可使用同一个监管账户。</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开发企业申请预售许可前，如有项目开发贷款，原则上应选择开发贷款银行作为该预售项目的监管银行。</w:t>
      </w:r>
    </w:p>
    <w:p>
      <w:pPr>
        <w:keepNext w:val="0"/>
        <w:keepLines w:val="0"/>
        <w:pageBreakBefore w:val="0"/>
        <w:widowControl w:val="0"/>
        <w:kinsoku/>
        <w:overflowPunct/>
        <w:topLinePunct w:val="0"/>
        <w:autoSpaceDE/>
        <w:autoSpaceDN/>
        <w:bidi w:val="0"/>
        <w:spacing w:line="560" w:lineRule="exact"/>
        <w:ind w:right="181" w:rightChars="86" w:firstLine="645"/>
        <w:textAlignment w:val="auto"/>
        <w:rPr>
          <w:rFonts w:ascii="仿宋_GB2312" w:hAnsi="仿宋_GB2312" w:eastAsia="仿宋_GB2312"/>
          <w:color w:val="000000" w:themeColor="text1"/>
          <w:sz w:val="32"/>
          <w:szCs w:val="32"/>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第十三条</w:t>
      </w:r>
      <w:r>
        <w:rPr>
          <w:rFonts w:ascii="仿宋_GB2312" w:hAnsi="仿宋_GB2312" w:eastAsia="仿宋_GB2312"/>
          <w:color w:val="000000" w:themeColor="text1"/>
          <w:sz w:val="32"/>
          <w:szCs w:val="32"/>
          <w14:textFill>
            <w14:solidFill>
              <w14:schemeClr w14:val="tx1"/>
            </w14:solidFill>
          </w14:textFill>
        </w:rPr>
        <w:t xml:space="preserve"> </w:t>
      </w:r>
      <w:r>
        <w:rPr>
          <w:rFonts w:hint="eastAsia" w:ascii="仿宋_GB2312" w:hAnsi="仿宋_GB2312" w:eastAsia="仿宋_GB2312"/>
          <w:color w:val="000000" w:themeColor="text1"/>
          <w:sz w:val="32"/>
          <w:szCs w:val="32"/>
          <w14:textFill>
            <w14:solidFill>
              <w14:schemeClr w14:val="tx1"/>
            </w14:solidFill>
          </w14:textFill>
        </w:rPr>
        <w:t>商品房预售资金监管账户标准名称为：开发企业名称加“预售资金监管专户”字样。监管账户不得支取现金、不得开设网银转账等非柜台支付功能、严禁归集其他性质的资金。</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color w:val="000000" w:themeColor="text1"/>
          <w:sz w:val="32"/>
          <w:szCs w:val="32"/>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第十四条</w:t>
      </w:r>
      <w:r>
        <w:rPr>
          <w:rFonts w:hint="eastAsia" w:ascii="仿宋_GB2312" w:hAnsi="仿宋_GB2312" w:eastAsia="仿宋_GB2312"/>
          <w:color w:val="000000" w:themeColor="text1"/>
          <w:sz w:val="32"/>
          <w:szCs w:val="32"/>
          <w14:textFill>
            <w14:solidFill>
              <w14:schemeClr w14:val="tx1"/>
            </w14:solidFill>
          </w14:textFill>
        </w:rPr>
        <w:t xml:space="preserve"> 开发企业申请签订《商品房预售资金监管协议书》时，应向</w:t>
      </w:r>
      <w:r>
        <w:rPr>
          <w:rFonts w:hint="eastAsia" w:ascii="仿宋_GB2312" w:hAnsi="仿宋_GB2312" w:eastAsia="仿宋_GB2312"/>
          <w:color w:val="000000" w:themeColor="text1"/>
          <w:sz w:val="32"/>
          <w:szCs w:val="32"/>
          <w:lang w:eastAsia="zh-CN"/>
          <w14:textFill>
            <w14:solidFill>
              <w14:schemeClr w14:val="tx1"/>
            </w14:solidFill>
          </w14:textFill>
        </w:rPr>
        <w:t>监管银行</w:t>
      </w:r>
      <w:r>
        <w:rPr>
          <w:rFonts w:hint="eastAsia" w:ascii="仿宋_GB2312" w:hAnsi="仿宋_GB2312" w:eastAsia="仿宋_GB2312"/>
          <w:color w:val="000000" w:themeColor="text1"/>
          <w:sz w:val="32"/>
          <w:szCs w:val="32"/>
          <w14:textFill>
            <w14:solidFill>
              <w14:schemeClr w14:val="tx1"/>
            </w14:solidFill>
          </w14:textFill>
        </w:rPr>
        <w:t>提供以下资料：</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（一）监管项目工程预算清册；</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（二）工程进度计划及对应商品房预售资金使用计划；</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（三）施工合同及建筑材料、设备购销合同；</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（四）其它必要材料。</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color w:val="000000" w:themeColor="text1"/>
          <w:sz w:val="32"/>
          <w:szCs w:val="32"/>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第十五条</w:t>
      </w:r>
      <w:r>
        <w:rPr>
          <w:rFonts w:hint="eastAsia" w:ascii="仿宋_GB2312" w:hAnsi="仿宋_GB2312" w:eastAsia="仿宋_GB2312"/>
          <w:color w:val="000000" w:themeColor="text1"/>
          <w:sz w:val="32"/>
          <w:szCs w:val="32"/>
          <w14:textFill>
            <w14:solidFill>
              <w14:schemeClr w14:val="tx1"/>
            </w14:solidFill>
          </w14:textFill>
        </w:rPr>
        <w:t xml:space="preserve"> </w:t>
      </w:r>
      <w:r>
        <w:rPr>
          <w:rFonts w:hint="eastAsia" w:ascii="仿宋_GB2312" w:hAnsi="仿宋_GB2312" w:eastAsia="仿宋_GB2312"/>
          <w:b w:val="0"/>
          <w:color w:val="000000" w:themeColor="text1"/>
          <w:sz w:val="32"/>
          <w:szCs w:val="32"/>
          <w14:textFill>
            <w14:solidFill>
              <w14:schemeClr w14:val="tx1"/>
            </w14:solidFill>
          </w14:textFill>
        </w:rPr>
        <w:t>开发项目未销售前，开发企业变更监管银行或监管账户，应向</w:t>
      </w:r>
      <w:r>
        <w:rPr>
          <w:rFonts w:hint="eastAsia" w:ascii="仿宋_GB2312" w:hAnsi="仿宋_GB2312" w:eastAsia="仿宋_GB2312"/>
          <w:b w:val="0"/>
          <w:color w:val="000000" w:themeColor="text1"/>
          <w:sz w:val="32"/>
          <w:szCs w:val="32"/>
          <w:lang w:eastAsia="zh-CN"/>
          <w14:textFill>
            <w14:solidFill>
              <w14:schemeClr w14:val="tx1"/>
            </w14:solidFill>
          </w14:textFill>
        </w:rPr>
        <w:t>新区</w:t>
      </w:r>
      <w:r>
        <w:rPr>
          <w:rFonts w:hint="eastAsia" w:ascii="仿宋_GB2312" w:hAnsi="仿宋_GB2312" w:eastAsia="仿宋_GB2312"/>
          <w:b w:val="0"/>
          <w:color w:val="000000" w:themeColor="text1"/>
          <w:sz w:val="32"/>
          <w:szCs w:val="32"/>
          <w14:textFill>
            <w14:solidFill>
              <w14:schemeClr w14:val="tx1"/>
            </w14:solidFill>
          </w14:textFill>
        </w:rPr>
        <w:t>住建行政主管部门提交申请，经同意</w:t>
      </w:r>
      <w:r>
        <w:rPr>
          <w:rFonts w:hint="eastAsia" w:ascii="仿宋_GB2312" w:hAnsi="仿宋_GB2312" w:eastAsia="仿宋_GB2312"/>
          <w:color w:val="000000" w:themeColor="text1"/>
          <w:sz w:val="32"/>
          <w:szCs w:val="32"/>
          <w14:textFill>
            <w14:solidFill>
              <w14:schemeClr w14:val="tx1"/>
            </w14:solidFill>
          </w14:textFill>
        </w:rPr>
        <w:t>后，与监管银行协商解除原监管协议。变更期间，开发企业应暂停监管项目销售活动。申请变更时，应提交以下资料：</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（一）预售资金监管银行或监管账户变更申请书；</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（二）解除原监管协议的相关文件；</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（三）经办人身份证件及委托书。</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商品房开发项目销售后，原则上不得变更监管银行与监管账户。如遇特殊情况需要变更的，由开发企业向新区住建行政主管部门</w:t>
      </w:r>
      <w:r>
        <w:rPr>
          <w:rFonts w:hint="eastAsia" w:ascii="仿宋_GB2312" w:hAnsi="仿宋_GB2312" w:eastAsia="仿宋_GB2312"/>
          <w:color w:val="000000" w:themeColor="text1"/>
          <w:sz w:val="32"/>
          <w:szCs w:val="32"/>
          <w:lang w:eastAsia="zh-CN"/>
          <w14:textFill>
            <w14:solidFill>
              <w14:schemeClr w14:val="tx1"/>
            </w14:solidFill>
          </w14:textFill>
        </w:rPr>
        <w:t>提出申请</w:t>
      </w:r>
      <w:r>
        <w:rPr>
          <w:rFonts w:hint="eastAsia" w:ascii="仿宋_GB2312" w:hAnsi="仿宋_GB2312" w:eastAsia="仿宋_GB2312"/>
          <w:color w:val="000000" w:themeColor="text1"/>
          <w:sz w:val="32"/>
          <w:szCs w:val="32"/>
          <w14:textFill>
            <w14:solidFill>
              <w14:schemeClr w14:val="tx1"/>
            </w14:solidFill>
          </w14:textFill>
        </w:rPr>
        <w:t>，审核通过后，</w:t>
      </w:r>
      <w:r>
        <w:rPr>
          <w:rFonts w:hint="eastAsia" w:ascii="仿宋_GB2312" w:hAnsi="仿宋_GB2312" w:eastAsia="仿宋_GB2312"/>
          <w:color w:val="000000" w:themeColor="text1"/>
          <w:sz w:val="32"/>
          <w:szCs w:val="32"/>
          <w:lang w:val="en-US" w:eastAsia="zh-CN"/>
          <w14:textFill>
            <w14:solidFill>
              <w14:schemeClr w14:val="tx1"/>
            </w14:solidFill>
          </w14:textFill>
        </w:rPr>
        <w:t>方可</w:t>
      </w:r>
      <w:r>
        <w:rPr>
          <w:rFonts w:hint="eastAsia" w:ascii="仿宋_GB2312" w:hAnsi="仿宋_GB2312" w:eastAsia="仿宋_GB2312"/>
          <w:color w:val="000000" w:themeColor="text1"/>
          <w:sz w:val="32"/>
          <w:szCs w:val="32"/>
          <w14:textFill>
            <w14:solidFill>
              <w14:schemeClr w14:val="tx1"/>
            </w14:solidFill>
          </w14:textFill>
        </w:rPr>
        <w:t>进行变更。</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color w:val="000000" w:themeColor="text1"/>
          <w:sz w:val="32"/>
          <w:szCs w:val="32"/>
          <w14:textFill>
            <w14:solidFill>
              <w14:schemeClr w14:val="tx1"/>
            </w14:solidFill>
          </w14:textFill>
        </w:rPr>
      </w:pPr>
    </w:p>
    <w:p>
      <w:pPr>
        <w:keepNext w:val="0"/>
        <w:keepLines w:val="0"/>
        <w:pageBreakBefore w:val="0"/>
        <w:widowControl w:val="0"/>
        <w:tabs>
          <w:tab w:val="left" w:pos="8280"/>
        </w:tabs>
        <w:kinsoku/>
        <w:overflowPunct/>
        <w:topLinePunct w:val="0"/>
        <w:autoSpaceDE/>
        <w:autoSpaceDN/>
        <w:bidi w:val="0"/>
        <w:spacing w:line="560" w:lineRule="exact"/>
        <w:jc w:val="center"/>
        <w:textAlignment w:val="auto"/>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第三章  商品房预售资金的收存</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color w:val="000000" w:themeColor="text1"/>
          <w:sz w:val="32"/>
          <w:szCs w:val="32"/>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第十六条</w:t>
      </w:r>
      <w:r>
        <w:rPr>
          <w:rFonts w:hint="eastAsia" w:ascii="仿宋_GB2312" w:hAnsi="仿宋_GB2312" w:eastAsia="仿宋_GB2312"/>
          <w:color w:val="000000" w:themeColor="text1"/>
          <w:sz w:val="32"/>
          <w:szCs w:val="32"/>
          <w14:textFill>
            <w14:solidFill>
              <w14:schemeClr w14:val="tx1"/>
            </w14:solidFill>
          </w14:textFill>
        </w:rPr>
        <w:t xml:space="preserve"> </w:t>
      </w:r>
      <w:r>
        <w:rPr>
          <w:rFonts w:ascii="仿宋_GB2312" w:hAnsi="仿宋_GB2312" w:eastAsia="仿宋_GB2312" w:cstheme="minorBidi"/>
          <w:color w:val="000000" w:themeColor="text1"/>
          <w:sz w:val="32"/>
          <w:szCs w:val="32"/>
          <w14:textFill>
            <w14:solidFill>
              <w14:schemeClr w14:val="tx1"/>
            </w14:solidFill>
          </w14:textFill>
        </w:rPr>
        <w:t>商品房预售资金由购房人按照商品房认购协议及商品房买卖合同约定，凭</w:t>
      </w:r>
      <w:r>
        <w:rPr>
          <w:rFonts w:hint="eastAsia" w:ascii="仿宋_GB2312" w:hAnsi="仿宋_GB2312" w:eastAsia="仿宋_GB2312"/>
          <w:color w:val="000000" w:themeColor="text1"/>
          <w:sz w:val="32"/>
          <w:szCs w:val="32"/>
          <w14:textFill>
            <w14:solidFill>
              <w14:schemeClr w14:val="tx1"/>
            </w14:solidFill>
          </w14:textFill>
        </w:rPr>
        <w:t>“西咸新区商品房预售资金交存监管平台”</w:t>
      </w:r>
      <w:r>
        <w:rPr>
          <w:rFonts w:ascii="仿宋_GB2312" w:hAnsi="仿宋_GB2312" w:eastAsia="仿宋_GB2312" w:cstheme="minorBidi"/>
          <w:color w:val="000000" w:themeColor="text1"/>
          <w:sz w:val="32"/>
          <w:szCs w:val="32"/>
          <w14:textFill>
            <w14:solidFill>
              <w14:schemeClr w14:val="tx1"/>
            </w14:solidFill>
          </w14:textFill>
        </w:rPr>
        <w:t>打印的预售资金交存单，通过监管银行售楼部临时网点、营业网点柜面等方式直接交存至监管账户。</w:t>
      </w:r>
      <w:r>
        <w:rPr>
          <w:rFonts w:ascii="仿宋_GB2312" w:hAnsi="仿宋_GB2312" w:eastAsia="仿宋_GB2312" w:cstheme="minorBidi"/>
          <w:color w:val="000000" w:themeColor="text1"/>
          <w:sz w:val="32"/>
          <w:szCs w:val="32"/>
          <w14:textFill>
            <w14:solidFill>
              <w14:schemeClr w14:val="tx1"/>
            </w14:solidFill>
          </w14:textFill>
        </w:rPr>
        <w:br w:type="textWrapping"/>
      </w:r>
      <w:r>
        <w:rPr>
          <w:rFonts w:hint="eastAsia" w:ascii="仿宋_GB2312" w:hAnsi="仿宋_GB2312" w:eastAsia="仿宋_GB2312"/>
          <w:color w:val="000000" w:themeColor="text1"/>
          <w:sz w:val="32"/>
          <w:szCs w:val="32"/>
          <w14:textFill>
            <w14:solidFill>
              <w14:schemeClr w14:val="tx1"/>
            </w14:solidFill>
          </w14:textFill>
        </w:rPr>
        <w:t xml:space="preserve">    </w:t>
      </w:r>
      <w:r>
        <w:rPr>
          <w:rFonts w:ascii="仿宋_GB2312" w:hAnsi="仿宋_GB2312" w:eastAsia="仿宋_GB2312" w:cstheme="minorBidi"/>
          <w:color w:val="000000" w:themeColor="text1"/>
          <w:sz w:val="32"/>
          <w:szCs w:val="32"/>
          <w14:textFill>
            <w14:solidFill>
              <w14:schemeClr w14:val="tx1"/>
            </w14:solidFill>
          </w14:textFill>
        </w:rPr>
        <w:t>购房人贷款购买商品房的，开发企业应将监管账户提供给贷款银行，货款银行或住房公积金管理部门委托银行核后，将贷款资金直接划转至监管账户，严禁私自留存或划转至其他账户。</w:t>
      </w:r>
    </w:p>
    <w:p>
      <w:pPr>
        <w:keepNext w:val="0"/>
        <w:keepLines w:val="0"/>
        <w:pageBreakBefore w:val="0"/>
        <w:widowControl w:val="0"/>
        <w:kinsoku/>
        <w:overflowPunct/>
        <w:topLinePunct w:val="0"/>
        <w:autoSpaceDE/>
        <w:autoSpaceDN/>
        <w:bidi w:val="0"/>
        <w:spacing w:line="560" w:lineRule="exact"/>
        <w:ind w:right="36" w:rightChars="17" w:firstLine="645"/>
        <w:textAlignment w:val="auto"/>
        <w:rPr>
          <w:rFonts w:ascii="仿宋_GB2312" w:hAnsi="仿宋_GB2312" w:eastAsia="仿宋_GB2312"/>
          <w:color w:val="000000" w:themeColor="text1"/>
          <w:sz w:val="32"/>
          <w:szCs w:val="32"/>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第十七条</w:t>
      </w:r>
      <w:r>
        <w:rPr>
          <w:rFonts w:hint="eastAsia" w:ascii="仿宋_GB2312" w:hAnsi="仿宋_GB2312" w:eastAsia="仿宋_GB2312"/>
          <w:color w:val="000000" w:themeColor="text1"/>
          <w:sz w:val="32"/>
          <w:szCs w:val="32"/>
          <w14:textFill>
            <w14:solidFill>
              <w14:schemeClr w14:val="tx1"/>
            </w14:solidFill>
          </w14:textFill>
        </w:rPr>
        <w:t xml:space="preserve"> 开发企业与购房人通过新区商品房网签备案系统签订商品房买卖合同时，由购房人将商品房预售资金（不含待发放的按揭贷款及分期付款首期款以外的购房款）全部交存至监管账户。</w:t>
      </w:r>
    </w:p>
    <w:p>
      <w:pPr>
        <w:keepNext w:val="0"/>
        <w:keepLines w:val="0"/>
        <w:pageBreakBefore w:val="0"/>
        <w:widowControl w:val="0"/>
        <w:kinsoku/>
        <w:overflowPunct/>
        <w:topLinePunct w:val="0"/>
        <w:autoSpaceDE/>
        <w:autoSpaceDN/>
        <w:bidi w:val="0"/>
        <w:spacing w:line="560" w:lineRule="exact"/>
        <w:ind w:right="36" w:rightChars="17" w:firstLine="645"/>
        <w:textAlignment w:val="auto"/>
        <w:rPr>
          <w:rFonts w:ascii="仿宋_GB2312" w:hAnsi="仿宋_GB2312" w:eastAsia="仿宋_GB2312"/>
          <w:color w:val="000000" w:themeColor="text1"/>
          <w:sz w:val="32"/>
          <w:szCs w:val="32"/>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第十八条</w:t>
      </w:r>
      <w:r>
        <w:rPr>
          <w:rFonts w:hint="eastAsia" w:ascii="仿宋_GB2312" w:hAnsi="仿宋_GB2312" w:eastAsia="仿宋_GB2312"/>
          <w:color w:val="000000" w:themeColor="text1"/>
          <w:sz w:val="32"/>
          <w:szCs w:val="32"/>
          <w14:textFill>
            <w14:solidFill>
              <w14:schemeClr w14:val="tx1"/>
            </w14:solidFill>
          </w14:textFill>
        </w:rPr>
        <w:t xml:space="preserve"> </w:t>
      </w:r>
      <w:r>
        <w:rPr>
          <w:rFonts w:hint="eastAsia" w:ascii="仿宋_GB2312" w:hAnsi="仿宋_GB2312" w:eastAsia="仿宋_GB2312"/>
          <w:color w:val="000000" w:themeColor="text1"/>
          <w:sz w:val="32"/>
          <w:szCs w:val="32"/>
          <w:highlight w:val="none"/>
          <w14:textFill>
            <w14:solidFill>
              <w14:schemeClr w14:val="tx1"/>
            </w14:solidFill>
          </w14:textFill>
        </w:rPr>
        <w:t>各新城住建行政主管部门、</w:t>
      </w:r>
      <w:r>
        <w:rPr>
          <w:rFonts w:hint="eastAsia" w:ascii="仿宋_GB2312" w:hAnsi="仿宋_GB2312" w:eastAsia="仿宋_GB2312"/>
          <w:color w:val="000000" w:themeColor="text1"/>
          <w:sz w:val="32"/>
          <w:szCs w:val="32"/>
          <w14:textFill>
            <w14:solidFill>
              <w14:schemeClr w14:val="tx1"/>
            </w14:solidFill>
          </w14:textFill>
        </w:rPr>
        <w:t>监管银行要根据贷款发放的一般周期，密切监控购房款入账情况，对明显超出一般贷款发放期限的，要及时采取措施处理，情节严重的由新城住建行政主管部门报告</w:t>
      </w:r>
      <w:r>
        <w:rPr>
          <w:rFonts w:hint="eastAsia" w:ascii="仿宋_GB2312" w:hAnsi="仿宋_GB2312" w:eastAsia="仿宋_GB2312"/>
          <w:color w:val="000000" w:themeColor="text1"/>
          <w:sz w:val="32"/>
          <w:szCs w:val="32"/>
          <w:lang w:val="en-US" w:eastAsia="zh-CN"/>
          <w14:textFill>
            <w14:solidFill>
              <w14:schemeClr w14:val="tx1"/>
            </w14:solidFill>
          </w14:textFill>
        </w:rPr>
        <w:t>相关</w:t>
      </w:r>
      <w:r>
        <w:rPr>
          <w:rFonts w:hint="eastAsia" w:ascii="仿宋_GB2312" w:hAnsi="仿宋_GB2312" w:eastAsia="仿宋_GB2312"/>
          <w:color w:val="000000" w:themeColor="text1"/>
          <w:sz w:val="32"/>
          <w:szCs w:val="32"/>
          <w14:textFill>
            <w14:solidFill>
              <w14:schemeClr w14:val="tx1"/>
            </w14:solidFill>
          </w14:textFill>
        </w:rPr>
        <w:t>主管部门处理。</w:t>
      </w:r>
    </w:p>
    <w:p>
      <w:pPr>
        <w:keepNext w:val="0"/>
        <w:keepLines w:val="0"/>
        <w:pageBreakBefore w:val="0"/>
        <w:widowControl w:val="0"/>
        <w:tabs>
          <w:tab w:val="left" w:pos="8280"/>
        </w:tabs>
        <w:kinsoku/>
        <w:overflowPunct/>
        <w:topLinePunct w:val="0"/>
        <w:autoSpaceDE/>
        <w:autoSpaceDN/>
        <w:bidi w:val="0"/>
        <w:spacing w:line="560" w:lineRule="exact"/>
        <w:ind w:left="640"/>
        <w:jc w:val="center"/>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第四章  商品房预售资金的拨付使用及解除监管</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color w:val="000000" w:themeColor="text1"/>
          <w:sz w:val="32"/>
          <w:szCs w:val="32"/>
          <w:highlight w:val="none"/>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第十九条</w:t>
      </w:r>
      <w:r>
        <w:rPr>
          <w:rFonts w:hint="eastAsia" w:ascii="仿宋_GB2312" w:hAnsi="仿宋_GB2312" w:eastAsia="仿宋_GB2312"/>
          <w:color w:val="000000" w:themeColor="text1"/>
          <w:sz w:val="32"/>
          <w:szCs w:val="32"/>
          <w14:textFill>
            <w14:solidFill>
              <w14:schemeClr w14:val="tx1"/>
            </w14:solidFill>
          </w14:textFill>
        </w:rPr>
        <w:t xml:space="preserve"> </w:t>
      </w:r>
      <w:r>
        <w:rPr>
          <w:rFonts w:hint="eastAsia" w:ascii="仿宋_GB2312" w:hAnsi="仿宋_GB2312" w:eastAsia="仿宋_GB2312"/>
          <w:color w:val="000000" w:themeColor="text1"/>
          <w:sz w:val="32"/>
          <w:szCs w:val="32"/>
          <w:highlight w:val="none"/>
          <w14:textFill>
            <w14:solidFill>
              <w14:schemeClr w14:val="tx1"/>
            </w14:solidFill>
          </w14:textFill>
        </w:rPr>
        <w:t>商品房预售资金使用计划应根据工程施工计划及施工合同所约定的付款时点制定，重点监管资金</w:t>
      </w:r>
      <w:r>
        <w:rPr>
          <w:rFonts w:hint="eastAsia" w:ascii="仿宋_GB2312" w:hAnsi="仿宋_GB2312" w:eastAsia="仿宋_GB2312"/>
          <w:color w:val="000000" w:themeColor="text1"/>
          <w:sz w:val="32"/>
          <w:szCs w:val="32"/>
          <w14:textFill>
            <w14:solidFill>
              <w14:schemeClr w14:val="tx1"/>
            </w14:solidFill>
          </w14:textFill>
        </w:rPr>
        <w:t>应</w:t>
      </w:r>
      <w:r>
        <w:rPr>
          <w:rFonts w:hint="eastAsia" w:ascii="仿宋_GB2312" w:hAnsi="仿宋_GB2312" w:eastAsia="仿宋_GB2312"/>
          <w:color w:val="000000" w:themeColor="text1"/>
          <w:sz w:val="32"/>
          <w:szCs w:val="32"/>
          <w:highlight w:val="none"/>
          <w14:textFill>
            <w14:solidFill>
              <w14:schemeClr w14:val="tx1"/>
            </w14:solidFill>
          </w14:textFill>
        </w:rPr>
        <w:t>按照主体结构验收、竣工验收、竣工验收备案、完成不动产首次登记等节点设定。</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预售资金监管账户额度达到重点监管资金额度</w:t>
      </w:r>
      <w:r>
        <w:rPr>
          <w:rFonts w:hint="eastAsia" w:ascii="仿宋_GB2312" w:hAnsi="仿宋_GB2312" w:eastAsia="仿宋_GB2312"/>
          <w:color w:val="000000" w:themeColor="text1"/>
          <w:sz w:val="32"/>
          <w:szCs w:val="32"/>
          <w14:textFill>
            <w14:solidFill>
              <w14:schemeClr w14:val="tx1"/>
            </w14:solidFill>
          </w14:textFill>
        </w:rPr>
        <w:t>规定</w:t>
      </w:r>
      <w:r>
        <w:rPr>
          <w:rFonts w:hint="eastAsia" w:ascii="仿宋_GB2312" w:hAnsi="仿宋_GB2312" w:eastAsia="仿宋_GB2312"/>
          <w:color w:val="000000" w:themeColor="text1"/>
          <w:sz w:val="32"/>
          <w:szCs w:val="32"/>
          <w:highlight w:val="none"/>
          <w14:textFill>
            <w14:solidFill>
              <w14:schemeClr w14:val="tx1"/>
            </w14:solidFill>
          </w14:textFill>
        </w:rPr>
        <w:t>后，施工进度</w:t>
      </w:r>
      <w:r>
        <w:rPr>
          <w:rFonts w:hint="eastAsia" w:ascii="仿宋_GB2312" w:hAnsi="仿宋_GB2312" w:eastAsia="仿宋_GB2312"/>
          <w:color w:val="000000" w:themeColor="text1"/>
          <w:sz w:val="32"/>
          <w:szCs w:val="32"/>
          <w14:textFill>
            <w14:solidFill>
              <w14:schemeClr w14:val="tx1"/>
            </w14:solidFill>
          </w14:textFill>
        </w:rPr>
        <w:t>在</w:t>
      </w:r>
      <w:r>
        <w:rPr>
          <w:rFonts w:hint="eastAsia" w:ascii="仿宋_GB2312" w:hAnsi="仿宋_GB2312" w:eastAsia="仿宋_GB2312"/>
          <w:color w:val="000000" w:themeColor="text1"/>
          <w:sz w:val="32"/>
          <w:szCs w:val="32"/>
          <w:highlight w:val="none"/>
          <w14:textFill>
            <w14:solidFill>
              <w14:schemeClr w14:val="tx1"/>
            </w14:solidFill>
          </w14:textFill>
        </w:rPr>
        <w:t>主体结构验收前，监管账户留存金额不得低于重点监管资金的</w:t>
      </w:r>
      <w:r>
        <w:rPr>
          <w:rFonts w:ascii="仿宋_GB2312" w:hAnsi="仿宋_GB2312" w:eastAsia="仿宋_GB2312"/>
          <w:color w:val="000000" w:themeColor="text1"/>
          <w:sz w:val="32"/>
          <w:szCs w:val="32"/>
          <w:highlight w:val="none"/>
          <w14:textFill>
            <w14:solidFill>
              <w14:schemeClr w14:val="tx1"/>
            </w14:solidFill>
          </w14:textFill>
        </w:rPr>
        <w:t>100%；完成竣工验收前，</w:t>
      </w:r>
      <w:r>
        <w:rPr>
          <w:rFonts w:hint="eastAsia" w:ascii="仿宋_GB2312" w:hAnsi="仿宋_GB2312" w:eastAsia="仿宋_GB2312"/>
          <w:color w:val="000000" w:themeColor="text1"/>
          <w:sz w:val="32"/>
          <w:szCs w:val="32"/>
          <w14:textFill>
            <w14:solidFill>
              <w14:schemeClr w14:val="tx1"/>
            </w14:solidFill>
          </w14:textFill>
        </w:rPr>
        <w:t>监管</w:t>
      </w:r>
      <w:r>
        <w:rPr>
          <w:rFonts w:ascii="仿宋_GB2312" w:hAnsi="仿宋_GB2312" w:eastAsia="仿宋_GB2312"/>
          <w:color w:val="000000" w:themeColor="text1"/>
          <w:sz w:val="32"/>
          <w:szCs w:val="32"/>
          <w:highlight w:val="none"/>
          <w14:textFill>
            <w14:solidFill>
              <w14:schemeClr w14:val="tx1"/>
            </w14:solidFill>
          </w14:textFill>
        </w:rPr>
        <w:t>账户留存金额不得低于重点监管资金的50%；取得竣工验收备案表前，</w:t>
      </w:r>
      <w:r>
        <w:rPr>
          <w:rFonts w:hint="eastAsia" w:ascii="仿宋_GB2312" w:hAnsi="仿宋_GB2312" w:eastAsia="仿宋_GB2312"/>
          <w:color w:val="000000" w:themeColor="text1"/>
          <w:sz w:val="32"/>
          <w:szCs w:val="32"/>
          <w14:textFill>
            <w14:solidFill>
              <w14:schemeClr w14:val="tx1"/>
            </w14:solidFill>
          </w14:textFill>
        </w:rPr>
        <w:t>监管</w:t>
      </w:r>
      <w:r>
        <w:rPr>
          <w:rFonts w:ascii="仿宋_GB2312" w:hAnsi="仿宋_GB2312" w:eastAsia="仿宋_GB2312"/>
          <w:color w:val="000000" w:themeColor="text1"/>
          <w:sz w:val="32"/>
          <w:szCs w:val="32"/>
          <w:highlight w:val="none"/>
          <w14:textFill>
            <w14:solidFill>
              <w14:schemeClr w14:val="tx1"/>
            </w14:solidFill>
          </w14:textFill>
        </w:rPr>
        <w:t>账户留存金额不得低于重点监管资金的</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2</w:t>
      </w:r>
      <w:r>
        <w:rPr>
          <w:rFonts w:ascii="仿宋_GB2312" w:hAnsi="仿宋_GB2312" w:eastAsia="仿宋_GB2312"/>
          <w:color w:val="000000" w:themeColor="text1"/>
          <w:sz w:val="32"/>
          <w:szCs w:val="32"/>
          <w:highlight w:val="none"/>
          <w14:textFill>
            <w14:solidFill>
              <w14:schemeClr w14:val="tx1"/>
            </w14:solidFill>
          </w14:textFill>
        </w:rPr>
        <w:t>0%；完成不动产首次登记后，可以申请解除监管并提取</w:t>
      </w:r>
      <w:r>
        <w:rPr>
          <w:rFonts w:hint="eastAsia" w:ascii="仿宋_GB2312" w:hAnsi="仿宋_GB2312" w:eastAsia="仿宋_GB2312"/>
          <w:color w:val="000000" w:themeColor="text1"/>
          <w:sz w:val="32"/>
          <w:szCs w:val="32"/>
          <w14:textFill>
            <w14:solidFill>
              <w14:schemeClr w14:val="tx1"/>
            </w14:solidFill>
          </w14:textFill>
        </w:rPr>
        <w:t>监管账户</w:t>
      </w:r>
      <w:r>
        <w:rPr>
          <w:rFonts w:ascii="仿宋_GB2312" w:hAnsi="仿宋_GB2312" w:eastAsia="仿宋_GB2312"/>
          <w:color w:val="000000" w:themeColor="text1"/>
          <w:sz w:val="32"/>
          <w:szCs w:val="32"/>
          <w:highlight w:val="none"/>
          <w14:textFill>
            <w14:solidFill>
              <w14:schemeClr w14:val="tx1"/>
            </w14:solidFill>
          </w14:textFill>
        </w:rPr>
        <w:t>剩余的资金。</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根据工程建设需要和实际情况，在上述比例范围内，开发企业</w:t>
      </w:r>
      <w:r>
        <w:rPr>
          <w:rFonts w:hint="eastAsia" w:ascii="仿宋_GB2312" w:hAnsi="仿宋_GB2312" w:eastAsia="仿宋_GB2312"/>
          <w:color w:val="000000" w:themeColor="text1"/>
          <w:sz w:val="32"/>
          <w:szCs w:val="32"/>
          <w:highlight w:val="none"/>
          <w14:textFill>
            <w14:solidFill>
              <w14:schemeClr w14:val="tx1"/>
            </w14:solidFill>
          </w14:textFill>
        </w:rPr>
        <w:t>可分多次提取</w:t>
      </w:r>
      <w:r>
        <w:rPr>
          <w:rFonts w:hint="eastAsia" w:ascii="仿宋_GB2312" w:hAnsi="仿宋_GB2312" w:eastAsia="仿宋_GB2312"/>
          <w:color w:val="000000" w:themeColor="text1"/>
          <w:sz w:val="32"/>
          <w:szCs w:val="32"/>
          <w14:textFill>
            <w14:solidFill>
              <w14:schemeClr w14:val="tx1"/>
            </w14:solidFill>
          </w14:textFill>
        </w:rPr>
        <w:t>预售资金，确保各阶段工程建设顺利进行。</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color w:val="000000" w:themeColor="text1"/>
          <w:sz w:val="32"/>
          <w:szCs w:val="32"/>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第二十条</w:t>
      </w:r>
      <w:r>
        <w:rPr>
          <w:rFonts w:ascii="仿宋_GB2312" w:hAnsi="仿宋_GB2312" w:eastAsia="仿宋_GB2312"/>
          <w:color w:val="000000" w:themeColor="text1"/>
          <w:sz w:val="32"/>
          <w:szCs w:val="32"/>
          <w14:textFill>
            <w14:solidFill>
              <w14:schemeClr w14:val="tx1"/>
            </w14:solidFill>
          </w14:textFill>
        </w:rPr>
        <w:t xml:space="preserve"> </w:t>
      </w:r>
      <w:r>
        <w:rPr>
          <w:rFonts w:ascii="仿宋_GB2312" w:hAnsi="仿宋_GB2312" w:eastAsia="仿宋_GB2312" w:cstheme="minorBidi"/>
          <w:color w:val="000000" w:themeColor="text1"/>
          <w:sz w:val="32"/>
          <w:szCs w:val="32"/>
          <w14:textFill>
            <w14:solidFill>
              <w14:schemeClr w14:val="tx1"/>
            </w14:solidFill>
          </w14:textFill>
        </w:rPr>
        <w:t>开发企业申请使用商品房预售资金，原则上应按照预售资金使用计划所确定的资金使用节点向项目</w:t>
      </w:r>
      <w:r>
        <w:rPr>
          <w:rFonts w:hint="eastAsia" w:ascii="仿宋_GB2312" w:hAnsi="仿宋_GB2312" w:eastAsia="仿宋_GB2312"/>
          <w:color w:val="000000" w:themeColor="text1"/>
          <w:sz w:val="32"/>
          <w:szCs w:val="32"/>
          <w14:textFill>
            <w14:solidFill>
              <w14:schemeClr w14:val="tx1"/>
            </w14:solidFill>
          </w14:textFill>
        </w:rPr>
        <w:t>所在新城住建</w:t>
      </w:r>
      <w:r>
        <w:rPr>
          <w:rFonts w:ascii="仿宋_GB2312" w:hAnsi="仿宋_GB2312" w:eastAsia="仿宋_GB2312" w:cstheme="minorBidi"/>
          <w:color w:val="000000" w:themeColor="text1"/>
          <w:sz w:val="32"/>
          <w:szCs w:val="32"/>
          <w14:textFill>
            <w14:solidFill>
              <w14:schemeClr w14:val="tx1"/>
            </w14:solidFill>
          </w14:textFill>
        </w:rPr>
        <w:t>行政主管部门申请，并根据用款事项提供以下资料</w:t>
      </w:r>
      <w:r>
        <w:rPr>
          <w:rFonts w:hint="eastAsia" w:ascii="仿宋_GB2312" w:hAnsi="仿宋_GB2312" w:eastAsia="仿宋_GB2312"/>
          <w:color w:val="000000" w:themeColor="text1"/>
          <w:sz w:val="32"/>
          <w:szCs w:val="32"/>
          <w14:textFill>
            <w14:solidFill>
              <w14:schemeClr w14:val="tx1"/>
            </w14:solidFill>
          </w14:textFill>
        </w:rPr>
        <w:t>：</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bCs/>
          <w:color w:val="000000" w:themeColor="text1"/>
          <w:sz w:val="32"/>
          <w:szCs w:val="32"/>
          <w:highlight w:val="none"/>
          <w14:textFill>
            <w14:solidFill>
              <w14:schemeClr w14:val="tx1"/>
            </w14:solidFill>
          </w14:textFill>
        </w:rPr>
      </w:pPr>
      <w:r>
        <w:rPr>
          <w:rFonts w:hint="eastAsia" w:ascii="仿宋_GB2312" w:hAnsi="仿宋_GB2312" w:eastAsia="仿宋_GB2312"/>
          <w:bCs/>
          <w:color w:val="000000" w:themeColor="text1"/>
          <w:sz w:val="32"/>
          <w:szCs w:val="32"/>
          <w:highlight w:val="none"/>
          <w14:textFill>
            <w14:solidFill>
              <w14:schemeClr w14:val="tx1"/>
            </w14:solidFill>
          </w14:textFill>
        </w:rPr>
        <w:t>（一）《商品房预售款使用申请表》；</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bCs/>
          <w:color w:val="000000" w:themeColor="text1"/>
          <w:sz w:val="32"/>
          <w:szCs w:val="32"/>
          <w:highlight w:val="none"/>
          <w14:textFill>
            <w14:solidFill>
              <w14:schemeClr w14:val="tx1"/>
            </w14:solidFill>
          </w14:textFill>
        </w:rPr>
      </w:pPr>
      <w:r>
        <w:rPr>
          <w:rFonts w:hint="eastAsia" w:ascii="仿宋_GB2312" w:hAnsi="仿宋_GB2312" w:eastAsia="仿宋_GB2312"/>
          <w:bCs/>
          <w:color w:val="000000" w:themeColor="text1"/>
          <w:sz w:val="32"/>
          <w:szCs w:val="32"/>
          <w:highlight w:val="none"/>
          <w14:textFill>
            <w14:solidFill>
              <w14:schemeClr w14:val="tx1"/>
            </w14:solidFill>
          </w14:textFill>
        </w:rPr>
        <w:t>（二）房地产开发企业法人授权委托书；</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bCs/>
          <w:color w:val="000000" w:themeColor="text1"/>
          <w:sz w:val="32"/>
          <w:szCs w:val="32"/>
          <w:highlight w:val="none"/>
          <w14:textFill>
            <w14:solidFill>
              <w14:schemeClr w14:val="tx1"/>
            </w14:solidFill>
          </w14:textFill>
        </w:rPr>
      </w:pPr>
      <w:r>
        <w:rPr>
          <w:rFonts w:hint="eastAsia" w:ascii="仿宋_GB2312" w:hAnsi="仿宋_GB2312" w:eastAsia="仿宋_GB2312"/>
          <w:bCs/>
          <w:color w:val="000000" w:themeColor="text1"/>
          <w:sz w:val="32"/>
          <w:szCs w:val="32"/>
          <w:highlight w:val="none"/>
          <w14:textFill>
            <w14:solidFill>
              <w14:schemeClr w14:val="tx1"/>
            </w14:solidFill>
          </w14:textFill>
        </w:rPr>
        <w:t>（三）合同目录及合同内容</w:t>
      </w:r>
      <w:r>
        <w:rPr>
          <w:rFonts w:hint="eastAsia" w:ascii="仿宋_GB2312" w:hAnsi="仿宋_GB2312" w:eastAsia="仿宋_GB2312"/>
          <w:bCs/>
          <w:color w:val="000000" w:themeColor="text1"/>
          <w:sz w:val="32"/>
          <w:szCs w:val="32"/>
          <w14:textFill>
            <w14:solidFill>
              <w14:schemeClr w14:val="tx1"/>
            </w14:solidFill>
          </w14:textFill>
        </w:rPr>
        <w:t>（</w:t>
      </w:r>
      <w:r>
        <w:rPr>
          <w:rFonts w:hint="eastAsia" w:ascii="仿宋_GB2312" w:hAnsi="仿宋_GB2312" w:eastAsia="仿宋_GB2312"/>
          <w:bCs/>
          <w:color w:val="000000" w:themeColor="text1"/>
          <w:sz w:val="32"/>
          <w:szCs w:val="32"/>
          <w:highlight w:val="none"/>
          <w14:textFill>
            <w14:solidFill>
              <w14:schemeClr w14:val="tx1"/>
            </w14:solidFill>
          </w14:textFill>
        </w:rPr>
        <w:t>含设计合同、施工合同、监理合同、设备材料买卖合同等合同）（首次申请提供）；</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bCs/>
          <w:color w:val="000000" w:themeColor="text1"/>
          <w:sz w:val="32"/>
          <w:szCs w:val="32"/>
          <w:highlight w:val="none"/>
          <w14:textFill>
            <w14:solidFill>
              <w14:schemeClr w14:val="tx1"/>
            </w14:solidFill>
          </w14:textFill>
        </w:rPr>
      </w:pPr>
      <w:r>
        <w:rPr>
          <w:rFonts w:hint="eastAsia" w:ascii="仿宋_GB2312" w:hAnsi="仿宋_GB2312" w:eastAsia="仿宋_GB2312"/>
          <w:bCs/>
          <w:color w:val="000000" w:themeColor="text1"/>
          <w:sz w:val="32"/>
          <w:szCs w:val="32"/>
          <w:highlight w:val="none"/>
          <w14:textFill>
            <w14:solidFill>
              <w14:schemeClr w14:val="tx1"/>
            </w14:solidFill>
          </w14:textFill>
        </w:rPr>
        <w:t>（四）项目合同分栋表（该项目部分办理预售且使用不同监管账户的，或与同一施工方签订两本以上合同，需提供此表）（首次申请提供）；</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bCs/>
          <w:color w:val="000000" w:themeColor="text1"/>
          <w:sz w:val="32"/>
          <w:szCs w:val="32"/>
          <w:highlight w:val="none"/>
          <w14:textFill>
            <w14:solidFill>
              <w14:schemeClr w14:val="tx1"/>
            </w14:solidFill>
          </w14:textFill>
        </w:rPr>
      </w:pPr>
      <w:r>
        <w:rPr>
          <w:rFonts w:hint="eastAsia" w:ascii="仿宋_GB2312" w:hAnsi="仿宋_GB2312" w:eastAsia="仿宋_GB2312"/>
          <w:bCs/>
          <w:color w:val="000000" w:themeColor="text1"/>
          <w:sz w:val="32"/>
          <w:szCs w:val="32"/>
          <w:highlight w:val="none"/>
          <w14:textFill>
            <w14:solidFill>
              <w14:schemeClr w14:val="tx1"/>
            </w14:solidFill>
          </w14:textFill>
        </w:rPr>
        <w:t>（五）各种需拨付的印有印花税章的合同复印件（首次申请提供）；</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bCs/>
          <w:color w:val="000000" w:themeColor="text1"/>
          <w:sz w:val="32"/>
          <w:szCs w:val="32"/>
          <w:highlight w:val="none"/>
          <w14:textFill>
            <w14:solidFill>
              <w14:schemeClr w14:val="tx1"/>
            </w14:solidFill>
          </w14:textFill>
        </w:rPr>
      </w:pPr>
      <w:r>
        <w:rPr>
          <w:rFonts w:hint="eastAsia" w:ascii="仿宋_GB2312" w:hAnsi="仿宋_GB2312" w:eastAsia="仿宋_GB2312"/>
          <w:bCs/>
          <w:color w:val="000000" w:themeColor="text1"/>
          <w:sz w:val="32"/>
          <w:szCs w:val="32"/>
          <w:highlight w:val="none"/>
          <w14:textFill>
            <w14:solidFill>
              <w14:schemeClr w14:val="tx1"/>
            </w14:solidFill>
          </w14:textFill>
        </w:rPr>
        <w:t>（六）项目工程建设总费用及工程部分费用明细表（首次申请提供）；</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bCs/>
          <w:color w:val="000000" w:themeColor="text1"/>
          <w:sz w:val="32"/>
          <w:szCs w:val="32"/>
          <w:highlight w:val="none"/>
          <w14:textFill>
            <w14:solidFill>
              <w14:schemeClr w14:val="tx1"/>
            </w14:solidFill>
          </w14:textFill>
        </w:rPr>
      </w:pPr>
      <w:r>
        <w:rPr>
          <w:rFonts w:hint="eastAsia" w:ascii="仿宋_GB2312" w:hAnsi="仿宋_GB2312" w:eastAsia="仿宋_GB2312"/>
          <w:bCs/>
          <w:color w:val="000000" w:themeColor="text1"/>
          <w:sz w:val="32"/>
          <w:szCs w:val="32"/>
          <w:highlight w:val="none"/>
          <w14:textFill>
            <w14:solidFill>
              <w14:schemeClr w14:val="tx1"/>
            </w14:solidFill>
          </w14:textFill>
        </w:rPr>
        <w:t>（七）经房地产开发企业、施工许可证上载明的施工单位及监理三方确认的施工进度计划及用款计划（首次申请提供）；</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bCs/>
          <w:color w:val="000000" w:themeColor="text1"/>
          <w:sz w:val="32"/>
          <w:szCs w:val="32"/>
          <w:highlight w:val="none"/>
          <w14:textFill>
            <w14:solidFill>
              <w14:schemeClr w14:val="tx1"/>
            </w14:solidFill>
          </w14:textFill>
        </w:rPr>
      </w:pPr>
      <w:r>
        <w:rPr>
          <w:rFonts w:hint="eastAsia" w:ascii="仿宋_GB2312" w:hAnsi="仿宋_GB2312" w:eastAsia="仿宋_GB2312"/>
          <w:bCs/>
          <w:color w:val="000000" w:themeColor="text1"/>
          <w:sz w:val="32"/>
          <w:szCs w:val="32"/>
          <w:highlight w:val="none"/>
          <w14:textFill>
            <w14:solidFill>
              <w14:schemeClr w14:val="tx1"/>
            </w14:solidFill>
          </w14:textFill>
        </w:rPr>
        <w:t>（八）未支付工程款、设备材料款清单（首次申请提供）；</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bCs/>
          <w:color w:val="000000" w:themeColor="text1"/>
          <w:sz w:val="32"/>
          <w:szCs w:val="32"/>
          <w:highlight w:val="none"/>
          <w14:textFill>
            <w14:solidFill>
              <w14:schemeClr w14:val="tx1"/>
            </w14:solidFill>
          </w14:textFill>
        </w:rPr>
      </w:pPr>
      <w:r>
        <w:rPr>
          <w:rFonts w:hint="eastAsia" w:ascii="仿宋_GB2312" w:hAnsi="仿宋_GB2312" w:eastAsia="仿宋_GB2312"/>
          <w:bCs/>
          <w:color w:val="000000" w:themeColor="text1"/>
          <w:sz w:val="32"/>
          <w:szCs w:val="32"/>
          <w:highlight w:val="none"/>
          <w14:textFill>
            <w14:solidFill>
              <w14:schemeClr w14:val="tx1"/>
            </w14:solidFill>
          </w14:textFill>
        </w:rPr>
        <w:t>（九）用于支付施工进度款的，提供施工、监理单位出具的施工进度证明，并且确认用款金额及施工单位的开户行和账户；用于购买项目建设材料、设备的，提供与供货商签订的购销合同，并且确认用款金额及供货商账户；用于支付法定税费的，提供缴纳税款申报表和税务部门开具的发票等缴税凭证，并且由税务部门确认缴税金额和账户。用于支付行政事业性收费的，需提供相关证明材料。</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bCs/>
          <w:color w:val="000000" w:themeColor="text1"/>
          <w:sz w:val="32"/>
          <w:szCs w:val="32"/>
          <w:highlight w:val="none"/>
          <w14:textFill>
            <w14:solidFill>
              <w14:schemeClr w14:val="tx1"/>
            </w14:solidFill>
          </w14:textFill>
        </w:rPr>
      </w:pPr>
      <w:r>
        <w:rPr>
          <w:rFonts w:hint="eastAsia" w:ascii="仿宋_GB2312" w:hAnsi="仿宋_GB2312" w:eastAsia="仿宋_GB2312"/>
          <w:bCs/>
          <w:color w:val="000000" w:themeColor="text1"/>
          <w:sz w:val="32"/>
          <w:szCs w:val="32"/>
          <w:highlight w:val="none"/>
          <w14:textFill>
            <w14:solidFill>
              <w14:schemeClr w14:val="tx1"/>
            </w14:solidFill>
          </w14:textFill>
        </w:rPr>
        <w:t>（十）监管部门要求提供的其他资料。</w:t>
      </w:r>
    </w:p>
    <w:p>
      <w:pPr>
        <w:keepNext w:val="0"/>
        <w:keepLines w:val="0"/>
        <w:pageBreakBefore w:val="0"/>
        <w:widowControl w:val="0"/>
        <w:numPr>
          <w:ins w:id="1" w:author="马娜" w:date=""/>
        </w:numPr>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cstheme="minorBidi"/>
          <w:color w:val="000000" w:themeColor="text1"/>
          <w:sz w:val="32"/>
          <w:szCs w:val="32"/>
          <w14:textFill>
            <w14:solidFill>
              <w14:schemeClr w14:val="tx1"/>
            </w14:solidFill>
          </w14:textFill>
        </w:rPr>
      </w:pPr>
      <w:r>
        <w:rPr>
          <w:rFonts w:ascii="仿宋_GB2312" w:hAnsi="仿宋_GB2312" w:eastAsia="仿宋_GB2312" w:cstheme="minorBidi"/>
          <w:color w:val="000000" w:themeColor="text1"/>
          <w:sz w:val="32"/>
          <w:szCs w:val="32"/>
          <w14:textFill>
            <w14:solidFill>
              <w14:schemeClr w14:val="tx1"/>
            </w14:solidFill>
          </w14:textFill>
        </w:rPr>
        <w:t>重复的申请材料，可只提供一次。首次拔款后，再次申请用款，应当提交上次申请用款事项的收款票据。</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hint="eastAsia" w:ascii="仿宋_GB2312" w:hAnsi="仿宋_GB2312" w:eastAsia="仿宋_GB2312" w:cstheme="minorBidi"/>
          <w:bCs/>
          <w:color w:val="000000" w:themeColor="text1"/>
          <w:sz w:val="32"/>
          <w:szCs w:val="32"/>
          <w:highlight w:val="none"/>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第二十一条</w:t>
      </w:r>
      <w:r>
        <w:rPr>
          <w:rFonts w:hint="eastAsia" w:ascii="仿宋_GB2312" w:hAnsi="仿宋_GB2312" w:eastAsia="仿宋_GB2312"/>
          <w:color w:val="000000" w:themeColor="text1"/>
          <w:sz w:val="32"/>
          <w:szCs w:val="32"/>
          <w14:textFill>
            <w14:solidFill>
              <w14:schemeClr w14:val="tx1"/>
            </w14:solidFill>
          </w14:textFill>
        </w:rPr>
        <w:t xml:space="preserve"> 商品房开发</w:t>
      </w:r>
      <w:r>
        <w:rPr>
          <w:rFonts w:ascii="仿宋_GB2312" w:hAnsi="仿宋_GB2312" w:eastAsia="仿宋_GB2312" w:cstheme="minorBidi"/>
          <w:color w:val="000000" w:themeColor="text1"/>
          <w:sz w:val="32"/>
          <w:szCs w:val="32"/>
          <w14:textFill>
            <w14:solidFill>
              <w14:schemeClr w14:val="tx1"/>
            </w14:solidFill>
          </w14:textFill>
        </w:rPr>
        <w:t>项目</w:t>
      </w:r>
      <w:r>
        <w:rPr>
          <w:rFonts w:hint="eastAsia" w:ascii="仿宋_GB2312" w:hAnsi="仿宋_GB2312" w:eastAsia="仿宋_GB2312" w:cstheme="minorBidi"/>
          <w:color w:val="000000" w:themeColor="text1"/>
          <w:sz w:val="32"/>
          <w:szCs w:val="32"/>
          <w14:textFill>
            <w14:solidFill>
              <w14:schemeClr w14:val="tx1"/>
            </w14:solidFill>
          </w14:textFill>
        </w:rPr>
        <w:t>所在新城住建</w:t>
      </w:r>
      <w:r>
        <w:rPr>
          <w:rFonts w:ascii="仿宋_GB2312" w:hAnsi="仿宋_GB2312" w:eastAsia="仿宋_GB2312" w:cstheme="minorBidi"/>
          <w:color w:val="000000" w:themeColor="text1"/>
          <w:sz w:val="32"/>
          <w:szCs w:val="32"/>
          <w14:textFill>
            <w14:solidFill>
              <w14:schemeClr w14:val="tx1"/>
            </w14:solidFill>
          </w14:textFill>
        </w:rPr>
        <w:t>行政主管部门受理开发企业使用商品房预售资金的申请后，应严格据本办法相关规定进行审核，需要确认开发项目建设进度的，应</w:t>
      </w:r>
      <w:r>
        <w:rPr>
          <w:rFonts w:hint="eastAsia" w:ascii="仿宋_GB2312" w:hAnsi="仿宋_GB2312" w:eastAsia="仿宋_GB2312" w:cstheme="minorBidi"/>
          <w:bCs/>
          <w:color w:val="000000" w:themeColor="text1"/>
          <w:sz w:val="32"/>
          <w:szCs w:val="32"/>
          <w:highlight w:val="none"/>
          <w14:textFill>
            <w14:solidFill>
              <w14:schemeClr w14:val="tx1"/>
            </w14:solidFill>
          </w14:textFill>
        </w:rPr>
        <w:t>结合工程进度资料现场核查，审核工作不得超过2个工作日</w:t>
      </w:r>
      <w:r>
        <w:rPr>
          <w:rFonts w:hint="eastAsia" w:ascii="仿宋_GB2312" w:hAnsi="仿宋_GB2312" w:eastAsia="仿宋_GB2312"/>
          <w:bCs/>
          <w:color w:val="000000" w:themeColor="text1"/>
          <w:sz w:val="32"/>
          <w:szCs w:val="32"/>
          <w:highlight w:val="none"/>
          <w14:textFill>
            <w14:solidFill>
              <w14:schemeClr w14:val="tx1"/>
            </w14:solidFill>
          </w14:textFill>
        </w:rPr>
        <w:t>（</w:t>
      </w:r>
      <w:r>
        <w:rPr>
          <w:rFonts w:hint="eastAsia" w:ascii="仿宋_GB2312" w:hAnsi="仿宋_GB2312" w:eastAsia="仿宋_GB2312"/>
          <w:bCs/>
          <w:color w:val="000000" w:themeColor="text1"/>
          <w:sz w:val="32"/>
          <w:szCs w:val="32"/>
          <w:highlight w:val="none"/>
          <w:lang w:val="en-US" w:eastAsia="zh-CN"/>
          <w14:textFill>
            <w14:solidFill>
              <w14:schemeClr w14:val="tx1"/>
            </w14:solidFill>
          </w14:textFill>
        </w:rPr>
        <w:t>重点监管金额使用审批和</w:t>
      </w:r>
      <w:r>
        <w:rPr>
          <w:rFonts w:hint="eastAsia" w:ascii="仿宋_GB2312" w:hAnsi="仿宋_GB2312" w:eastAsia="仿宋_GB2312"/>
          <w:bCs/>
          <w:color w:val="000000" w:themeColor="text1"/>
          <w:sz w:val="32"/>
          <w:szCs w:val="32"/>
          <w:highlight w:val="none"/>
          <w14:textFill>
            <w14:solidFill>
              <w14:schemeClr w14:val="tx1"/>
            </w14:solidFill>
          </w14:textFill>
        </w:rPr>
        <w:t>关联项目</w:t>
      </w:r>
      <w:r>
        <w:rPr>
          <w:rFonts w:hint="eastAsia" w:ascii="仿宋_GB2312" w:hAnsi="仿宋_GB2312" w:eastAsia="仿宋_GB2312"/>
          <w:bCs/>
          <w:color w:val="000000" w:themeColor="text1"/>
          <w:sz w:val="32"/>
          <w:szCs w:val="32"/>
          <w:highlight w:val="none"/>
          <w:lang w:val="en-US" w:eastAsia="zh-CN"/>
          <w14:textFill>
            <w14:solidFill>
              <w14:schemeClr w14:val="tx1"/>
            </w14:solidFill>
          </w14:textFill>
        </w:rPr>
        <w:t>用款审批</w:t>
      </w:r>
      <w:r>
        <w:rPr>
          <w:rFonts w:hint="eastAsia" w:ascii="仿宋_GB2312" w:hAnsi="仿宋_GB2312" w:eastAsia="仿宋_GB2312"/>
          <w:bCs/>
          <w:color w:val="000000" w:themeColor="text1"/>
          <w:sz w:val="32"/>
          <w:szCs w:val="32"/>
          <w:highlight w:val="none"/>
          <w14:textFill>
            <w14:solidFill>
              <w14:schemeClr w14:val="tx1"/>
            </w14:solidFill>
          </w14:textFill>
        </w:rPr>
        <w:t>除外）</w:t>
      </w:r>
      <w:r>
        <w:rPr>
          <w:rFonts w:hint="eastAsia" w:ascii="仿宋_GB2312" w:hAnsi="仿宋_GB2312" w:eastAsia="仿宋_GB2312" w:cstheme="minorBidi"/>
          <w:bCs/>
          <w:color w:val="000000" w:themeColor="text1"/>
          <w:sz w:val="32"/>
          <w:szCs w:val="32"/>
          <w:highlight w:val="none"/>
          <w14:textFill>
            <w14:solidFill>
              <w14:schemeClr w14:val="tx1"/>
            </w14:solidFill>
          </w14:textFill>
        </w:rPr>
        <w:t>。</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hint="eastAsia" w:ascii="仿宋_GB2312" w:hAnsi="仿宋_GB2312" w:eastAsia="仿宋_GB2312" w:cstheme="minorBidi"/>
          <w:bCs/>
          <w:color w:val="000000" w:themeColor="text1"/>
          <w:sz w:val="32"/>
          <w:szCs w:val="32"/>
          <w:highlight w:val="none"/>
          <w14:textFill>
            <w14:solidFill>
              <w14:schemeClr w14:val="tx1"/>
            </w14:solidFill>
          </w14:textFill>
        </w:rPr>
      </w:pPr>
      <w:r>
        <w:rPr>
          <w:rFonts w:hint="eastAsia" w:ascii="仿宋_GB2312" w:hAnsi="仿宋_GB2312" w:eastAsia="仿宋_GB2312" w:cstheme="minorBidi"/>
          <w:bCs/>
          <w:color w:val="000000" w:themeColor="text1"/>
          <w:sz w:val="32"/>
          <w:szCs w:val="32"/>
          <w:highlight w:val="none"/>
          <w:lang w:val="en-US" w:eastAsia="zh-CN"/>
          <w14:textFill>
            <w14:solidFill>
              <w14:schemeClr w14:val="tx1"/>
            </w14:solidFill>
          </w14:textFill>
        </w:rPr>
        <w:t>重点监管资金使用由新城住建行政主管部门审核同意后，报新区住建行政主管部门审批；</w:t>
      </w:r>
      <w:r>
        <w:rPr>
          <w:rFonts w:hint="eastAsia" w:ascii="仿宋_GB2312" w:hAnsi="仿宋_GB2312" w:eastAsia="仿宋_GB2312"/>
          <w:bCs/>
          <w:color w:val="000000" w:themeColor="text1"/>
          <w:kern w:val="2"/>
          <w:sz w:val="32"/>
          <w:szCs w:val="32"/>
          <w:highlight w:val="none"/>
          <w14:textFill>
            <w14:solidFill>
              <w14:schemeClr w14:val="tx1"/>
            </w14:solidFill>
          </w14:textFill>
        </w:rPr>
        <w:t>超出重点监管资金额度部分的资金</w:t>
      </w:r>
      <w:r>
        <w:rPr>
          <w:rFonts w:hint="eastAsia" w:ascii="仿宋_GB2312" w:hAnsi="仿宋_GB2312" w:eastAsia="仿宋_GB2312" w:cstheme="minorBidi"/>
          <w:bCs/>
          <w:color w:val="000000" w:themeColor="text1"/>
          <w:sz w:val="32"/>
          <w:szCs w:val="32"/>
          <w:highlight w:val="none"/>
          <w:lang w:val="en-US" w:eastAsia="zh-CN"/>
          <w14:textFill>
            <w14:solidFill>
              <w14:schemeClr w14:val="tx1"/>
            </w14:solidFill>
          </w14:textFill>
        </w:rPr>
        <w:t>由新城住建行政主管部门审批。</w:t>
      </w:r>
      <w:r>
        <w:rPr>
          <w:rFonts w:hint="eastAsia" w:ascii="仿宋_GB2312" w:hAnsi="仿宋_GB2312" w:eastAsia="仿宋_GB2312" w:cstheme="minorBidi"/>
          <w:bCs/>
          <w:color w:val="000000" w:themeColor="text1"/>
          <w:sz w:val="32"/>
          <w:szCs w:val="32"/>
          <w:highlight w:val="none"/>
          <w14:textFill>
            <w14:solidFill>
              <w14:schemeClr w14:val="tx1"/>
            </w14:solidFill>
          </w14:textFill>
        </w:rPr>
        <w:t>符合资金</w:t>
      </w:r>
      <w:r>
        <w:rPr>
          <w:rFonts w:hint="eastAsia" w:ascii="仿宋_GB2312" w:hAnsi="仿宋_GB2312" w:eastAsia="仿宋_GB2312" w:cstheme="minorBidi"/>
          <w:bCs/>
          <w:color w:val="000000" w:themeColor="text1"/>
          <w:sz w:val="32"/>
          <w:szCs w:val="32"/>
          <w:highlight w:val="none"/>
          <w:lang w:val="en-US" w:eastAsia="zh-CN"/>
          <w14:textFill>
            <w14:solidFill>
              <w14:schemeClr w14:val="tx1"/>
            </w14:solidFill>
          </w14:textFill>
        </w:rPr>
        <w:t>拨付</w:t>
      </w:r>
      <w:r>
        <w:rPr>
          <w:rFonts w:hint="eastAsia" w:ascii="仿宋_GB2312" w:hAnsi="仿宋_GB2312" w:eastAsia="仿宋_GB2312" w:cstheme="minorBidi"/>
          <w:bCs/>
          <w:color w:val="000000" w:themeColor="text1"/>
          <w:sz w:val="32"/>
          <w:szCs w:val="32"/>
          <w:highlight w:val="none"/>
          <w14:textFill>
            <w14:solidFill>
              <w14:schemeClr w14:val="tx1"/>
            </w14:solidFill>
          </w14:textFill>
        </w:rPr>
        <w:t>条件的，出具同意拔付意见;不符合要求的，出具不予</w:t>
      </w:r>
      <w:r>
        <w:rPr>
          <w:rFonts w:hint="eastAsia" w:ascii="仿宋_GB2312" w:hAnsi="仿宋_GB2312" w:eastAsia="仿宋_GB2312" w:cstheme="minorBidi"/>
          <w:bCs/>
          <w:color w:val="000000" w:themeColor="text1"/>
          <w:sz w:val="32"/>
          <w:szCs w:val="32"/>
          <w:highlight w:val="none"/>
          <w:lang w:val="en-US" w:eastAsia="zh-CN"/>
          <w14:textFill>
            <w14:solidFill>
              <w14:schemeClr w14:val="tx1"/>
            </w14:solidFill>
          </w14:textFill>
        </w:rPr>
        <w:t>拨付</w:t>
      </w:r>
      <w:r>
        <w:rPr>
          <w:rFonts w:hint="eastAsia" w:ascii="仿宋_GB2312" w:hAnsi="仿宋_GB2312" w:eastAsia="仿宋_GB2312" w:cstheme="minorBidi"/>
          <w:bCs/>
          <w:color w:val="000000" w:themeColor="text1"/>
          <w:sz w:val="32"/>
          <w:szCs w:val="32"/>
          <w:highlight w:val="none"/>
          <w14:textFill>
            <w14:solidFill>
              <w14:schemeClr w14:val="tx1"/>
            </w14:solidFill>
          </w14:textFill>
        </w:rPr>
        <w:t>通知书。</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cstheme="minorBidi"/>
          <w:color w:val="000000" w:themeColor="text1"/>
          <w:sz w:val="32"/>
          <w:szCs w:val="32"/>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第二十二条</w:t>
      </w:r>
      <w:r>
        <w:rPr>
          <w:rFonts w:hint="eastAsia" w:ascii="仿宋_GB2312" w:hAnsi="仿宋_GB2312" w:eastAsia="仿宋_GB2312"/>
          <w:color w:val="000000" w:themeColor="text1"/>
          <w:sz w:val="32"/>
          <w:szCs w:val="32"/>
          <w14:textFill>
            <w14:solidFill>
              <w14:schemeClr w14:val="tx1"/>
            </w14:solidFill>
          </w14:textFill>
        </w:rPr>
        <w:t xml:space="preserve"> </w:t>
      </w:r>
      <w:r>
        <w:rPr>
          <w:rFonts w:ascii="仿宋_GB2312" w:hAnsi="仿宋_GB2312" w:eastAsia="仿宋_GB2312" w:cstheme="minorBidi"/>
          <w:color w:val="000000" w:themeColor="text1"/>
          <w:sz w:val="32"/>
          <w:szCs w:val="32"/>
          <w14:textFill>
            <w14:solidFill>
              <w14:schemeClr w14:val="tx1"/>
            </w14:solidFill>
          </w14:textFill>
        </w:rPr>
        <w:t>监管银行收到</w:t>
      </w:r>
      <w:r>
        <w:rPr>
          <w:rFonts w:hint="eastAsia" w:ascii="仿宋_GB2312" w:hAnsi="仿宋_GB2312" w:eastAsia="仿宋_GB2312" w:cstheme="minorBidi"/>
          <w:color w:val="000000" w:themeColor="text1"/>
          <w:sz w:val="32"/>
          <w:szCs w:val="32"/>
          <w:lang w:val="en-US" w:eastAsia="zh-CN"/>
          <w14:textFill>
            <w14:solidFill>
              <w14:schemeClr w14:val="tx1"/>
            </w14:solidFill>
          </w14:textFill>
        </w:rPr>
        <w:t>新区</w:t>
      </w:r>
      <w:r>
        <w:rPr>
          <w:rFonts w:hint="eastAsia" w:ascii="仿宋_GB2312" w:hAnsi="仿宋_GB2312" w:eastAsia="仿宋_GB2312"/>
          <w:color w:val="000000" w:themeColor="text1"/>
          <w:sz w:val="32"/>
          <w:szCs w:val="32"/>
          <w:lang w:val="en-US" w:eastAsia="zh-CN"/>
          <w14:textFill>
            <w14:solidFill>
              <w14:schemeClr w14:val="tx1"/>
            </w14:solidFill>
          </w14:textFill>
        </w:rPr>
        <w:t>或新城</w:t>
      </w:r>
      <w:r>
        <w:rPr>
          <w:rFonts w:hint="eastAsia" w:ascii="仿宋_GB2312" w:hAnsi="仿宋_GB2312" w:eastAsia="仿宋_GB2312"/>
          <w:color w:val="000000" w:themeColor="text1"/>
          <w:sz w:val="32"/>
          <w:szCs w:val="32"/>
          <w14:textFill>
            <w14:solidFill>
              <w14:schemeClr w14:val="tx1"/>
            </w14:solidFill>
          </w14:textFill>
        </w:rPr>
        <w:t>住建</w:t>
      </w:r>
      <w:r>
        <w:rPr>
          <w:rFonts w:ascii="仿宋_GB2312" w:hAnsi="仿宋_GB2312" w:eastAsia="仿宋_GB2312" w:cstheme="minorBidi"/>
          <w:color w:val="000000" w:themeColor="text1"/>
          <w:sz w:val="32"/>
          <w:szCs w:val="32"/>
          <w14:textFill>
            <w14:solidFill>
              <w14:schemeClr w14:val="tx1"/>
            </w14:solidFill>
          </w14:textFill>
        </w:rPr>
        <w:t>行政主管部门出具的同意拨付意见后，应在</w:t>
      </w:r>
      <w:r>
        <w:rPr>
          <w:rFonts w:hint="eastAsia" w:ascii="仿宋_GB2312" w:hAnsi="仿宋_GB2312" w:eastAsia="仿宋_GB2312"/>
          <w:color w:val="000000" w:themeColor="text1"/>
          <w:sz w:val="32"/>
          <w:szCs w:val="32"/>
          <w:lang w:val="en-US" w:eastAsia="zh-CN"/>
          <w14:textFill>
            <w14:solidFill>
              <w14:schemeClr w14:val="tx1"/>
            </w14:solidFill>
          </w14:textFill>
        </w:rPr>
        <w:t>2</w:t>
      </w:r>
      <w:r>
        <w:rPr>
          <w:rFonts w:ascii="仿宋_GB2312" w:hAnsi="仿宋_GB2312" w:eastAsia="仿宋_GB2312" w:cstheme="minorBidi"/>
          <w:color w:val="000000" w:themeColor="text1"/>
          <w:sz w:val="32"/>
          <w:szCs w:val="32"/>
          <w14:textFill>
            <w14:solidFill>
              <w14:schemeClr w14:val="tx1"/>
            </w14:solidFill>
          </w14:textFill>
        </w:rPr>
        <w:t>个工作日内将资金拨付给与开发企业签订合同的相关当事人或相关单位。</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color w:val="000000" w:themeColor="text1"/>
          <w:sz w:val="32"/>
          <w:szCs w:val="32"/>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第二十三条</w:t>
      </w:r>
      <w:r>
        <w:rPr>
          <w:rFonts w:hint="eastAsia" w:ascii="仿宋_GB2312" w:hAnsi="仿宋_GB2312" w:eastAsia="仿宋_GB2312"/>
          <w:color w:val="000000" w:themeColor="text1"/>
          <w:sz w:val="32"/>
          <w:szCs w:val="32"/>
          <w14:textFill>
            <w14:solidFill>
              <w14:schemeClr w14:val="tx1"/>
            </w14:solidFill>
          </w14:textFill>
        </w:rPr>
        <w:t xml:space="preserve"> </w:t>
      </w:r>
      <w:r>
        <w:rPr>
          <w:rFonts w:ascii="仿宋_GB2312" w:hAnsi="仿宋_GB2312" w:eastAsia="仿宋_GB2312" w:cstheme="minorBidi"/>
          <w:color w:val="000000" w:themeColor="text1"/>
          <w:sz w:val="32"/>
          <w:szCs w:val="32"/>
          <w14:textFill>
            <w14:solidFill>
              <w14:schemeClr w14:val="tx1"/>
            </w14:solidFill>
          </w14:textFill>
        </w:rPr>
        <w:t>监管银行应当按照合作协议约定的时间和方式，将监管账户收支情况等相关信息汇总后，提供给项目</w:t>
      </w:r>
      <w:r>
        <w:rPr>
          <w:rFonts w:hint="eastAsia" w:ascii="仿宋_GB2312" w:hAnsi="仿宋_GB2312" w:eastAsia="仿宋_GB2312" w:cstheme="minorBidi"/>
          <w:color w:val="000000" w:themeColor="text1"/>
          <w:sz w:val="32"/>
          <w:szCs w:val="32"/>
          <w14:textFill>
            <w14:solidFill>
              <w14:schemeClr w14:val="tx1"/>
            </w14:solidFill>
          </w14:textFill>
        </w:rPr>
        <w:t>所在新城</w:t>
      </w:r>
      <w:r>
        <w:rPr>
          <w:rFonts w:hint="eastAsia" w:ascii="仿宋_GB2312" w:hAnsi="仿宋_GB2312" w:eastAsia="仿宋_GB2312"/>
          <w:color w:val="000000" w:themeColor="text1"/>
          <w:sz w:val="32"/>
          <w:szCs w:val="32"/>
          <w14:textFill>
            <w14:solidFill>
              <w14:schemeClr w14:val="tx1"/>
            </w14:solidFill>
          </w14:textFill>
        </w:rPr>
        <w:t>住建</w:t>
      </w:r>
      <w:r>
        <w:rPr>
          <w:rFonts w:ascii="仿宋_GB2312" w:hAnsi="仿宋_GB2312" w:eastAsia="仿宋_GB2312" w:cstheme="minorBidi"/>
          <w:color w:val="000000" w:themeColor="text1"/>
          <w:sz w:val="32"/>
          <w:szCs w:val="32"/>
          <w14:textFill>
            <w14:solidFill>
              <w14:schemeClr w14:val="tx1"/>
            </w14:solidFill>
          </w14:textFill>
        </w:rPr>
        <w:t>行政主管部门。</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color w:val="000000" w:themeColor="text1"/>
          <w:sz w:val="32"/>
          <w:szCs w:val="32"/>
          <w:highlight w:val="none"/>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第二十四条</w:t>
      </w:r>
      <w:r>
        <w:rPr>
          <w:rFonts w:hint="eastAsia" w:ascii="仿宋_GB2312" w:hAnsi="仿宋_GB2312" w:eastAsia="仿宋_GB2312"/>
          <w:b/>
          <w:color w:val="000000" w:themeColor="text1"/>
          <w:sz w:val="32"/>
          <w:szCs w:val="32"/>
          <w14:textFill>
            <w14:solidFill>
              <w14:schemeClr w14:val="tx1"/>
            </w14:solidFill>
          </w14:textFill>
        </w:rPr>
        <w:t xml:space="preserve"> </w:t>
      </w:r>
      <w:r>
        <w:rPr>
          <w:rFonts w:hint="eastAsia" w:ascii="仿宋_GB2312" w:hAnsi="仿宋_GB2312" w:eastAsia="仿宋_GB2312"/>
          <w:color w:val="000000" w:themeColor="text1"/>
          <w:sz w:val="32"/>
          <w:szCs w:val="32"/>
          <w:highlight w:val="none"/>
          <w14:textFill>
            <w14:solidFill>
              <w14:schemeClr w14:val="tx1"/>
            </w14:solidFill>
          </w14:textFill>
        </w:rPr>
        <w:t>房地产开发企业有下列</w:t>
      </w:r>
      <w:r>
        <w:rPr>
          <w:rFonts w:hint="eastAsia" w:ascii="仿宋_GB2312" w:hAnsi="仿宋_GB2312" w:eastAsia="仿宋_GB2312"/>
          <w:color w:val="000000" w:themeColor="text1"/>
          <w:sz w:val="32"/>
          <w:szCs w:val="32"/>
          <w14:textFill>
            <w14:solidFill>
              <w14:schemeClr w14:val="tx1"/>
            </w14:solidFill>
          </w14:textFill>
        </w:rPr>
        <w:t>情形</w:t>
      </w:r>
      <w:r>
        <w:rPr>
          <w:rFonts w:hint="eastAsia" w:ascii="仿宋_GB2312" w:hAnsi="仿宋_GB2312" w:eastAsia="仿宋_GB2312"/>
          <w:color w:val="000000" w:themeColor="text1"/>
          <w:sz w:val="32"/>
          <w:szCs w:val="32"/>
          <w:highlight w:val="none"/>
          <w14:textFill>
            <w14:solidFill>
              <w14:schemeClr w14:val="tx1"/>
            </w14:solidFill>
          </w14:textFill>
        </w:rPr>
        <w:t>之一的，新城住建行政主管部门不得</w:t>
      </w:r>
      <w:r>
        <w:rPr>
          <w:rFonts w:hint="eastAsia" w:ascii="仿宋_GB2312" w:hAnsi="仿宋_GB2312" w:eastAsia="仿宋_GB2312"/>
          <w:color w:val="000000" w:themeColor="text1"/>
          <w:sz w:val="32"/>
          <w:szCs w:val="32"/>
          <w14:textFill>
            <w14:solidFill>
              <w14:schemeClr w14:val="tx1"/>
            </w14:solidFill>
          </w14:textFill>
        </w:rPr>
        <w:t>审批</w:t>
      </w:r>
      <w:r>
        <w:rPr>
          <w:rFonts w:hint="eastAsia" w:ascii="仿宋_GB2312" w:hAnsi="仿宋_GB2312" w:eastAsia="仿宋_GB2312"/>
          <w:color w:val="000000" w:themeColor="text1"/>
          <w:sz w:val="32"/>
          <w:szCs w:val="32"/>
          <w:highlight w:val="none"/>
          <w14:textFill>
            <w14:solidFill>
              <w14:schemeClr w14:val="tx1"/>
            </w14:solidFill>
          </w14:textFill>
        </w:rPr>
        <w:t>拨付商品房预售资金：</w:t>
      </w:r>
    </w:p>
    <w:p>
      <w:pPr>
        <w:keepNext w:val="0"/>
        <w:keepLines w:val="0"/>
        <w:pageBreakBefore w:val="0"/>
        <w:widowControl w:val="0"/>
        <w:tabs>
          <w:tab w:val="left" w:pos="8280"/>
        </w:tabs>
        <w:kinsoku/>
        <w:overflowPunct/>
        <w:topLinePunct w:val="0"/>
        <w:autoSpaceDE/>
        <w:autoSpaceDN/>
        <w:bidi w:val="0"/>
        <w:spacing w:line="560" w:lineRule="exact"/>
        <w:ind w:firstLine="480" w:firstLineChars="150"/>
        <w:textAlignment w:val="auto"/>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（一）已拨付款项未专款专用的；</w:t>
      </w:r>
    </w:p>
    <w:p>
      <w:pPr>
        <w:keepNext w:val="0"/>
        <w:keepLines w:val="0"/>
        <w:pageBreakBefore w:val="0"/>
        <w:widowControl w:val="0"/>
        <w:tabs>
          <w:tab w:val="left" w:pos="8280"/>
        </w:tabs>
        <w:kinsoku/>
        <w:overflowPunct/>
        <w:topLinePunct w:val="0"/>
        <w:autoSpaceDE/>
        <w:autoSpaceDN/>
        <w:bidi w:val="0"/>
        <w:spacing w:line="560" w:lineRule="exact"/>
        <w:ind w:firstLine="480" w:firstLineChars="150"/>
        <w:textAlignment w:val="auto"/>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（二）申请资金超出用款额度的；</w:t>
      </w:r>
    </w:p>
    <w:p>
      <w:pPr>
        <w:keepNext w:val="0"/>
        <w:keepLines w:val="0"/>
        <w:pageBreakBefore w:val="0"/>
        <w:widowControl w:val="0"/>
        <w:tabs>
          <w:tab w:val="left" w:pos="8280"/>
        </w:tabs>
        <w:kinsoku/>
        <w:overflowPunct/>
        <w:topLinePunct w:val="0"/>
        <w:autoSpaceDE/>
        <w:autoSpaceDN/>
        <w:bidi w:val="0"/>
        <w:spacing w:line="560" w:lineRule="exact"/>
        <w:ind w:firstLine="480" w:firstLineChars="150"/>
        <w:textAlignment w:val="auto"/>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（三）收款单位、用途等内容与合同不符的；</w:t>
      </w:r>
    </w:p>
    <w:p>
      <w:pPr>
        <w:keepNext w:val="0"/>
        <w:keepLines w:val="0"/>
        <w:pageBreakBefore w:val="0"/>
        <w:widowControl w:val="0"/>
        <w:tabs>
          <w:tab w:val="left" w:pos="8280"/>
        </w:tabs>
        <w:kinsoku/>
        <w:overflowPunct/>
        <w:topLinePunct w:val="0"/>
        <w:autoSpaceDE/>
        <w:autoSpaceDN/>
        <w:bidi w:val="0"/>
        <w:spacing w:line="560" w:lineRule="exact"/>
        <w:ind w:firstLine="480" w:firstLineChars="150"/>
        <w:textAlignment w:val="auto"/>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（四）住建</w:t>
      </w:r>
      <w:r>
        <w:rPr>
          <w:rFonts w:hint="eastAsia" w:ascii="仿宋_GB2312" w:hAnsi="仿宋_GB2312" w:eastAsia="仿宋_GB2312"/>
          <w:color w:val="000000" w:themeColor="text1"/>
          <w:sz w:val="32"/>
          <w:szCs w:val="32"/>
          <w14:textFill>
            <w14:solidFill>
              <w14:schemeClr w14:val="tx1"/>
            </w14:solidFill>
          </w14:textFill>
        </w:rPr>
        <w:t>行政主管</w:t>
      </w:r>
      <w:r>
        <w:rPr>
          <w:rFonts w:hint="eastAsia" w:ascii="仿宋_GB2312" w:hAnsi="仿宋_GB2312" w:eastAsia="仿宋_GB2312"/>
          <w:color w:val="000000" w:themeColor="text1"/>
          <w:sz w:val="32"/>
          <w:szCs w:val="32"/>
          <w:highlight w:val="none"/>
          <w14:textFill>
            <w14:solidFill>
              <w14:schemeClr w14:val="tx1"/>
            </w14:solidFill>
          </w14:textFill>
        </w:rPr>
        <w:t>部门要求暂停或限制监管资金拨付的。</w:t>
      </w:r>
    </w:p>
    <w:p>
      <w:pPr>
        <w:keepNext w:val="0"/>
        <w:keepLines w:val="0"/>
        <w:pageBreakBefore w:val="0"/>
        <w:widowControl w:val="0"/>
        <w:kinsoku/>
        <w:overflowPunct/>
        <w:topLinePunct w:val="0"/>
        <w:autoSpaceDE/>
        <w:autoSpaceDN/>
        <w:bidi w:val="0"/>
        <w:spacing w:line="560" w:lineRule="exact"/>
        <w:ind w:firstLine="640" w:firstLineChars="200"/>
        <w:jc w:val="left"/>
        <w:textAlignment w:val="auto"/>
        <w:rPr>
          <w:rFonts w:ascii="仿宋_GB2312" w:hAnsi="仿宋_GB2312" w:eastAsia="仿宋_GB2312"/>
          <w:color w:val="000000" w:themeColor="text1"/>
          <w:sz w:val="32"/>
          <w:szCs w:val="32"/>
          <w:highlight w:val="none"/>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 xml:space="preserve">第二十五条 </w:t>
      </w:r>
      <w:r>
        <w:rPr>
          <w:rFonts w:hint="eastAsia" w:ascii="仿宋_GB2312" w:hAnsi="仿宋_GB2312" w:eastAsia="仿宋_GB2312"/>
          <w:color w:val="000000" w:themeColor="text1"/>
          <w:sz w:val="32"/>
          <w:szCs w:val="32"/>
          <w:highlight w:val="none"/>
          <w14:textFill>
            <w14:solidFill>
              <w14:schemeClr w14:val="tx1"/>
            </w14:solidFill>
          </w14:textFill>
        </w:rPr>
        <w:t>开发企业有下列情形之一的，新区、新城住建行政主管部门可以暂停监管账户的资金支取、网签备案，督促开发企业尽快改正。</w:t>
      </w:r>
    </w:p>
    <w:p>
      <w:pPr>
        <w:keepNext w:val="0"/>
        <w:keepLines w:val="0"/>
        <w:pageBreakBefore w:val="0"/>
        <w:widowControl w:val="0"/>
        <w:kinsoku/>
        <w:overflowPunct/>
        <w:topLinePunct w:val="0"/>
        <w:autoSpaceDE/>
        <w:autoSpaceDN/>
        <w:bidi w:val="0"/>
        <w:spacing w:line="560" w:lineRule="exact"/>
        <w:ind w:firstLine="640" w:firstLineChars="200"/>
        <w:jc w:val="left"/>
        <w:textAlignment w:val="auto"/>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（一）</w:t>
      </w:r>
      <w:r>
        <w:rPr>
          <w:rFonts w:hint="eastAsia" w:ascii="仿宋_GB2312" w:hAnsi="仿宋_GB2312" w:eastAsia="仿宋_GB2312"/>
          <w:color w:val="000000" w:themeColor="text1"/>
          <w:sz w:val="32"/>
          <w:szCs w:val="32"/>
          <w14:textFill>
            <w14:solidFill>
              <w14:schemeClr w14:val="tx1"/>
            </w14:solidFill>
          </w14:textFill>
        </w:rPr>
        <w:t>商品房开发</w:t>
      </w:r>
      <w:r>
        <w:rPr>
          <w:rFonts w:hint="eastAsia" w:ascii="仿宋_GB2312" w:hAnsi="仿宋_GB2312" w:eastAsia="仿宋_GB2312"/>
          <w:color w:val="000000" w:themeColor="text1"/>
          <w:sz w:val="32"/>
          <w:szCs w:val="32"/>
          <w:highlight w:val="none"/>
          <w14:textFill>
            <w14:solidFill>
              <w14:schemeClr w14:val="tx1"/>
            </w14:solidFill>
          </w14:textFill>
        </w:rPr>
        <w:t>项目发生质量事故的；</w:t>
      </w:r>
    </w:p>
    <w:p>
      <w:pPr>
        <w:keepNext w:val="0"/>
        <w:keepLines w:val="0"/>
        <w:pageBreakBefore w:val="0"/>
        <w:widowControl w:val="0"/>
        <w:kinsoku/>
        <w:overflowPunct/>
        <w:topLinePunct w:val="0"/>
        <w:autoSpaceDE/>
        <w:autoSpaceDN/>
        <w:bidi w:val="0"/>
        <w:spacing w:line="560" w:lineRule="exact"/>
        <w:ind w:firstLine="640" w:firstLineChars="200"/>
        <w:jc w:val="left"/>
        <w:textAlignment w:val="auto"/>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（二）</w:t>
      </w:r>
      <w:r>
        <w:rPr>
          <w:rFonts w:hint="eastAsia" w:ascii="仿宋_GB2312" w:hAnsi="仿宋_GB2312" w:eastAsia="仿宋_GB2312"/>
          <w:color w:val="000000" w:themeColor="text1"/>
          <w:sz w:val="32"/>
          <w:szCs w:val="32"/>
          <w14:textFill>
            <w14:solidFill>
              <w14:schemeClr w14:val="tx1"/>
            </w14:solidFill>
          </w14:textFill>
        </w:rPr>
        <w:t>商品房开发</w:t>
      </w:r>
      <w:r>
        <w:rPr>
          <w:rFonts w:hint="eastAsia" w:ascii="仿宋_GB2312" w:hAnsi="仿宋_GB2312" w:eastAsia="仿宋_GB2312"/>
          <w:color w:val="000000" w:themeColor="text1"/>
          <w:sz w:val="32"/>
          <w:szCs w:val="32"/>
          <w:highlight w:val="none"/>
          <w14:textFill>
            <w14:solidFill>
              <w14:schemeClr w14:val="tx1"/>
            </w14:solidFill>
          </w14:textFill>
        </w:rPr>
        <w:t>项目未按期交付或存在不能按期交付风险的；</w:t>
      </w:r>
    </w:p>
    <w:p>
      <w:pPr>
        <w:keepNext w:val="0"/>
        <w:keepLines w:val="0"/>
        <w:pageBreakBefore w:val="0"/>
        <w:widowControl w:val="0"/>
        <w:kinsoku/>
        <w:overflowPunct/>
        <w:topLinePunct w:val="0"/>
        <w:autoSpaceDE/>
        <w:autoSpaceDN/>
        <w:bidi w:val="0"/>
        <w:spacing w:line="560" w:lineRule="exact"/>
        <w:ind w:firstLine="640" w:firstLineChars="200"/>
        <w:jc w:val="left"/>
        <w:textAlignment w:val="auto"/>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（三）开发企业存在严重违法违规行为，影响工程建设的；</w:t>
      </w:r>
    </w:p>
    <w:p>
      <w:pPr>
        <w:keepNext w:val="0"/>
        <w:keepLines w:val="0"/>
        <w:pageBreakBefore w:val="0"/>
        <w:widowControl w:val="0"/>
        <w:kinsoku/>
        <w:overflowPunct/>
        <w:topLinePunct w:val="0"/>
        <w:autoSpaceDE/>
        <w:autoSpaceDN/>
        <w:bidi w:val="0"/>
        <w:spacing w:line="560" w:lineRule="exact"/>
        <w:ind w:firstLine="640" w:firstLineChars="200"/>
        <w:jc w:val="left"/>
        <w:textAlignment w:val="auto"/>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（四）</w:t>
      </w:r>
      <w:r>
        <w:rPr>
          <w:rFonts w:hint="eastAsia" w:ascii="仿宋_GB2312" w:hAnsi="仿宋_GB2312" w:eastAsia="仿宋_GB2312"/>
          <w:color w:val="000000" w:themeColor="text1"/>
          <w:sz w:val="32"/>
          <w:szCs w:val="32"/>
          <w14:textFill>
            <w14:solidFill>
              <w14:schemeClr w14:val="tx1"/>
            </w14:solidFill>
          </w14:textFill>
        </w:rPr>
        <w:t>预售资金不进监管账户的；</w:t>
      </w:r>
    </w:p>
    <w:p>
      <w:pPr>
        <w:keepNext w:val="0"/>
        <w:keepLines w:val="0"/>
        <w:pageBreakBefore w:val="0"/>
        <w:widowControl w:val="0"/>
        <w:kinsoku/>
        <w:overflowPunct/>
        <w:topLinePunct w:val="0"/>
        <w:autoSpaceDE/>
        <w:autoSpaceDN/>
        <w:bidi w:val="0"/>
        <w:spacing w:line="560" w:lineRule="exact"/>
        <w:ind w:firstLine="640" w:firstLineChars="200"/>
        <w:jc w:val="left"/>
        <w:textAlignment w:val="auto"/>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（五）</w:t>
      </w:r>
      <w:r>
        <w:rPr>
          <w:rFonts w:hint="eastAsia" w:ascii="仿宋_GB2312" w:hAnsi="仿宋_GB2312" w:eastAsia="仿宋_GB2312"/>
          <w:color w:val="000000" w:themeColor="text1"/>
          <w:sz w:val="32"/>
          <w:szCs w:val="32"/>
          <w:highlight w:val="none"/>
          <w14:textFill>
            <w14:solidFill>
              <w14:schemeClr w14:val="tx1"/>
            </w14:solidFill>
          </w14:textFill>
        </w:rPr>
        <w:t>住建</w:t>
      </w:r>
      <w:r>
        <w:rPr>
          <w:rFonts w:hint="eastAsia" w:ascii="仿宋_GB2312" w:hAnsi="仿宋_GB2312" w:eastAsia="仿宋_GB2312"/>
          <w:color w:val="000000" w:themeColor="text1"/>
          <w:sz w:val="32"/>
          <w:szCs w:val="32"/>
          <w14:textFill>
            <w14:solidFill>
              <w14:schemeClr w14:val="tx1"/>
            </w14:solidFill>
          </w14:textFill>
        </w:rPr>
        <w:t>行政主管</w:t>
      </w:r>
      <w:r>
        <w:rPr>
          <w:rFonts w:hint="eastAsia" w:ascii="仿宋_GB2312" w:hAnsi="仿宋_GB2312" w:eastAsia="仿宋_GB2312"/>
          <w:color w:val="000000" w:themeColor="text1"/>
          <w:sz w:val="32"/>
          <w:szCs w:val="32"/>
          <w:highlight w:val="none"/>
          <w14:textFill>
            <w14:solidFill>
              <w14:schemeClr w14:val="tx1"/>
            </w14:solidFill>
          </w14:textFill>
        </w:rPr>
        <w:t>部门认为的其它情形。</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color w:val="000000" w:themeColor="text1"/>
          <w:sz w:val="32"/>
          <w:szCs w:val="32"/>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第二十六条</w:t>
      </w:r>
      <w:r>
        <w:rPr>
          <w:rFonts w:ascii="仿宋_GB2312" w:hAnsi="仿宋_GB2312" w:eastAsia="仿宋_GB2312"/>
          <w:b/>
          <w:color w:val="000000" w:themeColor="text1"/>
          <w:sz w:val="32"/>
          <w:szCs w:val="32"/>
          <w14:textFill>
            <w14:solidFill>
              <w14:schemeClr w14:val="tx1"/>
            </w14:solidFill>
          </w14:textFill>
        </w:rPr>
        <w:t xml:space="preserve"> </w:t>
      </w:r>
      <w:r>
        <w:rPr>
          <w:rFonts w:hint="eastAsia" w:ascii="仿宋_GB2312" w:hAnsi="仿宋_GB2312" w:eastAsia="仿宋_GB2312"/>
          <w:b w:val="0"/>
          <w:color w:val="000000" w:themeColor="text1"/>
          <w:sz w:val="32"/>
          <w:szCs w:val="32"/>
          <w14:textFill>
            <w14:solidFill>
              <w14:schemeClr w14:val="tx1"/>
            </w14:solidFill>
          </w14:textFill>
        </w:rPr>
        <w:t>开</w:t>
      </w:r>
      <w:r>
        <w:rPr>
          <w:rFonts w:hint="eastAsia" w:ascii="仿宋_GB2312" w:hAnsi="仿宋_GB2312" w:eastAsia="仿宋_GB2312"/>
          <w:color w:val="000000" w:themeColor="text1"/>
          <w:sz w:val="32"/>
          <w:szCs w:val="32"/>
          <w14:textFill>
            <w14:solidFill>
              <w14:schemeClr w14:val="tx1"/>
            </w14:solidFill>
          </w14:textFill>
        </w:rPr>
        <w:t>发企业与购房人因特殊情况解除商品房买卖协议的，开发企业可以向所属新城住建行政主管部门提交退房退款申请书并提供相关证明材料，新城住建行政主管部门应在</w:t>
      </w:r>
      <w:r>
        <w:rPr>
          <w:rFonts w:ascii="仿宋_GB2312" w:hAnsi="仿宋_GB2312" w:eastAsia="仿宋_GB2312"/>
          <w:color w:val="000000" w:themeColor="text1"/>
          <w:sz w:val="32"/>
          <w:szCs w:val="32"/>
          <w14:textFill>
            <w14:solidFill>
              <w14:schemeClr w14:val="tx1"/>
            </w14:solidFill>
          </w14:textFill>
        </w:rPr>
        <w:t>2</w:t>
      </w:r>
      <w:r>
        <w:rPr>
          <w:rFonts w:hint="eastAsia" w:ascii="仿宋_GB2312" w:hAnsi="仿宋_GB2312" w:eastAsia="仿宋_GB2312"/>
          <w:color w:val="000000" w:themeColor="text1"/>
          <w:sz w:val="32"/>
          <w:szCs w:val="32"/>
          <w14:textFill>
            <w14:solidFill>
              <w14:schemeClr w14:val="tx1"/>
            </w14:solidFill>
          </w14:textFill>
        </w:rPr>
        <w:t>个工作日内完成审核，经核实情况属实的，通知监管银行退回该部分房款。监管银行收到通知后，于</w:t>
      </w:r>
      <w:r>
        <w:rPr>
          <w:rFonts w:ascii="仿宋_GB2312" w:hAnsi="仿宋_GB2312" w:eastAsia="仿宋_GB2312"/>
          <w:color w:val="000000" w:themeColor="text1"/>
          <w:sz w:val="32"/>
          <w:szCs w:val="32"/>
          <w14:textFill>
            <w14:solidFill>
              <w14:schemeClr w14:val="tx1"/>
            </w14:solidFill>
          </w14:textFill>
        </w:rPr>
        <w:t>1</w:t>
      </w:r>
      <w:r>
        <w:rPr>
          <w:rFonts w:hint="eastAsia" w:ascii="仿宋_GB2312" w:hAnsi="仿宋_GB2312" w:eastAsia="仿宋_GB2312"/>
          <w:color w:val="000000" w:themeColor="text1"/>
          <w:sz w:val="32"/>
          <w:szCs w:val="32"/>
          <w14:textFill>
            <w14:solidFill>
              <w14:schemeClr w14:val="tx1"/>
            </w14:solidFill>
          </w14:textFill>
        </w:rPr>
        <w:t>个工作日内按程序退回该部分房款。开发企业申请退房退款应提供以下材料：</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（一）商品房买卖合同双方共同签署的退房退款申请书，申请书应当载明申请退款购房人的收款账户；</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（二）购房人的身份证明文件及交款凭证；</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（三）有明确的解除商品房买卖合同内容的协议书或人民法院的生效判决或调解书或仲裁机构裁决；</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（四）住建行政主管部门要求提供的其他资料。</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hint="eastAsia" w:ascii="仿宋_GB2312" w:hAnsi="仿宋_GB2312" w:eastAsia="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olor w:val="000000" w:themeColor="text1"/>
          <w:sz w:val="32"/>
          <w:szCs w:val="32"/>
          <w:lang w:val="en-US" w:eastAsia="zh-CN"/>
          <w14:textFill>
            <w14:solidFill>
              <w14:schemeClr w14:val="tx1"/>
            </w14:solidFill>
          </w14:textFill>
        </w:rPr>
        <w:t>若监管账户累计进账金额未达到重点监管资金额度，退款由新城住建行政主管部门审核同意后，报新区住建行政主管部门审批。</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hint="eastAsia" w:ascii="仿宋_GB2312" w:hAnsi="仿宋_GB2312" w:eastAsia="仿宋_GB2312"/>
          <w:color w:val="000000" w:themeColor="text1"/>
          <w:sz w:val="32"/>
          <w:szCs w:val="32"/>
          <w:lang w:val="en-US" w:eastAsia="zh-CN"/>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第二十七条</w:t>
      </w:r>
      <w:r>
        <w:rPr>
          <w:rFonts w:hint="eastAsia" w:ascii="仿宋_GB2312" w:hAnsi="仿宋_GB2312" w:eastAsia="仿宋_GB2312"/>
          <w:b/>
          <w:bCs/>
          <w:color w:val="000000" w:themeColor="text1"/>
          <w:sz w:val="32"/>
          <w:szCs w:val="32"/>
          <w14:textFill>
            <w14:solidFill>
              <w14:schemeClr w14:val="tx1"/>
            </w14:solidFill>
          </w14:textFill>
        </w:rPr>
        <w:t xml:space="preserve"> </w:t>
      </w:r>
      <w:r>
        <w:rPr>
          <w:rFonts w:ascii="仿宋_GB2312" w:hAnsi="仿宋_GB2312" w:eastAsia="仿宋_GB2312"/>
          <w:color w:val="000000" w:themeColor="text1"/>
          <w:sz w:val="32"/>
          <w:szCs w:val="32"/>
          <w14:textFill>
            <w14:solidFill>
              <w14:schemeClr w14:val="tx1"/>
            </w14:solidFill>
          </w14:textFill>
        </w:rPr>
        <w:t>有关部门对监管账户进行查封、冻结、划扣等操作的，监管银行应根据监管协议有关约定，证明监管账户及商品房预售资金的性质，并应在当日书面告知项目</w:t>
      </w:r>
      <w:r>
        <w:rPr>
          <w:rFonts w:hint="eastAsia" w:ascii="仿宋_GB2312" w:hAnsi="仿宋_GB2312" w:eastAsia="仿宋_GB2312"/>
          <w:color w:val="000000" w:themeColor="text1"/>
          <w:sz w:val="32"/>
          <w:szCs w:val="32"/>
          <w14:textFill>
            <w14:solidFill>
              <w14:schemeClr w14:val="tx1"/>
            </w14:solidFill>
          </w14:textFill>
        </w:rPr>
        <w:t>所在新城住建</w:t>
      </w:r>
      <w:r>
        <w:rPr>
          <w:rFonts w:ascii="仿宋_GB2312" w:hAnsi="仿宋_GB2312" w:eastAsia="仿宋_GB2312"/>
          <w:color w:val="000000" w:themeColor="text1"/>
          <w:sz w:val="32"/>
          <w:szCs w:val="32"/>
          <w14:textFill>
            <w14:solidFill>
              <w14:schemeClr w14:val="tx1"/>
            </w14:solidFill>
          </w14:textFill>
        </w:rPr>
        <w:t>行政主管部门</w:t>
      </w:r>
      <w:r>
        <w:rPr>
          <w:rFonts w:hint="eastAsia" w:ascii="仿宋_GB2312" w:hAnsi="仿宋_GB2312" w:eastAsia="仿宋_GB2312"/>
          <w:color w:val="000000" w:themeColor="text1"/>
          <w:sz w:val="32"/>
          <w:szCs w:val="32"/>
          <w14:textFill>
            <w14:solidFill>
              <w14:schemeClr w14:val="tx1"/>
            </w14:solidFill>
          </w14:textFill>
        </w:rPr>
        <w:t>。</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color w:val="000000" w:themeColor="text1"/>
          <w:sz w:val="32"/>
          <w:szCs w:val="32"/>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第二十八条</w:t>
      </w:r>
      <w:r>
        <w:rPr>
          <w:rFonts w:hint="eastAsia" w:ascii="仿宋_GB2312" w:hAnsi="仿宋_GB2312" w:eastAsia="仿宋_GB2312"/>
          <w:color w:val="000000" w:themeColor="text1"/>
          <w:sz w:val="32"/>
          <w:szCs w:val="32"/>
          <w14:textFill>
            <w14:solidFill>
              <w14:schemeClr w14:val="tx1"/>
            </w14:solidFill>
          </w14:textFill>
        </w:rPr>
        <w:t xml:space="preserve"> 商品房开发项目监管楼幢办理不动产首次登记后，开发企</w:t>
      </w:r>
      <w:r>
        <w:rPr>
          <w:rFonts w:ascii="仿宋_GB2312" w:hAnsi="仿宋_GB2312" w:eastAsia="仿宋_GB2312"/>
          <w:color w:val="000000" w:themeColor="text1"/>
          <w:sz w:val="32"/>
          <w:szCs w:val="32"/>
          <w14:textFill>
            <w14:solidFill>
              <w14:schemeClr w14:val="tx1"/>
            </w14:solidFill>
          </w14:textFill>
        </w:rPr>
        <w:t>业向</w:t>
      </w:r>
      <w:r>
        <w:rPr>
          <w:rFonts w:hint="eastAsia" w:ascii="仿宋_GB2312" w:hAnsi="仿宋_GB2312" w:eastAsia="仿宋_GB2312"/>
          <w:color w:val="000000" w:themeColor="text1"/>
          <w:sz w:val="32"/>
          <w:szCs w:val="32"/>
          <w14:textFill>
            <w14:solidFill>
              <w14:schemeClr w14:val="tx1"/>
            </w14:solidFill>
          </w14:textFill>
        </w:rPr>
        <w:t>新城住建行政主管部门</w:t>
      </w:r>
      <w:r>
        <w:rPr>
          <w:rFonts w:ascii="仿宋_GB2312" w:hAnsi="仿宋_GB2312" w:eastAsia="仿宋_GB2312"/>
          <w:color w:val="000000" w:themeColor="text1"/>
          <w:sz w:val="32"/>
          <w:szCs w:val="32"/>
          <w14:textFill>
            <w14:solidFill>
              <w14:schemeClr w14:val="tx1"/>
            </w14:solidFill>
          </w14:textFill>
        </w:rPr>
        <w:t>申请解除商品房预售资金监管，</w:t>
      </w:r>
      <w:r>
        <w:rPr>
          <w:rFonts w:hint="eastAsia" w:ascii="仿宋_GB2312" w:hAnsi="仿宋_GB2312" w:eastAsia="仿宋_GB2312"/>
          <w:color w:val="000000" w:themeColor="text1"/>
          <w:sz w:val="32"/>
          <w:szCs w:val="32"/>
          <w14:textFill>
            <w14:solidFill>
              <w14:schemeClr w14:val="tx1"/>
            </w14:solidFill>
          </w14:textFill>
        </w:rPr>
        <w:t>经审核符合条件的，新城住建行政主管部门应通知监管银行解除对商品房开发项目监管楼幢的预售资金监管，开发企业前往资金监管银行办理账户注销。</w:t>
      </w:r>
    </w:p>
    <w:p>
      <w:pPr>
        <w:keepNext w:val="0"/>
        <w:keepLines w:val="0"/>
        <w:pageBreakBefore w:val="0"/>
        <w:widowControl w:val="0"/>
        <w:tabs>
          <w:tab w:val="left" w:pos="8280"/>
        </w:tabs>
        <w:kinsoku/>
        <w:overflowPunct/>
        <w:topLinePunct w:val="0"/>
        <w:autoSpaceDE/>
        <w:autoSpaceDN/>
        <w:bidi w:val="0"/>
        <w:spacing w:line="560" w:lineRule="exact"/>
        <w:ind w:firstLine="480" w:firstLineChars="150"/>
        <w:jc w:val="center"/>
        <w:textAlignment w:val="auto"/>
        <w:rPr>
          <w:rFonts w:ascii="黑体" w:hAnsi="黑体" w:eastAsia="黑体"/>
          <w:bCs/>
          <w:color w:val="000000" w:themeColor="text1"/>
          <w:sz w:val="32"/>
          <w:szCs w:val="32"/>
          <w14:textFill>
            <w14:solidFill>
              <w14:schemeClr w14:val="tx1"/>
            </w14:solidFill>
          </w14:textFill>
        </w:rPr>
      </w:pPr>
    </w:p>
    <w:p>
      <w:pPr>
        <w:keepNext w:val="0"/>
        <w:keepLines w:val="0"/>
        <w:pageBreakBefore w:val="0"/>
        <w:widowControl w:val="0"/>
        <w:tabs>
          <w:tab w:val="left" w:pos="8280"/>
        </w:tabs>
        <w:kinsoku/>
        <w:overflowPunct/>
        <w:topLinePunct w:val="0"/>
        <w:autoSpaceDE/>
        <w:autoSpaceDN/>
        <w:bidi w:val="0"/>
        <w:spacing w:line="560" w:lineRule="exact"/>
        <w:ind w:firstLine="480" w:firstLineChars="150"/>
        <w:jc w:val="center"/>
        <w:textAlignment w:val="auto"/>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第五章  监督与管理</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color w:val="000000" w:themeColor="text1"/>
          <w:sz w:val="32"/>
          <w:szCs w:val="32"/>
          <w:highlight w:val="yellow"/>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第二十九条</w:t>
      </w:r>
      <w:r>
        <w:rPr>
          <w:rFonts w:hint="eastAsia" w:ascii="仿宋_GB2312" w:hAnsi="仿宋_GB2312" w:eastAsia="仿宋_GB2312"/>
          <w:b/>
          <w:bCs/>
          <w:color w:val="000000" w:themeColor="text1"/>
          <w:sz w:val="32"/>
          <w:szCs w:val="32"/>
          <w14:textFill>
            <w14:solidFill>
              <w14:schemeClr w14:val="tx1"/>
            </w14:solidFill>
          </w14:textFill>
        </w:rPr>
        <w:t xml:space="preserve"> </w:t>
      </w:r>
      <w:r>
        <w:rPr>
          <w:rFonts w:ascii="仿宋_GB2312" w:hAnsi="仿宋_GB2312" w:eastAsia="仿宋_GB2312"/>
          <w:color w:val="000000" w:themeColor="text1"/>
          <w:sz w:val="32"/>
          <w:szCs w:val="32"/>
          <w14:textFill>
            <w14:solidFill>
              <w14:schemeClr w14:val="tx1"/>
            </w14:solidFill>
          </w14:textFill>
        </w:rPr>
        <w:t>开发企业未按规定收取、支出、使用商品房预售资金</w:t>
      </w:r>
      <w:r>
        <w:rPr>
          <w:rFonts w:hint="eastAsia" w:ascii="仿宋_GB2312" w:hAnsi="仿宋_GB2312" w:eastAsia="仿宋_GB2312"/>
          <w:color w:val="000000" w:themeColor="text1"/>
          <w:sz w:val="32"/>
          <w:szCs w:val="32"/>
          <w14:textFill>
            <w14:solidFill>
              <w14:schemeClr w14:val="tx1"/>
            </w14:solidFill>
          </w14:textFill>
        </w:rPr>
        <w:t>的</w:t>
      </w:r>
      <w:r>
        <w:rPr>
          <w:rFonts w:ascii="仿宋_GB2312" w:hAnsi="仿宋_GB2312" w:eastAsia="仿宋_GB2312"/>
          <w:color w:val="000000" w:themeColor="text1"/>
          <w:sz w:val="32"/>
          <w:szCs w:val="32"/>
          <w14:textFill>
            <w14:solidFill>
              <w14:schemeClr w14:val="tx1"/>
            </w14:solidFill>
          </w14:textFill>
        </w:rPr>
        <w:t>，要求按揭贷款银行、住房公积金委托货款银行将购房货款划转至监管账户以外的账户，用监管账户归集其他性质的资金，提供虚假资料以获取商品房预售资金，或存在其他违规行为的，由</w:t>
      </w:r>
      <w:r>
        <w:rPr>
          <w:rFonts w:hint="eastAsia" w:ascii="仿宋_GB2312" w:hAnsi="仿宋_GB2312" w:eastAsia="仿宋_GB2312"/>
          <w:color w:val="000000" w:themeColor="text1"/>
          <w:sz w:val="32"/>
          <w:szCs w:val="32"/>
          <w14:textFill>
            <w14:solidFill>
              <w14:schemeClr w14:val="tx1"/>
            </w14:solidFill>
          </w14:textFill>
        </w:rPr>
        <w:t>商品房开发</w:t>
      </w:r>
      <w:r>
        <w:rPr>
          <w:rFonts w:ascii="仿宋_GB2312" w:hAnsi="仿宋_GB2312" w:eastAsia="仿宋_GB2312"/>
          <w:color w:val="000000" w:themeColor="text1"/>
          <w:sz w:val="32"/>
          <w:szCs w:val="32"/>
          <w14:textFill>
            <w14:solidFill>
              <w14:schemeClr w14:val="tx1"/>
            </w14:solidFill>
          </w14:textFill>
        </w:rPr>
        <w:t>项目</w:t>
      </w:r>
      <w:r>
        <w:rPr>
          <w:rFonts w:hint="eastAsia" w:ascii="仿宋_GB2312" w:hAnsi="仿宋_GB2312" w:eastAsia="仿宋_GB2312"/>
          <w:color w:val="000000" w:themeColor="text1"/>
          <w:sz w:val="32"/>
          <w:szCs w:val="32"/>
          <w14:textFill>
            <w14:solidFill>
              <w14:schemeClr w14:val="tx1"/>
            </w14:solidFill>
          </w14:textFill>
        </w:rPr>
        <w:t>所在新城住建</w:t>
      </w:r>
      <w:r>
        <w:rPr>
          <w:rFonts w:ascii="仿宋_GB2312" w:hAnsi="仿宋_GB2312" w:eastAsia="仿宋_GB2312"/>
          <w:color w:val="000000" w:themeColor="text1"/>
          <w:sz w:val="32"/>
          <w:szCs w:val="32"/>
          <w14:textFill>
            <w14:solidFill>
              <w14:schemeClr w14:val="tx1"/>
            </w14:solidFill>
          </w14:textFill>
        </w:rPr>
        <w:t>行政主管部门依法依规查处，记入企业诚信档案。</w:t>
      </w:r>
    </w:p>
    <w:p>
      <w:pPr>
        <w:keepNext w:val="0"/>
        <w:keepLines w:val="0"/>
        <w:pageBreakBefore w:val="0"/>
        <w:widowControl w:val="0"/>
        <w:tabs>
          <w:tab w:val="left" w:pos="8280"/>
        </w:tabs>
        <w:kinsoku/>
        <w:overflowPunct/>
        <w:topLinePunct w:val="0"/>
        <w:autoSpaceDE/>
        <w:autoSpaceDN/>
        <w:bidi w:val="0"/>
        <w:spacing w:line="560" w:lineRule="exact"/>
        <w:ind w:firstLine="360" w:firstLineChars="150"/>
        <w:textAlignment w:val="auto"/>
        <w:rPr>
          <w:rFonts w:ascii="仿宋_GB2312" w:hAnsi="仿宋_GB2312" w:eastAsia="仿宋_GB2312"/>
          <w:color w:val="000000" w:themeColor="text1"/>
          <w:sz w:val="32"/>
          <w:szCs w:val="32"/>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 xml:space="preserve"> 第三十条</w:t>
      </w:r>
      <w:r>
        <w:rPr>
          <w:rFonts w:ascii="仿宋_GB2312" w:hAnsi="仿宋_GB2312" w:eastAsia="仿宋_GB2312"/>
          <w:b w:val="0"/>
          <w:bCs w:val="0"/>
          <w:color w:val="000000" w:themeColor="text1"/>
          <w:sz w:val="32"/>
          <w:szCs w:val="32"/>
          <w14:textFill>
            <w14:solidFill>
              <w14:schemeClr w14:val="tx1"/>
            </w14:solidFill>
          </w14:textFill>
        </w:rPr>
        <w:t xml:space="preserve"> </w:t>
      </w:r>
      <w:r>
        <w:rPr>
          <w:rFonts w:ascii="仿宋_GB2312" w:hAnsi="仿宋_GB2312" w:eastAsia="仿宋_GB2312"/>
          <w:color w:val="000000" w:themeColor="text1"/>
          <w:sz w:val="32"/>
          <w:szCs w:val="32"/>
          <w14:textFill>
            <w14:solidFill>
              <w14:schemeClr w14:val="tx1"/>
            </w14:solidFill>
          </w14:textFill>
        </w:rPr>
        <w:t>监管银行违反规定或未按照商品房预售资金监管协议约定，擅自收存、维护以开发企业名义转入的资金，未按规定监控、</w:t>
      </w:r>
      <w:r>
        <w:rPr>
          <w:rFonts w:hint="eastAsia" w:ascii="仿宋_GB2312" w:hAnsi="仿宋_GB2312" w:eastAsia="仿宋_GB2312"/>
          <w:color w:val="000000" w:themeColor="text1"/>
          <w:sz w:val="32"/>
          <w:szCs w:val="32"/>
          <w14:textFill>
            <w14:solidFill>
              <w14:schemeClr w14:val="tx1"/>
            </w14:solidFill>
          </w14:textFill>
        </w:rPr>
        <w:t>反馈</w:t>
      </w:r>
      <w:r>
        <w:rPr>
          <w:rFonts w:ascii="仿宋_GB2312" w:hAnsi="仿宋_GB2312" w:eastAsia="仿宋_GB2312"/>
          <w:color w:val="000000" w:themeColor="text1"/>
          <w:sz w:val="32"/>
          <w:szCs w:val="32"/>
          <w14:textFill>
            <w14:solidFill>
              <w14:schemeClr w14:val="tx1"/>
            </w14:solidFill>
          </w14:textFill>
        </w:rPr>
        <w:t>购房</w:t>
      </w:r>
      <w:r>
        <w:rPr>
          <w:rFonts w:hint="eastAsia" w:ascii="仿宋_GB2312" w:hAnsi="仿宋_GB2312" w:eastAsia="仿宋_GB2312"/>
          <w:color w:val="000000" w:themeColor="text1"/>
          <w:sz w:val="32"/>
          <w:szCs w:val="32"/>
          <w14:textFill>
            <w14:solidFill>
              <w14:schemeClr w14:val="tx1"/>
            </w14:solidFill>
          </w14:textFill>
        </w:rPr>
        <w:t>贷款入</w:t>
      </w:r>
      <w:r>
        <w:rPr>
          <w:rFonts w:ascii="仿宋_GB2312" w:hAnsi="仿宋_GB2312" w:eastAsia="仿宋_GB2312"/>
          <w:color w:val="000000" w:themeColor="text1"/>
          <w:sz w:val="32"/>
          <w:szCs w:val="32"/>
          <w14:textFill>
            <w14:solidFill>
              <w14:schemeClr w14:val="tx1"/>
            </w14:solidFill>
          </w14:textFill>
        </w:rPr>
        <w:t>账情况，</w:t>
      </w:r>
      <w:r>
        <w:rPr>
          <w:rFonts w:hint="eastAsia" w:ascii="仿宋_GB2312" w:hAnsi="仿宋_GB2312" w:eastAsia="仿宋_GB2312"/>
          <w:color w:val="000000" w:themeColor="text1"/>
          <w:sz w:val="32"/>
          <w:szCs w:val="32"/>
          <w14:textFill>
            <w14:solidFill>
              <w14:schemeClr w14:val="tx1"/>
            </w14:solidFill>
          </w14:textFill>
        </w:rPr>
        <w:t>擅自拨</w:t>
      </w:r>
      <w:r>
        <w:rPr>
          <w:rFonts w:ascii="仿宋_GB2312" w:hAnsi="仿宋_GB2312" w:eastAsia="仿宋_GB2312"/>
          <w:color w:val="000000" w:themeColor="text1"/>
          <w:sz w:val="32"/>
          <w:szCs w:val="32"/>
          <w14:textFill>
            <w14:solidFill>
              <w14:schemeClr w14:val="tx1"/>
            </w14:solidFill>
          </w14:textFill>
        </w:rPr>
        <w:t>付资金，或存在其他违规行为的，依法承担相应法律责任;</w:t>
      </w:r>
      <w:r>
        <w:rPr>
          <w:rFonts w:hint="eastAsia" w:ascii="仿宋_GB2312" w:hAnsi="仿宋_GB2312" w:eastAsia="仿宋_GB2312"/>
          <w:color w:val="000000" w:themeColor="text1"/>
          <w:sz w:val="32"/>
          <w:szCs w:val="32"/>
          <w14:textFill>
            <w14:solidFill>
              <w14:schemeClr w14:val="tx1"/>
            </w14:solidFill>
          </w14:textFill>
        </w:rPr>
        <w:t>新区住建</w:t>
      </w:r>
      <w:r>
        <w:rPr>
          <w:rFonts w:ascii="仿宋_GB2312" w:hAnsi="仿宋_GB2312" w:eastAsia="仿宋_GB2312"/>
          <w:color w:val="000000" w:themeColor="text1"/>
          <w:sz w:val="32"/>
          <w:szCs w:val="32"/>
          <w14:textFill>
            <w14:solidFill>
              <w14:schemeClr w14:val="tx1"/>
            </w14:solidFill>
          </w14:textFill>
        </w:rPr>
        <w:t>行政主管部门可按合作协议约定暂停合作关系。</w:t>
      </w:r>
    </w:p>
    <w:p>
      <w:pPr>
        <w:keepNext w:val="0"/>
        <w:keepLines w:val="0"/>
        <w:pageBreakBefore w:val="0"/>
        <w:widowControl w:val="0"/>
        <w:tabs>
          <w:tab w:val="left" w:pos="8280"/>
        </w:tabs>
        <w:kinsoku/>
        <w:overflowPunct/>
        <w:topLinePunct w:val="0"/>
        <w:autoSpaceDE/>
        <w:autoSpaceDN/>
        <w:bidi w:val="0"/>
        <w:spacing w:line="560" w:lineRule="exact"/>
        <w:ind w:firstLine="800" w:firstLineChars="250"/>
        <w:textAlignment w:val="auto"/>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购房</w:t>
      </w:r>
      <w:r>
        <w:rPr>
          <w:rFonts w:hint="eastAsia" w:ascii="仿宋_GB2312" w:hAnsi="仿宋_GB2312" w:eastAsia="仿宋_GB2312"/>
          <w:color w:val="000000" w:themeColor="text1"/>
          <w:sz w:val="32"/>
          <w:szCs w:val="32"/>
          <w14:textFill>
            <w14:solidFill>
              <w14:schemeClr w14:val="tx1"/>
            </w14:solidFill>
          </w14:textFill>
        </w:rPr>
        <w:t>贷款</w:t>
      </w:r>
      <w:r>
        <w:rPr>
          <w:rFonts w:ascii="仿宋_GB2312" w:hAnsi="仿宋_GB2312" w:eastAsia="仿宋_GB2312"/>
          <w:color w:val="000000" w:themeColor="text1"/>
          <w:sz w:val="32"/>
          <w:szCs w:val="32"/>
          <w14:textFill>
            <w14:solidFill>
              <w14:schemeClr w14:val="tx1"/>
            </w14:solidFill>
          </w14:textFill>
        </w:rPr>
        <w:t>发放银行、住房公积金委托</w:t>
      </w:r>
      <w:r>
        <w:rPr>
          <w:rFonts w:hint="eastAsia" w:ascii="仿宋_GB2312" w:hAnsi="仿宋_GB2312" w:eastAsia="仿宋_GB2312"/>
          <w:color w:val="000000" w:themeColor="text1"/>
          <w:sz w:val="32"/>
          <w:szCs w:val="32"/>
          <w14:textFill>
            <w14:solidFill>
              <w14:schemeClr w14:val="tx1"/>
            </w14:solidFill>
          </w14:textFill>
        </w:rPr>
        <w:t>贷款</w:t>
      </w:r>
      <w:r>
        <w:rPr>
          <w:rFonts w:ascii="仿宋_GB2312" w:hAnsi="仿宋_GB2312" w:eastAsia="仿宋_GB2312"/>
          <w:color w:val="000000" w:themeColor="text1"/>
          <w:sz w:val="32"/>
          <w:szCs w:val="32"/>
          <w14:textFill>
            <w14:solidFill>
              <w14:schemeClr w14:val="tx1"/>
            </w14:solidFill>
          </w14:textFill>
        </w:rPr>
        <w:t>银行未按规定将发放的</w:t>
      </w:r>
      <w:r>
        <w:rPr>
          <w:rFonts w:hint="eastAsia" w:ascii="仿宋_GB2312" w:hAnsi="仿宋_GB2312" w:eastAsia="仿宋_GB2312"/>
          <w:color w:val="000000" w:themeColor="text1"/>
          <w:sz w:val="32"/>
          <w:szCs w:val="32"/>
          <w14:textFill>
            <w14:solidFill>
              <w14:schemeClr w14:val="tx1"/>
            </w14:solidFill>
          </w14:textFill>
        </w:rPr>
        <w:t>贷款</w:t>
      </w:r>
      <w:r>
        <w:rPr>
          <w:rFonts w:ascii="仿宋_GB2312" w:hAnsi="仿宋_GB2312" w:eastAsia="仿宋_GB2312"/>
          <w:color w:val="000000" w:themeColor="text1"/>
          <w:sz w:val="32"/>
          <w:szCs w:val="32"/>
          <w14:textFill>
            <w14:solidFill>
              <w14:schemeClr w14:val="tx1"/>
            </w14:solidFill>
          </w14:textFill>
        </w:rPr>
        <w:t>资金直接划转至监管账户的，依法承担相应法律责任;</w:t>
      </w:r>
      <w:r>
        <w:rPr>
          <w:rFonts w:hint="eastAsia" w:ascii="仿宋_GB2312" w:hAnsi="仿宋_GB2312" w:eastAsia="仿宋_GB2312"/>
          <w:color w:val="000000" w:themeColor="text1"/>
          <w:sz w:val="32"/>
          <w:szCs w:val="32"/>
          <w14:textFill>
            <w14:solidFill>
              <w14:schemeClr w14:val="tx1"/>
            </w14:solidFill>
          </w14:textFill>
        </w:rPr>
        <w:t>新区住建</w:t>
      </w:r>
      <w:r>
        <w:rPr>
          <w:rFonts w:ascii="仿宋_GB2312" w:hAnsi="仿宋_GB2312" w:eastAsia="仿宋_GB2312"/>
          <w:color w:val="000000" w:themeColor="text1"/>
          <w:sz w:val="32"/>
          <w:szCs w:val="32"/>
          <w14:textFill>
            <w14:solidFill>
              <w14:schemeClr w14:val="tx1"/>
            </w14:solidFill>
          </w14:textFill>
        </w:rPr>
        <w:t>行政主管部门可按合作协议约定暂停合作关系。</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对存在违规行为的监管银行、</w:t>
      </w:r>
      <w:r>
        <w:rPr>
          <w:rFonts w:hint="eastAsia" w:ascii="仿宋_GB2312" w:hAnsi="仿宋_GB2312" w:eastAsia="仿宋_GB2312"/>
          <w:color w:val="000000" w:themeColor="text1"/>
          <w:sz w:val="32"/>
          <w:szCs w:val="32"/>
          <w14:textFill>
            <w14:solidFill>
              <w14:schemeClr w14:val="tx1"/>
            </w14:solidFill>
          </w14:textFill>
        </w:rPr>
        <w:t>贷</w:t>
      </w:r>
      <w:r>
        <w:rPr>
          <w:rFonts w:ascii="仿宋_GB2312" w:hAnsi="仿宋_GB2312" w:eastAsia="仿宋_GB2312"/>
          <w:color w:val="000000" w:themeColor="text1"/>
          <w:sz w:val="32"/>
          <w:szCs w:val="32"/>
          <w14:textFill>
            <w14:solidFill>
              <w14:schemeClr w14:val="tx1"/>
            </w14:solidFill>
          </w14:textFill>
        </w:rPr>
        <w:t>款发放银行，住房公积金管理部门可按相关协议约定暂停与其合作关系，</w:t>
      </w:r>
      <w:r>
        <w:rPr>
          <w:rFonts w:hint="eastAsia" w:ascii="仿宋_GB2312" w:hAnsi="仿宋_GB2312" w:eastAsia="仿宋_GB2312"/>
          <w:color w:val="000000" w:themeColor="text1"/>
          <w:sz w:val="32"/>
          <w:szCs w:val="32"/>
          <w14:textFill>
            <w14:solidFill>
              <w14:schemeClr w14:val="tx1"/>
            </w14:solidFill>
          </w14:textFill>
        </w:rPr>
        <w:t>住建</w:t>
      </w:r>
      <w:r>
        <w:rPr>
          <w:rFonts w:ascii="仿宋_GB2312" w:hAnsi="仿宋_GB2312" w:eastAsia="仿宋_GB2312"/>
          <w:color w:val="000000" w:themeColor="text1"/>
          <w:sz w:val="32"/>
          <w:szCs w:val="32"/>
          <w14:textFill>
            <w14:solidFill>
              <w14:schemeClr w14:val="tx1"/>
            </w14:solidFill>
          </w14:textFill>
        </w:rPr>
        <w:t>行政主管部门可按相关协议约定暂停其他相关业务的合作关系，并通报金融主管部门依法查处。</w:t>
      </w:r>
      <w:r>
        <w:rPr>
          <w:rFonts w:hint="eastAsia" w:ascii="仿宋_GB2312" w:hAnsi="仿宋_GB2312" w:eastAsia="仿宋_GB2312"/>
          <w:color w:val="000000" w:themeColor="text1"/>
          <w:sz w:val="32"/>
          <w:szCs w:val="32"/>
          <w14:textFill>
            <w14:solidFill>
              <w14:schemeClr w14:val="tx1"/>
            </w14:solidFill>
          </w14:textFill>
        </w:rPr>
        <w:t>造成损失的，还应依法承担其他法律责任。</w:t>
      </w:r>
    </w:p>
    <w:p>
      <w:pPr>
        <w:keepNext w:val="0"/>
        <w:keepLines w:val="0"/>
        <w:pageBreakBefore w:val="0"/>
        <w:widowControl w:val="0"/>
        <w:tabs>
          <w:tab w:val="left" w:pos="8280"/>
        </w:tabs>
        <w:kinsoku/>
        <w:overflowPunct/>
        <w:topLinePunct w:val="0"/>
        <w:autoSpaceDE/>
        <w:autoSpaceDN/>
        <w:bidi w:val="0"/>
        <w:spacing w:line="560" w:lineRule="exact"/>
        <w:ind w:firstLine="0" w:firstLineChars="0"/>
        <w:textAlignment w:val="auto"/>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 xml:space="preserve"> </w:t>
      </w:r>
      <w:r>
        <w:rPr>
          <w:rFonts w:ascii="仿宋_GB2312" w:hAnsi="仿宋_GB2312" w:eastAsia="仿宋_GB2312"/>
          <w:color w:val="000000" w:themeColor="text1"/>
          <w:sz w:val="32"/>
          <w:szCs w:val="32"/>
          <w14:textFill>
            <w14:solidFill>
              <w14:schemeClr w14:val="tx1"/>
            </w14:solidFill>
          </w14:textFill>
        </w:rPr>
        <w:t xml:space="preserve">   </w:t>
      </w: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 xml:space="preserve">第三十一条 </w:t>
      </w:r>
      <w:r>
        <w:rPr>
          <w:rFonts w:hint="eastAsia" w:ascii="仿宋_GB2312" w:hAnsi="仿宋_GB2312" w:eastAsia="仿宋_GB2312"/>
          <w:color w:val="000000" w:themeColor="text1"/>
          <w:sz w:val="32"/>
          <w:szCs w:val="32"/>
          <w14:textFill>
            <w14:solidFill>
              <w14:schemeClr w14:val="tx1"/>
            </w14:solidFill>
          </w14:textFill>
        </w:rPr>
        <w:t>施工单位、工程监理机构提供虚假工程施工进度资料的，除由住建行政主管部门依法依规处理外，还应依法承担其他法律责任。</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color w:val="000000" w:themeColor="text1"/>
          <w:sz w:val="32"/>
          <w:szCs w:val="32"/>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第三十二条</w:t>
      </w:r>
      <w:r>
        <w:rPr>
          <w:rFonts w:hint="eastAsia" w:ascii="仿宋_GB2312" w:hAnsi="仿宋_GB2312" w:eastAsia="仿宋_GB2312"/>
          <w:color w:val="000000" w:themeColor="text1"/>
          <w:sz w:val="32"/>
          <w:szCs w:val="32"/>
          <w14:textFill>
            <w14:solidFill>
              <w14:schemeClr w14:val="tx1"/>
            </w14:solidFill>
          </w14:textFill>
        </w:rPr>
        <w:t xml:space="preserve"> 新城住建行政主管部门工作人员在资金监管工作中玩忽职守、滥用职权、徇私舞弊的，依法进行处理。</w:t>
      </w:r>
    </w:p>
    <w:p>
      <w:pPr>
        <w:keepNext w:val="0"/>
        <w:keepLines w:val="0"/>
        <w:pageBreakBefore w:val="0"/>
        <w:widowControl w:val="0"/>
        <w:tabs>
          <w:tab w:val="left" w:pos="8280"/>
        </w:tabs>
        <w:kinsoku/>
        <w:overflowPunct/>
        <w:topLinePunct w:val="0"/>
        <w:autoSpaceDE/>
        <w:autoSpaceDN/>
        <w:bidi w:val="0"/>
        <w:spacing w:line="560" w:lineRule="exact"/>
        <w:ind w:firstLine="480" w:firstLineChars="150"/>
        <w:jc w:val="center"/>
        <w:textAlignment w:val="auto"/>
        <w:rPr>
          <w:rFonts w:ascii="黑体" w:hAnsi="黑体" w:eastAsia="黑体"/>
          <w:bCs/>
          <w:color w:val="000000" w:themeColor="text1"/>
          <w:sz w:val="32"/>
          <w:szCs w:val="32"/>
          <w14:textFill>
            <w14:solidFill>
              <w14:schemeClr w14:val="tx1"/>
            </w14:solidFill>
          </w14:textFill>
        </w:rPr>
      </w:pPr>
    </w:p>
    <w:p>
      <w:pPr>
        <w:keepNext w:val="0"/>
        <w:keepLines w:val="0"/>
        <w:pageBreakBefore w:val="0"/>
        <w:widowControl w:val="0"/>
        <w:tabs>
          <w:tab w:val="left" w:pos="8280"/>
        </w:tabs>
        <w:kinsoku/>
        <w:overflowPunct/>
        <w:topLinePunct w:val="0"/>
        <w:autoSpaceDE/>
        <w:autoSpaceDN/>
        <w:bidi w:val="0"/>
        <w:spacing w:line="560" w:lineRule="exact"/>
        <w:ind w:firstLine="480" w:firstLineChars="150"/>
        <w:jc w:val="center"/>
        <w:textAlignment w:val="auto"/>
        <w:rPr>
          <w:rFonts w:ascii="黑体" w:hAnsi="黑体" w:eastAsia="黑体"/>
          <w:bCs/>
          <w:color w:val="000000" w:themeColor="text1"/>
          <w:sz w:val="32"/>
          <w:szCs w:val="32"/>
          <w14:textFill>
            <w14:solidFill>
              <w14:schemeClr w14:val="tx1"/>
            </w14:solidFill>
          </w14:textFill>
        </w:rPr>
      </w:pPr>
      <w:r>
        <w:rPr>
          <w:rFonts w:ascii="黑体" w:hAnsi="黑体" w:eastAsia="黑体"/>
          <w:bCs/>
          <w:color w:val="000000" w:themeColor="text1"/>
          <w:sz w:val="32"/>
          <w:szCs w:val="32"/>
          <w14:textFill>
            <w14:solidFill>
              <w14:schemeClr w14:val="tx1"/>
            </w14:solidFill>
          </w14:textFill>
        </w:rPr>
        <w:t>第</w:t>
      </w:r>
      <w:r>
        <w:rPr>
          <w:rFonts w:hint="eastAsia" w:ascii="黑体" w:hAnsi="黑体" w:eastAsia="黑体"/>
          <w:bCs/>
          <w:color w:val="000000" w:themeColor="text1"/>
          <w:sz w:val="32"/>
          <w:szCs w:val="32"/>
          <w14:textFill>
            <w14:solidFill>
              <w14:schemeClr w14:val="tx1"/>
            </w14:solidFill>
          </w14:textFill>
        </w:rPr>
        <w:t>六</w:t>
      </w:r>
      <w:r>
        <w:rPr>
          <w:rFonts w:ascii="黑体" w:hAnsi="黑体" w:eastAsia="黑体"/>
          <w:bCs/>
          <w:color w:val="000000" w:themeColor="text1"/>
          <w:sz w:val="32"/>
          <w:szCs w:val="32"/>
          <w14:textFill>
            <w14:solidFill>
              <w14:schemeClr w14:val="tx1"/>
            </w14:solidFill>
          </w14:textFill>
        </w:rPr>
        <w:t>章</w:t>
      </w:r>
      <w:r>
        <w:rPr>
          <w:rFonts w:hint="eastAsia" w:ascii="黑体" w:hAnsi="黑体" w:eastAsia="黑体"/>
          <w:bCs/>
          <w:color w:val="000000" w:themeColor="text1"/>
          <w:sz w:val="32"/>
          <w:szCs w:val="32"/>
          <w14:textFill>
            <w14:solidFill>
              <w14:schemeClr w14:val="tx1"/>
            </w14:solidFill>
          </w14:textFill>
        </w:rPr>
        <w:t xml:space="preserve">  </w:t>
      </w:r>
      <w:r>
        <w:rPr>
          <w:rFonts w:ascii="黑体" w:hAnsi="黑体" w:eastAsia="黑体"/>
          <w:bCs/>
          <w:color w:val="000000" w:themeColor="text1"/>
          <w:sz w:val="32"/>
          <w:szCs w:val="32"/>
          <w14:textFill>
            <w14:solidFill>
              <w14:schemeClr w14:val="tx1"/>
            </w14:solidFill>
          </w14:textFill>
        </w:rPr>
        <w:t>附则</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textAlignment w:val="auto"/>
        <w:rPr>
          <w:rFonts w:ascii="仿宋_GB2312" w:hAnsi="仿宋_GB2312" w:eastAsia="仿宋_GB2312"/>
          <w:color w:val="000000" w:themeColor="text1"/>
          <w:sz w:val="32"/>
          <w:szCs w:val="32"/>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第三十三条</w:t>
      </w:r>
      <w:r>
        <w:rPr>
          <w:rFonts w:hint="eastAsia" w:ascii="仿宋_GB2312" w:hAnsi="仿宋_GB2312" w:eastAsia="仿宋_GB2312"/>
          <w:color w:val="000000" w:themeColor="text1"/>
          <w:sz w:val="32"/>
          <w:szCs w:val="32"/>
          <w14:textFill>
            <w14:solidFill>
              <w14:schemeClr w14:val="tx1"/>
            </w14:solidFill>
          </w14:textFill>
        </w:rPr>
        <w:t xml:space="preserve"> </w:t>
      </w:r>
      <w:r>
        <w:rPr>
          <w:rFonts w:hint="eastAsia" w:ascii="仿宋_GB2312" w:hAnsi="仿宋_GB2312" w:eastAsia="仿宋_GB2312"/>
          <w:color w:val="000000" w:themeColor="text1"/>
          <w:sz w:val="32"/>
          <w:szCs w:val="32"/>
          <w:highlight w:val="none"/>
          <w14:textFill>
            <w14:solidFill>
              <w14:schemeClr w14:val="tx1"/>
            </w14:solidFill>
          </w14:textFill>
        </w:rPr>
        <w:t>针对有特殊约定或承诺的</w:t>
      </w:r>
      <w:r>
        <w:rPr>
          <w:rFonts w:hint="eastAsia" w:ascii="仿宋_GB2312" w:hAnsi="仿宋_GB2312" w:eastAsia="仿宋_GB2312"/>
          <w:color w:val="000000" w:themeColor="text1"/>
          <w:sz w:val="32"/>
          <w:szCs w:val="32"/>
          <w14:textFill>
            <w14:solidFill>
              <w14:schemeClr w14:val="tx1"/>
            </w14:solidFill>
          </w14:textFill>
        </w:rPr>
        <w:t>关联</w:t>
      </w:r>
      <w:r>
        <w:rPr>
          <w:rFonts w:hint="eastAsia" w:ascii="仿宋_GB2312" w:hAnsi="仿宋_GB2312" w:eastAsia="仿宋_GB2312"/>
          <w:color w:val="000000" w:themeColor="text1"/>
          <w:sz w:val="32"/>
          <w:szCs w:val="32"/>
          <w:highlight w:val="none"/>
          <w14:textFill>
            <w14:solidFill>
              <w14:schemeClr w14:val="tx1"/>
            </w14:solidFill>
          </w14:textFill>
        </w:rPr>
        <w:t>项目，预售资金监管还应执行相关特殊约定或承诺要求。</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jc w:val="left"/>
        <w:textAlignment w:val="auto"/>
        <w:rPr>
          <w:rFonts w:hint="eastAsia" w:ascii="仿宋_GB2312" w:hAnsi="仿宋_GB2312" w:eastAsia="仿宋_GB2312"/>
          <w:color w:val="000000" w:themeColor="text1"/>
          <w:sz w:val="32"/>
          <w:szCs w:val="32"/>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第三十四条</w:t>
      </w:r>
      <w:r>
        <w:rPr>
          <w:rFonts w:hint="eastAsia" w:ascii="仿宋_GB2312" w:hAnsi="仿宋_GB2312" w:eastAsia="仿宋_GB2312"/>
          <w:b/>
          <w:bCs/>
          <w:color w:val="000000" w:themeColor="text1"/>
          <w:sz w:val="32"/>
          <w:szCs w:val="32"/>
          <w14:textFill>
            <w14:solidFill>
              <w14:schemeClr w14:val="tx1"/>
            </w14:solidFill>
          </w14:textFill>
        </w:rPr>
        <w:t xml:space="preserve"> </w:t>
      </w:r>
      <w:r>
        <w:rPr>
          <w:rFonts w:ascii="仿宋_GB2312" w:hAnsi="仿宋_GB2312" w:eastAsia="仿宋_GB2312"/>
          <w:color w:val="000000" w:themeColor="text1"/>
          <w:sz w:val="32"/>
          <w:szCs w:val="32"/>
          <w14:textFill>
            <w14:solidFill>
              <w14:schemeClr w14:val="tx1"/>
            </w14:solidFill>
          </w14:textFill>
        </w:rPr>
        <w:t>本办法自2021年</w:t>
      </w:r>
      <w:r>
        <w:rPr>
          <w:rFonts w:hint="eastAsia" w:ascii="仿宋_GB2312" w:hAnsi="仿宋_GB2312" w:eastAsia="仿宋_GB2312"/>
          <w:color w:val="000000" w:themeColor="text1"/>
          <w:sz w:val="32"/>
          <w:szCs w:val="32"/>
          <w14:textFill>
            <w14:solidFill>
              <w14:schemeClr w14:val="tx1"/>
            </w14:solidFill>
          </w14:textFill>
        </w:rPr>
        <w:t>1</w:t>
      </w:r>
      <w:r>
        <w:rPr>
          <w:rFonts w:ascii="仿宋_GB2312" w:hAnsi="仿宋_GB2312" w:eastAsia="仿宋_GB2312"/>
          <w:color w:val="000000" w:themeColor="text1"/>
          <w:sz w:val="32"/>
          <w:szCs w:val="32"/>
          <w14:textFill>
            <w14:solidFill>
              <w14:schemeClr w14:val="tx1"/>
            </w14:solidFill>
          </w14:textFill>
        </w:rPr>
        <w:t>月</w:t>
      </w:r>
      <w:r>
        <w:rPr>
          <w:rFonts w:hint="eastAsia" w:ascii="仿宋_GB2312" w:hAnsi="仿宋_GB2312" w:eastAsia="仿宋_GB2312"/>
          <w:color w:val="000000" w:themeColor="text1"/>
          <w:sz w:val="32"/>
          <w:szCs w:val="32"/>
          <w14:textFill>
            <w14:solidFill>
              <w14:schemeClr w14:val="tx1"/>
            </w14:solidFill>
          </w14:textFill>
        </w:rPr>
        <w:t>1</w:t>
      </w:r>
      <w:r>
        <w:rPr>
          <w:rFonts w:ascii="仿宋_GB2312" w:hAnsi="仿宋_GB2312" w:eastAsia="仿宋_GB2312"/>
          <w:color w:val="000000" w:themeColor="text1"/>
          <w:sz w:val="32"/>
          <w:szCs w:val="32"/>
          <w14:textFill>
            <w14:solidFill>
              <w14:schemeClr w14:val="tx1"/>
            </w14:solidFill>
          </w14:textFill>
        </w:rPr>
        <w:t>日起施行，有效期5年。</w:t>
      </w:r>
      <w:r>
        <w:rPr>
          <w:rFonts w:hint="eastAsia" w:ascii="仿宋_GB2312" w:hAnsi="仿宋_GB2312" w:eastAsia="仿宋_GB2312"/>
          <w:color w:val="000000" w:themeColor="text1"/>
          <w:sz w:val="32"/>
          <w:szCs w:val="32"/>
          <w14:textFill>
            <w14:solidFill>
              <w14:schemeClr w14:val="tx1"/>
            </w14:solidFill>
          </w14:textFill>
        </w:rPr>
        <w:t>原《西咸新区商品房预售资金监督管理办法（试行）》（陕西咸规建发</w:t>
      </w:r>
      <w:r>
        <w:rPr>
          <w:rFonts w:hint="eastAsia" w:ascii="仿宋_GB2312" w:hAnsi="仿宋_GB2312" w:eastAsia="仿宋_GB2312" w:cs="仿宋_GB2312"/>
          <w:color w:val="000000" w:themeColor="text1"/>
          <w:sz w:val="32"/>
          <w:szCs w:val="32"/>
          <w14:textFill>
            <w14:solidFill>
              <w14:schemeClr w14:val="tx1"/>
            </w14:solidFill>
          </w14:textFill>
        </w:rPr>
        <w:t>〔2020〕4号</w:t>
      </w:r>
      <w:r>
        <w:rPr>
          <w:rFonts w:hint="eastAsia" w:ascii="仿宋_GB2312" w:hAnsi="仿宋_GB2312" w:eastAsia="仿宋_GB2312"/>
          <w:color w:val="000000" w:themeColor="text1"/>
          <w:sz w:val="32"/>
          <w:szCs w:val="32"/>
          <w14:textFill>
            <w14:solidFill>
              <w14:schemeClr w14:val="tx1"/>
            </w14:solidFill>
          </w14:textFill>
        </w:rPr>
        <w:t>）同时废止。</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jc w:val="left"/>
        <w:textAlignment w:val="auto"/>
        <w:rPr>
          <w:rFonts w:hint="eastAsia" w:ascii="仿宋_GB2312" w:hAnsi="仿宋_GB2312" w:eastAsia="仿宋_GB2312"/>
          <w:color w:val="000000" w:themeColor="text1"/>
          <w:sz w:val="32"/>
          <w:szCs w:val="32"/>
          <w14:textFill>
            <w14:solidFill>
              <w14:schemeClr w14:val="tx1"/>
            </w14:solidFill>
          </w14:textFill>
        </w:rPr>
      </w:pPr>
    </w:p>
    <w:p>
      <w:pPr>
        <w:pStyle w:val="13"/>
        <w:keepNext w:val="0"/>
        <w:keepLines w:val="0"/>
        <w:pageBreakBefore w:val="0"/>
        <w:widowControl w:val="0"/>
        <w:kinsoku/>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theme="minorBidi"/>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olor w:val="000000" w:themeColor="text1"/>
          <w:sz w:val="32"/>
          <w:szCs w:val="32"/>
          <w:lang w:val="en-US" w:eastAsia="zh-CN"/>
          <w14:textFill>
            <w14:solidFill>
              <w14:schemeClr w14:val="tx1"/>
            </w14:solidFill>
          </w14:textFill>
        </w:rPr>
        <w:t>附件：1.</w:t>
      </w:r>
      <w:r>
        <w:rPr>
          <w:rFonts w:hint="eastAsia" w:ascii="仿宋_GB2312" w:hAnsi="仿宋_GB2312" w:eastAsia="仿宋_GB2312" w:cstheme="minorBidi"/>
          <w:color w:val="000000" w:themeColor="text1"/>
          <w:kern w:val="2"/>
          <w:sz w:val="32"/>
          <w:szCs w:val="32"/>
          <w:lang w:val="en-US" w:eastAsia="zh-CN" w:bidi="ar-SA"/>
          <w14:textFill>
            <w14:solidFill>
              <w14:schemeClr w14:val="tx1"/>
            </w14:solidFill>
          </w14:textFill>
        </w:rPr>
        <w:t>商业与住宅关联项目预售资金监督管理实施细则</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jc w:val="left"/>
        <w:textAlignment w:val="auto"/>
        <w:rPr>
          <w:rFonts w:hint="eastAsia" w:ascii="仿宋_GB2312" w:hAnsi="仿宋_GB2312" w:eastAsia="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olor w:val="000000" w:themeColor="text1"/>
          <w:sz w:val="32"/>
          <w:szCs w:val="32"/>
          <w:lang w:val="en-US" w:eastAsia="zh-CN"/>
          <w14:textFill>
            <w14:solidFill>
              <w14:schemeClr w14:val="tx1"/>
            </w14:solidFill>
          </w14:textFill>
        </w:rPr>
        <w:t xml:space="preserve">      2.西咸新区商品房预售资金监管合作协议</w:t>
      </w:r>
    </w:p>
    <w:p>
      <w:pPr>
        <w:keepNext w:val="0"/>
        <w:keepLines w:val="0"/>
        <w:pageBreakBefore w:val="0"/>
        <w:widowControl w:val="0"/>
        <w:tabs>
          <w:tab w:val="left" w:pos="8280"/>
        </w:tabs>
        <w:kinsoku/>
        <w:overflowPunct/>
        <w:topLinePunct w:val="0"/>
        <w:autoSpaceDE/>
        <w:autoSpaceDN/>
        <w:bidi w:val="0"/>
        <w:spacing w:line="560" w:lineRule="exact"/>
        <w:ind w:firstLine="640" w:firstLineChars="200"/>
        <w:jc w:val="left"/>
        <w:textAlignment w:val="auto"/>
        <w:rPr>
          <w:rFonts w:hint="eastAsia" w:ascii="仿宋_GB2312" w:hAnsi="仿宋_GB2312" w:eastAsia="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olor w:val="000000" w:themeColor="text1"/>
          <w:sz w:val="32"/>
          <w:szCs w:val="32"/>
          <w:lang w:val="en-US" w:eastAsia="zh-CN"/>
          <w14:textFill>
            <w14:solidFill>
              <w14:schemeClr w14:val="tx1"/>
            </w14:solidFill>
          </w14:textFill>
        </w:rPr>
        <w:t xml:space="preserve">      3.西咸新区商品房预售资金监管协议书</w:t>
      </w:r>
    </w:p>
    <w:p>
      <w:pPr>
        <w:keepNext w:val="0"/>
        <w:keepLines w:val="0"/>
        <w:pageBreakBefore w:val="0"/>
        <w:widowControl w:val="0"/>
        <w:tabs>
          <w:tab w:val="left" w:pos="8280"/>
        </w:tabs>
        <w:kinsoku/>
        <w:overflowPunct/>
        <w:topLinePunct w:val="0"/>
        <w:autoSpaceDE/>
        <w:autoSpaceDN/>
        <w:bidi w:val="0"/>
        <w:spacing w:line="560" w:lineRule="exact"/>
        <w:ind w:firstLine="1600" w:firstLineChars="500"/>
        <w:jc w:val="left"/>
        <w:textAlignment w:val="auto"/>
        <w:rPr>
          <w:rFonts w:hint="eastAsia" w:ascii="仿宋_GB2312" w:hAnsi="仿宋_GB2312" w:eastAsia="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olor w:val="000000" w:themeColor="text1"/>
          <w:sz w:val="32"/>
          <w:szCs w:val="32"/>
          <w:lang w:val="en-US" w:eastAsia="zh-CN"/>
          <w14:textFill>
            <w14:solidFill>
              <w14:schemeClr w14:val="tx1"/>
            </w14:solidFill>
          </w14:textFill>
        </w:rPr>
        <w:t>4.西咸新区商品房预售资金监管账户变更申请表</w:t>
      </w:r>
    </w:p>
    <w:p>
      <w:pPr>
        <w:keepNext w:val="0"/>
        <w:keepLines w:val="0"/>
        <w:pageBreakBefore w:val="0"/>
        <w:widowControl w:val="0"/>
        <w:tabs>
          <w:tab w:val="left" w:pos="8280"/>
        </w:tabs>
        <w:kinsoku/>
        <w:overflowPunct/>
        <w:topLinePunct w:val="0"/>
        <w:autoSpaceDE/>
        <w:autoSpaceDN/>
        <w:bidi w:val="0"/>
        <w:spacing w:line="560" w:lineRule="exact"/>
        <w:ind w:firstLine="1600" w:firstLineChars="500"/>
        <w:jc w:val="left"/>
        <w:textAlignment w:val="auto"/>
        <w:rPr>
          <w:rFonts w:hint="eastAsia" w:ascii="仿宋_GB2312" w:hAnsi="仿宋_GB2312" w:eastAsia="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olor w:val="000000" w:themeColor="text1"/>
          <w:sz w:val="32"/>
          <w:szCs w:val="32"/>
          <w:lang w:val="en-US" w:eastAsia="zh-CN"/>
          <w14:textFill>
            <w14:solidFill>
              <w14:schemeClr w14:val="tx1"/>
            </w14:solidFill>
          </w14:textFill>
        </w:rPr>
        <w:t>5.西咸新区商品房预售重点监管资金（关联项目预售</w:t>
      </w:r>
    </w:p>
    <w:p>
      <w:pPr>
        <w:keepNext w:val="0"/>
        <w:keepLines w:val="0"/>
        <w:pageBreakBefore w:val="0"/>
        <w:widowControl w:val="0"/>
        <w:tabs>
          <w:tab w:val="left" w:pos="8280"/>
        </w:tabs>
        <w:kinsoku/>
        <w:overflowPunct/>
        <w:topLinePunct w:val="0"/>
        <w:autoSpaceDE/>
        <w:autoSpaceDN/>
        <w:bidi w:val="0"/>
        <w:spacing w:line="560" w:lineRule="exact"/>
        <w:ind w:firstLine="1920" w:firstLineChars="600"/>
        <w:jc w:val="left"/>
        <w:textAlignment w:val="auto"/>
        <w:rPr>
          <w:rFonts w:hint="default" w:ascii="仿宋_GB2312" w:hAnsi="仿宋_GB2312" w:eastAsia="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olor w:val="000000" w:themeColor="text1"/>
          <w:sz w:val="32"/>
          <w:szCs w:val="32"/>
          <w:lang w:val="en-US" w:eastAsia="zh-CN"/>
          <w14:textFill>
            <w14:solidFill>
              <w14:schemeClr w14:val="tx1"/>
            </w14:solidFill>
          </w14:textFill>
        </w:rPr>
        <w:t>资金）使用审批表</w:t>
      </w:r>
    </w:p>
    <w:p>
      <w:pPr>
        <w:pStyle w:val="12"/>
        <w:keepNext w:val="0"/>
        <w:keepLines w:val="0"/>
        <w:pageBreakBefore w:val="0"/>
        <w:widowControl w:val="0"/>
        <w:tabs>
          <w:tab w:val="left" w:pos="1440"/>
          <w:tab w:val="left" w:pos="2340"/>
          <w:tab w:val="left" w:pos="2880"/>
          <w:tab w:val="left" w:pos="3240"/>
          <w:tab w:val="left" w:pos="3420"/>
          <w:tab w:val="left" w:pos="3780"/>
          <w:tab w:val="left" w:pos="3960"/>
          <w:tab w:val="left" w:pos="4860"/>
        </w:tabs>
        <w:kinsoku/>
        <w:overflowPunct/>
        <w:topLinePunct w:val="0"/>
        <w:autoSpaceDE/>
        <w:autoSpaceDN/>
        <w:bidi w:val="0"/>
        <w:spacing w:line="560" w:lineRule="exact"/>
        <w:ind w:firstLine="0" w:firstLineChars="0"/>
        <w:textAlignment w:val="auto"/>
        <w:rPr>
          <w:rFonts w:ascii="仿宋_GB2312" w:hAnsi="仿宋_GB2312" w:eastAsia="仿宋_GB2312"/>
          <w:bCs/>
          <w:color w:val="000000" w:themeColor="text1"/>
          <w:sz w:val="32"/>
          <w:szCs w:val="32"/>
          <w14:textFill>
            <w14:solidFill>
              <w14:schemeClr w14:val="tx1"/>
            </w14:solidFill>
          </w14:textFill>
        </w:rPr>
      </w:pPr>
      <w:r>
        <w:rPr>
          <w:rFonts w:ascii="仿宋_GB2312" w:hAnsi="仿宋_GB2312" w:eastAsia="仿宋_GB2312"/>
          <w:bCs/>
          <w:color w:val="000000" w:themeColor="text1"/>
          <w:sz w:val="32"/>
          <w:szCs w:val="32"/>
          <w14:textFill>
            <w14:solidFill>
              <w14:schemeClr w14:val="tx1"/>
            </w14:solidFill>
          </w14:textFill>
        </w:rPr>
        <w:br w:type="page"/>
      </w:r>
    </w:p>
    <w:p>
      <w:pPr>
        <w:pStyle w:val="13"/>
        <w:keepNext w:val="0"/>
        <w:keepLines w:val="0"/>
        <w:pageBreakBefore w:val="0"/>
        <w:widowControl w:val="0"/>
        <w:kinsoku/>
        <w:overflowPunct/>
        <w:topLinePunct w:val="0"/>
        <w:autoSpaceDE/>
        <w:autoSpaceDN/>
        <w:bidi w:val="0"/>
        <w:spacing w:line="620" w:lineRule="exact"/>
        <w:ind w:left="0" w:leftChars="0" w:firstLine="0" w:firstLineChars="0"/>
        <w:textAlignment w:val="auto"/>
        <w:rPr>
          <w:rFonts w:hint="eastAsia" w:ascii="仿宋_GB2312" w:hAnsi="仿宋" w:eastAsia="仿宋_GB2312"/>
          <w:color w:val="000000" w:themeColor="text1"/>
          <w:sz w:val="32"/>
          <w:szCs w:val="32"/>
          <w:lang w:eastAsia="zh-CN" w:bidi="en-US"/>
          <w14:textFill>
            <w14:solidFill>
              <w14:schemeClr w14:val="tx1"/>
            </w14:solidFill>
          </w14:textFill>
        </w:rPr>
      </w:pPr>
      <w:r>
        <w:rPr>
          <w:rFonts w:hint="eastAsia" w:ascii="黑体" w:hAnsi="黑体" w:eastAsia="黑体" w:cs="黑体"/>
          <w:color w:val="000000" w:themeColor="text1"/>
          <w:sz w:val="32"/>
          <w:szCs w:val="32"/>
          <w:lang w:eastAsia="zh-CN" w:bidi="en-US"/>
          <w14:textFill>
            <w14:solidFill>
              <w14:schemeClr w14:val="tx1"/>
            </w14:solidFill>
          </w14:textFill>
        </w:rPr>
        <w:t>附件1</w:t>
      </w:r>
    </w:p>
    <w:p>
      <w:pPr>
        <w:pStyle w:val="13"/>
        <w:keepNext w:val="0"/>
        <w:keepLines w:val="0"/>
        <w:pageBreakBefore w:val="0"/>
        <w:widowControl w:val="0"/>
        <w:kinsoku/>
        <w:overflowPunct/>
        <w:topLinePunct w:val="0"/>
        <w:autoSpaceDE/>
        <w:autoSpaceDN/>
        <w:bidi w:val="0"/>
        <w:spacing w:line="620" w:lineRule="exact"/>
        <w:ind w:firstLine="0"/>
        <w:jc w:val="center"/>
        <w:textAlignment w:val="auto"/>
        <w:rPr>
          <w:rFonts w:ascii="方正小标宋简体" w:hAnsi="仿宋" w:eastAsia="方正小标宋简体"/>
          <w:color w:val="000000" w:themeColor="text1"/>
          <w:sz w:val="44"/>
          <w:szCs w:val="44"/>
          <w:lang w:eastAsia="zh-CN" w:bidi="en-US"/>
          <w14:textFill>
            <w14:solidFill>
              <w14:schemeClr w14:val="tx1"/>
            </w14:solidFill>
          </w14:textFill>
        </w:rPr>
      </w:pPr>
      <w:r>
        <w:rPr>
          <w:rFonts w:hint="eastAsia" w:ascii="方正小标宋简体" w:hAnsi="仿宋" w:eastAsia="方正小标宋简体"/>
          <w:color w:val="000000" w:themeColor="text1"/>
          <w:sz w:val="44"/>
          <w:szCs w:val="44"/>
          <w:lang w:eastAsia="zh-CN" w:bidi="en-US"/>
          <w14:textFill>
            <w14:solidFill>
              <w14:schemeClr w14:val="tx1"/>
            </w14:solidFill>
          </w14:textFill>
        </w:rPr>
        <w:t>商业与住宅关联项目预售资金监督</w:t>
      </w:r>
    </w:p>
    <w:p>
      <w:pPr>
        <w:pStyle w:val="13"/>
        <w:keepNext w:val="0"/>
        <w:keepLines w:val="0"/>
        <w:pageBreakBefore w:val="0"/>
        <w:widowControl w:val="0"/>
        <w:kinsoku/>
        <w:overflowPunct/>
        <w:topLinePunct w:val="0"/>
        <w:autoSpaceDE/>
        <w:autoSpaceDN/>
        <w:bidi w:val="0"/>
        <w:spacing w:line="620" w:lineRule="exact"/>
        <w:ind w:firstLine="0"/>
        <w:jc w:val="center"/>
        <w:textAlignment w:val="auto"/>
        <w:rPr>
          <w:rFonts w:ascii="方正小标宋简体" w:hAnsi="仿宋" w:eastAsia="方正小标宋简体"/>
          <w:color w:val="000000" w:themeColor="text1"/>
          <w:sz w:val="44"/>
          <w:szCs w:val="44"/>
          <w:lang w:eastAsia="zh-CN" w:bidi="en-US"/>
          <w14:textFill>
            <w14:solidFill>
              <w14:schemeClr w14:val="tx1"/>
            </w14:solidFill>
          </w14:textFill>
        </w:rPr>
      </w:pPr>
      <w:r>
        <w:rPr>
          <w:rFonts w:hint="eastAsia" w:ascii="方正小标宋简体" w:hAnsi="仿宋" w:eastAsia="方正小标宋简体"/>
          <w:color w:val="000000" w:themeColor="text1"/>
          <w:sz w:val="44"/>
          <w:szCs w:val="44"/>
          <w:lang w:eastAsia="zh-CN" w:bidi="en-US"/>
          <w14:textFill>
            <w14:solidFill>
              <w14:schemeClr w14:val="tx1"/>
            </w14:solidFill>
          </w14:textFill>
        </w:rPr>
        <w:t>管理实施细则</w:t>
      </w:r>
    </w:p>
    <w:p>
      <w:pPr>
        <w:pStyle w:val="13"/>
        <w:keepNext w:val="0"/>
        <w:keepLines w:val="0"/>
        <w:pageBreakBefore w:val="0"/>
        <w:widowControl w:val="0"/>
        <w:kinsoku/>
        <w:overflowPunct/>
        <w:topLinePunct w:val="0"/>
        <w:autoSpaceDE/>
        <w:autoSpaceDN/>
        <w:bidi w:val="0"/>
        <w:spacing w:line="620" w:lineRule="exact"/>
        <w:ind w:firstLine="0"/>
        <w:jc w:val="both"/>
        <w:textAlignment w:val="auto"/>
        <w:rPr>
          <w:rFonts w:ascii="仿宋_GB2312" w:hAnsi="仿宋" w:eastAsia="仿宋_GB2312"/>
          <w:color w:val="000000" w:themeColor="text1"/>
          <w:sz w:val="32"/>
          <w:szCs w:val="32"/>
          <w:lang w:eastAsia="zh-CN" w:bidi="en-US"/>
          <w14:textFill>
            <w14:solidFill>
              <w14:schemeClr w14:val="tx1"/>
            </w14:solidFill>
          </w14:textFill>
        </w:rPr>
      </w:pPr>
    </w:p>
    <w:p>
      <w:pPr>
        <w:pStyle w:val="13"/>
        <w:keepNext w:val="0"/>
        <w:keepLines w:val="0"/>
        <w:pageBreakBefore w:val="0"/>
        <w:widowControl w:val="0"/>
        <w:kinsoku/>
        <w:overflowPunct/>
        <w:topLinePunct w:val="0"/>
        <w:autoSpaceDE/>
        <w:autoSpaceDN/>
        <w:bidi w:val="0"/>
        <w:spacing w:line="620" w:lineRule="exact"/>
        <w:ind w:firstLine="0"/>
        <w:jc w:val="both"/>
        <w:textAlignment w:val="auto"/>
        <w:rPr>
          <w:rFonts w:hint="eastAsia" w:ascii="仿宋_GB2312" w:hAnsi="仿宋_GB2312" w:eastAsia="仿宋_GB2312" w:cstheme="minorBidi"/>
          <w:color w:val="000000" w:themeColor="text1"/>
          <w:kern w:val="0"/>
          <w:sz w:val="32"/>
          <w:szCs w:val="32"/>
          <w:lang w:val="en-US" w:eastAsia="zh-CN" w:bidi="ar-SA"/>
          <w14:textFill>
            <w14:solidFill>
              <w14:schemeClr w14:val="tx1"/>
            </w14:solidFill>
          </w14:textFill>
        </w:rPr>
      </w:pPr>
      <w:r>
        <w:rPr>
          <w:rFonts w:hint="eastAsia" w:ascii="仿宋_GB2312" w:hAnsi="仿宋" w:eastAsia="仿宋_GB2312"/>
          <w:color w:val="000000" w:themeColor="text1"/>
          <w:sz w:val="32"/>
          <w:szCs w:val="32"/>
          <w:lang w:eastAsia="zh-CN" w:bidi="en-US"/>
          <w14:textFill>
            <w14:solidFill>
              <w14:schemeClr w14:val="tx1"/>
            </w14:solidFill>
          </w14:textFill>
        </w:rPr>
        <w:t xml:space="preserve">    </w:t>
      </w:r>
      <w:r>
        <w:rPr>
          <w:rFonts w:hint="eastAsia" w:ascii="楷体" w:hAnsi="楷体" w:eastAsia="楷体" w:cs="楷体"/>
          <w:b w:val="0"/>
          <w:bCs/>
          <w:color w:val="000000" w:themeColor="text1"/>
          <w:sz w:val="32"/>
          <w:szCs w:val="32"/>
          <w:lang w:val="en-US" w:eastAsia="zh-CN" w:bidi="ar-SA"/>
          <w14:textFill>
            <w14:solidFill>
              <w14:schemeClr w14:val="tx1"/>
            </w14:solidFill>
          </w14:textFill>
        </w:rPr>
        <w:t>第一条</w:t>
      </w:r>
      <w:r>
        <w:rPr>
          <w:rFonts w:hint="eastAsia" w:ascii="仿宋_GB2312" w:hAnsi="仿宋" w:eastAsia="仿宋_GB2312"/>
          <w:color w:val="000000" w:themeColor="text1"/>
          <w:sz w:val="32"/>
          <w:szCs w:val="32"/>
          <w:lang w:eastAsia="zh-CN" w:bidi="en-US"/>
          <w14:textFill>
            <w14:solidFill>
              <w14:schemeClr w14:val="tx1"/>
            </w14:solidFill>
          </w14:textFill>
        </w:rPr>
        <w:t xml:space="preserve"> </w:t>
      </w:r>
      <w:r>
        <w:rPr>
          <w:rFonts w:hint="eastAsia" w:ascii="仿宋_GB2312" w:hAnsi="仿宋_GB2312" w:eastAsia="仿宋_GB2312" w:cstheme="minorBidi"/>
          <w:color w:val="000000" w:themeColor="text1"/>
          <w:kern w:val="0"/>
          <w:sz w:val="32"/>
          <w:szCs w:val="32"/>
          <w:lang w:val="en-US" w:eastAsia="zh-CN" w:bidi="ar-SA"/>
          <w14:textFill>
            <w14:solidFill>
              <w14:schemeClr w14:val="tx1"/>
            </w14:solidFill>
          </w14:textFill>
        </w:rPr>
        <w:t>为规范商业与住宅关联项目预售资金监督管理，保障商业项目建设进度，按照《西咸新区商品房预售资金监督管理办法》规定，结合新区实际，制定本细则。</w:t>
      </w:r>
    </w:p>
    <w:p>
      <w:pPr>
        <w:pStyle w:val="13"/>
        <w:keepNext w:val="0"/>
        <w:keepLines w:val="0"/>
        <w:pageBreakBefore w:val="0"/>
        <w:widowControl w:val="0"/>
        <w:kinsoku/>
        <w:overflowPunct/>
        <w:topLinePunct w:val="0"/>
        <w:autoSpaceDE/>
        <w:autoSpaceDN/>
        <w:bidi w:val="0"/>
        <w:spacing w:line="620" w:lineRule="exact"/>
        <w:ind w:firstLine="0"/>
        <w:jc w:val="both"/>
        <w:textAlignment w:val="auto"/>
        <w:rPr>
          <w:rFonts w:hint="eastAsia" w:ascii="仿宋_GB2312" w:hAnsi="仿宋_GB2312" w:eastAsia="仿宋_GB2312" w:cstheme="minorBidi"/>
          <w:color w:val="000000" w:themeColor="text1"/>
          <w:kern w:val="0"/>
          <w:sz w:val="32"/>
          <w:szCs w:val="32"/>
          <w:lang w:val="en-US" w:eastAsia="zh-CN" w:bidi="ar-SA"/>
          <w14:textFill>
            <w14:solidFill>
              <w14:schemeClr w14:val="tx1"/>
            </w14:solidFill>
          </w14:textFill>
        </w:rPr>
      </w:pPr>
      <w:r>
        <w:rPr>
          <w:rFonts w:hint="eastAsia" w:ascii="仿宋_GB2312" w:hAnsi="仿宋" w:eastAsia="仿宋_GB2312"/>
          <w:color w:val="000000" w:themeColor="text1"/>
          <w:sz w:val="32"/>
          <w:szCs w:val="32"/>
          <w:lang w:eastAsia="zh-CN" w:bidi="en-US"/>
          <w14:textFill>
            <w14:solidFill>
              <w14:schemeClr w14:val="tx1"/>
            </w14:solidFill>
          </w14:textFill>
        </w:rPr>
        <w:t xml:space="preserve">   </w:t>
      </w:r>
      <w:r>
        <w:rPr>
          <w:rFonts w:hint="eastAsia" w:ascii="楷体" w:hAnsi="楷体" w:eastAsia="楷体" w:cs="楷体"/>
          <w:b w:val="0"/>
          <w:bCs/>
          <w:color w:val="000000" w:themeColor="text1"/>
          <w:sz w:val="32"/>
          <w:szCs w:val="32"/>
          <w:lang w:val="en-US" w:eastAsia="zh-CN" w:bidi="ar-SA"/>
          <w14:textFill>
            <w14:solidFill>
              <w14:schemeClr w14:val="tx1"/>
            </w14:solidFill>
          </w14:textFill>
        </w:rPr>
        <w:t xml:space="preserve"> 第二条</w:t>
      </w:r>
      <w:r>
        <w:rPr>
          <w:rFonts w:hint="eastAsia" w:ascii="仿宋_GB2312" w:hAnsi="仿宋" w:eastAsia="仿宋_GB2312"/>
          <w:color w:val="000000" w:themeColor="text1"/>
          <w:sz w:val="32"/>
          <w:szCs w:val="32"/>
          <w:lang w:eastAsia="zh-CN" w:bidi="en-US"/>
          <w14:textFill>
            <w14:solidFill>
              <w14:schemeClr w14:val="tx1"/>
            </w14:solidFill>
          </w14:textFill>
        </w:rPr>
        <w:t xml:space="preserve"> </w:t>
      </w:r>
      <w:r>
        <w:rPr>
          <w:rFonts w:hint="eastAsia" w:ascii="仿宋_GB2312" w:hAnsi="仿宋_GB2312" w:eastAsia="仿宋_GB2312" w:cstheme="minorBidi"/>
          <w:color w:val="000000" w:themeColor="text1"/>
          <w:kern w:val="0"/>
          <w:sz w:val="32"/>
          <w:szCs w:val="32"/>
          <w:lang w:val="en-US" w:eastAsia="zh-CN" w:bidi="ar-SA"/>
          <w14:textFill>
            <w14:solidFill>
              <w14:schemeClr w14:val="tx1"/>
            </w14:solidFill>
          </w14:textFill>
        </w:rPr>
        <w:t>西咸新区范围内按照《土地出让合同》约定，已递交“商业与住宅关联项目建设监管承诺书”的住宅项目预售资金支出、使用及监督管理，适用本细则。</w:t>
      </w:r>
    </w:p>
    <w:p>
      <w:pPr>
        <w:pStyle w:val="12"/>
        <w:keepNext w:val="0"/>
        <w:keepLines w:val="0"/>
        <w:pageBreakBefore w:val="0"/>
        <w:widowControl w:val="0"/>
        <w:tabs>
          <w:tab w:val="left" w:pos="1440"/>
          <w:tab w:val="left" w:pos="2340"/>
          <w:tab w:val="left" w:pos="2880"/>
          <w:tab w:val="left" w:pos="3240"/>
          <w:tab w:val="left" w:pos="3420"/>
          <w:tab w:val="left" w:pos="3780"/>
          <w:tab w:val="left" w:pos="3960"/>
          <w:tab w:val="left" w:pos="4860"/>
        </w:tabs>
        <w:kinsoku/>
        <w:overflowPunct/>
        <w:topLinePunct w:val="0"/>
        <w:autoSpaceDE/>
        <w:autoSpaceDN/>
        <w:bidi w:val="0"/>
        <w:spacing w:line="600" w:lineRule="exact"/>
        <w:ind w:firstLine="640" w:firstLineChars="200"/>
        <w:textAlignment w:val="auto"/>
        <w:rPr>
          <w:rFonts w:hint="eastAsia" w:ascii="仿宋_GB2312" w:hAnsi="仿宋_GB2312" w:eastAsia="仿宋_GB2312" w:cstheme="minorBidi"/>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val="0"/>
          <w:bCs/>
          <w:color w:val="000000" w:themeColor="text1"/>
          <w:kern w:val="0"/>
          <w:sz w:val="32"/>
          <w:szCs w:val="32"/>
          <w:lang w:val="zh-TW" w:eastAsia="zh-CN" w:bidi="ar-SA"/>
          <w14:textFill>
            <w14:solidFill>
              <w14:schemeClr w14:val="tx1"/>
            </w14:solidFill>
          </w14:textFill>
        </w:rPr>
        <w:t>第三条</w:t>
      </w:r>
      <w:r>
        <w:rPr>
          <w:rFonts w:hint="eastAsia" w:ascii="仿宋_GB2312" w:hAnsi="仿宋" w:eastAsia="仿宋_GB2312" w:cs="宋体"/>
          <w:color w:val="000000" w:themeColor="text1"/>
          <w:kern w:val="0"/>
          <w:sz w:val="32"/>
          <w:szCs w:val="32"/>
          <w:lang w:val="zh-TW" w:bidi="en-US"/>
          <w14:textFill>
            <w14:solidFill>
              <w14:schemeClr w14:val="tx1"/>
            </w14:solidFill>
          </w14:textFill>
        </w:rPr>
        <w:t xml:space="preserve"> </w:t>
      </w:r>
      <w:r>
        <w:rPr>
          <w:rFonts w:hint="eastAsia" w:ascii="仿宋_GB2312" w:hAnsi="仿宋_GB2312" w:eastAsia="仿宋_GB2312" w:cstheme="minorBidi"/>
          <w:color w:val="000000" w:themeColor="text1"/>
          <w:kern w:val="0"/>
          <w:sz w:val="32"/>
          <w:szCs w:val="32"/>
          <w:lang w:val="zh-TW" w:eastAsia="zh-CN" w:bidi="ar-SA"/>
          <w14:textFill>
            <w14:solidFill>
              <w14:schemeClr w14:val="tx1"/>
            </w14:solidFill>
          </w14:textFill>
        </w:rPr>
        <w:t>本细则所称商业与住宅关联项目，是指商业用地配套有住宅用地，并要求商业用地与住宅用地</w:t>
      </w:r>
      <w:r>
        <w:rPr>
          <w:rFonts w:hint="eastAsia" w:ascii="仿宋_GB2312" w:hAnsi="仿宋_GB2312" w:eastAsia="仿宋_GB2312" w:cstheme="minorBidi"/>
          <w:color w:val="000000" w:themeColor="text1"/>
          <w:kern w:val="0"/>
          <w:sz w:val="32"/>
          <w:szCs w:val="32"/>
          <w:lang w:val="en-US" w:eastAsia="zh-CN" w:bidi="ar-SA"/>
          <w14:textFill>
            <w14:solidFill>
              <w14:schemeClr w14:val="tx1"/>
            </w14:solidFill>
          </w14:textFill>
        </w:rPr>
        <w:t>同步设计、同步建设、同步交付的项目。</w:t>
      </w:r>
    </w:p>
    <w:p>
      <w:pPr>
        <w:pStyle w:val="12"/>
        <w:keepNext w:val="0"/>
        <w:keepLines w:val="0"/>
        <w:pageBreakBefore w:val="0"/>
        <w:widowControl w:val="0"/>
        <w:kinsoku/>
        <w:overflowPunct/>
        <w:topLinePunct w:val="0"/>
        <w:autoSpaceDE/>
        <w:autoSpaceDN/>
        <w:bidi w:val="0"/>
        <w:spacing w:line="600" w:lineRule="exact"/>
        <w:ind w:firstLine="627" w:firstLineChars="196"/>
        <w:textAlignment w:val="auto"/>
        <w:rPr>
          <w:rFonts w:ascii="仿宋_GB2312" w:hAnsi="仿宋_GB2312" w:eastAsia="仿宋_GB2312"/>
          <w:color w:val="000000" w:themeColor="text1"/>
          <w:kern w:val="0"/>
          <w:sz w:val="32"/>
          <w:szCs w:val="32"/>
          <w14:textFill>
            <w14:solidFill>
              <w14:schemeClr w14:val="tx1"/>
            </w14:solidFill>
          </w14:textFill>
        </w:rPr>
      </w:pPr>
      <w:r>
        <w:rPr>
          <w:rFonts w:hint="eastAsia" w:ascii="楷体" w:hAnsi="楷体" w:eastAsia="楷体" w:cs="楷体"/>
          <w:b w:val="0"/>
          <w:bCs/>
          <w:color w:val="000000" w:themeColor="text1"/>
          <w:kern w:val="0"/>
          <w:sz w:val="32"/>
          <w:szCs w:val="32"/>
          <w:lang w:val="zh-TW" w:eastAsia="zh-CN" w:bidi="ar-SA"/>
          <w14:textFill>
            <w14:solidFill>
              <w14:schemeClr w14:val="tx1"/>
            </w14:solidFill>
          </w14:textFill>
        </w:rPr>
        <w:t xml:space="preserve">第四条 </w:t>
      </w:r>
      <w:r>
        <w:rPr>
          <w:rFonts w:hint="eastAsia" w:ascii="仿宋_GB2312" w:hAnsi="仿宋_GB2312" w:eastAsia="仿宋_GB2312"/>
          <w:color w:val="000000" w:themeColor="text1"/>
          <w:kern w:val="0"/>
          <w:sz w:val="32"/>
          <w:szCs w:val="32"/>
          <w14:textFill>
            <w14:solidFill>
              <w14:schemeClr w14:val="tx1"/>
            </w14:solidFill>
          </w14:textFill>
        </w:rPr>
        <w:t>关联的住宅项目达到预售条件后，不受商业项目建设进度影响，按照商品房预售许可程序核发住宅项目预售许可，同步函告该项目所在新城住建行政主管部门、监管银行对涉及住宅项目对应楼幢全部预售资金（包括定金、首付款、购房贷款、分期付款、一次性付款及其他形式的房款）进行使用限制，严禁擅自审批使用资金，并于每月</w:t>
      </w:r>
      <w:r>
        <w:rPr>
          <w:rFonts w:ascii="仿宋_GB2312" w:hAnsi="仿宋_GB2312" w:eastAsia="仿宋_GB2312"/>
          <w:color w:val="000000" w:themeColor="text1"/>
          <w:kern w:val="0"/>
          <w:sz w:val="32"/>
          <w:szCs w:val="32"/>
          <w14:textFill>
            <w14:solidFill>
              <w14:schemeClr w14:val="tx1"/>
            </w14:solidFill>
          </w14:textFill>
        </w:rPr>
        <w:t>25</w:t>
      </w:r>
      <w:r>
        <w:rPr>
          <w:rFonts w:hint="eastAsia" w:ascii="仿宋_GB2312" w:hAnsi="仿宋_GB2312" w:eastAsia="仿宋_GB2312"/>
          <w:color w:val="000000" w:themeColor="text1"/>
          <w:kern w:val="0"/>
          <w:sz w:val="32"/>
          <w:szCs w:val="32"/>
          <w14:textFill>
            <w14:solidFill>
              <w14:schemeClr w14:val="tx1"/>
            </w14:solidFill>
          </w14:textFill>
        </w:rPr>
        <w:t>日报送监管账户信息。</w:t>
      </w:r>
    </w:p>
    <w:p>
      <w:pPr>
        <w:pStyle w:val="12"/>
        <w:keepNext w:val="0"/>
        <w:keepLines w:val="0"/>
        <w:pageBreakBefore w:val="0"/>
        <w:widowControl w:val="0"/>
        <w:kinsoku/>
        <w:overflowPunct/>
        <w:topLinePunct w:val="0"/>
        <w:autoSpaceDE/>
        <w:autoSpaceDN/>
        <w:bidi w:val="0"/>
        <w:spacing w:line="600" w:lineRule="exact"/>
        <w:ind w:firstLine="627" w:firstLineChars="196"/>
        <w:textAlignment w:val="auto"/>
        <w:rPr>
          <w:rFonts w:ascii="仿宋_GB2312" w:hAnsi="仿宋_GB2312" w:eastAsia="仿宋_GB2312"/>
          <w:color w:val="000000" w:themeColor="text1"/>
          <w:kern w:val="0"/>
          <w:sz w:val="32"/>
          <w:szCs w:val="32"/>
          <w14:textFill>
            <w14:solidFill>
              <w14:schemeClr w14:val="tx1"/>
            </w14:solidFill>
          </w14:textFill>
        </w:rPr>
      </w:pPr>
      <w:r>
        <w:rPr>
          <w:rFonts w:hint="eastAsia" w:ascii="楷体" w:hAnsi="楷体" w:eastAsia="楷体" w:cs="楷体"/>
          <w:b w:val="0"/>
          <w:bCs/>
          <w:color w:val="000000" w:themeColor="text1"/>
          <w:kern w:val="0"/>
          <w:sz w:val="32"/>
          <w:szCs w:val="32"/>
          <w:lang w:val="zh-TW" w:eastAsia="zh-CN" w:bidi="ar-SA"/>
          <w14:textFill>
            <w14:solidFill>
              <w14:schemeClr w14:val="tx1"/>
            </w14:solidFill>
          </w14:textFill>
        </w:rPr>
        <w:t>第五条</w:t>
      </w:r>
      <w:r>
        <w:rPr>
          <w:rFonts w:hint="eastAsia" w:ascii="仿宋_GB2312" w:hAnsi="仿宋_GB2312" w:eastAsia="仿宋_GB2312"/>
          <w:b/>
          <w:color w:val="000000" w:themeColor="text1"/>
          <w:kern w:val="0"/>
          <w:sz w:val="32"/>
          <w:szCs w:val="32"/>
          <w14:textFill>
            <w14:solidFill>
              <w14:schemeClr w14:val="tx1"/>
            </w14:solidFill>
          </w14:textFill>
        </w:rPr>
        <w:t xml:space="preserve"> </w:t>
      </w:r>
      <w:r>
        <w:rPr>
          <w:rFonts w:hint="eastAsia" w:ascii="仿宋_GB2312" w:hAnsi="仿宋_GB2312" w:eastAsia="仿宋_GB2312"/>
          <w:color w:val="000000" w:themeColor="text1"/>
          <w:kern w:val="0"/>
          <w:sz w:val="32"/>
          <w:szCs w:val="32"/>
          <w14:textFill>
            <w14:solidFill>
              <w14:schemeClr w14:val="tx1"/>
            </w14:solidFill>
          </w14:textFill>
        </w:rPr>
        <w:t>商业项目达到承诺进度后，开发企业</w:t>
      </w:r>
      <w:r>
        <w:rPr>
          <w:rFonts w:hint="eastAsia" w:ascii="仿宋_GB2312" w:hAnsi="仿宋_GB2312" w:eastAsia="仿宋_GB2312"/>
          <w:color w:val="000000" w:themeColor="text1"/>
          <w:kern w:val="0"/>
          <w:sz w:val="32"/>
          <w:szCs w:val="32"/>
          <w:lang w:val="en-US" w:eastAsia="zh-CN"/>
          <w14:textFill>
            <w14:solidFill>
              <w14:schemeClr w14:val="tx1"/>
            </w14:solidFill>
          </w14:textFill>
        </w:rPr>
        <w:t>方可</w:t>
      </w:r>
      <w:r>
        <w:rPr>
          <w:rFonts w:hint="eastAsia" w:ascii="仿宋_GB2312" w:hAnsi="仿宋_GB2312" w:eastAsia="仿宋_GB2312"/>
          <w:color w:val="000000" w:themeColor="text1"/>
          <w:kern w:val="0"/>
          <w:sz w:val="32"/>
          <w:szCs w:val="32"/>
          <w14:textFill>
            <w14:solidFill>
              <w14:schemeClr w14:val="tx1"/>
            </w14:solidFill>
          </w14:textFill>
        </w:rPr>
        <w:t>申请</w:t>
      </w:r>
      <w:r>
        <w:rPr>
          <w:rFonts w:hint="eastAsia" w:ascii="仿宋_GB2312" w:hAnsi="仿宋_GB2312" w:eastAsia="仿宋_GB2312"/>
          <w:color w:val="000000" w:themeColor="text1"/>
          <w:kern w:val="0"/>
          <w:sz w:val="32"/>
          <w:szCs w:val="32"/>
          <w:lang w:bidi="ar-SA"/>
          <w14:textFill>
            <w14:solidFill>
              <w14:schemeClr w14:val="tx1"/>
            </w14:solidFill>
          </w14:textFill>
        </w:rPr>
        <w:t>解除住宅项目对应楼幢的预售资金</w:t>
      </w:r>
      <w:r>
        <w:rPr>
          <w:rFonts w:hint="eastAsia" w:ascii="仿宋_GB2312" w:hAnsi="仿宋_GB2312" w:eastAsia="仿宋_GB2312"/>
          <w:color w:val="000000" w:themeColor="text1"/>
          <w:kern w:val="0"/>
          <w:sz w:val="32"/>
          <w:szCs w:val="32"/>
          <w14:textFill>
            <w14:solidFill>
              <w14:schemeClr w14:val="tx1"/>
            </w14:solidFill>
          </w14:textFill>
        </w:rPr>
        <w:t>使用</w:t>
      </w:r>
      <w:r>
        <w:rPr>
          <w:rFonts w:hint="eastAsia" w:ascii="仿宋_GB2312" w:hAnsi="仿宋_GB2312" w:eastAsia="仿宋_GB2312"/>
          <w:color w:val="000000" w:themeColor="text1"/>
          <w:kern w:val="0"/>
          <w:sz w:val="32"/>
          <w:szCs w:val="32"/>
          <w:lang w:bidi="ar-SA"/>
          <w14:textFill>
            <w14:solidFill>
              <w14:schemeClr w14:val="tx1"/>
            </w14:solidFill>
          </w14:textFill>
        </w:rPr>
        <w:t>限制，</w:t>
      </w:r>
      <w:r>
        <w:rPr>
          <w:rFonts w:hint="eastAsia" w:ascii="仿宋_GB2312" w:hAnsi="仿宋_GB2312" w:eastAsia="仿宋_GB2312"/>
          <w:color w:val="000000" w:themeColor="text1"/>
          <w:kern w:val="0"/>
          <w:sz w:val="32"/>
          <w:szCs w:val="32"/>
          <w14:textFill>
            <w14:solidFill>
              <w14:schemeClr w14:val="tx1"/>
            </w14:solidFill>
          </w14:textFill>
        </w:rPr>
        <w:t>经商品房开发项目所在新城住建行政主管部门审核同意后，报新区住建行政主管部门审批，审批通过的出具“资金使用限制解除同意书”，由新城住建行政主管部门按照《西咸新区商品房预售资金监督管理办法》进行监管，正常受理资金使用申请。</w:t>
      </w:r>
    </w:p>
    <w:p>
      <w:pPr>
        <w:pStyle w:val="12"/>
        <w:keepNext w:val="0"/>
        <w:keepLines w:val="0"/>
        <w:pageBreakBefore w:val="0"/>
        <w:widowControl w:val="0"/>
        <w:kinsoku/>
        <w:overflowPunct/>
        <w:topLinePunct w:val="0"/>
        <w:autoSpaceDE/>
        <w:autoSpaceDN/>
        <w:bidi w:val="0"/>
        <w:spacing w:line="600" w:lineRule="exact"/>
        <w:ind w:firstLine="627" w:firstLineChars="196"/>
        <w:textAlignment w:val="auto"/>
        <w:rPr>
          <w:rFonts w:ascii="仿宋_GB2312" w:hAnsi="仿宋_GB2312" w:eastAsia="仿宋_GB2312"/>
          <w:color w:val="000000" w:themeColor="text1"/>
          <w:kern w:val="0"/>
          <w:sz w:val="32"/>
          <w:szCs w:val="32"/>
          <w14:textFill>
            <w14:solidFill>
              <w14:schemeClr w14:val="tx1"/>
            </w14:solidFill>
          </w14:textFill>
        </w:rPr>
      </w:pPr>
      <w:r>
        <w:rPr>
          <w:rFonts w:hint="eastAsia" w:ascii="楷体" w:hAnsi="楷体" w:eastAsia="楷体" w:cs="楷体"/>
          <w:b w:val="0"/>
          <w:bCs/>
          <w:color w:val="000000" w:themeColor="text1"/>
          <w:kern w:val="0"/>
          <w:sz w:val="32"/>
          <w:szCs w:val="32"/>
          <w:lang w:val="zh-TW" w:eastAsia="zh-CN" w:bidi="ar-SA"/>
          <w14:textFill>
            <w14:solidFill>
              <w14:schemeClr w14:val="tx1"/>
            </w14:solidFill>
          </w14:textFill>
        </w:rPr>
        <w:t>第六条</w:t>
      </w:r>
      <w:r>
        <w:rPr>
          <w:rFonts w:ascii="仿宋_GB2312" w:hAnsi="仿宋_GB2312" w:eastAsia="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olor w:val="000000" w:themeColor="text1"/>
          <w:kern w:val="0"/>
          <w:sz w:val="32"/>
          <w:szCs w:val="32"/>
          <w14:textFill>
            <w14:solidFill>
              <w14:schemeClr w14:val="tx1"/>
            </w14:solidFill>
          </w14:textFill>
        </w:rPr>
        <w:t>开发企业及监管银行违反或</w:t>
      </w:r>
      <w:r>
        <w:rPr>
          <w:rFonts w:hint="eastAsia" w:ascii="仿宋_GB2312" w:hAnsi="仿宋_GB2312" w:eastAsia="仿宋_GB2312"/>
          <w:bCs/>
          <w:color w:val="000000" w:themeColor="text1"/>
          <w:sz w:val="32"/>
          <w:szCs w:val="32"/>
          <w14:textFill>
            <w14:solidFill>
              <w14:schemeClr w14:val="tx1"/>
            </w14:solidFill>
          </w14:textFill>
        </w:rPr>
        <w:t>未按承诺约定交存、监管限制资金，由新区、新城住建行政主管部门依相关规定严肃查处。</w:t>
      </w:r>
    </w:p>
    <w:p>
      <w:pPr>
        <w:keepNext w:val="0"/>
        <w:keepLines w:val="0"/>
        <w:pageBreakBefore w:val="0"/>
        <w:widowControl w:val="0"/>
        <w:kinsoku/>
        <w:overflowPunct/>
        <w:topLinePunct w:val="0"/>
        <w:autoSpaceDE/>
        <w:autoSpaceDN/>
        <w:bidi w:val="0"/>
        <w:jc w:val="left"/>
        <w:textAlignment w:val="auto"/>
        <w:rPr>
          <w:rFonts w:hint="eastAsia" w:ascii="黑体" w:hAnsi="黑体" w:eastAsia="黑体" w:cs="黑体"/>
          <w:color w:val="000000" w:themeColor="text1"/>
          <w:sz w:val="32"/>
          <w:szCs w:val="32"/>
          <w:lang w:val="en-US" w:eastAsia="zh-CN" w:bidi="en-US"/>
          <w14:textFill>
            <w14:solidFill>
              <w14:schemeClr w14:val="tx1"/>
            </w14:solidFill>
          </w14:textFill>
        </w:rPr>
      </w:pPr>
      <w:r>
        <w:rPr>
          <w:rFonts w:ascii="仿宋_GB2312" w:hAnsi="仿宋" w:eastAsia="仿宋_GB2312"/>
          <w:color w:val="000000" w:themeColor="text1"/>
          <w:sz w:val="32"/>
          <w:szCs w:val="32"/>
          <w:lang w:bidi="en-US"/>
          <w14:textFill>
            <w14:solidFill>
              <w14:schemeClr w14:val="tx1"/>
            </w14:solidFill>
          </w14:textFill>
        </w:rPr>
        <w:br w:type="page"/>
      </w:r>
      <w:r>
        <w:rPr>
          <w:rFonts w:hint="eastAsia" w:ascii="黑体" w:hAnsi="黑体" w:eastAsia="黑体" w:cs="黑体"/>
          <w:color w:val="000000" w:themeColor="text1"/>
          <w:sz w:val="32"/>
          <w:szCs w:val="32"/>
          <w:lang w:val="en-US" w:eastAsia="zh-CN" w:bidi="en-US"/>
          <w14:textFill>
            <w14:solidFill>
              <w14:schemeClr w14:val="tx1"/>
            </w14:solidFill>
          </w14:textFill>
        </w:rPr>
        <w:t>附件2</w:t>
      </w:r>
    </w:p>
    <w:p>
      <w:pPr>
        <w:keepNext w:val="0"/>
        <w:keepLines w:val="0"/>
        <w:pageBreakBefore w:val="0"/>
        <w:widowControl w:val="0"/>
        <w:kinsoku/>
        <w:overflowPunct/>
        <w:topLinePunct w:val="0"/>
        <w:autoSpaceDE/>
        <w:autoSpaceDN/>
        <w:bidi w:val="0"/>
        <w:spacing w:before="312" w:beforeLines="100" w:after="312" w:afterLines="100"/>
        <w:jc w:val="center"/>
        <w:textAlignment w:val="auto"/>
        <w:rPr>
          <w:rFonts w:hint="eastAsia"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西咸新区商品房预售资金监管合作协议</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仿宋_GB2312" w:eastAsia="仿宋_GB2312" w:cs="仿宋_GB2312"/>
          <w:b w:val="0"/>
          <w:bCs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bCs w:val="0"/>
          <w:color w:val="000000" w:themeColor="text1"/>
          <w:kern w:val="2"/>
          <w:sz w:val="28"/>
          <w:szCs w:val="28"/>
          <w14:textFill>
            <w14:solidFill>
              <w14:schemeClr w14:val="tx1"/>
            </w14:solidFill>
          </w14:textFill>
        </w:rPr>
        <w:t>甲方：陕西省西咸新区住房和城乡建设局</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仿宋_GB2312" w:eastAsia="仿宋_GB2312" w:cs="仿宋_GB2312"/>
          <w:b w:val="0"/>
          <w:bCs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bCs w:val="0"/>
          <w:color w:val="000000" w:themeColor="text1"/>
          <w:kern w:val="2"/>
          <w:sz w:val="28"/>
          <w:szCs w:val="28"/>
          <w14:textFill>
            <w14:solidFill>
              <w14:schemeClr w14:val="tx1"/>
            </w14:solidFill>
          </w14:textFill>
        </w:rPr>
        <w:t>地址：陕西省西咸新区沣泾大道西一路1号</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仿宋_GB2312" w:eastAsia="仿宋_GB2312" w:cs="仿宋_GB2312"/>
          <w:b w:val="0"/>
          <w:bCs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bCs w:val="0"/>
          <w:color w:val="000000" w:themeColor="text1"/>
          <w:kern w:val="2"/>
          <w:sz w:val="28"/>
          <w:szCs w:val="28"/>
          <w14:textFill>
            <w14:solidFill>
              <w14:schemeClr w14:val="tx1"/>
            </w14:solidFill>
          </w14:textFill>
        </w:rPr>
        <w:t xml:space="preserve">乙方： </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仿宋_GB2312" w:eastAsia="仿宋_GB2312" w:cs="仿宋_GB2312"/>
          <w:b w:val="0"/>
          <w:bCs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bCs w:val="0"/>
          <w:color w:val="000000" w:themeColor="text1"/>
          <w:kern w:val="2"/>
          <w:sz w:val="28"/>
          <w:szCs w:val="28"/>
          <w14:textFill>
            <w14:solidFill>
              <w14:schemeClr w14:val="tx1"/>
            </w14:solidFill>
          </w14:textFill>
        </w:rPr>
        <w:t xml:space="preserve">地址： </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为维护购房人的合法权益，保证商品房预售资金用于项目建设，根据相关</w:t>
      </w:r>
      <w:r>
        <w:rPr>
          <w:rFonts w:hint="eastAsia" w:ascii="仿宋_GB2312" w:hAnsi="仿宋_GB2312" w:eastAsia="仿宋_GB2312" w:cs="仿宋_GB2312"/>
          <w:color w:val="000000" w:themeColor="text1"/>
          <w:sz w:val="28"/>
          <w:szCs w:val="28"/>
          <w14:textFill>
            <w14:solidFill>
              <w14:schemeClr w14:val="tx1"/>
            </w14:solidFill>
          </w14:textFill>
        </w:rPr>
        <w:t>法律法规政策的规定和要求</w:t>
      </w:r>
      <w:r>
        <w:rPr>
          <w:rFonts w:hint="eastAsia" w:ascii="仿宋_GB2312" w:hAnsi="仿宋_GB2312" w:eastAsia="仿宋_GB2312" w:cs="仿宋_GB2312"/>
          <w:color w:val="000000" w:themeColor="text1"/>
          <w:kern w:val="2"/>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经甲、乙双方充分协商，在平等、自愿的基础上，</w:t>
      </w:r>
      <w:r>
        <w:rPr>
          <w:rFonts w:hint="eastAsia" w:ascii="仿宋_GB2312" w:hAnsi="仿宋_GB2312" w:eastAsia="仿宋_GB2312" w:cs="仿宋_GB2312"/>
          <w:color w:val="000000" w:themeColor="text1"/>
          <w:kern w:val="2"/>
          <w:sz w:val="28"/>
          <w:szCs w:val="28"/>
          <w14:textFill>
            <w14:solidFill>
              <w14:schemeClr w14:val="tx1"/>
            </w14:solidFill>
          </w14:textFill>
        </w:rPr>
        <w:t>现就以下事项达成协议：</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textAlignment w:val="auto"/>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一、甲乙双方应共同遵守</w:t>
      </w:r>
      <w:r>
        <w:rPr>
          <w:rFonts w:hint="eastAsia" w:ascii="仿宋_GB2312" w:hAnsi="仿宋_GB2312" w:eastAsia="仿宋_GB2312" w:cs="仿宋_GB2312"/>
          <w:color w:val="000000" w:themeColor="text1"/>
          <w:sz w:val="28"/>
          <w:szCs w:val="28"/>
          <w14:textFill>
            <w14:solidFill>
              <w14:schemeClr w14:val="tx1"/>
            </w14:solidFill>
          </w14:textFill>
        </w:rPr>
        <w:t>《中华人民共和国城市房地产管理法》、《中华人民共和国合同法》、《西咸新区商品房预售资金监督管理办法》等法律法规及政策文件</w:t>
      </w:r>
      <w:r>
        <w:rPr>
          <w:rFonts w:hint="eastAsia" w:ascii="仿宋_GB2312" w:hAnsi="仿宋_GB2312" w:eastAsia="仿宋_GB2312" w:cs="仿宋_GB2312"/>
          <w:color w:val="000000" w:themeColor="text1"/>
          <w:kern w:val="2"/>
          <w:sz w:val="28"/>
          <w:szCs w:val="28"/>
          <w14:textFill>
            <w14:solidFill>
              <w14:schemeClr w14:val="tx1"/>
            </w14:solidFill>
          </w14:textFill>
        </w:rPr>
        <w:t>。</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textAlignment w:val="auto"/>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乙方为甲方指导开展的商品房预售资金监管工作提供相关金融服务。乙方及其分支机构应严格履行账户管理、资金收存、资金划拨、</w:t>
      </w:r>
      <w:r>
        <w:rPr>
          <w:rFonts w:hint="eastAsia" w:ascii="仿宋_GB2312" w:hAnsi="仿宋_GB2312" w:eastAsia="仿宋_GB2312" w:cs="仿宋_GB2312"/>
          <w:color w:val="000000" w:themeColor="text1"/>
          <w:sz w:val="28"/>
          <w:szCs w:val="28"/>
          <w14:textFill>
            <w14:solidFill>
              <w14:schemeClr w14:val="tx1"/>
            </w14:solidFill>
          </w14:textFill>
        </w:rPr>
        <w:t>购房贷款入账情况监控</w:t>
      </w:r>
      <w:r>
        <w:rPr>
          <w:rFonts w:hint="eastAsia" w:ascii="仿宋_GB2312" w:hAnsi="仿宋_GB2312" w:eastAsia="仿宋_GB2312" w:cs="仿宋_GB2312"/>
          <w:color w:val="000000" w:themeColor="text1"/>
          <w:kern w:val="2"/>
          <w:sz w:val="28"/>
          <w:szCs w:val="28"/>
          <w14:textFill>
            <w14:solidFill>
              <w14:schemeClr w14:val="tx1"/>
            </w14:solidFill>
          </w14:textFill>
        </w:rPr>
        <w:t>等义务，为甲方、监管项目所在新城住建行政主管部门、房地产开发企业及购房人提供优质、高效的服务。</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二、为保障预售资金安全及商品房预售资金监管业务顺利开展，乙方应是国有</w:t>
      </w:r>
      <w:r>
        <w:rPr>
          <w:rFonts w:hint="eastAsia" w:ascii="仿宋_GB2312" w:hAnsi="仿宋_GB2312" w:eastAsia="仿宋_GB2312" w:cs="仿宋_GB2312"/>
          <w:color w:val="000000" w:themeColor="text1"/>
          <w:sz w:val="28"/>
          <w:szCs w:val="28"/>
          <w14:textFill>
            <w14:solidFill>
              <w14:schemeClr w14:val="tx1"/>
            </w14:solidFill>
          </w14:textFill>
        </w:rPr>
        <w:t>商业银行或全国性股份制商业银行。</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乙方应根据《西咸新区商品房预售资金监督管理办法》制定内部管理规定及业务操作手册并提交给甲方及监管项目所在新城住建行政主管部门。</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三、甲乙双方应开发相应的监管网络系统，通过网络系统开展预售资金监管业务，提高监管工作效率。</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甲方负责开发商品房预售资金监管系统，向乙方提供资金监管业务需求、相关技术资料和计算机接口；乙方负责开发适用于商品房预售资金监管业务的相应系统，做到从银行核心系统自动获取进、出款信息，并通过甲方测试。</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四、甲乙双方通过DDN专线建立系统连接，实现资金监管信息在双方系统之间的传输和同步；乙方负责搭建DDN专线，并确保线路畅通。</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乙方系统操作终端必须专机专用，终端USB接口须全部关闭并配置独立安全加密模块，防止重要业务文件和数据被篡改拷贝。</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五、甲方如调整改变业务需求，应当及时通知乙方，乙方在接到甲方业务需求变更通知后，应在约定时限内做好技术和业务调整，确保业务顺利开展。</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乙方系统如进行升级或调整，应当提前一个月书面告知甲方及监管项目所在新城住建行政主管部门，并提交升级预案，确保乙方升级或调整后的系统与甲方系统匹配，不得影响资金监管业务的正常开展。</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六、网络系统出现故障时，甲乙双方应及时检查各自系统，并在约定时限内排除故障，保障资金监管系统正常运行。</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七、乙方应明确一名</w:t>
      </w:r>
      <w:r>
        <w:rPr>
          <w:rFonts w:hint="eastAsia" w:ascii="仿宋_GB2312" w:hAnsi="仿宋_GB2312" w:eastAsia="仿宋_GB2312" w:cs="仿宋_GB2312"/>
          <w:color w:val="000000" w:themeColor="text1"/>
          <w:sz w:val="28"/>
          <w:szCs w:val="28"/>
          <w14:textFill>
            <w14:solidFill>
              <w14:schemeClr w14:val="tx1"/>
            </w14:solidFill>
          </w14:textFill>
        </w:rPr>
        <w:t>省（市）</w:t>
      </w:r>
      <w:r>
        <w:rPr>
          <w:rFonts w:hint="eastAsia" w:ascii="仿宋_GB2312" w:hAnsi="仿宋_GB2312" w:eastAsia="仿宋_GB2312" w:cs="仿宋_GB2312"/>
          <w:color w:val="000000" w:themeColor="text1"/>
          <w:kern w:val="2"/>
          <w:sz w:val="28"/>
          <w:szCs w:val="28"/>
          <w14:textFill>
            <w14:solidFill>
              <w14:schemeClr w14:val="tx1"/>
            </w14:solidFill>
          </w14:textFill>
        </w:rPr>
        <w:t>分行领导主管资金监管工作；确定相关业务部门为资金监管工作牵头责任部门；确定资金监管业务联系人。</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牵头责任部门和业务联系人负责本行内与资金监管业务相关联事项及其网络系统运行的协调与管理；负责直接与甲方及监管项目所在新城住建行政主管部门沟通情况协调解决存在问题。</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分行主管领导、牵头责任部门、业务联系人调整变更时应当提前书面通知甲方及监管项目所在新城住建行政主管部门。</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八、乙方及其分支机构在办理商品房预售资金监管账户开立、资金收存、资金拨付、账户注销、银行冲正及解除监管等业务时，应当于受理后</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kern w:val="2"/>
          <w:sz w:val="28"/>
          <w:szCs w:val="28"/>
          <w14:textFill>
            <w14:solidFill>
              <w14:schemeClr w14:val="tx1"/>
            </w14:solidFill>
          </w14:textFill>
        </w:rPr>
        <w:t>个工作日内办理完毕，不得拖延执行。乙方及其分支机构不得擅自动用或处分预售资金。</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九、乙方及其所有分支机构均应开展商品房预售资金收款业务。乙方及其分支机构在收存预售资金时，应按交款通知书载明的交款编号、账号及相关要求进行收款，录入相应交款信息，避免产生不明入账。</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对已产生的不明入账，乙方及其分支机构应在2个工作日内将资金划分确认到对应的交款通知书编号下。同时乙方应确定2名联系人协调解决跨行汇款或放贷造成不明入账问题。</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乙方及其分支机构收存预售资金后，应向购房人发送到账短信，其中应载明交款通知书编号、交款金额、累计交款金额等信息。</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乙方及其分支机构在发放商品房购房贷款时，应将购房贷款直接发放到该套房屋对应的监管账户中，并在进账单及电子信息中注明交款通知书编号等信息。</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十、乙方应于每个工作日九时前，将截止前一日日终的商品房预售资金监管账户余额的电子信息发送至</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甲方及</w:t>
      </w:r>
      <w:r>
        <w:rPr>
          <w:rFonts w:hint="eastAsia" w:ascii="仿宋_GB2312" w:hAnsi="仿宋_GB2312" w:eastAsia="仿宋_GB2312" w:cs="仿宋_GB2312"/>
          <w:color w:val="000000" w:themeColor="text1"/>
          <w:kern w:val="2"/>
          <w:sz w:val="28"/>
          <w:szCs w:val="28"/>
          <w14:textFill>
            <w14:solidFill>
              <w14:schemeClr w14:val="tx1"/>
            </w14:solidFill>
          </w14:textFill>
        </w:rPr>
        <w:t>监管项目所在新城住建行政主管部门，以便双方在规定时间内完成智能对账工作。</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乙方应于每个工作日十时前，将上一个工作日商品房预售资金监管账户的收款、付款、冲正、结息、解除监管等电子信息发送至</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甲方及</w:t>
      </w:r>
      <w:r>
        <w:rPr>
          <w:rFonts w:hint="eastAsia" w:ascii="仿宋_GB2312" w:hAnsi="仿宋_GB2312" w:eastAsia="仿宋_GB2312" w:cs="仿宋_GB2312"/>
          <w:color w:val="000000" w:themeColor="text1"/>
          <w:kern w:val="2"/>
          <w:sz w:val="28"/>
          <w:szCs w:val="28"/>
          <w14:textFill>
            <w14:solidFill>
              <w14:schemeClr w14:val="tx1"/>
            </w14:solidFill>
          </w14:textFill>
        </w:rPr>
        <w:t>监管项目所在新城住建行政主管部门。</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乙方应于每</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月最后一个</w:t>
      </w:r>
      <w:r>
        <w:rPr>
          <w:rFonts w:hint="eastAsia" w:ascii="仿宋_GB2312" w:hAnsi="仿宋_GB2312" w:eastAsia="仿宋_GB2312" w:cs="仿宋_GB2312"/>
          <w:color w:val="000000" w:themeColor="text1"/>
          <w:kern w:val="2"/>
          <w:sz w:val="28"/>
          <w:szCs w:val="28"/>
          <w14:textFill>
            <w14:solidFill>
              <w14:schemeClr w14:val="tx1"/>
            </w14:solidFill>
          </w14:textFill>
        </w:rPr>
        <w:t>工作日十二时前，将</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本月</w:t>
      </w:r>
      <w:r>
        <w:rPr>
          <w:rFonts w:hint="eastAsia" w:ascii="仿宋_GB2312" w:hAnsi="仿宋_GB2312" w:eastAsia="仿宋_GB2312" w:cs="仿宋_GB2312"/>
          <w:color w:val="000000" w:themeColor="text1"/>
          <w:kern w:val="2"/>
          <w:sz w:val="28"/>
          <w:szCs w:val="28"/>
          <w14:textFill>
            <w14:solidFill>
              <w14:schemeClr w14:val="tx1"/>
            </w14:solidFill>
          </w14:textFill>
        </w:rPr>
        <w:t>商品房预售资金监管账户的纸质对账文件送至</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甲方及监管项目</w:t>
      </w:r>
      <w:r>
        <w:rPr>
          <w:rFonts w:hint="eastAsia" w:ascii="仿宋_GB2312" w:hAnsi="仿宋_GB2312" w:eastAsia="仿宋_GB2312" w:cs="仿宋_GB2312"/>
          <w:color w:val="000000" w:themeColor="text1"/>
          <w:kern w:val="2"/>
          <w:sz w:val="28"/>
          <w:szCs w:val="28"/>
          <w14:textFill>
            <w14:solidFill>
              <w14:schemeClr w14:val="tx1"/>
            </w14:solidFill>
          </w14:textFill>
        </w:rPr>
        <w:t>所在新城住建行政主管部门。</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纸质文件应加盖乙方业务专用章，由乙方派专人送至</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甲方及</w:t>
      </w:r>
      <w:r>
        <w:rPr>
          <w:rFonts w:hint="eastAsia" w:ascii="仿宋_GB2312" w:hAnsi="仿宋_GB2312" w:eastAsia="仿宋_GB2312" w:cs="仿宋_GB2312"/>
          <w:color w:val="000000" w:themeColor="text1"/>
          <w:kern w:val="2"/>
          <w:sz w:val="28"/>
          <w:szCs w:val="28"/>
          <w14:textFill>
            <w14:solidFill>
              <w14:schemeClr w14:val="tx1"/>
            </w14:solidFill>
          </w14:textFill>
        </w:rPr>
        <w:t>监管项目所在新城住建行政主管部门办公地。</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十一、如遇特殊情况，乙方及其分支机构应按照监管项目所在新城住建行政主管部门出具的书面文件或者指令中止监管资金拨付。</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有关部门对商品房预售资金监管账户进行冻结和扣划时，乙方及其分支机构应向有关部门说明商品房预售资金及监管账户的性质，并于当日书面告知监管项目所在新城住建行政主管部门。</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十二、乙方有义务对所辖网点资金监管业务岗位人员进行上岗前业务培训并保持岗位人员的相对稳定，如岗位人员调整须对新到岗位人员进行培训，培训合格的方可上岗。</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乙方分支机构发生变动的应当及时通知甲方及监管项目所在新城住建行政主管部门，并提供调整后网点明细。</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十三、乙方自愿依照甲方制定的标准，接受甲方的监督、考核、评价，并根据评价结果，接受相应的奖励与惩戒。</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十四、签订本协议后，乙方方可与房地产开发企业、开发项目所在新城住建行政主管部门签订《西咸新区商品房预售资金监管协议书》。</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十五、甲乙双方应对商品房预售资金监管工作的技术资料、监管账户相关信息履行保密义务，法律、法规另有规定的除外。</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十六、违约责任</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（一）甲乙双方应当本着诚实信用的原则认真全面履行协议约定，因一方违反协议约定，给对方或第三方造成经济损失的，除承担经济赔偿责任外还应承担其它相关法律责任。</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（二）乙方违反本协议致使资金监管业务不能顺利开展的，甲方有权暂停乙方签订新的《监管协议》，但对暂停前已受理未完结的业务，乙方应当按本协议约定办理完结。</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十七、本协议未尽事宜，经双方协商一致，可签订补充协议，补充协议同本协议具有同等法律效力。</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十八、争议的解决</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甲乙双方如因履行本协议或本协议补充协议发生争议，应通过友好协商解决。协商不成，双方可向人民法院提起诉讼。</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十九、本协议有效期一年，自协议签订之日起计算，协议到期，如双方无异议，则自动顺延一年，经双方协商一致也可提前终止本协议。</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二十、本协议自双方签字、盖章之日起生效。本协议一式两份，双方各执一份，具有同等法律效力。</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甲方（公章）：　　　　　　　</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14:textFill>
            <w14:solidFill>
              <w14:schemeClr w14:val="tx1"/>
            </w14:solidFill>
          </w14:textFill>
        </w:rPr>
        <w:t>乙方（公章）：</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仿宋_GB2312" w:eastAsia="仿宋_GB2312" w:cs="仿宋_GB2312"/>
          <w:color w:val="000000" w:themeColor="text1"/>
          <w:kern w:val="2"/>
          <w:sz w:val="28"/>
          <w:szCs w:val="28"/>
          <w14:textFill>
            <w14:solidFill>
              <w14:schemeClr w14:val="tx1"/>
            </w14:solidFill>
          </w14:textFill>
        </w:rPr>
      </w:pP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200"/>
        <w:jc w:val="both"/>
        <w:textAlignment w:val="auto"/>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法定代表人(负责人)签字：　   </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14:textFill>
            <w14:solidFill>
              <w14:schemeClr w14:val="tx1"/>
            </w14:solidFill>
          </w14:textFill>
        </w:rPr>
        <w:t>法定代表人(负责人)签字：</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1400" w:firstLineChars="500"/>
        <w:jc w:val="both"/>
        <w:textAlignment w:val="auto"/>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年 </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月</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日                   年    月    日</w:t>
      </w:r>
    </w:p>
    <w:p>
      <w:pPr>
        <w:pStyle w:val="13"/>
        <w:keepNext w:val="0"/>
        <w:keepLines w:val="0"/>
        <w:pageBreakBefore w:val="0"/>
        <w:widowControl w:val="0"/>
        <w:kinsoku/>
        <w:overflowPunct/>
        <w:topLinePunct w:val="0"/>
        <w:autoSpaceDE/>
        <w:autoSpaceDN/>
        <w:bidi w:val="0"/>
        <w:spacing w:line="620" w:lineRule="exact"/>
        <w:textAlignment w:val="auto"/>
        <w:rPr>
          <w:rFonts w:hint="eastAsia" w:ascii="仿宋_GB2312" w:hAnsi="仿宋" w:eastAsia="仿宋_GB2312"/>
          <w:color w:val="000000" w:themeColor="text1"/>
          <w:sz w:val="32"/>
          <w:szCs w:val="32"/>
          <w:lang w:eastAsia="zh-CN" w:bidi="en-US"/>
          <w14:textFill>
            <w14:solidFill>
              <w14:schemeClr w14:val="tx1"/>
            </w14:solidFill>
          </w14:textFill>
        </w:rPr>
      </w:pPr>
      <w:r>
        <w:rPr>
          <w:rFonts w:ascii="仿宋_GB2312" w:hAnsi="仿宋" w:eastAsia="仿宋_GB2312"/>
          <w:color w:val="000000" w:themeColor="text1"/>
          <w:sz w:val="32"/>
          <w:szCs w:val="32"/>
          <w:lang w:eastAsia="zh-CN" w:bidi="en-US"/>
          <w14:textFill>
            <w14:solidFill>
              <w14:schemeClr w14:val="tx1"/>
            </w14:solidFill>
          </w14:textFill>
        </w:rPr>
        <w:br w:type="page"/>
      </w:r>
    </w:p>
    <w:p>
      <w:pPr>
        <w:pStyle w:val="13"/>
        <w:keepNext w:val="0"/>
        <w:keepLines w:val="0"/>
        <w:pageBreakBefore w:val="0"/>
        <w:widowControl w:val="0"/>
        <w:kinsoku/>
        <w:overflowPunct/>
        <w:topLinePunct w:val="0"/>
        <w:autoSpaceDE/>
        <w:autoSpaceDN/>
        <w:bidi w:val="0"/>
        <w:spacing w:line="620" w:lineRule="exact"/>
        <w:ind w:left="0" w:leftChars="0" w:firstLine="0" w:firstLineChars="0"/>
        <w:textAlignment w:val="auto"/>
        <w:rPr>
          <w:rFonts w:hint="eastAsia" w:ascii="黑体" w:hAnsi="黑体" w:eastAsia="黑体" w:cs="黑体"/>
          <w:color w:val="000000" w:themeColor="text1"/>
          <w:sz w:val="32"/>
          <w:szCs w:val="32"/>
          <w:lang w:val="en-US" w:eastAsia="zh-CN" w:bidi="en-US"/>
          <w14:textFill>
            <w14:solidFill>
              <w14:schemeClr w14:val="tx1"/>
            </w14:solidFill>
          </w14:textFill>
        </w:rPr>
      </w:pPr>
      <w:r>
        <w:rPr>
          <w:rFonts w:hint="eastAsia" w:ascii="黑体" w:hAnsi="黑体" w:eastAsia="黑体" w:cs="黑体"/>
          <w:color w:val="000000" w:themeColor="text1"/>
          <w:sz w:val="32"/>
          <w:szCs w:val="32"/>
          <w:lang w:val="en-US" w:eastAsia="zh-CN" w:bidi="en-US"/>
          <w14:textFill>
            <w14:solidFill>
              <w14:schemeClr w14:val="tx1"/>
            </w14:solidFill>
          </w14:textFill>
        </w:rPr>
        <w:t>附件3：</w:t>
      </w:r>
    </w:p>
    <w:p>
      <w:pPr>
        <w:keepNext w:val="0"/>
        <w:keepLines w:val="0"/>
        <w:pageBreakBefore w:val="0"/>
        <w:widowControl w:val="0"/>
        <w:kinsoku/>
        <w:overflowPunct/>
        <w:topLinePunct w:val="0"/>
        <w:autoSpaceDE/>
        <w:autoSpaceDN/>
        <w:bidi w:val="0"/>
        <w:spacing w:before="240" w:beforeLines="100" w:after="240" w:afterLines="100" w:line="560" w:lineRule="exact"/>
        <w:jc w:val="center"/>
        <w:textAlignment w:val="auto"/>
        <w:rPr>
          <w:rFonts w:hint="eastAsia"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西咸新区商品房预售资金监管协议书</w:t>
      </w: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甲方：________________________（监管银行）</w:t>
      </w: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地址：________________________</w:t>
      </w: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乙方：________________________（房地产开发企业）</w:t>
      </w: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地址：________________________</w:t>
      </w: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丙</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方</w:t>
      </w:r>
      <w:r>
        <w:rPr>
          <w:rFonts w:hint="eastAsia" w:ascii="仿宋_GB2312" w:hAnsi="仿宋_GB2312" w:eastAsia="仿宋_GB2312" w:cs="仿宋_GB2312"/>
          <w:b w:val="0"/>
          <w:bCs w:val="0"/>
          <w:color w:val="000000" w:themeColor="text1"/>
          <w:sz w:val="28"/>
          <w:szCs w:val="28"/>
          <w14:textFill>
            <w14:solidFill>
              <w14:schemeClr w14:val="tx1"/>
            </w14:solidFill>
          </w14:textFill>
        </w:rPr>
        <w:t>：________________________（</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工程监理单位</w:t>
      </w:r>
      <w:r>
        <w:rPr>
          <w:rFonts w:hint="eastAsia" w:ascii="仿宋_GB2312" w:hAnsi="仿宋_GB2312" w:eastAsia="仿宋_GB2312" w:cs="仿宋_GB2312"/>
          <w:b w:val="0"/>
          <w:bCs w:val="0"/>
          <w:color w:val="000000" w:themeColor="text1"/>
          <w:sz w:val="28"/>
          <w:szCs w:val="28"/>
          <w14:textFill>
            <w14:solidFill>
              <w14:schemeClr w14:val="tx1"/>
            </w14:solidFill>
          </w14:textFill>
        </w:rPr>
        <w:t>）</w:t>
      </w: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地址：________________________</w:t>
      </w:r>
    </w:p>
    <w:p>
      <w:pPr>
        <w:keepNext w:val="0"/>
        <w:keepLines w:val="0"/>
        <w:pageBreakBefore w:val="0"/>
        <w:widowControl w:val="0"/>
        <w:kinsoku/>
        <w:overflowPunct/>
        <w:topLinePunct w:val="0"/>
        <w:autoSpaceDE/>
        <w:autoSpaceDN/>
        <w:bidi w:val="0"/>
        <w:spacing w:after="0" w:line="56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为维护商品房交易当事人的合法权益，保证商品房项目建设顺利实施，根据《中华人民共和国城市房地产管理法》、《中华人民共和国合同法》、《西咸新区商品房预售资金监督管理办法》等法律法规政策的相关规定和要求，经甲、乙、丙三方充分协商，在平等、自愿的基础上，就</w:t>
      </w:r>
      <w:r>
        <w:rPr>
          <w:rFonts w:hint="eastAsia" w:ascii="仿宋_GB2312" w:hAnsi="仿宋_GB2312" w:eastAsia="仿宋_GB2312" w:cs="仿宋_GB2312"/>
          <w:color w:val="000000" w:themeColor="text1"/>
          <w:sz w:val="28"/>
          <w:szCs w:val="28"/>
          <w:lang w:eastAsia="zh-CN"/>
          <w14:textFill>
            <w14:solidFill>
              <w14:schemeClr w14:val="tx1"/>
            </w14:solidFill>
          </w14:textFill>
        </w:rPr>
        <w:t>乙方</w:t>
      </w:r>
      <w:r>
        <w:rPr>
          <w:rFonts w:hint="eastAsia" w:ascii="仿宋_GB2312" w:hAnsi="仿宋_GB2312" w:eastAsia="仿宋_GB2312" w:cs="仿宋_GB2312"/>
          <w:color w:val="000000" w:themeColor="text1"/>
          <w:sz w:val="28"/>
          <w:szCs w:val="28"/>
          <w14:textFill>
            <w14:solidFill>
              <w14:schemeClr w14:val="tx1"/>
            </w14:solidFill>
          </w14:textFill>
        </w:rPr>
        <w:t>开发建设并拟进行预售的商品房项目的预售资金监管事宜取得一致意见，特订立本协议。</w:t>
      </w:r>
    </w:p>
    <w:p>
      <w:pPr>
        <w:keepNext w:val="0"/>
        <w:keepLines w:val="0"/>
        <w:pageBreakBefore w:val="0"/>
        <w:widowControl w:val="0"/>
        <w:kinsoku/>
        <w:overflowPunct/>
        <w:topLinePunct w:val="0"/>
        <w:autoSpaceDE/>
        <w:autoSpaceDN/>
        <w:bidi w:val="0"/>
        <w:spacing w:after="0" w:line="56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乙</w:t>
      </w:r>
      <w:r>
        <w:rPr>
          <w:rFonts w:hint="eastAsia" w:ascii="仿宋_GB2312" w:hAnsi="仿宋_GB2312" w:eastAsia="仿宋_GB2312" w:cs="仿宋_GB2312"/>
          <w:color w:val="000000" w:themeColor="text1"/>
          <w:sz w:val="28"/>
          <w:szCs w:val="28"/>
          <w14:textFill>
            <w14:solidFill>
              <w14:schemeClr w14:val="tx1"/>
            </w14:solidFill>
          </w14:textFill>
        </w:rPr>
        <w:t>方开发建设的________________________项目，坐落于___________________________________，土地证证号：</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，该项目__________ 号（幢）楼作为本协议的监管项目，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乙</w:t>
      </w:r>
      <w:r>
        <w:rPr>
          <w:rFonts w:hint="eastAsia" w:ascii="仿宋_GB2312" w:hAnsi="仿宋_GB2312" w:eastAsia="仿宋_GB2312" w:cs="仿宋_GB2312"/>
          <w:color w:val="000000" w:themeColor="text1"/>
          <w:sz w:val="28"/>
          <w:szCs w:val="28"/>
          <w14:textFill>
            <w14:solidFill>
              <w14:schemeClr w14:val="tx1"/>
            </w14:solidFill>
          </w14:textFill>
        </w:rPr>
        <w:t>方选定</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甲</w:t>
      </w:r>
      <w:r>
        <w:rPr>
          <w:rFonts w:hint="eastAsia" w:ascii="仿宋_GB2312" w:hAnsi="仿宋_GB2312" w:eastAsia="仿宋_GB2312" w:cs="仿宋_GB2312"/>
          <w:color w:val="000000" w:themeColor="text1"/>
          <w:sz w:val="28"/>
          <w:szCs w:val="28"/>
          <w14:textFill>
            <w14:solidFill>
              <w14:schemeClr w14:val="tx1"/>
            </w14:solidFill>
          </w14:textFill>
        </w:rPr>
        <w:t>方为本监管项目的监管银行。</w:t>
      </w:r>
    </w:p>
    <w:p>
      <w:pPr>
        <w:keepNext w:val="0"/>
        <w:keepLines w:val="0"/>
        <w:pageBreakBefore w:val="0"/>
        <w:widowControl w:val="0"/>
        <w:kinsoku/>
        <w:overflowPunct/>
        <w:topLinePunct w:val="0"/>
        <w:autoSpaceDE/>
        <w:autoSpaceDN/>
        <w:bidi w:val="0"/>
        <w:spacing w:after="0" w:line="56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本监管项目总建筑面积为__________平方米，</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经甲方核算，</w:t>
      </w:r>
      <w:r>
        <w:rPr>
          <w:rFonts w:hint="eastAsia" w:ascii="仿宋_GB2312" w:hAnsi="仿宋_GB2312" w:eastAsia="仿宋_GB2312" w:cs="仿宋_GB2312"/>
          <w:color w:val="000000" w:themeColor="text1"/>
          <w:sz w:val="28"/>
          <w:szCs w:val="28"/>
          <w14:textFill>
            <w14:solidFill>
              <w14:schemeClr w14:val="tx1"/>
            </w14:solidFill>
          </w14:textFill>
        </w:rPr>
        <w:t>其重点监管资金额度为___________万元</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重点监管资金额度为监管项目</w:t>
      </w:r>
      <w:r>
        <w:rPr>
          <w:rFonts w:hint="eastAsia" w:ascii="仿宋_GB2312" w:hAnsi="仿宋_GB2312" w:eastAsia="仿宋_GB2312" w:cs="仿宋_GB2312"/>
          <w:color w:val="000000" w:themeColor="text1"/>
          <w:sz w:val="28"/>
          <w:szCs w:val="28"/>
          <w14:textFill>
            <w14:solidFill>
              <w14:schemeClr w14:val="tx1"/>
            </w14:solidFill>
          </w14:textFill>
        </w:rPr>
        <w:t>取得《建筑工程竣工验收备案表》所需工程建设资金总额的1.2倍</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w:t>
      </w:r>
    </w:p>
    <w:p>
      <w:pPr>
        <w:keepNext w:val="0"/>
        <w:keepLines w:val="0"/>
        <w:pageBreakBefore w:val="0"/>
        <w:widowControl w:val="0"/>
        <w:kinsoku/>
        <w:overflowPunct/>
        <w:topLinePunct w:val="0"/>
        <w:autoSpaceDE/>
        <w:autoSpaceDN/>
        <w:bidi w:val="0"/>
        <w:spacing w:after="0" w:line="56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本监管项目预售资金的收存、拨付和使用均应遵守上述法律、法规、政策文件及本协议。</w:t>
      </w:r>
    </w:p>
    <w:p>
      <w:pPr>
        <w:keepNext w:val="0"/>
        <w:keepLines w:val="0"/>
        <w:pageBreakBefore w:val="0"/>
        <w:widowControl w:val="0"/>
        <w:kinsoku/>
        <w:overflowPunct/>
        <w:topLinePunct w:val="0"/>
        <w:autoSpaceDE/>
        <w:autoSpaceDN/>
        <w:bidi w:val="0"/>
        <w:spacing w:after="0" w:line="56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乙</w:t>
      </w:r>
      <w:r>
        <w:rPr>
          <w:rFonts w:hint="eastAsia" w:ascii="仿宋_GB2312" w:hAnsi="仿宋_GB2312" w:eastAsia="仿宋_GB2312" w:cs="仿宋_GB2312"/>
          <w:color w:val="000000" w:themeColor="text1"/>
          <w:sz w:val="28"/>
          <w:szCs w:val="28"/>
          <w14:textFill>
            <w14:solidFill>
              <w14:schemeClr w14:val="tx1"/>
            </w14:solidFill>
          </w14:textFill>
        </w:rPr>
        <w:t>方在</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甲</w:t>
      </w:r>
      <w:r>
        <w:rPr>
          <w:rFonts w:hint="eastAsia" w:ascii="仿宋_GB2312" w:hAnsi="仿宋_GB2312" w:eastAsia="仿宋_GB2312" w:cs="仿宋_GB2312"/>
          <w:color w:val="000000" w:themeColor="text1"/>
          <w:sz w:val="28"/>
          <w:szCs w:val="28"/>
          <w14:textFill>
            <w14:solidFill>
              <w14:schemeClr w14:val="tx1"/>
            </w14:solidFill>
          </w14:textFill>
        </w:rPr>
        <w:t>方开设商品房预售资金监管账户（下称：监管账户）。</w:t>
      </w:r>
    </w:p>
    <w:p>
      <w:pPr>
        <w:keepNext w:val="0"/>
        <w:keepLines w:val="0"/>
        <w:pageBreakBefore w:val="0"/>
        <w:widowControl w:val="0"/>
        <w:kinsoku/>
        <w:overflowPunct/>
        <w:topLinePunct w:val="0"/>
        <w:autoSpaceDE/>
        <w:autoSpaceDN/>
        <w:bidi w:val="0"/>
        <w:spacing w:after="0" w:line="56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监管账户户名：________________________</w:t>
      </w:r>
    </w:p>
    <w:p>
      <w:pPr>
        <w:keepNext w:val="0"/>
        <w:keepLines w:val="0"/>
        <w:pageBreakBefore w:val="0"/>
        <w:widowControl w:val="0"/>
        <w:kinsoku/>
        <w:overflowPunct/>
        <w:topLinePunct w:val="0"/>
        <w:autoSpaceDE/>
        <w:autoSpaceDN/>
        <w:bidi w:val="0"/>
        <w:spacing w:after="0" w:line="56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监管账号：____________________________</w:t>
      </w:r>
    </w:p>
    <w:p>
      <w:pPr>
        <w:keepNext w:val="0"/>
        <w:keepLines w:val="0"/>
        <w:pageBreakBefore w:val="0"/>
        <w:widowControl w:val="0"/>
        <w:kinsoku/>
        <w:overflowPunct/>
        <w:topLinePunct w:val="0"/>
        <w:autoSpaceDE/>
        <w:autoSpaceDN/>
        <w:bidi w:val="0"/>
        <w:spacing w:after="0" w:line="56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开户行：______________________________</w:t>
      </w:r>
    </w:p>
    <w:p>
      <w:pPr>
        <w:keepNext w:val="0"/>
        <w:keepLines w:val="0"/>
        <w:pageBreakBefore w:val="0"/>
        <w:widowControl w:val="0"/>
        <w:kinsoku/>
        <w:overflowPunct/>
        <w:topLinePunct w:val="0"/>
        <w:autoSpaceDE/>
        <w:autoSpaceDN/>
        <w:bidi w:val="0"/>
        <w:spacing w:after="0" w:line="56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该监管账户的使用范围仅限本监管项目及其它使用该账户作为监管账户的监管项目预售资金的收存、拨付和使用；该监管账户不可支取现金，不得办理质押，不得作为保证金账户及办理其他业务。</w:t>
      </w:r>
    </w:p>
    <w:p>
      <w:pPr>
        <w:keepNext w:val="0"/>
        <w:keepLines w:val="0"/>
        <w:pageBreakBefore w:val="0"/>
        <w:widowControl w:val="0"/>
        <w:kinsoku/>
        <w:overflowPunct/>
        <w:topLinePunct w:val="0"/>
        <w:autoSpaceDE/>
        <w:autoSpaceDN/>
        <w:bidi w:val="0"/>
        <w:spacing w:after="0" w:line="56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乙</w:t>
      </w:r>
      <w:r>
        <w:rPr>
          <w:rFonts w:hint="eastAsia" w:ascii="仿宋_GB2312" w:hAnsi="仿宋_GB2312" w:eastAsia="仿宋_GB2312" w:cs="仿宋_GB2312"/>
          <w:color w:val="000000" w:themeColor="text1"/>
          <w:sz w:val="28"/>
          <w:szCs w:val="28"/>
          <w14:textFill>
            <w14:solidFill>
              <w14:schemeClr w14:val="tx1"/>
            </w14:solidFill>
          </w14:textFill>
        </w:rPr>
        <w:t>方自愿依照本协议约定，接受甲方对本协议约定的监管项目实施预售资金监管，并按照《商品房买卖合同》约定的时间和要求，将竣工验收合格的商品房交付给购房人，切实保障购房人的合法权益。</w:t>
      </w:r>
    </w:p>
    <w:p>
      <w:pPr>
        <w:keepNext w:val="0"/>
        <w:keepLines w:val="0"/>
        <w:pageBreakBefore w:val="0"/>
        <w:widowControl w:val="0"/>
        <w:kinsoku/>
        <w:overflowPunct/>
        <w:topLinePunct w:val="0"/>
        <w:autoSpaceDE/>
        <w:autoSpaceDN/>
        <w:bidi w:val="0"/>
        <w:spacing w:after="0" w:line="56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丙方应在每月月末向乙方出具工程实际进度或已完成投资额证明。如乙方提出申请，丙方应在三个工作日内为乙方出具工程实际进度或者完成投资额证明</w:t>
      </w:r>
      <w:r>
        <w:rPr>
          <w:rFonts w:hint="eastAsia" w:ascii="仿宋_GB2312" w:hAnsi="仿宋_GB2312" w:eastAsia="仿宋_GB2312" w:cs="仿宋_GB2312"/>
          <w:color w:val="000000" w:themeColor="text1"/>
          <w:sz w:val="28"/>
          <w:szCs w:val="28"/>
          <w14:textFill>
            <w14:solidFill>
              <w14:schemeClr w14:val="tx1"/>
            </w14:solidFill>
          </w14:textFill>
        </w:rPr>
        <w:t>。</w:t>
      </w:r>
    </w:p>
    <w:p>
      <w:pPr>
        <w:keepNext w:val="0"/>
        <w:keepLines w:val="0"/>
        <w:pageBreakBefore w:val="0"/>
        <w:widowControl w:val="0"/>
        <w:kinsoku/>
        <w:overflowPunct/>
        <w:topLinePunct w:val="0"/>
        <w:autoSpaceDE/>
        <w:autoSpaceDN/>
        <w:bidi w:val="0"/>
        <w:spacing w:after="0" w:line="56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甲</w:t>
      </w:r>
      <w:r>
        <w:rPr>
          <w:rFonts w:hint="eastAsia" w:ascii="仿宋_GB2312" w:hAnsi="仿宋_GB2312" w:eastAsia="仿宋_GB2312" w:cs="仿宋_GB2312"/>
          <w:color w:val="000000" w:themeColor="text1"/>
          <w:sz w:val="28"/>
          <w:szCs w:val="28"/>
          <w14:textFill>
            <w14:solidFill>
              <w14:schemeClr w14:val="tx1"/>
            </w14:solidFill>
          </w14:textFill>
        </w:rPr>
        <w:t>方应严格履行账户管理、资金收存、账务核对、资金划拨、购房贷款入账情况监控、银行冲正等监管义务，向</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乙</w:t>
      </w:r>
      <w:r>
        <w:rPr>
          <w:rFonts w:hint="eastAsia" w:ascii="仿宋_GB2312" w:hAnsi="仿宋_GB2312" w:eastAsia="仿宋_GB2312" w:cs="仿宋_GB2312"/>
          <w:color w:val="000000" w:themeColor="text1"/>
          <w:sz w:val="28"/>
          <w:szCs w:val="28"/>
          <w14:textFill>
            <w14:solidFill>
              <w14:schemeClr w14:val="tx1"/>
            </w14:solidFill>
          </w14:textFill>
        </w:rPr>
        <w:t>方及购房人提供安全、优质、高效的金融服务，并积极协调处理本协议履行期间出现的相关问题。</w:t>
      </w:r>
    </w:p>
    <w:p>
      <w:pPr>
        <w:keepNext w:val="0"/>
        <w:keepLines w:val="0"/>
        <w:pageBreakBefore w:val="0"/>
        <w:widowControl w:val="0"/>
        <w:kinsoku/>
        <w:overflowPunct/>
        <w:topLinePunct w:val="0"/>
        <w:autoSpaceDE/>
        <w:autoSpaceDN/>
        <w:bidi w:val="0"/>
        <w:spacing w:after="0" w:line="56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六、</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甲</w:t>
      </w:r>
      <w:r>
        <w:rPr>
          <w:rFonts w:hint="eastAsia" w:ascii="仿宋_GB2312" w:hAnsi="仿宋_GB2312" w:eastAsia="仿宋_GB2312" w:cs="仿宋_GB2312"/>
          <w:color w:val="000000" w:themeColor="text1"/>
          <w:sz w:val="28"/>
          <w:szCs w:val="28"/>
          <w14:textFill>
            <w14:solidFill>
              <w14:schemeClr w14:val="tx1"/>
            </w14:solidFill>
          </w14:textFill>
        </w:rPr>
        <w:t>方应当按照与陕西省西咸新区住房和城乡建设局签订的《西咸新区商品房预售资金监管合作协议》中约定的时间和方式，将监管账户收支情况等相关信息汇总后，提供给</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新区和项目所在新城住建行政主管部门</w:t>
      </w:r>
      <w:r>
        <w:rPr>
          <w:rFonts w:hint="eastAsia" w:ascii="仿宋_GB2312" w:hAnsi="仿宋_GB2312" w:eastAsia="仿宋_GB2312" w:cs="仿宋_GB2312"/>
          <w:color w:val="000000" w:themeColor="text1"/>
          <w:sz w:val="28"/>
          <w:szCs w:val="28"/>
          <w14:textFill>
            <w14:solidFill>
              <w14:schemeClr w14:val="tx1"/>
            </w14:solidFill>
          </w14:textFill>
        </w:rPr>
        <w:t>。</w:t>
      </w:r>
    </w:p>
    <w:p>
      <w:pPr>
        <w:keepNext w:val="0"/>
        <w:keepLines w:val="0"/>
        <w:pageBreakBefore w:val="0"/>
        <w:widowControl w:val="0"/>
        <w:kinsoku/>
        <w:overflowPunct/>
        <w:topLinePunct w:val="0"/>
        <w:autoSpaceDE/>
        <w:autoSpaceDN/>
        <w:bidi w:val="0"/>
        <w:spacing w:after="0" w:line="56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七、</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甲</w:t>
      </w:r>
      <w:r>
        <w:rPr>
          <w:rFonts w:hint="eastAsia" w:ascii="仿宋_GB2312" w:hAnsi="仿宋_GB2312" w:eastAsia="仿宋_GB2312" w:cs="仿宋_GB2312"/>
          <w:color w:val="000000" w:themeColor="text1"/>
          <w:sz w:val="28"/>
          <w:szCs w:val="28"/>
          <w14:textFill>
            <w14:solidFill>
              <w14:schemeClr w14:val="tx1"/>
            </w14:solidFill>
          </w14:textFill>
        </w:rPr>
        <w:t>方应保证监管账户数据信息与监管系统（监管系统是指由西咸新区住建局开发建设，用于商品房预售资金监管业务的网络平台）数据信息实时同步，监管账户实际余额等信息与监管系统显示信息不符时，</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甲</w:t>
      </w:r>
      <w:r>
        <w:rPr>
          <w:rFonts w:hint="eastAsia" w:ascii="仿宋_GB2312" w:hAnsi="仿宋_GB2312" w:eastAsia="仿宋_GB2312" w:cs="仿宋_GB2312"/>
          <w:color w:val="000000" w:themeColor="text1"/>
          <w:sz w:val="28"/>
          <w:szCs w:val="28"/>
          <w14:textFill>
            <w14:solidFill>
              <w14:schemeClr w14:val="tx1"/>
            </w14:solidFill>
          </w14:textFill>
        </w:rPr>
        <w:t>方应当积极配合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新区、新城住建行政主管部门</w:t>
      </w:r>
      <w:r>
        <w:rPr>
          <w:rFonts w:hint="eastAsia" w:ascii="仿宋_GB2312" w:hAnsi="仿宋_GB2312" w:eastAsia="仿宋_GB2312" w:cs="仿宋_GB2312"/>
          <w:color w:val="000000" w:themeColor="text1"/>
          <w:sz w:val="28"/>
          <w:szCs w:val="28"/>
          <w14:textFill>
            <w14:solidFill>
              <w14:schemeClr w14:val="tx1"/>
            </w14:solidFill>
          </w14:textFill>
        </w:rPr>
        <w:t>查找原因，及时予以更正。调整差错信息期间，监管账户暂停拨付。</w:t>
      </w:r>
    </w:p>
    <w:p>
      <w:pPr>
        <w:keepNext w:val="0"/>
        <w:keepLines w:val="0"/>
        <w:pageBreakBefore w:val="0"/>
        <w:widowControl w:val="0"/>
        <w:kinsoku/>
        <w:overflowPunct/>
        <w:topLinePunct w:val="0"/>
        <w:autoSpaceDE/>
        <w:autoSpaceDN/>
        <w:bidi w:val="0"/>
        <w:spacing w:after="0" w:line="56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监管系统提供的账户信息只作参考之用，监管账户余额、发生额以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甲</w:t>
      </w:r>
      <w:r>
        <w:rPr>
          <w:rFonts w:hint="eastAsia" w:ascii="仿宋_GB2312" w:hAnsi="仿宋_GB2312" w:eastAsia="仿宋_GB2312" w:cs="仿宋_GB2312"/>
          <w:color w:val="000000" w:themeColor="text1"/>
          <w:sz w:val="28"/>
          <w:szCs w:val="28"/>
          <w14:textFill>
            <w14:solidFill>
              <w14:schemeClr w14:val="tx1"/>
            </w14:solidFill>
          </w14:textFill>
        </w:rPr>
        <w:t>方出具的凭证为准。</w:t>
      </w:r>
    </w:p>
    <w:p>
      <w:pPr>
        <w:keepNext w:val="0"/>
        <w:keepLines w:val="0"/>
        <w:pageBreakBefore w:val="0"/>
        <w:widowControl w:val="0"/>
        <w:kinsoku/>
        <w:overflowPunct/>
        <w:topLinePunct w:val="0"/>
        <w:autoSpaceDE/>
        <w:autoSpaceDN/>
        <w:bidi w:val="0"/>
        <w:spacing w:after="0" w:line="56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八、对产生的不明入账款项，</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甲</w:t>
      </w:r>
      <w:r>
        <w:rPr>
          <w:rFonts w:hint="eastAsia" w:ascii="仿宋_GB2312" w:hAnsi="仿宋_GB2312" w:eastAsia="仿宋_GB2312" w:cs="仿宋_GB2312"/>
          <w:color w:val="000000" w:themeColor="text1"/>
          <w:sz w:val="28"/>
          <w:szCs w:val="28"/>
          <w14:textFill>
            <w14:solidFill>
              <w14:schemeClr w14:val="tx1"/>
            </w14:solidFill>
          </w14:textFill>
        </w:rPr>
        <w:t>方应与资金发起银行核实资金来源后，在监管系统中将该笔资金划分确认；对于核实资金来源确有困难的，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甲</w:t>
      </w:r>
      <w:r>
        <w:rPr>
          <w:rFonts w:hint="eastAsia" w:ascii="仿宋_GB2312" w:hAnsi="仿宋_GB2312" w:eastAsia="仿宋_GB2312" w:cs="仿宋_GB2312"/>
          <w:color w:val="000000" w:themeColor="text1"/>
          <w:sz w:val="28"/>
          <w:szCs w:val="28"/>
          <w14:textFill>
            <w14:solidFill>
              <w14:schemeClr w14:val="tx1"/>
            </w14:solidFill>
          </w14:textFill>
        </w:rPr>
        <w:t>方应将该笔资金原路退回。不明入账款项经确认后，</w:t>
      </w:r>
      <w:r>
        <w:rPr>
          <w:rFonts w:hint="eastAsia" w:ascii="仿宋_GB2312" w:hAnsi="仿宋_GB2312" w:eastAsia="仿宋_GB2312" w:cs="仿宋_GB2312"/>
          <w:color w:val="000000" w:themeColor="text1"/>
          <w:sz w:val="28"/>
          <w:szCs w:val="28"/>
          <w:lang w:eastAsia="zh-CN"/>
          <w14:textFill>
            <w14:solidFill>
              <w14:schemeClr w14:val="tx1"/>
            </w14:solidFill>
          </w14:textFill>
        </w:rPr>
        <w:t>乙方</w:t>
      </w:r>
      <w:r>
        <w:rPr>
          <w:rFonts w:hint="eastAsia" w:ascii="仿宋_GB2312" w:hAnsi="仿宋_GB2312" w:eastAsia="仿宋_GB2312" w:cs="仿宋_GB2312"/>
          <w:color w:val="000000" w:themeColor="text1"/>
          <w:sz w:val="28"/>
          <w:szCs w:val="28"/>
          <w14:textFill>
            <w14:solidFill>
              <w14:schemeClr w14:val="tx1"/>
            </w14:solidFill>
          </w14:textFill>
        </w:rPr>
        <w:t>方可申请使用该笔资金。</w:t>
      </w:r>
    </w:p>
    <w:p>
      <w:pPr>
        <w:keepNext w:val="0"/>
        <w:keepLines w:val="0"/>
        <w:pageBreakBefore w:val="0"/>
        <w:widowControl w:val="0"/>
        <w:kinsoku/>
        <w:overflowPunct/>
        <w:topLinePunct w:val="0"/>
        <w:autoSpaceDE/>
        <w:autoSpaceDN/>
        <w:bidi w:val="0"/>
        <w:spacing w:after="0" w:line="56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甲</w:t>
      </w:r>
      <w:r>
        <w:rPr>
          <w:rFonts w:hint="eastAsia" w:ascii="仿宋_GB2312" w:hAnsi="仿宋_GB2312" w:eastAsia="仿宋_GB2312" w:cs="仿宋_GB2312"/>
          <w:color w:val="000000" w:themeColor="text1"/>
          <w:sz w:val="28"/>
          <w:szCs w:val="28"/>
          <w14:textFill>
            <w14:solidFill>
              <w14:schemeClr w14:val="tx1"/>
            </w14:solidFill>
          </w14:textFill>
        </w:rPr>
        <w:t>方不得维护以</w:t>
      </w:r>
      <w:r>
        <w:rPr>
          <w:rFonts w:hint="eastAsia" w:ascii="仿宋_GB2312" w:hAnsi="仿宋_GB2312" w:eastAsia="仿宋_GB2312" w:cs="仿宋_GB2312"/>
          <w:color w:val="000000" w:themeColor="text1"/>
          <w:sz w:val="28"/>
          <w:szCs w:val="28"/>
          <w:lang w:eastAsia="zh-CN"/>
          <w14:textFill>
            <w14:solidFill>
              <w14:schemeClr w14:val="tx1"/>
            </w14:solidFill>
          </w14:textFill>
        </w:rPr>
        <w:t>乙方</w:t>
      </w:r>
      <w:r>
        <w:rPr>
          <w:rFonts w:hint="eastAsia" w:ascii="仿宋_GB2312" w:hAnsi="仿宋_GB2312" w:eastAsia="仿宋_GB2312" w:cs="仿宋_GB2312"/>
          <w:color w:val="000000" w:themeColor="text1"/>
          <w:sz w:val="28"/>
          <w:szCs w:val="28"/>
          <w14:textFill>
            <w14:solidFill>
              <w14:schemeClr w14:val="tx1"/>
            </w14:solidFill>
          </w14:textFill>
        </w:rPr>
        <w:t>名义转入监管账户的任何资金到任何交存单号下。</w:t>
      </w:r>
    </w:p>
    <w:p>
      <w:pPr>
        <w:keepNext w:val="0"/>
        <w:keepLines w:val="0"/>
        <w:pageBreakBefore w:val="0"/>
        <w:widowControl w:val="0"/>
        <w:kinsoku/>
        <w:overflowPunct/>
        <w:topLinePunct w:val="0"/>
        <w:autoSpaceDE/>
        <w:autoSpaceDN/>
        <w:bidi w:val="0"/>
        <w:spacing w:after="0" w:line="56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九、</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甲</w:t>
      </w:r>
      <w:r>
        <w:rPr>
          <w:rFonts w:hint="eastAsia" w:ascii="仿宋_GB2312" w:hAnsi="仿宋_GB2312" w:eastAsia="仿宋_GB2312" w:cs="仿宋_GB2312"/>
          <w:color w:val="000000" w:themeColor="text1"/>
          <w:sz w:val="28"/>
          <w:szCs w:val="28"/>
          <w14:textFill>
            <w14:solidFill>
              <w14:schemeClr w14:val="tx1"/>
            </w14:solidFill>
          </w14:textFill>
        </w:rPr>
        <w:t>方不得从监管账户中扣除管理费、划款手续费等银行收费，但可依照账户管理规定，在监管账户孳息、账户管理费、划款手续费等方面为</w:t>
      </w:r>
      <w:r>
        <w:rPr>
          <w:rFonts w:hint="eastAsia" w:ascii="仿宋_GB2312" w:hAnsi="仿宋_GB2312" w:eastAsia="仿宋_GB2312" w:cs="仿宋_GB2312"/>
          <w:color w:val="000000" w:themeColor="text1"/>
          <w:sz w:val="28"/>
          <w:szCs w:val="28"/>
          <w:lang w:eastAsia="zh-CN"/>
          <w14:textFill>
            <w14:solidFill>
              <w14:schemeClr w14:val="tx1"/>
            </w14:solidFill>
          </w14:textFill>
        </w:rPr>
        <w:t>乙方</w:t>
      </w:r>
      <w:r>
        <w:rPr>
          <w:rFonts w:hint="eastAsia" w:ascii="仿宋_GB2312" w:hAnsi="仿宋_GB2312" w:eastAsia="仿宋_GB2312" w:cs="仿宋_GB2312"/>
          <w:color w:val="000000" w:themeColor="text1"/>
          <w:sz w:val="28"/>
          <w:szCs w:val="28"/>
          <w14:textFill>
            <w14:solidFill>
              <w14:schemeClr w14:val="tx1"/>
            </w14:solidFill>
          </w14:textFill>
        </w:rPr>
        <w:t>提供相应的优惠措施。</w:t>
      </w:r>
    </w:p>
    <w:p>
      <w:pPr>
        <w:keepNext w:val="0"/>
        <w:keepLines w:val="0"/>
        <w:pageBreakBefore w:val="0"/>
        <w:widowControl w:val="0"/>
        <w:kinsoku/>
        <w:overflowPunct/>
        <w:topLinePunct w:val="0"/>
        <w:autoSpaceDE/>
        <w:autoSpaceDN/>
        <w:bidi w:val="0"/>
        <w:spacing w:after="0" w:line="56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十、商品房预售的购房款（包括定金、首付款、分期付款、一次性付款等）由购房人直接存入监管账户，</w:t>
      </w:r>
      <w:r>
        <w:rPr>
          <w:rFonts w:hint="eastAsia" w:ascii="仿宋_GB2312" w:hAnsi="仿宋_GB2312" w:eastAsia="仿宋_GB2312" w:cs="仿宋_GB2312"/>
          <w:color w:val="000000" w:themeColor="text1"/>
          <w:sz w:val="28"/>
          <w:szCs w:val="28"/>
          <w:lang w:eastAsia="zh-CN"/>
          <w14:textFill>
            <w14:solidFill>
              <w14:schemeClr w14:val="tx1"/>
            </w14:solidFill>
          </w14:textFill>
        </w:rPr>
        <w:t>乙方</w:t>
      </w:r>
      <w:r>
        <w:rPr>
          <w:rFonts w:hint="eastAsia" w:ascii="仿宋_GB2312" w:hAnsi="仿宋_GB2312" w:eastAsia="仿宋_GB2312" w:cs="仿宋_GB2312"/>
          <w:color w:val="000000" w:themeColor="text1"/>
          <w:sz w:val="28"/>
          <w:szCs w:val="28"/>
          <w14:textFill>
            <w14:solidFill>
              <w14:schemeClr w14:val="tx1"/>
            </w14:solidFill>
          </w14:textFill>
        </w:rPr>
        <w:t>不得擅自收存；</w:t>
      </w:r>
      <w:r>
        <w:rPr>
          <w:rFonts w:hint="eastAsia" w:ascii="仿宋_GB2312" w:hAnsi="仿宋_GB2312" w:eastAsia="仿宋_GB2312" w:cs="仿宋_GB2312"/>
          <w:color w:val="000000" w:themeColor="text1"/>
          <w:sz w:val="28"/>
          <w:szCs w:val="28"/>
          <w:lang w:eastAsia="zh-CN"/>
          <w14:textFill>
            <w14:solidFill>
              <w14:schemeClr w14:val="tx1"/>
            </w14:solidFill>
          </w14:textFill>
        </w:rPr>
        <w:t>乙方</w:t>
      </w:r>
      <w:r>
        <w:rPr>
          <w:rFonts w:hint="eastAsia" w:ascii="仿宋_GB2312" w:hAnsi="仿宋_GB2312" w:eastAsia="仿宋_GB2312" w:cs="仿宋_GB2312"/>
          <w:color w:val="000000" w:themeColor="text1"/>
          <w:sz w:val="28"/>
          <w:szCs w:val="28"/>
          <w14:textFill>
            <w14:solidFill>
              <w14:schemeClr w14:val="tx1"/>
            </w14:solidFill>
          </w14:textFill>
        </w:rPr>
        <w:t>应积极协调，确保各银行机构发放的按揭贷款、住房公积金贷款直接划入监管账户内，不得另设账户收取购房贷款资金或挪作他用。</w:t>
      </w:r>
    </w:p>
    <w:p>
      <w:pPr>
        <w:keepNext w:val="0"/>
        <w:keepLines w:val="0"/>
        <w:pageBreakBefore w:val="0"/>
        <w:widowControl w:val="0"/>
        <w:kinsoku/>
        <w:overflowPunct/>
        <w:topLinePunct w:val="0"/>
        <w:autoSpaceDE/>
        <w:autoSpaceDN/>
        <w:bidi w:val="0"/>
        <w:spacing w:after="0" w:line="56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十一、</w:t>
      </w:r>
      <w:r>
        <w:rPr>
          <w:rFonts w:hint="eastAsia" w:ascii="仿宋_GB2312" w:hAnsi="仿宋_GB2312" w:eastAsia="仿宋_GB2312" w:cs="仿宋_GB2312"/>
          <w:color w:val="000000" w:themeColor="text1"/>
          <w:sz w:val="28"/>
          <w:szCs w:val="28"/>
          <w:lang w:eastAsia="zh-CN"/>
          <w14:textFill>
            <w14:solidFill>
              <w14:schemeClr w14:val="tx1"/>
            </w14:solidFill>
          </w14:textFill>
        </w:rPr>
        <w:t>乙方</w:t>
      </w:r>
      <w:r>
        <w:rPr>
          <w:rFonts w:hint="eastAsia" w:ascii="仿宋_GB2312" w:hAnsi="仿宋_GB2312" w:eastAsia="仿宋_GB2312" w:cs="仿宋_GB2312"/>
          <w:color w:val="000000" w:themeColor="text1"/>
          <w:sz w:val="28"/>
          <w:szCs w:val="28"/>
          <w14:textFill>
            <w14:solidFill>
              <w14:schemeClr w14:val="tx1"/>
            </w14:solidFill>
          </w14:textFill>
        </w:rPr>
        <w:t>应结合商品房预售资金使用计划和实际</w:t>
      </w:r>
      <w:r>
        <w:rPr>
          <w:rFonts w:hint="eastAsia" w:ascii="仿宋_GB2312" w:hAnsi="仿宋_GB2312" w:eastAsia="仿宋_GB2312" w:cs="仿宋_GB2312"/>
          <w:color w:val="000000" w:themeColor="text1"/>
          <w:sz w:val="28"/>
          <w:szCs w:val="28"/>
          <w:lang w:eastAsia="zh-CN"/>
          <w14:textFill>
            <w14:solidFill>
              <w14:schemeClr w14:val="tx1"/>
            </w14:solidFill>
          </w14:textFill>
        </w:rPr>
        <w:t>施工进度</w:t>
      </w:r>
      <w:r>
        <w:rPr>
          <w:rFonts w:hint="eastAsia" w:ascii="仿宋_GB2312" w:hAnsi="仿宋_GB2312" w:eastAsia="仿宋_GB2312" w:cs="仿宋_GB2312"/>
          <w:color w:val="000000" w:themeColor="text1"/>
          <w:sz w:val="28"/>
          <w:szCs w:val="28"/>
          <w14:textFill>
            <w14:solidFill>
              <w14:schemeClr w14:val="tx1"/>
            </w14:solidFill>
          </w14:textFill>
        </w:rPr>
        <w:t>向</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新区或监管项目所在新城住建行政主管部门</w:t>
      </w:r>
      <w:r>
        <w:rPr>
          <w:rFonts w:hint="eastAsia" w:ascii="仿宋_GB2312" w:hAnsi="仿宋_GB2312" w:eastAsia="仿宋_GB2312" w:cs="仿宋_GB2312"/>
          <w:color w:val="000000" w:themeColor="text1"/>
          <w:sz w:val="28"/>
          <w:szCs w:val="28"/>
          <w14:textFill>
            <w14:solidFill>
              <w14:schemeClr w14:val="tx1"/>
            </w14:solidFill>
          </w14:textFill>
        </w:rPr>
        <w:t>申请提取重点监管资金（重点监管资金是</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指</w:t>
      </w:r>
      <w:r>
        <w:rPr>
          <w:rFonts w:hint="eastAsia" w:ascii="仿宋_GB2312" w:hAnsi="仿宋_GB2312" w:eastAsia="仿宋_GB2312" w:cs="仿宋_GB2312"/>
          <w:color w:val="000000" w:themeColor="text1"/>
          <w:sz w:val="28"/>
          <w:szCs w:val="28"/>
          <w14:textFill>
            <w14:solidFill>
              <w14:schemeClr w14:val="tx1"/>
            </w14:solidFill>
          </w14:textFill>
        </w:rPr>
        <w:t>用于保证商品房开发项目顺利交付所需要的预售资金，其额度根据《西咸新区商品房预售资金监督管理办法》确定），用于支付建筑安装、区内配套建设等费用。</w:t>
      </w:r>
      <w:r>
        <w:rPr>
          <w:rFonts w:hint="eastAsia" w:ascii="仿宋_GB2312" w:hAnsi="仿宋_GB2312" w:eastAsia="仿宋_GB2312" w:cs="仿宋_GB2312"/>
          <w:color w:val="000000" w:themeColor="text1"/>
          <w:sz w:val="28"/>
          <w:szCs w:val="28"/>
          <w:lang w:eastAsia="zh-CN"/>
          <w14:textFill>
            <w14:solidFill>
              <w14:schemeClr w14:val="tx1"/>
            </w14:solidFill>
          </w14:textFill>
        </w:rPr>
        <w:t>乙方</w:t>
      </w:r>
      <w:r>
        <w:rPr>
          <w:rFonts w:hint="eastAsia" w:ascii="仿宋_GB2312" w:hAnsi="仿宋_GB2312" w:eastAsia="仿宋_GB2312" w:cs="仿宋_GB2312"/>
          <w:color w:val="000000" w:themeColor="text1"/>
          <w:sz w:val="28"/>
          <w:szCs w:val="28"/>
          <w14:textFill>
            <w14:solidFill>
              <w14:schemeClr w14:val="tx1"/>
            </w14:solidFill>
          </w14:textFill>
        </w:rPr>
        <w:t>申请符合要求的，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项目所在新城住建行政主管部门</w:t>
      </w:r>
      <w:r>
        <w:rPr>
          <w:rFonts w:hint="eastAsia" w:ascii="仿宋_GB2312" w:hAnsi="仿宋_GB2312" w:eastAsia="仿宋_GB2312" w:cs="仿宋_GB2312"/>
          <w:color w:val="000000" w:themeColor="text1"/>
          <w:sz w:val="28"/>
          <w:szCs w:val="28"/>
          <w14:textFill>
            <w14:solidFill>
              <w14:schemeClr w14:val="tx1"/>
            </w14:solidFill>
          </w14:textFill>
        </w:rPr>
        <w:t>应自申请受理之日起2个工作日内完成审核工作并</w:t>
      </w:r>
      <w:r>
        <w:rPr>
          <w:rFonts w:hint="eastAsia" w:ascii="仿宋_GB2312" w:hAnsi="仿宋_GB2312" w:eastAsia="仿宋_GB2312" w:cs="仿宋_GB2312"/>
          <w:color w:val="000000" w:themeColor="text1"/>
          <w:sz w:val="28"/>
          <w:szCs w:val="28"/>
          <w:lang w:eastAsia="zh-CN"/>
          <w14:textFill>
            <w14:solidFill>
              <w14:schemeClr w14:val="tx1"/>
            </w14:solidFill>
          </w14:textFill>
        </w:rPr>
        <w:t>提交新区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住建行政主管部门</w:t>
      </w:r>
      <w:r>
        <w:rPr>
          <w:rFonts w:hint="eastAsia" w:ascii="仿宋_GB2312" w:hAnsi="仿宋_GB2312" w:eastAsia="仿宋_GB2312" w:cs="仿宋_GB2312"/>
          <w:color w:val="000000" w:themeColor="text1"/>
          <w:sz w:val="28"/>
          <w:szCs w:val="28"/>
          <w:lang w:eastAsia="zh-CN"/>
          <w14:textFill>
            <w14:solidFill>
              <w14:schemeClr w14:val="tx1"/>
            </w14:solidFill>
          </w14:textFill>
        </w:rPr>
        <w:t>审批</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甲</w:t>
      </w:r>
      <w:r>
        <w:rPr>
          <w:rFonts w:hint="eastAsia" w:ascii="仿宋_GB2312" w:hAnsi="仿宋_GB2312" w:eastAsia="仿宋_GB2312" w:cs="仿宋_GB2312"/>
          <w:color w:val="000000" w:themeColor="text1"/>
          <w:sz w:val="28"/>
          <w:szCs w:val="28"/>
          <w14:textFill>
            <w14:solidFill>
              <w14:schemeClr w14:val="tx1"/>
            </w14:solidFill>
          </w14:textFill>
        </w:rPr>
        <w:t>方收到</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住建行政主管部门</w:t>
      </w:r>
      <w:r>
        <w:rPr>
          <w:rFonts w:hint="eastAsia" w:ascii="仿宋_GB2312" w:hAnsi="仿宋_GB2312" w:eastAsia="仿宋_GB2312" w:cs="仿宋_GB2312"/>
          <w:color w:val="000000" w:themeColor="text1"/>
          <w:sz w:val="28"/>
          <w:szCs w:val="28"/>
          <w14:textFill>
            <w14:solidFill>
              <w14:schemeClr w14:val="tx1"/>
            </w14:solidFill>
          </w14:textFill>
        </w:rPr>
        <w:t>出具的同意拨付证明后，应在</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个工作日内直接将重点监管资金拨付给与</w:t>
      </w:r>
      <w:r>
        <w:rPr>
          <w:rFonts w:hint="eastAsia" w:ascii="仿宋_GB2312" w:hAnsi="仿宋_GB2312" w:eastAsia="仿宋_GB2312" w:cs="仿宋_GB2312"/>
          <w:color w:val="000000" w:themeColor="text1"/>
          <w:sz w:val="28"/>
          <w:szCs w:val="28"/>
          <w:lang w:eastAsia="zh-CN"/>
          <w14:textFill>
            <w14:solidFill>
              <w14:schemeClr w14:val="tx1"/>
            </w14:solidFill>
          </w14:textFill>
        </w:rPr>
        <w:t>乙方</w:t>
      </w:r>
      <w:r>
        <w:rPr>
          <w:rFonts w:hint="eastAsia" w:ascii="仿宋_GB2312" w:hAnsi="仿宋_GB2312" w:eastAsia="仿宋_GB2312" w:cs="仿宋_GB2312"/>
          <w:color w:val="000000" w:themeColor="text1"/>
          <w:sz w:val="28"/>
          <w:szCs w:val="28"/>
          <w14:textFill>
            <w14:solidFill>
              <w14:schemeClr w14:val="tx1"/>
            </w14:solidFill>
          </w14:textFill>
        </w:rPr>
        <w:t>签订合同的相关当事人或相关单位。</w:t>
      </w:r>
    </w:p>
    <w:p>
      <w:pPr>
        <w:keepNext w:val="0"/>
        <w:keepLines w:val="0"/>
        <w:pageBreakBefore w:val="0"/>
        <w:widowControl w:val="0"/>
        <w:kinsoku/>
        <w:overflowPunct/>
        <w:topLinePunct w:val="0"/>
        <w:autoSpaceDE/>
        <w:autoSpaceDN/>
        <w:bidi w:val="0"/>
        <w:spacing w:after="0" w:line="56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超出重点监管额度部分的资金，</w:t>
      </w:r>
      <w:r>
        <w:rPr>
          <w:rFonts w:hint="eastAsia" w:ascii="仿宋_GB2312" w:hAnsi="仿宋_GB2312" w:eastAsia="仿宋_GB2312" w:cs="仿宋_GB2312"/>
          <w:color w:val="000000" w:themeColor="text1"/>
          <w:sz w:val="28"/>
          <w:szCs w:val="28"/>
          <w:lang w:eastAsia="zh-CN"/>
          <w14:textFill>
            <w14:solidFill>
              <w14:schemeClr w14:val="tx1"/>
            </w14:solidFill>
          </w14:textFill>
        </w:rPr>
        <w:t>乙方</w:t>
      </w:r>
      <w:r>
        <w:rPr>
          <w:rFonts w:hint="eastAsia" w:ascii="仿宋_GB2312" w:hAnsi="仿宋_GB2312" w:eastAsia="仿宋_GB2312" w:cs="仿宋_GB2312"/>
          <w:color w:val="000000" w:themeColor="text1"/>
          <w:sz w:val="28"/>
          <w:szCs w:val="28"/>
          <w14:textFill>
            <w14:solidFill>
              <w14:schemeClr w14:val="tx1"/>
            </w14:solidFill>
          </w14:textFill>
        </w:rPr>
        <w:t>可以</w:t>
      </w:r>
      <w:r>
        <w:rPr>
          <w:rFonts w:hint="eastAsia" w:ascii="仿宋_GB2312" w:hAnsi="仿宋_GB2312" w:eastAsia="仿宋_GB2312" w:cs="仿宋_GB2312"/>
          <w:color w:val="000000" w:themeColor="text1"/>
          <w:sz w:val="28"/>
          <w:szCs w:val="28"/>
          <w:lang w:eastAsia="zh-CN"/>
          <w14:textFill>
            <w14:solidFill>
              <w14:schemeClr w14:val="tx1"/>
            </w14:solidFill>
          </w14:textFill>
        </w:rPr>
        <w:t>向</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项目所在新城住建行政主管部门</w:t>
      </w:r>
      <w:r>
        <w:rPr>
          <w:rFonts w:hint="eastAsia" w:ascii="仿宋_GB2312" w:hAnsi="仿宋_GB2312" w:eastAsia="仿宋_GB2312" w:cs="仿宋_GB2312"/>
          <w:color w:val="000000" w:themeColor="text1"/>
          <w:sz w:val="28"/>
          <w:szCs w:val="28"/>
          <w14:textFill>
            <w14:solidFill>
              <w14:schemeClr w14:val="tx1"/>
            </w14:solidFill>
          </w14:textFill>
        </w:rPr>
        <w:t>申请提取自行使用。</w:t>
      </w:r>
    </w:p>
    <w:p>
      <w:pPr>
        <w:keepNext w:val="0"/>
        <w:keepLines w:val="0"/>
        <w:pageBreakBefore w:val="0"/>
        <w:widowControl w:val="0"/>
        <w:kinsoku/>
        <w:overflowPunct/>
        <w:topLinePunct w:val="0"/>
        <w:autoSpaceDE/>
        <w:autoSpaceDN/>
        <w:bidi w:val="0"/>
        <w:spacing w:after="0" w:line="56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十二、违约责任</w:t>
      </w:r>
    </w:p>
    <w:p>
      <w:pPr>
        <w:keepNext w:val="0"/>
        <w:keepLines w:val="0"/>
        <w:pageBreakBefore w:val="0"/>
        <w:widowControl w:val="0"/>
        <w:kinsoku/>
        <w:overflowPunct/>
        <w:topLinePunct w:val="0"/>
        <w:autoSpaceDE/>
        <w:autoSpaceDN/>
        <w:bidi w:val="0"/>
        <w:spacing w:after="0" w:line="56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w:t>
      </w:r>
      <w:r>
        <w:rPr>
          <w:rFonts w:hint="eastAsia" w:ascii="仿宋_GB2312" w:hAnsi="仿宋_GB2312" w:eastAsia="仿宋_GB2312" w:cs="仿宋_GB2312"/>
          <w:color w:val="000000" w:themeColor="text1"/>
          <w:sz w:val="28"/>
          <w:szCs w:val="28"/>
          <w:lang w:eastAsia="zh-CN"/>
          <w14:textFill>
            <w14:solidFill>
              <w14:schemeClr w14:val="tx1"/>
            </w14:solidFill>
          </w14:textFill>
        </w:rPr>
        <w:t>乙方</w:t>
      </w:r>
      <w:r>
        <w:rPr>
          <w:rFonts w:hint="eastAsia" w:ascii="仿宋_GB2312" w:hAnsi="仿宋_GB2312" w:eastAsia="仿宋_GB2312" w:cs="仿宋_GB2312"/>
          <w:color w:val="000000" w:themeColor="text1"/>
          <w:sz w:val="28"/>
          <w:szCs w:val="28"/>
          <w14:textFill>
            <w14:solidFill>
              <w14:schemeClr w14:val="tx1"/>
            </w14:solidFill>
          </w14:textFill>
        </w:rPr>
        <w:t>承诺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向甲方及住建行政主管部门</w:t>
      </w:r>
      <w:r>
        <w:rPr>
          <w:rFonts w:hint="eastAsia" w:ascii="仿宋_GB2312" w:hAnsi="仿宋_GB2312" w:eastAsia="仿宋_GB2312" w:cs="仿宋_GB2312"/>
          <w:color w:val="000000" w:themeColor="text1"/>
          <w:sz w:val="28"/>
          <w:szCs w:val="28"/>
          <w14:textFill>
            <w14:solidFill>
              <w14:schemeClr w14:val="tx1"/>
            </w14:solidFill>
          </w14:textFill>
        </w:rPr>
        <w:t>所提供的资金监管相关资料真实准确，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住建行政主管部门</w:t>
      </w:r>
      <w:r>
        <w:rPr>
          <w:rFonts w:hint="eastAsia" w:ascii="仿宋_GB2312" w:hAnsi="仿宋_GB2312" w:eastAsia="仿宋_GB2312" w:cs="仿宋_GB2312"/>
          <w:color w:val="000000" w:themeColor="text1"/>
          <w:sz w:val="28"/>
          <w:szCs w:val="28"/>
          <w14:textFill>
            <w14:solidFill>
              <w14:schemeClr w14:val="tx1"/>
            </w14:solidFill>
          </w14:textFill>
        </w:rPr>
        <w:t>只承担</w:t>
      </w:r>
      <w:r>
        <w:rPr>
          <w:rFonts w:hint="eastAsia" w:ascii="仿宋_GB2312" w:hAnsi="仿宋_GB2312" w:eastAsia="仿宋_GB2312" w:cs="仿宋_GB2312"/>
          <w:color w:val="000000" w:themeColor="text1"/>
          <w:sz w:val="28"/>
          <w:szCs w:val="28"/>
          <w:lang w:eastAsia="zh-CN"/>
          <w14:textFill>
            <w14:solidFill>
              <w14:schemeClr w14:val="tx1"/>
            </w14:solidFill>
          </w14:textFill>
        </w:rPr>
        <w:t>乙方</w:t>
      </w:r>
      <w:r>
        <w:rPr>
          <w:rFonts w:hint="eastAsia" w:ascii="仿宋_GB2312" w:hAnsi="仿宋_GB2312" w:eastAsia="仿宋_GB2312" w:cs="仿宋_GB2312"/>
          <w:color w:val="000000" w:themeColor="text1"/>
          <w:sz w:val="28"/>
          <w:szCs w:val="28"/>
          <w14:textFill>
            <w14:solidFill>
              <w14:schemeClr w14:val="tx1"/>
            </w14:solidFill>
          </w14:textFill>
        </w:rPr>
        <w:t>提供资料的书面审核责任，由于</w:t>
      </w:r>
      <w:r>
        <w:rPr>
          <w:rFonts w:hint="eastAsia" w:ascii="仿宋_GB2312" w:hAnsi="仿宋_GB2312" w:eastAsia="仿宋_GB2312" w:cs="仿宋_GB2312"/>
          <w:color w:val="000000" w:themeColor="text1"/>
          <w:sz w:val="28"/>
          <w:szCs w:val="28"/>
          <w:lang w:eastAsia="zh-CN"/>
          <w14:textFill>
            <w14:solidFill>
              <w14:schemeClr w14:val="tx1"/>
            </w14:solidFill>
          </w14:textFill>
        </w:rPr>
        <w:t>乙方</w:t>
      </w:r>
      <w:r>
        <w:rPr>
          <w:rFonts w:hint="eastAsia" w:ascii="仿宋_GB2312" w:hAnsi="仿宋_GB2312" w:eastAsia="仿宋_GB2312" w:cs="仿宋_GB2312"/>
          <w:color w:val="000000" w:themeColor="text1"/>
          <w:sz w:val="28"/>
          <w:szCs w:val="28"/>
          <w14:textFill>
            <w14:solidFill>
              <w14:schemeClr w14:val="tx1"/>
            </w14:solidFill>
          </w14:textFill>
        </w:rPr>
        <w:t>提供资料不真实造成拨付资金错误或延误的，</w:t>
      </w:r>
      <w:r>
        <w:rPr>
          <w:rFonts w:hint="eastAsia" w:ascii="仿宋_GB2312" w:hAnsi="仿宋_GB2312" w:eastAsia="仿宋_GB2312" w:cs="仿宋_GB2312"/>
          <w:color w:val="000000" w:themeColor="text1"/>
          <w:sz w:val="28"/>
          <w:szCs w:val="28"/>
          <w:lang w:eastAsia="zh-CN"/>
          <w14:textFill>
            <w14:solidFill>
              <w14:schemeClr w14:val="tx1"/>
            </w14:solidFill>
          </w14:textFill>
        </w:rPr>
        <w:t>乙方</w:t>
      </w:r>
      <w:r>
        <w:rPr>
          <w:rFonts w:hint="eastAsia" w:ascii="仿宋_GB2312" w:hAnsi="仿宋_GB2312" w:eastAsia="仿宋_GB2312" w:cs="仿宋_GB2312"/>
          <w:color w:val="000000" w:themeColor="text1"/>
          <w:sz w:val="28"/>
          <w:szCs w:val="28"/>
          <w14:textFill>
            <w14:solidFill>
              <w14:schemeClr w14:val="tx1"/>
            </w14:solidFill>
          </w14:textFill>
        </w:rPr>
        <w:t>除承担赔偿责任外，还应承担其它相关法律责任。</w:t>
      </w:r>
    </w:p>
    <w:p>
      <w:pPr>
        <w:keepNext w:val="0"/>
        <w:keepLines w:val="0"/>
        <w:pageBreakBefore w:val="0"/>
        <w:widowControl w:val="0"/>
        <w:kinsoku/>
        <w:overflowPunct/>
        <w:topLinePunct w:val="0"/>
        <w:autoSpaceDE/>
        <w:autoSpaceDN/>
        <w:bidi w:val="0"/>
        <w:spacing w:after="0" w:line="56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（二）因</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甲</w:t>
      </w:r>
      <w:r>
        <w:rPr>
          <w:rFonts w:hint="eastAsia" w:ascii="仿宋_GB2312" w:hAnsi="仿宋_GB2312" w:eastAsia="仿宋_GB2312" w:cs="仿宋_GB2312"/>
          <w:bCs/>
          <w:color w:val="000000" w:themeColor="text1"/>
          <w:sz w:val="28"/>
          <w:szCs w:val="28"/>
          <w14:textFill>
            <w14:solidFill>
              <w14:schemeClr w14:val="tx1"/>
            </w14:solidFill>
          </w14:textFill>
        </w:rPr>
        <w:t>方</w:t>
      </w:r>
      <w:r>
        <w:rPr>
          <w:rFonts w:hint="eastAsia" w:ascii="仿宋_GB2312" w:hAnsi="仿宋_GB2312" w:eastAsia="仿宋_GB2312" w:cs="仿宋_GB2312"/>
          <w:color w:val="000000" w:themeColor="text1"/>
          <w:sz w:val="28"/>
          <w:szCs w:val="28"/>
          <w14:textFill>
            <w14:solidFill>
              <w14:schemeClr w14:val="tx1"/>
            </w14:solidFill>
          </w14:textFill>
        </w:rPr>
        <w:t>违反本协议约定的资金监管义务，</w:t>
      </w:r>
      <w:r>
        <w:rPr>
          <w:rFonts w:hint="eastAsia" w:ascii="仿宋_GB2312" w:hAnsi="仿宋_GB2312" w:eastAsia="仿宋_GB2312" w:cs="仿宋_GB2312"/>
          <w:bCs/>
          <w:color w:val="000000" w:themeColor="text1"/>
          <w:sz w:val="28"/>
          <w:szCs w:val="28"/>
          <w14:textFill>
            <w14:solidFill>
              <w14:schemeClr w14:val="tx1"/>
            </w14:solidFill>
          </w14:textFill>
        </w:rPr>
        <w:t>擅自收存、维护以开发企业名义转入的资金，未按规定监控、反馈购房贷款入账异常情况，</w:t>
      </w:r>
      <w:r>
        <w:rPr>
          <w:rFonts w:hint="eastAsia" w:ascii="仿宋_GB2312" w:hAnsi="仿宋_GB2312" w:eastAsia="仿宋_GB2312" w:cs="仿宋_GB2312"/>
          <w:color w:val="000000" w:themeColor="text1"/>
          <w:sz w:val="28"/>
          <w:szCs w:val="28"/>
          <w14:textFill>
            <w14:solidFill>
              <w14:schemeClr w14:val="tx1"/>
            </w14:solidFill>
          </w14:textFill>
        </w:rPr>
        <w:t>擅自拨付资金，或存在其它违规行为，致使本监管项目无法正常建设顺利交付的，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甲</w:t>
      </w:r>
      <w:r>
        <w:rPr>
          <w:rFonts w:hint="eastAsia" w:ascii="仿宋_GB2312" w:hAnsi="仿宋_GB2312" w:eastAsia="仿宋_GB2312" w:cs="仿宋_GB2312"/>
          <w:color w:val="000000" w:themeColor="text1"/>
          <w:sz w:val="28"/>
          <w:szCs w:val="28"/>
          <w14:textFill>
            <w14:solidFill>
              <w14:schemeClr w14:val="tx1"/>
            </w14:solidFill>
          </w14:textFill>
        </w:rPr>
        <w:t>方除承担赔偿责任外，还应承担其它相关法律责任。</w:t>
      </w:r>
    </w:p>
    <w:p>
      <w:pPr>
        <w:keepNext w:val="0"/>
        <w:keepLines w:val="0"/>
        <w:pageBreakBefore w:val="0"/>
        <w:widowControl w:val="0"/>
        <w:kinsoku/>
        <w:overflowPunct/>
        <w:topLinePunct w:val="0"/>
        <w:autoSpaceDE/>
        <w:autoSpaceDN/>
        <w:bidi w:val="0"/>
        <w:spacing w:after="0" w:line="56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w:t>
      </w:r>
      <w:r>
        <w:rPr>
          <w:rFonts w:hint="eastAsia" w:ascii="仿宋_GB2312" w:hAnsi="仿宋_GB2312" w:eastAsia="仿宋_GB2312" w:cs="仿宋_GB2312"/>
          <w:color w:val="000000" w:themeColor="text1"/>
          <w:sz w:val="28"/>
          <w:szCs w:val="28"/>
          <w:lang w:eastAsia="zh-CN"/>
          <w14:textFill>
            <w14:solidFill>
              <w14:schemeClr w14:val="tx1"/>
            </w14:solidFill>
          </w14:textFill>
        </w:rPr>
        <w:t>乙方</w:t>
      </w:r>
      <w:r>
        <w:rPr>
          <w:rFonts w:hint="eastAsia" w:ascii="仿宋_GB2312" w:hAnsi="仿宋_GB2312" w:eastAsia="仿宋_GB2312" w:cs="仿宋_GB2312"/>
          <w:color w:val="000000" w:themeColor="text1"/>
          <w:sz w:val="28"/>
          <w:szCs w:val="28"/>
          <w14:textFill>
            <w14:solidFill>
              <w14:schemeClr w14:val="tx1"/>
            </w14:solidFill>
          </w14:textFill>
        </w:rPr>
        <w:t>未按规定</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交存</w:t>
      </w:r>
      <w:r>
        <w:rPr>
          <w:rFonts w:hint="eastAsia" w:ascii="仿宋_GB2312" w:hAnsi="仿宋_GB2312" w:eastAsia="仿宋_GB2312" w:cs="仿宋_GB2312"/>
          <w:color w:val="000000" w:themeColor="text1"/>
          <w:sz w:val="28"/>
          <w:szCs w:val="28"/>
          <w14:textFill>
            <w14:solidFill>
              <w14:schemeClr w14:val="tx1"/>
            </w14:solidFill>
          </w14:textFill>
        </w:rPr>
        <w:t>、使用商品房预售资金，要求按揭贷款银行、住房公积金委托贷款银行将购房贷款划转至监管账户以外的账户，用监管账户归集其他性质的资金，或存在其它违规行为，致使本监管项目无法正常建设顺利交付的，</w:t>
      </w:r>
      <w:r>
        <w:rPr>
          <w:rFonts w:hint="eastAsia" w:ascii="仿宋_GB2312" w:hAnsi="仿宋_GB2312" w:eastAsia="仿宋_GB2312" w:cs="仿宋_GB2312"/>
          <w:color w:val="000000" w:themeColor="text1"/>
          <w:sz w:val="28"/>
          <w:szCs w:val="28"/>
          <w:lang w:eastAsia="zh-CN"/>
          <w14:textFill>
            <w14:solidFill>
              <w14:schemeClr w14:val="tx1"/>
            </w14:solidFill>
          </w14:textFill>
        </w:rPr>
        <w:t>乙方</w:t>
      </w:r>
      <w:r>
        <w:rPr>
          <w:rFonts w:hint="eastAsia" w:ascii="仿宋_GB2312" w:hAnsi="仿宋_GB2312" w:eastAsia="仿宋_GB2312" w:cs="仿宋_GB2312"/>
          <w:color w:val="000000" w:themeColor="text1"/>
          <w:sz w:val="28"/>
          <w:szCs w:val="28"/>
          <w14:textFill>
            <w14:solidFill>
              <w14:schemeClr w14:val="tx1"/>
            </w14:solidFill>
          </w14:textFill>
        </w:rPr>
        <w:t>除承担赔偿责任外，还应承担其它相关法律责任。</w:t>
      </w:r>
    </w:p>
    <w:p>
      <w:pPr>
        <w:keepNext w:val="0"/>
        <w:keepLines w:val="0"/>
        <w:pageBreakBefore w:val="0"/>
        <w:widowControl w:val="0"/>
        <w:kinsoku/>
        <w:overflowPunct/>
        <w:topLinePunct w:val="0"/>
        <w:autoSpaceDE/>
        <w:autoSpaceDN/>
        <w:bidi w:val="0"/>
        <w:spacing w:after="0" w:line="56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十三、因履行本协议发生争议，三方协商解决。协商不成的，依法可向有管辖权的人民法院提起诉讼。</w:t>
      </w:r>
    </w:p>
    <w:p>
      <w:pPr>
        <w:keepNext w:val="0"/>
        <w:keepLines w:val="0"/>
        <w:pageBreakBefore w:val="0"/>
        <w:widowControl w:val="0"/>
        <w:kinsoku/>
        <w:overflowPunct/>
        <w:topLinePunct w:val="0"/>
        <w:autoSpaceDE/>
        <w:autoSpaceDN/>
        <w:bidi w:val="0"/>
        <w:spacing w:after="0" w:line="56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十四、本协议自三方法定代表人签字或盖章并加盖公章之日起生效，至本监管项目办理不动产首次登记解除资金监管时终止。本协议一式四份，三方各执一份，一份作为《商品房预售方案》的附件一并提交，具有同等法律效力。</w:t>
      </w:r>
    </w:p>
    <w:p>
      <w:pPr>
        <w:keepNext w:val="0"/>
        <w:keepLines w:val="0"/>
        <w:pageBreakBefore w:val="0"/>
        <w:widowControl w:val="0"/>
        <w:kinsoku/>
        <w:overflowPunct/>
        <w:topLinePunct w:val="0"/>
        <w:autoSpaceDE/>
        <w:autoSpaceDN/>
        <w:bidi w:val="0"/>
        <w:spacing w:after="0" w:line="56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十五、本协议未尽事宜，经三方协商一致，可签订补充协议。补充协议与本协议具有同等法律效力。</w:t>
      </w:r>
    </w:p>
    <w:p>
      <w:pPr>
        <w:keepNext w:val="0"/>
        <w:keepLines w:val="0"/>
        <w:pageBreakBefore w:val="0"/>
        <w:widowControl w:val="0"/>
        <w:kinsoku/>
        <w:overflowPunct/>
        <w:topLinePunct w:val="0"/>
        <w:autoSpaceDE/>
        <w:autoSpaceDN/>
        <w:bidi w:val="0"/>
        <w:spacing w:line="220" w:lineRule="atLeast"/>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以下无正文</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overflowPunct/>
        <w:topLinePunct w:val="0"/>
        <w:autoSpaceDE/>
        <w:autoSpaceDN/>
        <w:bidi w:val="0"/>
        <w:spacing w:line="220" w:lineRule="atLeast"/>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p>
    <w:p>
      <w:pPr>
        <w:keepNext w:val="0"/>
        <w:keepLines w:val="0"/>
        <w:pageBreakBefore w:val="0"/>
        <w:widowControl w:val="0"/>
        <w:kinsoku/>
        <w:overflowPunct/>
        <w:topLinePunct w:val="0"/>
        <w:autoSpaceDE/>
        <w:autoSpaceDN/>
        <w:bidi w:val="0"/>
        <w:spacing w:line="360" w:lineRule="auto"/>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甲方（公章）：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乙方</w:t>
      </w:r>
      <w:r>
        <w:rPr>
          <w:rFonts w:hint="eastAsia" w:ascii="仿宋_GB2312" w:hAnsi="仿宋_GB2312" w:eastAsia="仿宋_GB2312" w:cs="仿宋_GB2312"/>
          <w:color w:val="000000" w:themeColor="text1"/>
          <w:sz w:val="28"/>
          <w:szCs w:val="28"/>
          <w14:textFill>
            <w14:solidFill>
              <w14:schemeClr w14:val="tx1"/>
            </w14:solidFill>
          </w14:textFill>
        </w:rPr>
        <w:t xml:space="preserve">（公章）：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丙</w:t>
      </w:r>
      <w:r>
        <w:rPr>
          <w:rFonts w:hint="eastAsia" w:ascii="仿宋_GB2312" w:hAnsi="仿宋_GB2312" w:eastAsia="仿宋_GB2312" w:cs="仿宋_GB2312"/>
          <w:color w:val="000000" w:themeColor="text1"/>
          <w:sz w:val="28"/>
          <w:szCs w:val="28"/>
          <w14:textFill>
            <w14:solidFill>
              <w14:schemeClr w14:val="tx1"/>
            </w14:solidFill>
          </w14:textFill>
        </w:rPr>
        <w:t>方（公章）：</w:t>
      </w:r>
    </w:p>
    <w:p>
      <w:pPr>
        <w:keepNext w:val="0"/>
        <w:keepLines w:val="0"/>
        <w:pageBreakBefore w:val="0"/>
        <w:widowControl w:val="0"/>
        <w:kinsoku/>
        <w:overflowPunct/>
        <w:topLinePunct w:val="0"/>
        <w:autoSpaceDE/>
        <w:autoSpaceDN/>
        <w:bidi w:val="0"/>
        <w:spacing w:line="360" w:lineRule="auto"/>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法定代表人：            法定代表人：          法定代表人：</w:t>
      </w:r>
    </w:p>
    <w:p>
      <w:pPr>
        <w:keepNext w:val="0"/>
        <w:keepLines w:val="0"/>
        <w:pageBreakBefore w:val="0"/>
        <w:widowControl w:val="0"/>
        <w:kinsoku/>
        <w:overflowPunct/>
        <w:topLinePunct w:val="0"/>
        <w:autoSpaceDE/>
        <w:autoSpaceDN/>
        <w:bidi w:val="0"/>
        <w:spacing w:line="360" w:lineRule="auto"/>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签章：                  签章：                签章：</w:t>
      </w:r>
    </w:p>
    <w:p>
      <w:pPr>
        <w:keepNext w:val="0"/>
        <w:keepLines w:val="0"/>
        <w:pageBreakBefore w:val="0"/>
        <w:widowControl w:val="0"/>
        <w:kinsoku/>
        <w:overflowPunct/>
        <w:topLinePunct w:val="0"/>
        <w:autoSpaceDE/>
        <w:autoSpaceDN/>
        <w:bidi w:val="0"/>
        <w:spacing w:line="360" w:lineRule="auto"/>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年    月    日       年    月    日      年    月    日</w:t>
      </w:r>
    </w:p>
    <w:p>
      <w:pPr>
        <w:pStyle w:val="13"/>
        <w:keepNext w:val="0"/>
        <w:keepLines w:val="0"/>
        <w:pageBreakBefore w:val="0"/>
        <w:widowControl w:val="0"/>
        <w:kinsoku/>
        <w:overflowPunct/>
        <w:topLinePunct w:val="0"/>
        <w:autoSpaceDE/>
        <w:autoSpaceDN/>
        <w:bidi w:val="0"/>
        <w:spacing w:line="620" w:lineRule="exact"/>
        <w:textAlignment w:val="auto"/>
        <w:rPr>
          <w:rFonts w:ascii="仿宋_GB2312" w:hAnsi="仿宋" w:eastAsia="仿宋_GB2312"/>
          <w:color w:val="000000" w:themeColor="text1"/>
          <w:sz w:val="32"/>
          <w:szCs w:val="32"/>
          <w:lang w:eastAsia="zh-CN" w:bidi="en-US"/>
          <w14:textFill>
            <w14:solidFill>
              <w14:schemeClr w14:val="tx1"/>
            </w14:solidFill>
          </w14:textFill>
        </w:rPr>
      </w:pPr>
      <w:r>
        <w:rPr>
          <w:rFonts w:ascii="仿宋_GB2312" w:hAnsi="仿宋" w:eastAsia="仿宋_GB2312"/>
          <w:color w:val="000000" w:themeColor="text1"/>
          <w:sz w:val="32"/>
          <w:szCs w:val="32"/>
          <w:lang w:eastAsia="zh-CN" w:bidi="en-US"/>
          <w14:textFill>
            <w14:solidFill>
              <w14:schemeClr w14:val="tx1"/>
            </w14:solidFill>
          </w14:textFill>
        </w:rPr>
        <w:br w:type="page"/>
      </w:r>
    </w:p>
    <w:p>
      <w:pPr>
        <w:pStyle w:val="13"/>
        <w:keepNext w:val="0"/>
        <w:keepLines w:val="0"/>
        <w:pageBreakBefore w:val="0"/>
        <w:widowControl w:val="0"/>
        <w:kinsoku/>
        <w:overflowPunct/>
        <w:topLinePunct w:val="0"/>
        <w:autoSpaceDE/>
        <w:autoSpaceDN/>
        <w:bidi w:val="0"/>
        <w:spacing w:line="620" w:lineRule="exact"/>
        <w:ind w:left="0" w:leftChars="0" w:firstLine="0" w:firstLineChars="0"/>
        <w:textAlignment w:val="auto"/>
        <w:rPr>
          <w:rFonts w:hint="eastAsia" w:ascii="黑体" w:hAnsi="黑体" w:eastAsia="黑体" w:cs="黑体"/>
          <w:color w:val="000000" w:themeColor="text1"/>
          <w:sz w:val="32"/>
          <w:szCs w:val="32"/>
          <w:lang w:val="en-US" w:eastAsia="zh-CN" w:bidi="en-US"/>
          <w14:textFill>
            <w14:solidFill>
              <w14:schemeClr w14:val="tx1"/>
            </w14:solidFill>
          </w14:textFill>
        </w:rPr>
      </w:pPr>
      <w:r>
        <w:rPr>
          <w:rFonts w:hint="eastAsia" w:ascii="黑体" w:hAnsi="黑体" w:eastAsia="黑体" w:cs="黑体"/>
          <w:color w:val="000000" w:themeColor="text1"/>
          <w:sz w:val="32"/>
          <w:szCs w:val="32"/>
          <w:lang w:val="en-US" w:eastAsia="zh-CN" w:bidi="en-US"/>
          <w14:textFill>
            <w14:solidFill>
              <w14:schemeClr w14:val="tx1"/>
            </w14:solidFill>
          </w14:textFill>
        </w:rPr>
        <w:t>附件4：</w:t>
      </w:r>
    </w:p>
    <w:p>
      <w:pPr>
        <w:pStyle w:val="13"/>
        <w:keepNext w:val="0"/>
        <w:keepLines w:val="0"/>
        <w:pageBreakBefore w:val="0"/>
        <w:widowControl w:val="0"/>
        <w:kinsoku/>
        <w:overflowPunct/>
        <w:topLinePunct w:val="0"/>
        <w:autoSpaceDE/>
        <w:autoSpaceDN/>
        <w:bidi w:val="0"/>
        <w:spacing w:line="560" w:lineRule="exact"/>
        <w:ind w:firstLine="0"/>
        <w:jc w:val="center"/>
        <w:textAlignment w:val="auto"/>
        <w:rPr>
          <w:rFonts w:ascii="方正小标宋简体" w:eastAsia="方正小标宋简体"/>
          <w:color w:val="000000" w:themeColor="text1"/>
          <w:spacing w:val="20"/>
          <w:sz w:val="36"/>
          <w:szCs w:val="36"/>
          <w:lang w:eastAsia="zh-CN"/>
          <w14:textFill>
            <w14:solidFill>
              <w14:schemeClr w14:val="tx1"/>
            </w14:solidFill>
          </w14:textFill>
        </w:rPr>
      </w:pPr>
      <w:r>
        <w:rPr>
          <w:rFonts w:hint="eastAsia" w:ascii="方正小标宋简体" w:eastAsia="方正小标宋简体"/>
          <w:color w:val="000000" w:themeColor="text1"/>
          <w:spacing w:val="20"/>
          <w:sz w:val="36"/>
          <w:szCs w:val="36"/>
          <w14:textFill>
            <w14:solidFill>
              <w14:schemeClr w14:val="tx1"/>
            </w14:solidFill>
          </w14:textFill>
        </w:rPr>
        <w:t>西咸新区商品房预售资金监管账户变更申请表</w:t>
      </w:r>
    </w:p>
    <w:tbl>
      <w:tblPr>
        <w:tblStyle w:val="10"/>
        <w:tblW w:w="9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033"/>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3600" w:type="dxa"/>
            <w:gridSpan w:val="2"/>
            <w:vAlign w:val="center"/>
          </w:tcPr>
          <w:p>
            <w:pPr>
              <w:keepNext w:val="0"/>
              <w:keepLines w:val="0"/>
              <w:pageBreakBefore w:val="0"/>
              <w:widowControl w:val="0"/>
              <w:kinsoku/>
              <w:overflowPunct/>
              <w:topLinePunct w:val="0"/>
              <w:autoSpaceDE/>
              <w:autoSpaceDN/>
              <w:bidi w:val="0"/>
              <w:spacing w:line="300" w:lineRule="exact"/>
              <w:jc w:val="center"/>
              <w:textAlignment w:val="auto"/>
              <w:rPr>
                <w:rFonts w:ascii="仿宋_GB2312" w:hAnsi="宋体" w:eastAsia="仿宋_GB2312"/>
                <w:b/>
                <w:color w:val="000000" w:themeColor="text1"/>
                <w:spacing w:val="20"/>
                <w:sz w:val="24"/>
                <w14:textFill>
                  <w14:solidFill>
                    <w14:schemeClr w14:val="tx1"/>
                  </w14:solidFill>
                </w14:textFill>
              </w:rPr>
            </w:pPr>
            <w:r>
              <w:rPr>
                <w:rFonts w:hint="eastAsia" w:ascii="仿宋_GB2312" w:hAnsi="宋体" w:eastAsia="仿宋_GB2312"/>
                <w:b/>
                <w:color w:val="000000" w:themeColor="text1"/>
                <w:spacing w:val="20"/>
                <w:sz w:val="24"/>
                <w14:textFill>
                  <w14:solidFill>
                    <w14:schemeClr w14:val="tx1"/>
                  </w14:solidFill>
                </w14:textFill>
              </w:rPr>
              <w:t>开发企业名称</w:t>
            </w:r>
          </w:p>
        </w:tc>
        <w:tc>
          <w:tcPr>
            <w:tcW w:w="6300" w:type="dxa"/>
            <w:vAlign w:val="center"/>
          </w:tcPr>
          <w:p>
            <w:pPr>
              <w:keepNext w:val="0"/>
              <w:keepLines w:val="0"/>
              <w:pageBreakBefore w:val="0"/>
              <w:widowControl w:val="0"/>
              <w:kinsoku/>
              <w:overflowPunct/>
              <w:topLinePunct w:val="0"/>
              <w:autoSpaceDE/>
              <w:autoSpaceDN/>
              <w:bidi w:val="0"/>
              <w:spacing w:line="300" w:lineRule="exact"/>
              <w:jc w:val="center"/>
              <w:textAlignment w:val="auto"/>
              <w:rPr>
                <w:rFonts w:ascii="仿宋_GB2312" w:hAnsi="宋体" w:eastAsia="仿宋_GB2312"/>
                <w:b/>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3600" w:type="dxa"/>
            <w:gridSpan w:val="2"/>
            <w:tcBorders>
              <w:right w:val="single" w:color="auto" w:sz="2" w:space="0"/>
            </w:tcBorders>
            <w:vAlign w:val="center"/>
          </w:tcPr>
          <w:p>
            <w:pPr>
              <w:keepNext w:val="0"/>
              <w:keepLines w:val="0"/>
              <w:pageBreakBefore w:val="0"/>
              <w:widowControl w:val="0"/>
              <w:kinsoku/>
              <w:overflowPunct/>
              <w:topLinePunct w:val="0"/>
              <w:autoSpaceDE/>
              <w:autoSpaceDN/>
              <w:bidi w:val="0"/>
              <w:spacing w:line="300" w:lineRule="exact"/>
              <w:jc w:val="center"/>
              <w:textAlignment w:val="auto"/>
              <w:rPr>
                <w:rFonts w:ascii="仿宋_GB2312" w:hAnsi="宋体" w:eastAsia="仿宋_GB2312"/>
                <w:b/>
                <w:color w:val="000000" w:themeColor="text1"/>
                <w:spacing w:val="20"/>
                <w:sz w:val="24"/>
                <w14:textFill>
                  <w14:solidFill>
                    <w14:schemeClr w14:val="tx1"/>
                  </w14:solidFill>
                </w14:textFill>
              </w:rPr>
            </w:pPr>
            <w:r>
              <w:rPr>
                <w:rFonts w:hint="eastAsia" w:ascii="仿宋_GB2312" w:hAnsi="宋体" w:eastAsia="仿宋_GB2312"/>
                <w:b/>
                <w:color w:val="000000" w:themeColor="text1"/>
                <w:spacing w:val="20"/>
                <w:sz w:val="24"/>
                <w14:textFill>
                  <w14:solidFill>
                    <w14:schemeClr w14:val="tx1"/>
                  </w14:solidFill>
                </w14:textFill>
              </w:rPr>
              <w:t>项目名称</w:t>
            </w:r>
          </w:p>
        </w:tc>
        <w:tc>
          <w:tcPr>
            <w:tcW w:w="6300" w:type="dxa"/>
            <w:tcBorders>
              <w:left w:val="single" w:color="auto" w:sz="2" w:space="0"/>
            </w:tcBorders>
            <w:vAlign w:val="center"/>
          </w:tcPr>
          <w:p>
            <w:pPr>
              <w:keepNext w:val="0"/>
              <w:keepLines w:val="0"/>
              <w:pageBreakBefore w:val="0"/>
              <w:widowControl w:val="0"/>
              <w:kinsoku/>
              <w:overflowPunct/>
              <w:topLinePunct w:val="0"/>
              <w:autoSpaceDE/>
              <w:autoSpaceDN/>
              <w:bidi w:val="0"/>
              <w:spacing w:line="300" w:lineRule="exact"/>
              <w:jc w:val="center"/>
              <w:textAlignment w:val="auto"/>
              <w:rPr>
                <w:rFonts w:ascii="仿宋_GB2312" w:hAnsi="宋体" w:eastAsia="仿宋_GB2312"/>
                <w:b/>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3600" w:type="dxa"/>
            <w:gridSpan w:val="2"/>
            <w:tcBorders>
              <w:right w:val="single" w:color="auto" w:sz="2" w:space="0"/>
            </w:tcBorders>
            <w:vAlign w:val="center"/>
          </w:tcPr>
          <w:p>
            <w:pPr>
              <w:keepNext w:val="0"/>
              <w:keepLines w:val="0"/>
              <w:pageBreakBefore w:val="0"/>
              <w:widowControl w:val="0"/>
              <w:kinsoku/>
              <w:overflowPunct/>
              <w:topLinePunct w:val="0"/>
              <w:autoSpaceDE/>
              <w:autoSpaceDN/>
              <w:bidi w:val="0"/>
              <w:spacing w:line="300" w:lineRule="exact"/>
              <w:jc w:val="center"/>
              <w:textAlignment w:val="auto"/>
              <w:rPr>
                <w:rFonts w:ascii="仿宋_GB2312" w:hAnsi="宋体" w:eastAsia="仿宋_GB2312"/>
                <w:b/>
                <w:color w:val="000000" w:themeColor="text1"/>
                <w:spacing w:val="20"/>
                <w:sz w:val="24"/>
                <w14:textFill>
                  <w14:solidFill>
                    <w14:schemeClr w14:val="tx1"/>
                  </w14:solidFill>
                </w14:textFill>
              </w:rPr>
            </w:pPr>
            <w:r>
              <w:rPr>
                <w:rFonts w:hint="eastAsia" w:ascii="仿宋_GB2312" w:hAnsi="宋体" w:eastAsia="仿宋_GB2312"/>
                <w:b/>
                <w:color w:val="000000" w:themeColor="text1"/>
                <w:spacing w:val="20"/>
                <w:sz w:val="24"/>
                <w14:textFill>
                  <w14:solidFill>
                    <w14:schemeClr w14:val="tx1"/>
                  </w14:solidFill>
                </w14:textFill>
              </w:rPr>
              <w:t>商品房预售许可证号</w:t>
            </w:r>
          </w:p>
        </w:tc>
        <w:tc>
          <w:tcPr>
            <w:tcW w:w="6300" w:type="dxa"/>
            <w:tcBorders>
              <w:left w:val="single" w:color="auto" w:sz="2" w:space="0"/>
            </w:tcBorders>
            <w:vAlign w:val="center"/>
          </w:tcPr>
          <w:p>
            <w:pPr>
              <w:keepNext w:val="0"/>
              <w:keepLines w:val="0"/>
              <w:pageBreakBefore w:val="0"/>
              <w:widowControl w:val="0"/>
              <w:kinsoku/>
              <w:overflowPunct/>
              <w:topLinePunct w:val="0"/>
              <w:autoSpaceDE/>
              <w:autoSpaceDN/>
              <w:bidi w:val="0"/>
              <w:spacing w:line="300" w:lineRule="exact"/>
              <w:jc w:val="center"/>
              <w:textAlignment w:val="auto"/>
              <w:rPr>
                <w:rFonts w:ascii="仿宋_GB2312" w:hAnsi="宋体" w:eastAsia="仿宋_GB2312"/>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3600" w:type="dxa"/>
            <w:gridSpan w:val="2"/>
            <w:vAlign w:val="center"/>
          </w:tcPr>
          <w:p>
            <w:pPr>
              <w:keepNext w:val="0"/>
              <w:keepLines w:val="0"/>
              <w:pageBreakBefore w:val="0"/>
              <w:widowControl w:val="0"/>
              <w:kinsoku/>
              <w:overflowPunct/>
              <w:topLinePunct w:val="0"/>
              <w:autoSpaceDE/>
              <w:autoSpaceDN/>
              <w:bidi w:val="0"/>
              <w:spacing w:line="300" w:lineRule="exact"/>
              <w:jc w:val="center"/>
              <w:textAlignment w:val="auto"/>
              <w:rPr>
                <w:rFonts w:ascii="仿宋_GB2312" w:hAnsi="宋体" w:eastAsia="仿宋_GB2312"/>
                <w:b/>
                <w:color w:val="000000" w:themeColor="text1"/>
                <w:spacing w:val="20"/>
                <w:sz w:val="24"/>
                <w14:textFill>
                  <w14:solidFill>
                    <w14:schemeClr w14:val="tx1"/>
                  </w14:solidFill>
                </w14:textFill>
              </w:rPr>
            </w:pPr>
            <w:r>
              <w:rPr>
                <w:rFonts w:hint="eastAsia" w:ascii="仿宋_GB2312" w:hAnsi="宋体" w:eastAsia="仿宋_GB2312"/>
                <w:b/>
                <w:color w:val="000000" w:themeColor="text1"/>
                <w:spacing w:val="20"/>
                <w:sz w:val="24"/>
                <w14:textFill>
                  <w14:solidFill>
                    <w14:schemeClr w14:val="tx1"/>
                  </w14:solidFill>
                </w14:textFill>
              </w:rPr>
              <w:t>商品房预售许可证对应栋号</w:t>
            </w:r>
          </w:p>
        </w:tc>
        <w:tc>
          <w:tcPr>
            <w:tcW w:w="6300" w:type="dxa"/>
            <w:tcBorders>
              <w:bottom w:val="single" w:color="auto" w:sz="4" w:space="0"/>
            </w:tcBorders>
            <w:vAlign w:val="center"/>
          </w:tcPr>
          <w:p>
            <w:pPr>
              <w:keepNext w:val="0"/>
              <w:keepLines w:val="0"/>
              <w:pageBreakBefore w:val="0"/>
              <w:widowControl w:val="0"/>
              <w:kinsoku/>
              <w:overflowPunct/>
              <w:topLinePunct w:val="0"/>
              <w:autoSpaceDE/>
              <w:autoSpaceDN/>
              <w:bidi w:val="0"/>
              <w:spacing w:line="300" w:lineRule="exact"/>
              <w:jc w:val="center"/>
              <w:textAlignment w:val="auto"/>
              <w:rPr>
                <w:rFonts w:ascii="仿宋_GB2312" w:hAnsi="宋体" w:eastAsia="仿宋_GB2312"/>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3600" w:type="dxa"/>
            <w:gridSpan w:val="2"/>
            <w:vAlign w:val="center"/>
          </w:tcPr>
          <w:p>
            <w:pPr>
              <w:keepNext w:val="0"/>
              <w:keepLines w:val="0"/>
              <w:pageBreakBefore w:val="0"/>
              <w:widowControl w:val="0"/>
              <w:kinsoku/>
              <w:overflowPunct/>
              <w:topLinePunct w:val="0"/>
              <w:autoSpaceDE/>
              <w:autoSpaceDN/>
              <w:bidi w:val="0"/>
              <w:spacing w:line="300" w:lineRule="exact"/>
              <w:jc w:val="center"/>
              <w:textAlignment w:val="auto"/>
              <w:rPr>
                <w:rFonts w:ascii="仿宋_GB2312" w:hAnsi="宋体" w:eastAsia="仿宋_GB2312"/>
                <w:b/>
                <w:color w:val="000000" w:themeColor="text1"/>
                <w:spacing w:val="20"/>
                <w:sz w:val="24"/>
                <w14:textFill>
                  <w14:solidFill>
                    <w14:schemeClr w14:val="tx1"/>
                  </w14:solidFill>
                </w14:textFill>
              </w:rPr>
            </w:pPr>
            <w:r>
              <w:rPr>
                <w:rFonts w:hint="eastAsia" w:ascii="仿宋_GB2312" w:hAnsi="宋体" w:eastAsia="仿宋_GB2312"/>
                <w:b/>
                <w:color w:val="000000" w:themeColor="text1"/>
                <w:spacing w:val="20"/>
                <w:sz w:val="24"/>
                <w14:textFill>
                  <w14:solidFill>
                    <w14:schemeClr w14:val="tx1"/>
                  </w14:solidFill>
                </w14:textFill>
              </w:rPr>
              <w:t>变更前监管银行</w:t>
            </w:r>
          </w:p>
        </w:tc>
        <w:tc>
          <w:tcPr>
            <w:tcW w:w="6300" w:type="dxa"/>
            <w:tcBorders>
              <w:bottom w:val="single" w:color="auto" w:sz="4" w:space="0"/>
            </w:tcBorders>
            <w:vAlign w:val="center"/>
          </w:tcPr>
          <w:p>
            <w:pPr>
              <w:keepNext w:val="0"/>
              <w:keepLines w:val="0"/>
              <w:pageBreakBefore w:val="0"/>
              <w:widowControl w:val="0"/>
              <w:kinsoku/>
              <w:overflowPunct/>
              <w:topLinePunct w:val="0"/>
              <w:autoSpaceDE/>
              <w:autoSpaceDN/>
              <w:bidi w:val="0"/>
              <w:spacing w:line="300" w:lineRule="exact"/>
              <w:jc w:val="center"/>
              <w:textAlignment w:val="auto"/>
              <w:rPr>
                <w:rFonts w:ascii="仿宋_GB2312" w:hAnsi="宋体" w:eastAsia="仿宋_GB2312"/>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3600" w:type="dxa"/>
            <w:gridSpan w:val="2"/>
            <w:vAlign w:val="center"/>
          </w:tcPr>
          <w:p>
            <w:pPr>
              <w:keepNext w:val="0"/>
              <w:keepLines w:val="0"/>
              <w:pageBreakBefore w:val="0"/>
              <w:widowControl w:val="0"/>
              <w:kinsoku/>
              <w:overflowPunct/>
              <w:topLinePunct w:val="0"/>
              <w:autoSpaceDE/>
              <w:autoSpaceDN/>
              <w:bidi w:val="0"/>
              <w:spacing w:line="300" w:lineRule="exact"/>
              <w:jc w:val="center"/>
              <w:textAlignment w:val="auto"/>
              <w:rPr>
                <w:rFonts w:ascii="仿宋_GB2312" w:hAnsi="宋体" w:eastAsia="仿宋_GB2312"/>
                <w:b/>
                <w:color w:val="000000" w:themeColor="text1"/>
                <w:spacing w:val="20"/>
                <w:sz w:val="24"/>
                <w14:textFill>
                  <w14:solidFill>
                    <w14:schemeClr w14:val="tx1"/>
                  </w14:solidFill>
                </w14:textFill>
              </w:rPr>
            </w:pPr>
            <w:r>
              <w:rPr>
                <w:rFonts w:hint="eastAsia" w:ascii="仿宋_GB2312" w:hAnsi="宋体" w:eastAsia="仿宋_GB2312"/>
                <w:b/>
                <w:color w:val="000000" w:themeColor="text1"/>
                <w:spacing w:val="20"/>
                <w:sz w:val="24"/>
                <w14:textFill>
                  <w14:solidFill>
                    <w14:schemeClr w14:val="tx1"/>
                  </w14:solidFill>
                </w14:textFill>
              </w:rPr>
              <w:t>变更前预售款监管账户名称</w:t>
            </w:r>
          </w:p>
        </w:tc>
        <w:tc>
          <w:tcPr>
            <w:tcW w:w="6300" w:type="dxa"/>
            <w:vAlign w:val="center"/>
          </w:tcPr>
          <w:p>
            <w:pPr>
              <w:keepNext w:val="0"/>
              <w:keepLines w:val="0"/>
              <w:pageBreakBefore w:val="0"/>
              <w:widowControl w:val="0"/>
              <w:kinsoku/>
              <w:overflowPunct/>
              <w:topLinePunct w:val="0"/>
              <w:autoSpaceDE/>
              <w:autoSpaceDN/>
              <w:bidi w:val="0"/>
              <w:spacing w:line="300" w:lineRule="exact"/>
              <w:jc w:val="center"/>
              <w:textAlignment w:val="auto"/>
              <w:rPr>
                <w:rFonts w:ascii="仿宋_GB2312" w:hAnsi="宋体" w:eastAsia="仿宋_GB2312"/>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3600" w:type="dxa"/>
            <w:gridSpan w:val="2"/>
            <w:vAlign w:val="center"/>
          </w:tcPr>
          <w:p>
            <w:pPr>
              <w:keepNext w:val="0"/>
              <w:keepLines w:val="0"/>
              <w:pageBreakBefore w:val="0"/>
              <w:widowControl w:val="0"/>
              <w:kinsoku/>
              <w:overflowPunct/>
              <w:topLinePunct w:val="0"/>
              <w:autoSpaceDE/>
              <w:autoSpaceDN/>
              <w:bidi w:val="0"/>
              <w:spacing w:line="300" w:lineRule="exact"/>
              <w:jc w:val="center"/>
              <w:textAlignment w:val="auto"/>
              <w:rPr>
                <w:rFonts w:ascii="仿宋_GB2312" w:hAnsi="宋体" w:eastAsia="仿宋_GB2312"/>
                <w:b/>
                <w:color w:val="000000" w:themeColor="text1"/>
                <w:spacing w:val="20"/>
                <w:sz w:val="24"/>
                <w14:textFill>
                  <w14:solidFill>
                    <w14:schemeClr w14:val="tx1"/>
                  </w14:solidFill>
                </w14:textFill>
              </w:rPr>
            </w:pPr>
            <w:r>
              <w:rPr>
                <w:rFonts w:hint="eastAsia" w:ascii="仿宋_GB2312" w:hAnsi="宋体" w:eastAsia="仿宋_GB2312"/>
                <w:b/>
                <w:color w:val="000000" w:themeColor="text1"/>
                <w:spacing w:val="20"/>
                <w:sz w:val="24"/>
                <w14:textFill>
                  <w14:solidFill>
                    <w14:schemeClr w14:val="tx1"/>
                  </w14:solidFill>
                </w14:textFill>
              </w:rPr>
              <w:t>变更前预售款监管账户账号</w:t>
            </w:r>
          </w:p>
        </w:tc>
        <w:tc>
          <w:tcPr>
            <w:tcW w:w="6300" w:type="dxa"/>
            <w:vAlign w:val="center"/>
          </w:tcPr>
          <w:p>
            <w:pPr>
              <w:keepNext w:val="0"/>
              <w:keepLines w:val="0"/>
              <w:pageBreakBefore w:val="0"/>
              <w:widowControl w:val="0"/>
              <w:kinsoku/>
              <w:overflowPunct/>
              <w:topLinePunct w:val="0"/>
              <w:autoSpaceDE/>
              <w:autoSpaceDN/>
              <w:bidi w:val="0"/>
              <w:spacing w:line="300" w:lineRule="exact"/>
              <w:jc w:val="center"/>
              <w:textAlignment w:val="auto"/>
              <w:rPr>
                <w:rFonts w:ascii="仿宋_GB2312" w:hAnsi="宋体" w:eastAsia="仿宋_GB2312"/>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3600" w:type="dxa"/>
            <w:gridSpan w:val="2"/>
            <w:vAlign w:val="center"/>
          </w:tcPr>
          <w:p>
            <w:pPr>
              <w:keepNext w:val="0"/>
              <w:keepLines w:val="0"/>
              <w:pageBreakBefore w:val="0"/>
              <w:widowControl w:val="0"/>
              <w:kinsoku/>
              <w:overflowPunct/>
              <w:topLinePunct w:val="0"/>
              <w:autoSpaceDE/>
              <w:autoSpaceDN/>
              <w:bidi w:val="0"/>
              <w:spacing w:line="300" w:lineRule="exact"/>
              <w:jc w:val="center"/>
              <w:textAlignment w:val="auto"/>
              <w:rPr>
                <w:rFonts w:ascii="仿宋_GB2312" w:hAnsi="宋体" w:eastAsia="仿宋_GB2312"/>
                <w:b/>
                <w:color w:val="000000" w:themeColor="text1"/>
                <w:spacing w:val="20"/>
                <w:sz w:val="24"/>
                <w14:textFill>
                  <w14:solidFill>
                    <w14:schemeClr w14:val="tx1"/>
                  </w14:solidFill>
                </w14:textFill>
              </w:rPr>
            </w:pPr>
            <w:r>
              <w:rPr>
                <w:rFonts w:hint="eastAsia" w:ascii="仿宋_GB2312" w:hAnsi="宋体" w:eastAsia="仿宋_GB2312"/>
                <w:b/>
                <w:color w:val="000000" w:themeColor="text1"/>
                <w:spacing w:val="20"/>
                <w:sz w:val="24"/>
                <w14:textFill>
                  <w14:solidFill>
                    <w14:schemeClr w14:val="tx1"/>
                  </w14:solidFill>
                </w14:textFill>
              </w:rPr>
              <w:t>变更后监管银行</w:t>
            </w:r>
          </w:p>
        </w:tc>
        <w:tc>
          <w:tcPr>
            <w:tcW w:w="6300" w:type="dxa"/>
            <w:vAlign w:val="center"/>
          </w:tcPr>
          <w:p>
            <w:pPr>
              <w:keepNext w:val="0"/>
              <w:keepLines w:val="0"/>
              <w:pageBreakBefore w:val="0"/>
              <w:widowControl w:val="0"/>
              <w:kinsoku/>
              <w:overflowPunct/>
              <w:topLinePunct w:val="0"/>
              <w:autoSpaceDE/>
              <w:autoSpaceDN/>
              <w:bidi w:val="0"/>
              <w:spacing w:line="300" w:lineRule="exact"/>
              <w:jc w:val="center"/>
              <w:textAlignment w:val="auto"/>
              <w:rPr>
                <w:rFonts w:ascii="仿宋_GB2312" w:hAnsi="宋体" w:eastAsia="仿宋_GB2312"/>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3600" w:type="dxa"/>
            <w:gridSpan w:val="2"/>
            <w:vAlign w:val="center"/>
          </w:tcPr>
          <w:p>
            <w:pPr>
              <w:keepNext w:val="0"/>
              <w:keepLines w:val="0"/>
              <w:pageBreakBefore w:val="0"/>
              <w:widowControl w:val="0"/>
              <w:kinsoku/>
              <w:overflowPunct/>
              <w:topLinePunct w:val="0"/>
              <w:autoSpaceDE/>
              <w:autoSpaceDN/>
              <w:bidi w:val="0"/>
              <w:spacing w:line="300" w:lineRule="exact"/>
              <w:jc w:val="center"/>
              <w:textAlignment w:val="auto"/>
              <w:rPr>
                <w:rFonts w:ascii="仿宋_GB2312" w:hAnsi="宋体" w:eastAsia="仿宋_GB2312"/>
                <w:b/>
                <w:color w:val="000000" w:themeColor="text1"/>
                <w:spacing w:val="20"/>
                <w:sz w:val="24"/>
                <w14:textFill>
                  <w14:solidFill>
                    <w14:schemeClr w14:val="tx1"/>
                  </w14:solidFill>
                </w14:textFill>
              </w:rPr>
            </w:pPr>
            <w:r>
              <w:rPr>
                <w:rFonts w:hint="eastAsia" w:ascii="仿宋_GB2312" w:hAnsi="宋体" w:eastAsia="仿宋_GB2312"/>
                <w:b/>
                <w:color w:val="000000" w:themeColor="text1"/>
                <w:spacing w:val="20"/>
                <w:sz w:val="24"/>
                <w14:textFill>
                  <w14:solidFill>
                    <w14:schemeClr w14:val="tx1"/>
                  </w14:solidFill>
                </w14:textFill>
              </w:rPr>
              <w:t>变更后预售款监管账户名称</w:t>
            </w:r>
          </w:p>
        </w:tc>
        <w:tc>
          <w:tcPr>
            <w:tcW w:w="6300" w:type="dxa"/>
            <w:vAlign w:val="center"/>
          </w:tcPr>
          <w:p>
            <w:pPr>
              <w:keepNext w:val="0"/>
              <w:keepLines w:val="0"/>
              <w:pageBreakBefore w:val="0"/>
              <w:widowControl w:val="0"/>
              <w:kinsoku/>
              <w:overflowPunct/>
              <w:topLinePunct w:val="0"/>
              <w:autoSpaceDE/>
              <w:autoSpaceDN/>
              <w:bidi w:val="0"/>
              <w:spacing w:line="300" w:lineRule="exact"/>
              <w:jc w:val="center"/>
              <w:textAlignment w:val="auto"/>
              <w:rPr>
                <w:rFonts w:ascii="仿宋_GB2312" w:hAnsi="宋体" w:eastAsia="仿宋_GB2312"/>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3600" w:type="dxa"/>
            <w:gridSpan w:val="2"/>
            <w:vAlign w:val="center"/>
          </w:tcPr>
          <w:p>
            <w:pPr>
              <w:keepNext w:val="0"/>
              <w:keepLines w:val="0"/>
              <w:pageBreakBefore w:val="0"/>
              <w:widowControl w:val="0"/>
              <w:kinsoku/>
              <w:overflowPunct/>
              <w:topLinePunct w:val="0"/>
              <w:autoSpaceDE/>
              <w:autoSpaceDN/>
              <w:bidi w:val="0"/>
              <w:spacing w:line="300" w:lineRule="exact"/>
              <w:jc w:val="center"/>
              <w:textAlignment w:val="auto"/>
              <w:rPr>
                <w:rFonts w:ascii="仿宋_GB2312" w:hAnsi="宋体" w:eastAsia="仿宋_GB2312"/>
                <w:b/>
                <w:color w:val="000000" w:themeColor="text1"/>
                <w:spacing w:val="20"/>
                <w:sz w:val="24"/>
                <w14:textFill>
                  <w14:solidFill>
                    <w14:schemeClr w14:val="tx1"/>
                  </w14:solidFill>
                </w14:textFill>
              </w:rPr>
            </w:pPr>
            <w:r>
              <w:rPr>
                <w:rFonts w:hint="eastAsia" w:ascii="仿宋_GB2312" w:hAnsi="宋体" w:eastAsia="仿宋_GB2312"/>
                <w:b/>
                <w:color w:val="000000" w:themeColor="text1"/>
                <w:spacing w:val="20"/>
                <w:sz w:val="24"/>
                <w14:textFill>
                  <w14:solidFill>
                    <w14:schemeClr w14:val="tx1"/>
                  </w14:solidFill>
                </w14:textFill>
              </w:rPr>
              <w:t>变更后预售款监管账户账号</w:t>
            </w:r>
          </w:p>
        </w:tc>
        <w:tc>
          <w:tcPr>
            <w:tcW w:w="6300" w:type="dxa"/>
            <w:vAlign w:val="center"/>
          </w:tcPr>
          <w:p>
            <w:pPr>
              <w:keepNext w:val="0"/>
              <w:keepLines w:val="0"/>
              <w:pageBreakBefore w:val="0"/>
              <w:widowControl w:val="0"/>
              <w:kinsoku/>
              <w:overflowPunct/>
              <w:topLinePunct w:val="0"/>
              <w:autoSpaceDE/>
              <w:autoSpaceDN/>
              <w:bidi w:val="0"/>
              <w:spacing w:line="300" w:lineRule="exact"/>
              <w:jc w:val="center"/>
              <w:textAlignment w:val="auto"/>
              <w:rPr>
                <w:rFonts w:ascii="仿宋_GB2312" w:hAnsi="宋体" w:eastAsia="仿宋_GB2312"/>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4" w:hRule="atLeast"/>
          <w:jc w:val="center"/>
        </w:trPr>
        <w:tc>
          <w:tcPr>
            <w:tcW w:w="9900" w:type="dxa"/>
            <w:gridSpan w:val="3"/>
            <w:vAlign w:val="center"/>
          </w:tcPr>
          <w:p>
            <w:pPr>
              <w:keepNext w:val="0"/>
              <w:keepLines w:val="0"/>
              <w:pageBreakBefore w:val="0"/>
              <w:widowControl w:val="0"/>
              <w:kinsoku/>
              <w:overflowPunct/>
              <w:topLinePunct w:val="0"/>
              <w:autoSpaceDE/>
              <w:autoSpaceDN/>
              <w:bidi w:val="0"/>
              <w:spacing w:line="300" w:lineRule="exact"/>
              <w:ind w:right="611" w:rightChars="291" w:firstLine="560" w:firstLineChars="200"/>
              <w:textAlignment w:val="auto"/>
              <w:rPr>
                <w:rFonts w:ascii="仿宋_GB2312" w:hAnsi="宋体" w:eastAsia="仿宋_GB2312"/>
                <w:color w:val="000000" w:themeColor="text1"/>
                <w:spacing w:val="20"/>
                <w:sz w:val="24"/>
                <w14:textFill>
                  <w14:solidFill>
                    <w14:schemeClr w14:val="tx1"/>
                  </w14:solidFill>
                </w14:textFill>
              </w:rPr>
            </w:pPr>
            <w:r>
              <w:rPr>
                <w:rFonts w:hint="eastAsia" w:ascii="仿宋_GB2312" w:hAnsi="宋体" w:eastAsia="仿宋_GB2312"/>
                <w:color w:val="000000" w:themeColor="text1"/>
                <w:spacing w:val="20"/>
                <w:sz w:val="24"/>
                <w14:textFill>
                  <w14:solidFill>
                    <w14:schemeClr w14:val="tx1"/>
                  </w14:solidFill>
                </w14:textFill>
              </w:rPr>
              <w:t>本项目因</w:t>
            </w:r>
            <w:r>
              <w:rPr>
                <w:rFonts w:hint="eastAsia" w:ascii="仿宋_GB2312" w:hAnsi="宋体" w:eastAsia="仿宋_GB2312"/>
                <w:color w:val="000000" w:themeColor="text1"/>
                <w:spacing w:val="20"/>
                <w:sz w:val="24"/>
                <w:u w:val="single"/>
                <w14:textFill>
                  <w14:solidFill>
                    <w14:schemeClr w14:val="tx1"/>
                  </w14:solidFill>
                </w14:textFill>
              </w:rPr>
              <w:t xml:space="preserve">                                   </w:t>
            </w:r>
            <w:r>
              <w:rPr>
                <w:rFonts w:hint="eastAsia" w:ascii="仿宋_GB2312" w:hAnsi="宋体" w:eastAsia="仿宋_GB2312"/>
                <w:color w:val="000000" w:themeColor="text1"/>
                <w:spacing w:val="20"/>
                <w:sz w:val="24"/>
                <w14:textFill>
                  <w14:solidFill>
                    <w14:schemeClr w14:val="tx1"/>
                  </w14:solidFill>
                </w14:textFill>
              </w:rPr>
              <w:t>原因，现申请变更商品房预售资金的监管账户。</w:t>
            </w:r>
          </w:p>
          <w:p>
            <w:pPr>
              <w:keepNext w:val="0"/>
              <w:keepLines w:val="0"/>
              <w:pageBreakBefore w:val="0"/>
              <w:widowControl w:val="0"/>
              <w:kinsoku/>
              <w:overflowPunct/>
              <w:topLinePunct w:val="0"/>
              <w:autoSpaceDE/>
              <w:autoSpaceDN/>
              <w:bidi w:val="0"/>
              <w:spacing w:line="300" w:lineRule="exact"/>
              <w:ind w:firstLine="560" w:firstLineChars="200"/>
              <w:textAlignment w:val="auto"/>
              <w:rPr>
                <w:rFonts w:ascii="仿宋_GB2312" w:hAnsi="宋体" w:eastAsia="仿宋_GB2312"/>
                <w:color w:val="000000" w:themeColor="text1"/>
                <w:spacing w:val="20"/>
                <w:sz w:val="24"/>
                <w14:textFill>
                  <w14:solidFill>
                    <w14:schemeClr w14:val="tx1"/>
                  </w14:solidFill>
                </w14:textFill>
              </w:rPr>
            </w:pPr>
          </w:p>
          <w:p>
            <w:pPr>
              <w:keepNext w:val="0"/>
              <w:keepLines w:val="0"/>
              <w:pageBreakBefore w:val="0"/>
              <w:widowControl w:val="0"/>
              <w:kinsoku/>
              <w:overflowPunct/>
              <w:topLinePunct w:val="0"/>
              <w:autoSpaceDE/>
              <w:autoSpaceDN/>
              <w:bidi w:val="0"/>
              <w:spacing w:line="300" w:lineRule="exact"/>
              <w:ind w:firstLine="1680" w:firstLineChars="600"/>
              <w:textAlignment w:val="auto"/>
              <w:rPr>
                <w:rFonts w:ascii="仿宋_GB2312" w:hAnsi="宋体" w:eastAsia="仿宋_GB2312"/>
                <w:color w:val="000000" w:themeColor="text1"/>
                <w:spacing w:val="20"/>
                <w:sz w:val="24"/>
                <w14:textFill>
                  <w14:solidFill>
                    <w14:schemeClr w14:val="tx1"/>
                  </w14:solidFill>
                </w14:textFill>
              </w:rPr>
            </w:pPr>
            <w:r>
              <w:rPr>
                <w:rFonts w:hint="eastAsia" w:ascii="仿宋_GB2312" w:hAnsi="宋体" w:eastAsia="仿宋_GB2312"/>
                <w:color w:val="000000" w:themeColor="text1"/>
                <w:spacing w:val="20"/>
                <w:sz w:val="24"/>
                <w14:textFill>
                  <w14:solidFill>
                    <w14:schemeClr w14:val="tx1"/>
                  </w14:solidFill>
                </w14:textFill>
              </w:rPr>
              <w:t>负责人：                  开发企业（盖章）</w:t>
            </w:r>
          </w:p>
          <w:p>
            <w:pPr>
              <w:keepNext w:val="0"/>
              <w:keepLines w:val="0"/>
              <w:pageBreakBefore w:val="0"/>
              <w:widowControl w:val="0"/>
              <w:kinsoku/>
              <w:overflowPunct/>
              <w:topLinePunct w:val="0"/>
              <w:autoSpaceDE/>
              <w:autoSpaceDN/>
              <w:bidi w:val="0"/>
              <w:spacing w:line="300" w:lineRule="exact"/>
              <w:ind w:right="280" w:firstLine="560" w:firstLineChars="200"/>
              <w:textAlignment w:val="auto"/>
              <w:rPr>
                <w:rFonts w:ascii="仿宋_GB2312" w:hAnsi="宋体" w:eastAsia="仿宋_GB2312"/>
                <w:color w:val="000000" w:themeColor="text1"/>
                <w:spacing w:val="20"/>
                <w:sz w:val="24"/>
                <w14:textFill>
                  <w14:solidFill>
                    <w14:schemeClr w14:val="tx1"/>
                  </w14:solidFill>
                </w14:textFill>
              </w:rPr>
            </w:pPr>
            <w:r>
              <w:rPr>
                <w:rFonts w:hint="eastAsia" w:ascii="仿宋_GB2312" w:hAnsi="宋体" w:eastAsia="仿宋_GB2312"/>
                <w:color w:val="000000" w:themeColor="text1"/>
                <w:spacing w:val="20"/>
                <w:sz w:val="24"/>
                <w14:textFill>
                  <w14:solidFill>
                    <w14:schemeClr w14:val="tx1"/>
                  </w14:solidFill>
                </w14:textFill>
              </w:rPr>
              <w:t xml:space="preserve">                           </w:t>
            </w:r>
          </w:p>
          <w:p>
            <w:pPr>
              <w:keepNext w:val="0"/>
              <w:keepLines w:val="0"/>
              <w:pageBreakBefore w:val="0"/>
              <w:widowControl w:val="0"/>
              <w:kinsoku/>
              <w:overflowPunct/>
              <w:topLinePunct w:val="0"/>
              <w:autoSpaceDE/>
              <w:autoSpaceDN/>
              <w:bidi w:val="0"/>
              <w:spacing w:line="300" w:lineRule="exact"/>
              <w:ind w:right="280" w:firstLine="6160" w:firstLineChars="2200"/>
              <w:textAlignment w:val="auto"/>
              <w:rPr>
                <w:rFonts w:ascii="仿宋_GB2312" w:hAnsi="宋体" w:eastAsia="仿宋_GB2312"/>
                <w:color w:val="000000" w:themeColor="text1"/>
                <w:spacing w:val="20"/>
                <w:sz w:val="24"/>
                <w14:textFill>
                  <w14:solidFill>
                    <w14:schemeClr w14:val="tx1"/>
                  </w14:solidFill>
                </w14:textFill>
              </w:rPr>
            </w:pPr>
            <w:r>
              <w:rPr>
                <w:rFonts w:hint="eastAsia" w:ascii="仿宋_GB2312" w:hAnsi="宋体" w:eastAsia="仿宋_GB2312"/>
                <w:color w:val="000000" w:themeColor="text1"/>
                <w:spacing w:val="20"/>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7" w:hRule="atLeast"/>
          <w:jc w:val="center"/>
        </w:trPr>
        <w:tc>
          <w:tcPr>
            <w:tcW w:w="9900" w:type="dxa"/>
            <w:gridSpan w:val="3"/>
            <w:vAlign w:val="center"/>
          </w:tcPr>
          <w:p>
            <w:pPr>
              <w:keepNext w:val="0"/>
              <w:keepLines w:val="0"/>
              <w:pageBreakBefore w:val="0"/>
              <w:widowControl w:val="0"/>
              <w:kinsoku/>
              <w:overflowPunct/>
              <w:topLinePunct w:val="0"/>
              <w:autoSpaceDE/>
              <w:autoSpaceDN/>
              <w:bidi w:val="0"/>
              <w:spacing w:line="300" w:lineRule="exact"/>
              <w:ind w:left="1" w:right="611" w:rightChars="291" w:firstLine="560" w:firstLineChars="200"/>
              <w:textAlignment w:val="auto"/>
              <w:rPr>
                <w:rFonts w:ascii="仿宋_GB2312" w:hAnsi="宋体" w:eastAsia="仿宋_GB2312"/>
                <w:color w:val="000000" w:themeColor="text1"/>
                <w:spacing w:val="20"/>
                <w:sz w:val="24"/>
                <w14:textFill>
                  <w14:solidFill>
                    <w14:schemeClr w14:val="tx1"/>
                  </w14:solidFill>
                </w14:textFill>
              </w:rPr>
            </w:pPr>
          </w:p>
          <w:p>
            <w:pPr>
              <w:keepNext w:val="0"/>
              <w:keepLines w:val="0"/>
              <w:pageBreakBefore w:val="0"/>
              <w:widowControl w:val="0"/>
              <w:kinsoku/>
              <w:overflowPunct/>
              <w:topLinePunct w:val="0"/>
              <w:autoSpaceDE/>
              <w:autoSpaceDN/>
              <w:bidi w:val="0"/>
              <w:spacing w:line="300" w:lineRule="exact"/>
              <w:ind w:left="1" w:right="611" w:rightChars="291" w:firstLine="560" w:firstLineChars="200"/>
              <w:textAlignment w:val="auto"/>
              <w:rPr>
                <w:rFonts w:ascii="仿宋_GB2312" w:hAnsi="宋体" w:eastAsia="仿宋_GB2312"/>
                <w:color w:val="000000" w:themeColor="text1"/>
                <w:spacing w:val="20"/>
                <w:sz w:val="24"/>
                <w14:textFill>
                  <w14:solidFill>
                    <w14:schemeClr w14:val="tx1"/>
                  </w14:solidFill>
                </w14:textFill>
              </w:rPr>
            </w:pPr>
            <w:r>
              <w:rPr>
                <w:rFonts w:hint="eastAsia" w:ascii="仿宋_GB2312" w:hAnsi="宋体" w:eastAsia="仿宋_GB2312"/>
                <w:color w:val="000000" w:themeColor="text1"/>
                <w:spacing w:val="20"/>
                <w:sz w:val="24"/>
                <w14:textFill>
                  <w14:solidFill>
                    <w14:schemeClr w14:val="tx1"/>
                  </w14:solidFill>
                </w14:textFill>
              </w:rPr>
              <w:t>我行同意该项目变更商品房预售资金的监管账户。该商品房预售资金监管账户累计进账</w:t>
            </w:r>
            <w:r>
              <w:rPr>
                <w:rFonts w:hint="eastAsia" w:ascii="仿宋_GB2312" w:hAnsi="宋体" w:eastAsia="仿宋_GB2312"/>
                <w:color w:val="000000" w:themeColor="text1"/>
                <w:spacing w:val="20"/>
                <w:sz w:val="24"/>
                <w:u w:val="single"/>
                <w14:textFill>
                  <w14:solidFill>
                    <w14:schemeClr w14:val="tx1"/>
                  </w14:solidFill>
                </w14:textFill>
              </w:rPr>
              <w:t xml:space="preserve">        </w:t>
            </w:r>
            <w:r>
              <w:rPr>
                <w:rFonts w:hint="eastAsia" w:ascii="仿宋_GB2312" w:hAnsi="宋体" w:eastAsia="仿宋_GB2312"/>
                <w:color w:val="000000" w:themeColor="text1"/>
                <w:spacing w:val="20"/>
                <w:sz w:val="24"/>
                <w14:textFill>
                  <w14:solidFill>
                    <w14:schemeClr w14:val="tx1"/>
                  </w14:solidFill>
                </w14:textFill>
              </w:rPr>
              <w:t>元，截止到目前为止余额为</w:t>
            </w:r>
            <w:r>
              <w:rPr>
                <w:rFonts w:hint="eastAsia" w:ascii="仿宋_GB2312" w:hAnsi="宋体" w:eastAsia="仿宋_GB2312"/>
                <w:color w:val="000000" w:themeColor="text1"/>
                <w:spacing w:val="20"/>
                <w:sz w:val="24"/>
                <w:u w:val="single"/>
                <w14:textFill>
                  <w14:solidFill>
                    <w14:schemeClr w14:val="tx1"/>
                  </w14:solidFill>
                </w14:textFill>
              </w:rPr>
              <w:t xml:space="preserve">          </w:t>
            </w:r>
            <w:r>
              <w:rPr>
                <w:rFonts w:hint="eastAsia" w:ascii="仿宋_GB2312" w:hAnsi="宋体" w:eastAsia="仿宋_GB2312"/>
                <w:color w:val="000000" w:themeColor="text1"/>
                <w:spacing w:val="20"/>
                <w:sz w:val="24"/>
                <w14:textFill>
                  <w14:solidFill>
                    <w14:schemeClr w14:val="tx1"/>
                  </w14:solidFill>
                </w14:textFill>
              </w:rPr>
              <w:t>元，我行承诺将该商品房预售资金监管账户的余额转入新的商品房预售资金监管账户。</w:t>
            </w:r>
          </w:p>
          <w:p>
            <w:pPr>
              <w:keepNext w:val="0"/>
              <w:keepLines w:val="0"/>
              <w:pageBreakBefore w:val="0"/>
              <w:widowControl w:val="0"/>
              <w:kinsoku/>
              <w:overflowPunct/>
              <w:topLinePunct w:val="0"/>
              <w:autoSpaceDE/>
              <w:autoSpaceDN/>
              <w:bidi w:val="0"/>
              <w:spacing w:line="300" w:lineRule="exact"/>
              <w:ind w:right="611" w:rightChars="291"/>
              <w:textAlignment w:val="auto"/>
              <w:rPr>
                <w:rFonts w:ascii="仿宋_GB2312" w:hAnsi="宋体" w:eastAsia="仿宋_GB2312"/>
                <w:color w:val="000000" w:themeColor="text1"/>
                <w:spacing w:val="20"/>
                <w:sz w:val="24"/>
                <w14:textFill>
                  <w14:solidFill>
                    <w14:schemeClr w14:val="tx1"/>
                  </w14:solidFill>
                </w14:textFill>
              </w:rPr>
            </w:pPr>
          </w:p>
          <w:p>
            <w:pPr>
              <w:keepNext w:val="0"/>
              <w:keepLines w:val="0"/>
              <w:pageBreakBefore w:val="0"/>
              <w:widowControl w:val="0"/>
              <w:kinsoku/>
              <w:overflowPunct/>
              <w:topLinePunct w:val="0"/>
              <w:autoSpaceDE/>
              <w:autoSpaceDN/>
              <w:bidi w:val="0"/>
              <w:spacing w:line="300" w:lineRule="exact"/>
              <w:ind w:firstLine="1820" w:firstLineChars="650"/>
              <w:textAlignment w:val="auto"/>
              <w:rPr>
                <w:rFonts w:ascii="仿宋_GB2312" w:hAnsi="宋体" w:eastAsia="仿宋_GB2312"/>
                <w:color w:val="000000" w:themeColor="text1"/>
                <w:spacing w:val="20"/>
                <w:sz w:val="24"/>
                <w14:textFill>
                  <w14:solidFill>
                    <w14:schemeClr w14:val="tx1"/>
                  </w14:solidFill>
                </w14:textFill>
              </w:rPr>
            </w:pPr>
            <w:r>
              <w:rPr>
                <w:rFonts w:hint="eastAsia" w:ascii="仿宋_GB2312" w:hAnsi="宋体" w:eastAsia="仿宋_GB2312"/>
                <w:color w:val="000000" w:themeColor="text1"/>
                <w:spacing w:val="20"/>
                <w:sz w:val="24"/>
                <w14:textFill>
                  <w14:solidFill>
                    <w14:schemeClr w14:val="tx1"/>
                  </w14:solidFill>
                </w14:textFill>
              </w:rPr>
              <w:t>负责人：                  监管银行（盖章）</w:t>
            </w:r>
          </w:p>
          <w:p>
            <w:pPr>
              <w:keepNext w:val="0"/>
              <w:keepLines w:val="0"/>
              <w:pageBreakBefore w:val="0"/>
              <w:widowControl w:val="0"/>
              <w:kinsoku/>
              <w:overflowPunct/>
              <w:topLinePunct w:val="0"/>
              <w:autoSpaceDE/>
              <w:autoSpaceDN/>
              <w:bidi w:val="0"/>
              <w:spacing w:line="300" w:lineRule="exact"/>
              <w:ind w:right="611" w:rightChars="291" w:firstLine="5880" w:firstLineChars="2100"/>
              <w:textAlignment w:val="auto"/>
              <w:rPr>
                <w:rFonts w:ascii="仿宋_GB2312" w:hAnsi="宋体" w:eastAsia="仿宋_GB2312"/>
                <w:color w:val="000000" w:themeColor="text1"/>
                <w:spacing w:val="20"/>
                <w:sz w:val="24"/>
                <w14:textFill>
                  <w14:solidFill>
                    <w14:schemeClr w14:val="tx1"/>
                  </w14:solidFill>
                </w14:textFill>
              </w:rPr>
            </w:pPr>
            <w:r>
              <w:rPr>
                <w:rFonts w:hint="eastAsia" w:ascii="仿宋_GB2312" w:hAnsi="宋体" w:eastAsia="仿宋_GB2312"/>
                <w:color w:val="000000" w:themeColor="text1"/>
                <w:spacing w:val="20"/>
                <w:sz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0" w:hRule="atLeast"/>
          <w:jc w:val="center"/>
        </w:trPr>
        <w:tc>
          <w:tcPr>
            <w:tcW w:w="567" w:type="dxa"/>
            <w:vAlign w:val="center"/>
          </w:tcPr>
          <w:p>
            <w:pPr>
              <w:keepNext w:val="0"/>
              <w:keepLines w:val="0"/>
              <w:pageBreakBefore w:val="0"/>
              <w:widowControl w:val="0"/>
              <w:kinsoku/>
              <w:overflowPunct/>
              <w:topLinePunct w:val="0"/>
              <w:autoSpaceDE/>
              <w:autoSpaceDN/>
              <w:bidi w:val="0"/>
              <w:spacing w:line="300" w:lineRule="exact"/>
              <w:ind w:right="611" w:rightChars="291"/>
              <w:jc w:val="center"/>
              <w:textAlignment w:val="auto"/>
              <w:rPr>
                <w:rFonts w:ascii="仿宋_GB2312" w:hAnsi="宋体" w:eastAsia="仿宋_GB2312"/>
                <w:b/>
                <w:color w:val="000000" w:themeColor="text1"/>
                <w:spacing w:val="20"/>
                <w:sz w:val="24"/>
                <w14:textFill>
                  <w14:solidFill>
                    <w14:schemeClr w14:val="tx1"/>
                  </w14:solidFill>
                </w14:textFill>
              </w:rPr>
            </w:pPr>
            <w:r>
              <w:rPr>
                <w:rFonts w:hint="eastAsia" w:ascii="仿宋_GB2312" w:hAnsi="宋体" w:eastAsia="仿宋_GB2312"/>
                <w:b/>
                <w:color w:val="000000" w:themeColor="text1"/>
                <w:spacing w:val="20"/>
                <w:sz w:val="24"/>
                <w14:textFill>
                  <w14:solidFill>
                    <w14:schemeClr w14:val="tx1"/>
                  </w14:solidFill>
                </w14:textFill>
              </w:rPr>
              <w:t>监管部门意见</w:t>
            </w:r>
          </w:p>
        </w:tc>
        <w:tc>
          <w:tcPr>
            <w:tcW w:w="9333" w:type="dxa"/>
            <w:gridSpan w:val="2"/>
            <w:vAlign w:val="center"/>
          </w:tcPr>
          <w:p>
            <w:pPr>
              <w:keepNext w:val="0"/>
              <w:keepLines w:val="0"/>
              <w:pageBreakBefore w:val="0"/>
              <w:widowControl w:val="0"/>
              <w:kinsoku/>
              <w:overflowPunct/>
              <w:topLinePunct w:val="0"/>
              <w:autoSpaceDE/>
              <w:autoSpaceDN/>
              <w:bidi w:val="0"/>
              <w:spacing w:line="300" w:lineRule="exact"/>
              <w:ind w:left="69" w:leftChars="33" w:right="252" w:rightChars="120"/>
              <w:textAlignment w:val="auto"/>
              <w:rPr>
                <w:rFonts w:ascii="仿宋_GB2312" w:hAnsi="宋体" w:eastAsia="仿宋_GB2312"/>
                <w:color w:val="000000" w:themeColor="text1"/>
                <w:spacing w:val="20"/>
                <w:sz w:val="24"/>
                <w14:textFill>
                  <w14:solidFill>
                    <w14:schemeClr w14:val="tx1"/>
                  </w14:solidFill>
                </w14:textFill>
              </w:rPr>
            </w:pPr>
          </w:p>
          <w:p>
            <w:pPr>
              <w:keepNext w:val="0"/>
              <w:keepLines w:val="0"/>
              <w:pageBreakBefore w:val="0"/>
              <w:widowControl w:val="0"/>
              <w:kinsoku/>
              <w:overflowPunct/>
              <w:topLinePunct w:val="0"/>
              <w:autoSpaceDE/>
              <w:autoSpaceDN/>
              <w:bidi w:val="0"/>
              <w:spacing w:line="300" w:lineRule="exact"/>
              <w:ind w:left="250" w:leftChars="119" w:right="611" w:rightChars="291"/>
              <w:textAlignment w:val="auto"/>
              <w:rPr>
                <w:rFonts w:ascii="仿宋_GB2312" w:hAnsi="宋体" w:eastAsia="仿宋_GB2312"/>
                <w:color w:val="000000" w:themeColor="text1"/>
                <w:spacing w:val="20"/>
                <w:sz w:val="24"/>
                <w14:textFill>
                  <w14:solidFill>
                    <w14:schemeClr w14:val="tx1"/>
                  </w14:solidFill>
                </w14:textFill>
              </w:rPr>
            </w:pPr>
          </w:p>
          <w:p>
            <w:pPr>
              <w:keepNext w:val="0"/>
              <w:keepLines w:val="0"/>
              <w:pageBreakBefore w:val="0"/>
              <w:widowControl w:val="0"/>
              <w:kinsoku/>
              <w:overflowPunct/>
              <w:topLinePunct w:val="0"/>
              <w:autoSpaceDE/>
              <w:autoSpaceDN/>
              <w:bidi w:val="0"/>
              <w:spacing w:line="300" w:lineRule="exact"/>
              <w:ind w:left="250" w:leftChars="119" w:right="611" w:rightChars="291"/>
              <w:textAlignment w:val="auto"/>
              <w:rPr>
                <w:rFonts w:ascii="仿宋_GB2312" w:hAnsi="宋体" w:eastAsia="仿宋_GB2312"/>
                <w:color w:val="000000" w:themeColor="text1"/>
                <w:spacing w:val="20"/>
                <w:sz w:val="24"/>
                <w14:textFill>
                  <w14:solidFill>
                    <w14:schemeClr w14:val="tx1"/>
                  </w14:solidFill>
                </w14:textFill>
              </w:rPr>
            </w:pPr>
          </w:p>
          <w:p>
            <w:pPr>
              <w:keepNext w:val="0"/>
              <w:keepLines w:val="0"/>
              <w:pageBreakBefore w:val="0"/>
              <w:widowControl w:val="0"/>
              <w:kinsoku/>
              <w:overflowPunct/>
              <w:topLinePunct w:val="0"/>
              <w:autoSpaceDE/>
              <w:autoSpaceDN/>
              <w:bidi w:val="0"/>
              <w:spacing w:line="300" w:lineRule="exact"/>
              <w:ind w:left="1100"/>
              <w:textAlignment w:val="auto"/>
              <w:rPr>
                <w:rFonts w:ascii="仿宋_GB2312" w:hAnsi="宋体" w:eastAsia="仿宋_GB2312"/>
                <w:color w:val="000000" w:themeColor="text1"/>
                <w:spacing w:val="20"/>
                <w:sz w:val="24"/>
                <w14:textFill>
                  <w14:solidFill>
                    <w14:schemeClr w14:val="tx1"/>
                  </w14:solidFill>
                </w14:textFill>
              </w:rPr>
            </w:pPr>
            <w:r>
              <w:rPr>
                <w:rFonts w:hint="eastAsia" w:ascii="仿宋_GB2312" w:hAnsi="宋体" w:eastAsia="仿宋_GB2312"/>
                <w:color w:val="000000" w:themeColor="text1"/>
                <w:spacing w:val="20"/>
                <w:sz w:val="24"/>
                <w14:textFill>
                  <w14:solidFill>
                    <w14:schemeClr w14:val="tx1"/>
                  </w14:solidFill>
                </w14:textFill>
              </w:rPr>
              <w:t>经办人：                  负责人：</w:t>
            </w:r>
          </w:p>
          <w:p>
            <w:pPr>
              <w:keepNext w:val="0"/>
              <w:keepLines w:val="0"/>
              <w:pageBreakBefore w:val="0"/>
              <w:widowControl w:val="0"/>
              <w:kinsoku/>
              <w:overflowPunct/>
              <w:topLinePunct w:val="0"/>
              <w:autoSpaceDE/>
              <w:autoSpaceDN/>
              <w:bidi w:val="0"/>
              <w:spacing w:line="300" w:lineRule="exact"/>
              <w:ind w:left="5187" w:right="611" w:rightChars="291"/>
              <w:textAlignment w:val="auto"/>
              <w:rPr>
                <w:rFonts w:ascii="仿宋_GB2312" w:hAnsi="宋体" w:eastAsia="仿宋_GB2312"/>
                <w:color w:val="000000" w:themeColor="text1"/>
                <w:spacing w:val="20"/>
                <w:sz w:val="24"/>
                <w14:textFill>
                  <w14:solidFill>
                    <w14:schemeClr w14:val="tx1"/>
                  </w14:solidFill>
                </w14:textFill>
              </w:rPr>
            </w:pPr>
          </w:p>
          <w:p>
            <w:pPr>
              <w:keepNext w:val="0"/>
              <w:keepLines w:val="0"/>
              <w:pageBreakBefore w:val="0"/>
              <w:widowControl w:val="0"/>
              <w:kinsoku/>
              <w:overflowPunct/>
              <w:topLinePunct w:val="0"/>
              <w:autoSpaceDE/>
              <w:autoSpaceDN/>
              <w:bidi w:val="0"/>
              <w:spacing w:line="300" w:lineRule="exact"/>
              <w:ind w:left="250" w:leftChars="119" w:right="611" w:rightChars="291"/>
              <w:textAlignment w:val="auto"/>
              <w:rPr>
                <w:rFonts w:ascii="仿宋_GB2312" w:hAnsi="宋体" w:eastAsia="仿宋_GB2312"/>
                <w:color w:val="000000" w:themeColor="text1"/>
                <w:spacing w:val="20"/>
                <w:sz w:val="24"/>
                <w14:textFill>
                  <w14:solidFill>
                    <w14:schemeClr w14:val="tx1"/>
                  </w14:solidFill>
                </w14:textFill>
              </w:rPr>
            </w:pPr>
            <w:r>
              <w:rPr>
                <w:rFonts w:hint="eastAsia" w:ascii="仿宋_GB2312" w:hAnsi="宋体" w:eastAsia="仿宋_GB2312"/>
                <w:color w:val="000000" w:themeColor="text1"/>
                <w:spacing w:val="20"/>
                <w:sz w:val="24"/>
                <w14:textFill>
                  <w14:solidFill>
                    <w14:schemeClr w14:val="tx1"/>
                  </w14:solidFill>
                </w14:textFill>
              </w:rPr>
              <w:t xml:space="preserve">                                 年   月   日</w:t>
            </w:r>
          </w:p>
          <w:p>
            <w:pPr>
              <w:keepNext w:val="0"/>
              <w:keepLines w:val="0"/>
              <w:pageBreakBefore w:val="0"/>
              <w:widowControl w:val="0"/>
              <w:kinsoku/>
              <w:overflowPunct/>
              <w:topLinePunct w:val="0"/>
              <w:autoSpaceDE/>
              <w:autoSpaceDN/>
              <w:bidi w:val="0"/>
              <w:spacing w:line="300" w:lineRule="exact"/>
              <w:ind w:left="250" w:leftChars="119" w:right="611" w:rightChars="291"/>
              <w:textAlignment w:val="auto"/>
              <w:rPr>
                <w:rFonts w:ascii="仿宋_GB2312" w:hAnsi="宋体" w:eastAsia="仿宋_GB2312"/>
                <w:color w:val="000000" w:themeColor="text1"/>
                <w:spacing w:val="20"/>
                <w:sz w:val="24"/>
                <w14:textFill>
                  <w14:solidFill>
                    <w14:schemeClr w14:val="tx1"/>
                  </w14:solidFill>
                </w14:textFill>
              </w:rPr>
            </w:pPr>
          </w:p>
        </w:tc>
      </w:tr>
    </w:tbl>
    <w:p>
      <w:pPr>
        <w:keepNext w:val="0"/>
        <w:keepLines w:val="0"/>
        <w:pageBreakBefore w:val="0"/>
        <w:widowControl w:val="0"/>
        <w:kinsoku/>
        <w:overflowPunct/>
        <w:topLinePunct w:val="0"/>
        <w:autoSpaceDE/>
        <w:autoSpaceDN/>
        <w:bidi w:val="0"/>
        <w:textAlignment w:val="auto"/>
        <w:rPr>
          <w:rFonts w:ascii="仿宋_GB2312" w:eastAsia="仿宋_GB2312"/>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br w:type="page"/>
      </w:r>
    </w:p>
    <w:p>
      <w:pPr>
        <w:pStyle w:val="13"/>
        <w:keepNext w:val="0"/>
        <w:keepLines w:val="0"/>
        <w:pageBreakBefore w:val="0"/>
        <w:widowControl w:val="0"/>
        <w:kinsoku/>
        <w:overflowPunct/>
        <w:topLinePunct w:val="0"/>
        <w:autoSpaceDE/>
        <w:autoSpaceDN/>
        <w:bidi w:val="0"/>
        <w:spacing w:line="620" w:lineRule="exact"/>
        <w:ind w:left="0" w:leftChars="0" w:firstLine="0" w:firstLineChars="0"/>
        <w:textAlignment w:val="auto"/>
        <w:rPr>
          <w:rFonts w:hint="eastAsia" w:ascii="黑体" w:hAnsi="黑体" w:eastAsia="黑体" w:cs="黑体"/>
          <w:color w:val="000000" w:themeColor="text1"/>
          <w:sz w:val="32"/>
          <w:szCs w:val="32"/>
          <w:lang w:val="en-US" w:eastAsia="zh-CN" w:bidi="en-US"/>
          <w14:textFill>
            <w14:solidFill>
              <w14:schemeClr w14:val="tx1"/>
            </w14:solidFill>
          </w14:textFill>
        </w:rPr>
      </w:pPr>
      <w:r>
        <w:rPr>
          <w:rFonts w:hint="eastAsia" w:ascii="黑体" w:hAnsi="黑体" w:eastAsia="黑体" w:cs="黑体"/>
          <w:color w:val="000000" w:themeColor="text1"/>
          <w:sz w:val="32"/>
          <w:szCs w:val="32"/>
          <w:lang w:val="en-US" w:eastAsia="zh-CN" w:bidi="en-US"/>
          <w14:textFill>
            <w14:solidFill>
              <w14:schemeClr w14:val="tx1"/>
            </w14:solidFill>
          </w14:textFill>
        </w:rPr>
        <w:t>附件5：</w:t>
      </w:r>
    </w:p>
    <w:p>
      <w:pPr>
        <w:keepNext w:val="0"/>
        <w:keepLines w:val="0"/>
        <w:pageBreakBefore w:val="0"/>
        <w:widowControl w:val="0"/>
        <w:kinsoku/>
        <w:overflowPunct/>
        <w:topLinePunct w:val="0"/>
        <w:autoSpaceDE/>
        <w:autoSpaceDN/>
        <w:bidi w:val="0"/>
        <w:jc w:val="center"/>
        <w:textAlignment w:val="auto"/>
        <w:rPr>
          <w:rFonts w:hint="eastAsia" w:ascii="方正小标宋简体" w:eastAsia="方正小标宋简体"/>
          <w:color w:val="auto"/>
          <w:sz w:val="36"/>
          <w:szCs w:val="36"/>
        </w:rPr>
      </w:pPr>
      <w:r>
        <w:rPr>
          <w:rFonts w:hint="eastAsia" w:ascii="方正小标宋简体" w:eastAsia="方正小标宋简体"/>
          <w:color w:val="auto"/>
          <w:sz w:val="36"/>
          <w:szCs w:val="36"/>
        </w:rPr>
        <w:t>西咸新区商品房预售</w:t>
      </w:r>
      <w:r>
        <w:rPr>
          <w:rFonts w:hint="eastAsia" w:ascii="方正小标宋简体" w:eastAsia="方正小标宋简体"/>
          <w:color w:val="auto"/>
          <w:sz w:val="36"/>
          <w:szCs w:val="36"/>
          <w:lang w:val="en-US" w:eastAsia="zh-CN"/>
        </w:rPr>
        <w:t>重点监管资金（关联项目预售资金）使用</w:t>
      </w:r>
      <w:r>
        <w:rPr>
          <w:rFonts w:hint="eastAsia" w:ascii="方正小标宋简体" w:eastAsia="方正小标宋简体"/>
          <w:color w:val="auto"/>
          <w:sz w:val="36"/>
          <w:szCs w:val="36"/>
        </w:rPr>
        <w:t>审批表</w:t>
      </w:r>
    </w:p>
    <w:tbl>
      <w:tblPr>
        <w:tblStyle w:val="10"/>
        <w:tblW w:w="868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2662"/>
        <w:gridCol w:w="1613"/>
        <w:gridCol w:w="26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1750" w:type="dxa"/>
            <w:vAlign w:val="center"/>
          </w:tcPr>
          <w:p>
            <w:pPr>
              <w:keepNext w:val="0"/>
              <w:keepLines w:val="0"/>
              <w:pageBreakBefore w:val="0"/>
              <w:widowControl w:val="0"/>
              <w:kinsoku/>
              <w:overflowPunct/>
              <w:topLinePunct w:val="0"/>
              <w:autoSpaceDE/>
              <w:autoSpaceDN/>
              <w:bidi w:val="0"/>
              <w:spacing w:line="360" w:lineRule="auto"/>
              <w:jc w:val="center"/>
              <w:textAlignment w:val="auto"/>
              <w:rPr>
                <w:rFonts w:hint="eastAsia"/>
                <w:b/>
                <w:sz w:val="24"/>
              </w:rPr>
            </w:pPr>
            <w:r>
              <w:rPr>
                <w:rFonts w:hint="eastAsia"/>
                <w:b/>
                <w:sz w:val="24"/>
              </w:rPr>
              <w:t>申请企业</w:t>
            </w:r>
          </w:p>
        </w:tc>
        <w:tc>
          <w:tcPr>
            <w:tcW w:w="6935" w:type="dxa"/>
            <w:gridSpan w:val="3"/>
            <w:vAlign w:val="center"/>
          </w:tcPr>
          <w:p>
            <w:pPr>
              <w:keepNext w:val="0"/>
              <w:keepLines w:val="0"/>
              <w:pageBreakBefore w:val="0"/>
              <w:widowControl w:val="0"/>
              <w:kinsoku/>
              <w:overflowPunct/>
              <w:topLinePunct w:val="0"/>
              <w:autoSpaceDE/>
              <w:autoSpaceDN/>
              <w:bidi w:val="0"/>
              <w:spacing w:line="360" w:lineRule="auto"/>
              <w:jc w:val="both"/>
              <w:textAlignment w:val="auto"/>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jc w:val="center"/>
        </w:trPr>
        <w:tc>
          <w:tcPr>
            <w:tcW w:w="1750" w:type="dxa"/>
            <w:vAlign w:val="center"/>
          </w:tcPr>
          <w:p>
            <w:pPr>
              <w:keepNext w:val="0"/>
              <w:keepLines w:val="0"/>
              <w:pageBreakBefore w:val="0"/>
              <w:widowControl w:val="0"/>
              <w:kinsoku/>
              <w:overflowPunct/>
              <w:topLinePunct w:val="0"/>
              <w:autoSpaceDE/>
              <w:autoSpaceDN/>
              <w:bidi w:val="0"/>
              <w:spacing w:line="360" w:lineRule="auto"/>
              <w:jc w:val="center"/>
              <w:textAlignment w:val="auto"/>
              <w:rPr>
                <w:rFonts w:hint="eastAsia"/>
                <w:b/>
                <w:sz w:val="24"/>
              </w:rPr>
            </w:pPr>
            <w:r>
              <w:rPr>
                <w:rFonts w:hint="eastAsia"/>
                <w:b/>
                <w:sz w:val="24"/>
              </w:rPr>
              <w:t>开发项目</w:t>
            </w:r>
          </w:p>
        </w:tc>
        <w:tc>
          <w:tcPr>
            <w:tcW w:w="2662" w:type="dxa"/>
            <w:vAlign w:val="center"/>
          </w:tcPr>
          <w:p>
            <w:pPr>
              <w:keepNext w:val="0"/>
              <w:keepLines w:val="0"/>
              <w:pageBreakBefore w:val="0"/>
              <w:widowControl w:val="0"/>
              <w:kinsoku/>
              <w:overflowPunct/>
              <w:topLinePunct w:val="0"/>
              <w:autoSpaceDE/>
              <w:autoSpaceDN/>
              <w:bidi w:val="0"/>
              <w:spacing w:line="360" w:lineRule="auto"/>
              <w:jc w:val="center"/>
              <w:textAlignment w:val="auto"/>
              <w:rPr>
                <w:rFonts w:hint="eastAsia"/>
                <w:sz w:val="24"/>
              </w:rPr>
            </w:pPr>
          </w:p>
        </w:tc>
        <w:tc>
          <w:tcPr>
            <w:tcW w:w="1613" w:type="dxa"/>
            <w:vAlign w:val="center"/>
          </w:tcPr>
          <w:p>
            <w:pPr>
              <w:keepNext w:val="0"/>
              <w:keepLines w:val="0"/>
              <w:pageBreakBefore w:val="0"/>
              <w:widowControl w:val="0"/>
              <w:kinsoku/>
              <w:overflowPunct/>
              <w:topLinePunct w:val="0"/>
              <w:autoSpaceDE/>
              <w:autoSpaceDN/>
              <w:bidi w:val="0"/>
              <w:spacing w:line="360" w:lineRule="auto"/>
              <w:jc w:val="center"/>
              <w:textAlignment w:val="auto"/>
              <w:rPr>
                <w:rFonts w:hint="eastAsia"/>
                <w:b/>
                <w:sz w:val="24"/>
              </w:rPr>
            </w:pPr>
            <w:r>
              <w:rPr>
                <w:rFonts w:hint="eastAsia"/>
                <w:b/>
                <w:sz w:val="24"/>
              </w:rPr>
              <w:t>监管银行</w:t>
            </w:r>
          </w:p>
        </w:tc>
        <w:tc>
          <w:tcPr>
            <w:tcW w:w="2660" w:type="dxa"/>
            <w:vAlign w:val="center"/>
          </w:tcPr>
          <w:p>
            <w:pPr>
              <w:keepNext w:val="0"/>
              <w:keepLines w:val="0"/>
              <w:pageBreakBefore w:val="0"/>
              <w:widowControl w:val="0"/>
              <w:kinsoku/>
              <w:overflowPunct/>
              <w:topLinePunct w:val="0"/>
              <w:autoSpaceDE/>
              <w:autoSpaceDN/>
              <w:bidi w:val="0"/>
              <w:spacing w:line="360" w:lineRule="auto"/>
              <w:jc w:val="center"/>
              <w:textAlignment w:val="auto"/>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jc w:val="center"/>
        </w:trPr>
        <w:tc>
          <w:tcPr>
            <w:tcW w:w="1750" w:type="dxa"/>
            <w:vAlign w:val="center"/>
          </w:tcPr>
          <w:p>
            <w:pPr>
              <w:keepNext w:val="0"/>
              <w:keepLines w:val="0"/>
              <w:pageBreakBefore w:val="0"/>
              <w:widowControl w:val="0"/>
              <w:kinsoku/>
              <w:overflowPunct/>
              <w:topLinePunct w:val="0"/>
              <w:autoSpaceDE/>
              <w:autoSpaceDN/>
              <w:bidi w:val="0"/>
              <w:spacing w:line="360" w:lineRule="auto"/>
              <w:jc w:val="center"/>
              <w:textAlignment w:val="auto"/>
              <w:rPr>
                <w:rFonts w:hint="eastAsia" w:eastAsia="宋体"/>
                <w:b/>
                <w:sz w:val="24"/>
                <w:lang w:eastAsia="zh-CN"/>
              </w:rPr>
            </w:pPr>
            <w:r>
              <w:rPr>
                <w:rFonts w:hint="eastAsia"/>
                <w:b/>
                <w:sz w:val="24"/>
              </w:rPr>
              <w:t>协议</w:t>
            </w:r>
            <w:r>
              <w:rPr>
                <w:rFonts w:hint="eastAsia"/>
                <w:b/>
                <w:sz w:val="24"/>
                <w:lang w:val="en-US" w:eastAsia="zh-CN"/>
              </w:rPr>
              <w:t>编号</w:t>
            </w:r>
          </w:p>
        </w:tc>
        <w:tc>
          <w:tcPr>
            <w:tcW w:w="2662" w:type="dxa"/>
            <w:vAlign w:val="center"/>
          </w:tcPr>
          <w:p>
            <w:pPr>
              <w:keepNext w:val="0"/>
              <w:keepLines w:val="0"/>
              <w:pageBreakBefore w:val="0"/>
              <w:widowControl w:val="0"/>
              <w:kinsoku/>
              <w:overflowPunct/>
              <w:topLinePunct w:val="0"/>
              <w:autoSpaceDE/>
              <w:autoSpaceDN/>
              <w:bidi w:val="0"/>
              <w:spacing w:line="360" w:lineRule="auto"/>
              <w:jc w:val="center"/>
              <w:textAlignment w:val="auto"/>
              <w:rPr>
                <w:rFonts w:hint="eastAsia"/>
                <w:sz w:val="24"/>
              </w:rPr>
            </w:pPr>
          </w:p>
        </w:tc>
        <w:tc>
          <w:tcPr>
            <w:tcW w:w="1613" w:type="dxa"/>
            <w:vAlign w:val="center"/>
          </w:tcPr>
          <w:p>
            <w:pPr>
              <w:keepNext w:val="0"/>
              <w:keepLines w:val="0"/>
              <w:pageBreakBefore w:val="0"/>
              <w:widowControl w:val="0"/>
              <w:kinsoku/>
              <w:overflowPunct/>
              <w:topLinePunct w:val="0"/>
              <w:autoSpaceDE/>
              <w:autoSpaceDN/>
              <w:bidi w:val="0"/>
              <w:spacing w:line="360" w:lineRule="auto"/>
              <w:jc w:val="center"/>
              <w:textAlignment w:val="auto"/>
              <w:rPr>
                <w:rFonts w:hint="eastAsia" w:eastAsia="宋体"/>
                <w:b/>
                <w:sz w:val="24"/>
                <w:lang w:val="en-US" w:eastAsia="zh-CN"/>
              </w:rPr>
            </w:pPr>
            <w:r>
              <w:rPr>
                <w:rFonts w:hint="eastAsia"/>
                <w:b/>
                <w:sz w:val="24"/>
                <w:lang w:val="en-US" w:eastAsia="zh-CN"/>
              </w:rPr>
              <w:t>监管楼幢</w:t>
            </w:r>
          </w:p>
        </w:tc>
        <w:tc>
          <w:tcPr>
            <w:tcW w:w="2660" w:type="dxa"/>
            <w:vAlign w:val="center"/>
          </w:tcPr>
          <w:p>
            <w:pPr>
              <w:keepNext w:val="0"/>
              <w:keepLines w:val="0"/>
              <w:pageBreakBefore w:val="0"/>
              <w:widowControl w:val="0"/>
              <w:kinsoku/>
              <w:overflowPunct/>
              <w:topLinePunct w:val="0"/>
              <w:autoSpaceDE/>
              <w:autoSpaceDN/>
              <w:bidi w:val="0"/>
              <w:spacing w:line="360" w:lineRule="auto"/>
              <w:jc w:val="center"/>
              <w:textAlignment w:val="auto"/>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jc w:val="center"/>
        </w:trPr>
        <w:tc>
          <w:tcPr>
            <w:tcW w:w="1750" w:type="dxa"/>
            <w:vAlign w:val="center"/>
          </w:tcPr>
          <w:p>
            <w:pPr>
              <w:keepNext w:val="0"/>
              <w:keepLines w:val="0"/>
              <w:pageBreakBefore w:val="0"/>
              <w:widowControl w:val="0"/>
              <w:kinsoku/>
              <w:overflowPunct/>
              <w:topLinePunct w:val="0"/>
              <w:autoSpaceDE/>
              <w:autoSpaceDN/>
              <w:bidi w:val="0"/>
              <w:spacing w:line="360" w:lineRule="auto"/>
              <w:jc w:val="center"/>
              <w:textAlignment w:val="auto"/>
              <w:rPr>
                <w:rFonts w:hint="eastAsia" w:eastAsia="宋体"/>
                <w:b/>
                <w:sz w:val="24"/>
                <w:lang w:val="en-US" w:eastAsia="zh-CN"/>
              </w:rPr>
            </w:pPr>
            <w:r>
              <w:rPr>
                <w:rFonts w:hint="eastAsia"/>
                <w:b/>
                <w:sz w:val="24"/>
                <w:lang w:val="en-US" w:eastAsia="zh-CN"/>
              </w:rPr>
              <w:t>协议余额</w:t>
            </w:r>
          </w:p>
        </w:tc>
        <w:tc>
          <w:tcPr>
            <w:tcW w:w="2662" w:type="dxa"/>
            <w:vAlign w:val="center"/>
          </w:tcPr>
          <w:p>
            <w:pPr>
              <w:keepNext w:val="0"/>
              <w:keepLines w:val="0"/>
              <w:pageBreakBefore w:val="0"/>
              <w:widowControl w:val="0"/>
              <w:kinsoku/>
              <w:overflowPunct/>
              <w:topLinePunct w:val="0"/>
              <w:autoSpaceDE/>
              <w:autoSpaceDN/>
              <w:bidi w:val="0"/>
              <w:spacing w:line="360" w:lineRule="auto"/>
              <w:jc w:val="center"/>
              <w:textAlignment w:val="auto"/>
              <w:rPr>
                <w:rFonts w:hint="eastAsia"/>
                <w:sz w:val="24"/>
              </w:rPr>
            </w:pPr>
          </w:p>
        </w:tc>
        <w:tc>
          <w:tcPr>
            <w:tcW w:w="1613" w:type="dxa"/>
            <w:vAlign w:val="center"/>
          </w:tcPr>
          <w:p>
            <w:pPr>
              <w:keepNext w:val="0"/>
              <w:keepLines w:val="0"/>
              <w:pageBreakBefore w:val="0"/>
              <w:widowControl w:val="0"/>
              <w:kinsoku/>
              <w:overflowPunct/>
              <w:topLinePunct w:val="0"/>
              <w:autoSpaceDE/>
              <w:autoSpaceDN/>
              <w:bidi w:val="0"/>
              <w:spacing w:line="360" w:lineRule="auto"/>
              <w:jc w:val="center"/>
              <w:textAlignment w:val="auto"/>
              <w:rPr>
                <w:rFonts w:hint="eastAsia" w:eastAsia="宋体"/>
                <w:b/>
                <w:sz w:val="24"/>
                <w:lang w:val="en-US" w:eastAsia="zh-CN"/>
              </w:rPr>
            </w:pPr>
            <w:r>
              <w:rPr>
                <w:rFonts w:hint="eastAsia"/>
                <w:b/>
                <w:sz w:val="24"/>
              </w:rPr>
              <w:t>监管账户</w:t>
            </w:r>
          </w:p>
        </w:tc>
        <w:tc>
          <w:tcPr>
            <w:tcW w:w="2660" w:type="dxa"/>
            <w:vAlign w:val="center"/>
          </w:tcPr>
          <w:p>
            <w:pPr>
              <w:keepNext w:val="0"/>
              <w:keepLines w:val="0"/>
              <w:pageBreakBefore w:val="0"/>
              <w:widowControl w:val="0"/>
              <w:kinsoku/>
              <w:overflowPunct/>
              <w:topLinePunct w:val="0"/>
              <w:autoSpaceDE/>
              <w:autoSpaceDN/>
              <w:bidi w:val="0"/>
              <w:spacing w:line="360" w:lineRule="auto"/>
              <w:jc w:val="center"/>
              <w:textAlignment w:val="auto"/>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jc w:val="center"/>
        </w:trPr>
        <w:tc>
          <w:tcPr>
            <w:tcW w:w="1750" w:type="dxa"/>
            <w:vAlign w:val="center"/>
          </w:tcPr>
          <w:p>
            <w:pPr>
              <w:keepNext w:val="0"/>
              <w:keepLines w:val="0"/>
              <w:pageBreakBefore w:val="0"/>
              <w:widowControl w:val="0"/>
              <w:kinsoku/>
              <w:overflowPunct/>
              <w:topLinePunct w:val="0"/>
              <w:autoSpaceDE/>
              <w:autoSpaceDN/>
              <w:bidi w:val="0"/>
              <w:spacing w:line="360" w:lineRule="auto"/>
              <w:jc w:val="center"/>
              <w:textAlignment w:val="auto"/>
              <w:rPr>
                <w:rFonts w:hint="eastAsia"/>
                <w:b/>
                <w:sz w:val="24"/>
                <w:lang w:val="en-US" w:eastAsia="zh-CN"/>
              </w:rPr>
            </w:pPr>
            <w:r>
              <w:rPr>
                <w:rFonts w:hint="eastAsia"/>
                <w:b/>
                <w:sz w:val="24"/>
                <w:lang w:val="en-US" w:eastAsia="zh-CN"/>
              </w:rPr>
              <w:t>重点监管额</w:t>
            </w:r>
          </w:p>
        </w:tc>
        <w:tc>
          <w:tcPr>
            <w:tcW w:w="2662" w:type="dxa"/>
            <w:vAlign w:val="center"/>
          </w:tcPr>
          <w:p>
            <w:pPr>
              <w:keepNext w:val="0"/>
              <w:keepLines w:val="0"/>
              <w:pageBreakBefore w:val="0"/>
              <w:widowControl w:val="0"/>
              <w:kinsoku/>
              <w:overflowPunct/>
              <w:topLinePunct w:val="0"/>
              <w:autoSpaceDE/>
              <w:autoSpaceDN/>
              <w:bidi w:val="0"/>
              <w:spacing w:line="360" w:lineRule="auto"/>
              <w:jc w:val="center"/>
              <w:textAlignment w:val="auto"/>
              <w:rPr>
                <w:rFonts w:hint="eastAsia"/>
                <w:sz w:val="24"/>
              </w:rPr>
            </w:pPr>
          </w:p>
        </w:tc>
        <w:tc>
          <w:tcPr>
            <w:tcW w:w="1613" w:type="dxa"/>
            <w:vAlign w:val="center"/>
          </w:tcPr>
          <w:p>
            <w:pPr>
              <w:keepNext w:val="0"/>
              <w:keepLines w:val="0"/>
              <w:pageBreakBefore w:val="0"/>
              <w:widowControl w:val="0"/>
              <w:kinsoku/>
              <w:overflowPunct/>
              <w:topLinePunct w:val="0"/>
              <w:autoSpaceDE/>
              <w:autoSpaceDN/>
              <w:bidi w:val="0"/>
              <w:spacing w:line="360" w:lineRule="auto"/>
              <w:jc w:val="center"/>
              <w:textAlignment w:val="auto"/>
              <w:rPr>
                <w:rFonts w:hint="eastAsia"/>
                <w:b/>
                <w:sz w:val="24"/>
                <w:lang w:val="en-US" w:eastAsia="zh-CN"/>
              </w:rPr>
            </w:pPr>
            <w:r>
              <w:rPr>
                <w:rFonts w:hint="eastAsia"/>
                <w:b/>
                <w:sz w:val="24"/>
                <w:lang w:val="en-US" w:eastAsia="zh-CN"/>
              </w:rPr>
              <w:t>申请出款额</w:t>
            </w:r>
          </w:p>
        </w:tc>
        <w:tc>
          <w:tcPr>
            <w:tcW w:w="2660" w:type="dxa"/>
            <w:vAlign w:val="center"/>
          </w:tcPr>
          <w:p>
            <w:pPr>
              <w:keepNext w:val="0"/>
              <w:keepLines w:val="0"/>
              <w:pageBreakBefore w:val="0"/>
              <w:widowControl w:val="0"/>
              <w:kinsoku/>
              <w:overflowPunct/>
              <w:topLinePunct w:val="0"/>
              <w:autoSpaceDE/>
              <w:autoSpaceDN/>
              <w:bidi w:val="0"/>
              <w:spacing w:line="360" w:lineRule="auto"/>
              <w:jc w:val="center"/>
              <w:textAlignment w:val="auto"/>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jc w:val="center"/>
        </w:trPr>
        <w:tc>
          <w:tcPr>
            <w:tcW w:w="1750" w:type="dxa"/>
            <w:vAlign w:val="center"/>
          </w:tcPr>
          <w:p>
            <w:pPr>
              <w:keepNext w:val="0"/>
              <w:keepLines w:val="0"/>
              <w:pageBreakBefore w:val="0"/>
              <w:widowControl w:val="0"/>
              <w:kinsoku/>
              <w:overflowPunct/>
              <w:topLinePunct w:val="0"/>
              <w:autoSpaceDE/>
              <w:autoSpaceDN/>
              <w:bidi w:val="0"/>
              <w:spacing w:line="360" w:lineRule="auto"/>
              <w:jc w:val="center"/>
              <w:textAlignment w:val="auto"/>
              <w:rPr>
                <w:rFonts w:hint="eastAsia" w:eastAsia="宋体"/>
                <w:b/>
                <w:sz w:val="24"/>
                <w:lang w:val="en-US" w:eastAsia="zh-CN"/>
              </w:rPr>
            </w:pPr>
            <w:r>
              <w:rPr>
                <w:rFonts w:hint="eastAsia"/>
                <w:b/>
                <w:sz w:val="24"/>
                <w:lang w:val="en-US" w:eastAsia="zh-CN"/>
              </w:rPr>
              <w:t>施工进度</w:t>
            </w:r>
          </w:p>
        </w:tc>
        <w:tc>
          <w:tcPr>
            <w:tcW w:w="6935" w:type="dxa"/>
            <w:gridSpan w:val="3"/>
            <w:vAlign w:val="top"/>
          </w:tcPr>
          <w:p>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cs="宋体"/>
                <w:i/>
                <w:iCs/>
                <w:color w:val="4472C4"/>
                <w:lang w:eastAsia="zh-CN"/>
              </w:rPr>
            </w:pPr>
            <w:r>
              <w:rPr>
                <w:rFonts w:hint="eastAsia" w:ascii="宋体" w:hAnsi="宋体" w:cs="宋体"/>
                <w:i/>
                <w:iCs/>
                <w:color w:val="4472C4"/>
                <w:lang w:eastAsia="zh-CN"/>
              </w:rPr>
              <w:t>（</w:t>
            </w:r>
            <w:r>
              <w:rPr>
                <w:rFonts w:hint="eastAsia" w:ascii="宋体" w:hAnsi="宋体" w:cs="宋体"/>
                <w:i/>
                <w:iCs/>
                <w:color w:val="4472C4"/>
                <w:lang w:val="en-US" w:eastAsia="zh-CN"/>
              </w:rPr>
              <w:t>工程监理盖章</w:t>
            </w:r>
            <w:r>
              <w:rPr>
                <w:rFonts w:hint="eastAsia" w:ascii="宋体" w:hAnsi="宋体" w:cs="宋体"/>
                <w:i/>
                <w:iCs/>
                <w:color w:val="4472C4"/>
                <w:lang w:eastAsia="zh-CN"/>
              </w:rPr>
              <w:t>）</w:t>
            </w:r>
          </w:p>
          <w:p>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cs="宋体"/>
                <w:i/>
                <w:iCs/>
                <w:color w:val="4472C4"/>
                <w:lang w:eastAsia="zh-CN"/>
              </w:rPr>
            </w:pPr>
          </w:p>
          <w:p>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cs="宋体"/>
                <w:i/>
                <w:iCs/>
                <w:color w:val="4472C4"/>
                <w:lang w:eastAsia="zh-CN"/>
              </w:rPr>
            </w:pPr>
            <w:r>
              <w:rPr>
                <w:rFonts w:hint="eastAsia"/>
                <w:sz w:val="24"/>
              </w:rPr>
              <w:t xml:space="preserve">年  </w:t>
            </w:r>
            <w:r>
              <w:rPr>
                <w:sz w:val="24"/>
              </w:rPr>
              <w:t xml:space="preserve"> </w:t>
            </w:r>
            <w:r>
              <w:rPr>
                <w:rFonts w:hint="eastAsia"/>
                <w:sz w:val="24"/>
              </w:rPr>
              <w:t xml:space="preserve">月 </w:t>
            </w:r>
            <w:r>
              <w:rPr>
                <w:sz w:val="24"/>
              </w:rPr>
              <w:t xml:space="preserve">  </w:t>
            </w:r>
            <w:r>
              <w:rPr>
                <w:rFonts w:hint="eastAsia"/>
                <w:sz w:val="24"/>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1750" w:type="dxa"/>
            <w:vAlign w:val="center"/>
          </w:tcPr>
          <w:p>
            <w:pPr>
              <w:keepNext w:val="0"/>
              <w:keepLines w:val="0"/>
              <w:pageBreakBefore w:val="0"/>
              <w:widowControl w:val="0"/>
              <w:kinsoku/>
              <w:overflowPunct/>
              <w:topLinePunct w:val="0"/>
              <w:autoSpaceDE/>
              <w:autoSpaceDN/>
              <w:bidi w:val="0"/>
              <w:spacing w:line="360" w:lineRule="auto"/>
              <w:jc w:val="center"/>
              <w:textAlignment w:val="auto"/>
              <w:rPr>
                <w:rFonts w:hint="eastAsia" w:eastAsia="宋体"/>
                <w:b/>
                <w:sz w:val="24"/>
                <w:lang w:val="en-US" w:eastAsia="zh-CN"/>
              </w:rPr>
            </w:pPr>
            <w:r>
              <w:rPr>
                <w:rFonts w:hint="eastAsia"/>
                <w:b/>
                <w:sz w:val="24"/>
                <w:lang w:val="en-US" w:eastAsia="zh-CN"/>
              </w:rPr>
              <w:t>资金用途</w:t>
            </w:r>
          </w:p>
        </w:tc>
        <w:tc>
          <w:tcPr>
            <w:tcW w:w="6935" w:type="dxa"/>
            <w:gridSpan w:val="3"/>
            <w:vAlign w:val="top"/>
          </w:tcPr>
          <w:p>
            <w:pPr>
              <w:keepNext w:val="0"/>
              <w:keepLines w:val="0"/>
              <w:pageBreakBefore w:val="0"/>
              <w:widowControl w:val="0"/>
              <w:kinsoku/>
              <w:overflowPunct/>
              <w:topLinePunct w:val="0"/>
              <w:autoSpaceDE/>
              <w:autoSpaceDN/>
              <w:bidi w:val="0"/>
              <w:spacing w:line="360" w:lineRule="auto"/>
              <w:jc w:val="center"/>
              <w:textAlignment w:val="auto"/>
              <w:rPr>
                <w:rFonts w:hint="eastAsia"/>
                <w:b/>
                <w:sz w:val="24"/>
              </w:rPr>
            </w:pPr>
          </w:p>
          <w:p>
            <w:pPr>
              <w:keepNext w:val="0"/>
              <w:keepLines w:val="0"/>
              <w:pageBreakBefore w:val="0"/>
              <w:widowControl w:val="0"/>
              <w:kinsoku/>
              <w:overflowPunct/>
              <w:topLinePunct w:val="0"/>
              <w:autoSpaceDE/>
              <w:autoSpaceDN/>
              <w:bidi w:val="0"/>
              <w:spacing w:line="360" w:lineRule="auto"/>
              <w:jc w:val="center"/>
              <w:textAlignment w:val="auto"/>
              <w:rPr>
                <w:rFonts w:hint="eastAsia" w:eastAsiaTheme="minorEastAsia"/>
                <w:b/>
                <w:sz w:val="24"/>
                <w:lang w:eastAsia="zh-CN"/>
              </w:rPr>
            </w:pPr>
            <w:r>
              <w:rPr>
                <w:rFonts w:hint="eastAsia" w:ascii="宋体" w:hAnsi="宋体" w:cs="宋体"/>
                <w:b w:val="0"/>
                <w:i/>
                <w:iCs/>
                <w:color w:val="4472C4"/>
                <w:sz w:val="21"/>
                <w:lang w:eastAsia="zh-CN"/>
              </w:rPr>
              <w:t>（</w:t>
            </w:r>
            <w:r>
              <w:rPr>
                <w:rFonts w:hint="eastAsia" w:ascii="宋体" w:hAnsi="宋体" w:cs="宋体"/>
                <w:b w:val="0"/>
                <w:i/>
                <w:iCs/>
                <w:color w:val="4472C4"/>
                <w:sz w:val="21"/>
                <w:lang w:val="en-US" w:eastAsia="zh-CN"/>
              </w:rPr>
              <w:t>必须明确提供收款方账户相关信息</w:t>
            </w:r>
            <w:r>
              <w:rPr>
                <w:rFonts w:hint="eastAsia" w:ascii="宋体" w:hAnsi="宋体" w:cs="宋体"/>
                <w:b w:val="0"/>
                <w:i/>
                <w:iCs/>
                <w:color w:val="4472C4"/>
                <w:sz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85" w:type="dxa"/>
            <w:gridSpan w:val="4"/>
            <w:vAlign w:val="center"/>
          </w:tcPr>
          <w:p>
            <w:pPr>
              <w:pStyle w:val="3"/>
              <w:keepNext w:val="0"/>
              <w:keepLines w:val="0"/>
              <w:pageBreakBefore w:val="0"/>
              <w:widowControl w:val="0"/>
              <w:kinsoku/>
              <w:overflowPunct/>
              <w:topLinePunct w:val="0"/>
              <w:autoSpaceDE/>
              <w:autoSpaceDN/>
              <w:bidi w:val="0"/>
              <w:ind w:left="164" w:leftChars="78" w:firstLine="405" w:firstLineChars="168"/>
              <w:jc w:val="both"/>
              <w:textAlignment w:val="auto"/>
              <w:rPr>
                <w:rFonts w:hint="eastAsia"/>
                <w:b/>
                <w:bCs/>
              </w:rPr>
            </w:pPr>
            <w:r>
              <w:rPr>
                <w:rFonts w:hint="eastAsia"/>
                <w:b/>
                <w:bCs/>
              </w:rPr>
              <w:t>本单位保证所填写内容、提交的申请材料（包括附件）及加盖印章真实、有效，并承担法律责任。</w:t>
            </w:r>
          </w:p>
          <w:p>
            <w:pPr>
              <w:keepNext w:val="0"/>
              <w:keepLines w:val="0"/>
              <w:pageBreakBefore w:val="0"/>
              <w:widowControl w:val="0"/>
              <w:kinsoku/>
              <w:overflowPunct/>
              <w:topLinePunct w:val="0"/>
              <w:autoSpaceDE/>
              <w:autoSpaceDN/>
              <w:bidi w:val="0"/>
              <w:ind w:left="1199" w:leftChars="114" w:hanging="960" w:hangingChars="400"/>
              <w:textAlignment w:val="auto"/>
              <w:rPr>
                <w:rFonts w:hint="eastAsia"/>
                <w:sz w:val="24"/>
              </w:rPr>
            </w:pPr>
          </w:p>
          <w:p>
            <w:pPr>
              <w:keepNext w:val="0"/>
              <w:keepLines w:val="0"/>
              <w:pageBreakBefore w:val="0"/>
              <w:widowControl w:val="0"/>
              <w:kinsoku/>
              <w:overflowPunct/>
              <w:topLinePunct w:val="0"/>
              <w:autoSpaceDE/>
              <w:autoSpaceDN/>
              <w:bidi w:val="0"/>
              <w:ind w:left="1198" w:leftChars="342" w:hanging="480" w:hangingChars="200"/>
              <w:textAlignment w:val="auto"/>
              <w:rPr>
                <w:sz w:val="24"/>
              </w:rPr>
            </w:pPr>
            <w:r>
              <w:rPr>
                <w:rFonts w:hint="eastAsia"/>
                <w:sz w:val="24"/>
              </w:rPr>
              <w:t>申请单位：（</w:t>
            </w:r>
            <w:r>
              <w:rPr>
                <w:rFonts w:hint="eastAsia"/>
                <w:sz w:val="24"/>
                <w:lang w:val="en-US" w:eastAsia="zh-CN"/>
              </w:rPr>
              <w:t>公</w:t>
            </w:r>
            <w:r>
              <w:rPr>
                <w:rFonts w:hint="eastAsia"/>
                <w:sz w:val="24"/>
              </w:rPr>
              <w:t>章）                   法定代表人（签章）：</w:t>
            </w:r>
          </w:p>
          <w:p>
            <w:pPr>
              <w:keepNext w:val="0"/>
              <w:keepLines w:val="0"/>
              <w:pageBreakBefore w:val="0"/>
              <w:widowControl w:val="0"/>
              <w:kinsoku/>
              <w:overflowPunct/>
              <w:topLinePunct w:val="0"/>
              <w:autoSpaceDE/>
              <w:autoSpaceDN/>
              <w:bidi w:val="0"/>
              <w:ind w:firstLine="2880" w:firstLineChars="1200"/>
              <w:textAlignment w:val="auto"/>
              <w:rPr>
                <w:rFonts w:hint="eastAsia"/>
                <w:sz w:val="24"/>
              </w:rPr>
            </w:pPr>
          </w:p>
          <w:p>
            <w:pPr>
              <w:keepNext w:val="0"/>
              <w:keepLines w:val="0"/>
              <w:pageBreakBefore w:val="0"/>
              <w:widowControl w:val="0"/>
              <w:kinsoku/>
              <w:wordWrap w:val="0"/>
              <w:overflowPunct/>
              <w:topLinePunct w:val="0"/>
              <w:autoSpaceDE/>
              <w:autoSpaceDN/>
              <w:bidi w:val="0"/>
              <w:spacing w:line="360" w:lineRule="auto"/>
              <w:ind w:right="480"/>
              <w:textAlignment w:val="auto"/>
              <w:rPr>
                <w:rFonts w:hint="eastAsia"/>
                <w:sz w:val="24"/>
              </w:rPr>
            </w:pPr>
            <w:r>
              <w:rPr>
                <w:rFonts w:hint="eastAsia"/>
                <w:sz w:val="24"/>
              </w:rPr>
              <w:t>申请日期：     年    月    日       经办人：        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25" w:hRule="atLeast"/>
          <w:jc w:val="center"/>
        </w:trPr>
        <w:tc>
          <w:tcPr>
            <w:tcW w:w="8685" w:type="dxa"/>
            <w:gridSpan w:val="4"/>
            <w:vAlign w:val="center"/>
          </w:tcPr>
          <w:p>
            <w:pPr>
              <w:keepNext w:val="0"/>
              <w:keepLines w:val="0"/>
              <w:pageBreakBefore w:val="0"/>
              <w:widowControl w:val="0"/>
              <w:kinsoku/>
              <w:overflowPunct/>
              <w:topLinePunct w:val="0"/>
              <w:autoSpaceDE/>
              <w:autoSpaceDN/>
              <w:bidi w:val="0"/>
              <w:spacing w:line="360" w:lineRule="auto"/>
              <w:textAlignment w:val="auto"/>
              <w:rPr>
                <w:b/>
                <w:sz w:val="24"/>
              </w:rPr>
            </w:pPr>
            <w:r>
              <w:rPr>
                <w:rFonts w:hint="eastAsia"/>
                <w:b/>
                <w:sz w:val="24"/>
              </w:rPr>
              <w:t>新城</w:t>
            </w:r>
            <w:r>
              <w:rPr>
                <w:rFonts w:hint="eastAsia"/>
                <w:b/>
                <w:sz w:val="24"/>
                <w:lang w:val="en-US" w:eastAsia="zh-CN"/>
              </w:rPr>
              <w:t>监管</w:t>
            </w:r>
            <w:r>
              <w:rPr>
                <w:rFonts w:hint="eastAsia"/>
                <w:b/>
                <w:sz w:val="24"/>
              </w:rPr>
              <w:t>部门意见</w:t>
            </w:r>
          </w:p>
          <w:p>
            <w:pPr>
              <w:keepNext w:val="0"/>
              <w:keepLines w:val="0"/>
              <w:pageBreakBefore w:val="0"/>
              <w:widowControl w:val="0"/>
              <w:kinsoku/>
              <w:wordWrap w:val="0"/>
              <w:overflowPunct/>
              <w:topLinePunct w:val="0"/>
              <w:autoSpaceDE/>
              <w:autoSpaceDN/>
              <w:bidi w:val="0"/>
              <w:spacing w:line="360" w:lineRule="auto"/>
              <w:ind w:right="480"/>
              <w:jc w:val="center"/>
              <w:textAlignment w:val="auto"/>
              <w:rPr>
                <w:rFonts w:hint="eastAsia"/>
                <w:sz w:val="24"/>
              </w:rPr>
            </w:pPr>
          </w:p>
          <w:p>
            <w:pPr>
              <w:keepNext w:val="0"/>
              <w:keepLines w:val="0"/>
              <w:pageBreakBefore w:val="0"/>
              <w:widowControl w:val="0"/>
              <w:kinsoku/>
              <w:wordWrap w:val="0"/>
              <w:overflowPunct/>
              <w:topLinePunct w:val="0"/>
              <w:autoSpaceDE/>
              <w:autoSpaceDN/>
              <w:bidi w:val="0"/>
              <w:spacing w:line="360" w:lineRule="auto"/>
              <w:ind w:right="480"/>
              <w:jc w:val="center"/>
              <w:textAlignment w:val="auto"/>
              <w:rPr>
                <w:rFonts w:hint="eastAsia"/>
                <w:sz w:val="24"/>
              </w:rPr>
            </w:pPr>
            <w:r>
              <w:rPr>
                <w:rFonts w:hint="eastAsia"/>
                <w:sz w:val="24"/>
                <w:lang w:val="en-US" w:eastAsia="zh-CN"/>
              </w:rPr>
              <w:t>（</w:t>
            </w:r>
            <w:r>
              <w:rPr>
                <w:rFonts w:hint="eastAsia"/>
                <w:sz w:val="24"/>
              </w:rPr>
              <w:t>章）</w:t>
            </w:r>
          </w:p>
          <w:p>
            <w:pPr>
              <w:keepNext w:val="0"/>
              <w:keepLines w:val="0"/>
              <w:pageBreakBefore w:val="0"/>
              <w:widowControl w:val="0"/>
              <w:kinsoku/>
              <w:overflowPunct/>
              <w:topLinePunct w:val="0"/>
              <w:autoSpaceDE/>
              <w:autoSpaceDN/>
              <w:bidi w:val="0"/>
              <w:spacing w:line="360" w:lineRule="auto"/>
              <w:ind w:firstLine="6960" w:firstLineChars="2900"/>
              <w:textAlignment w:val="auto"/>
              <w:rPr>
                <w:rFonts w:hint="eastAsia" w:ascii="仿宋" w:hAnsi="仿宋" w:eastAsia="仿宋" w:cs="宋体"/>
                <w:b/>
                <w:bCs/>
                <w:szCs w:val="21"/>
              </w:rPr>
            </w:pPr>
            <w:r>
              <w:rPr>
                <w:rFonts w:hint="eastAsia"/>
                <w:sz w:val="24"/>
              </w:rPr>
              <w:t xml:space="preserve">年  </w:t>
            </w:r>
            <w:r>
              <w:rPr>
                <w:sz w:val="24"/>
              </w:rPr>
              <w:t xml:space="preserve"> </w:t>
            </w:r>
            <w:r>
              <w:rPr>
                <w:rFonts w:hint="eastAsia"/>
                <w:sz w:val="24"/>
              </w:rPr>
              <w:t xml:space="preserve">月 </w:t>
            </w:r>
            <w:r>
              <w:rPr>
                <w:sz w:val="24"/>
              </w:rPr>
              <w:t xml:space="preserve">  </w:t>
            </w:r>
            <w:r>
              <w:rPr>
                <w:rFonts w:hint="eastAsia"/>
                <w:sz w:val="24"/>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50" w:type="dxa"/>
            <w:vAlign w:val="center"/>
          </w:tcPr>
          <w:p>
            <w:pPr>
              <w:keepNext w:val="0"/>
              <w:keepLines w:val="0"/>
              <w:pageBreakBefore w:val="0"/>
              <w:widowControl w:val="0"/>
              <w:kinsoku/>
              <w:overflowPunct/>
              <w:topLinePunct w:val="0"/>
              <w:autoSpaceDE/>
              <w:autoSpaceDN/>
              <w:bidi w:val="0"/>
              <w:spacing w:line="360" w:lineRule="auto"/>
              <w:jc w:val="center"/>
              <w:textAlignment w:val="auto"/>
              <w:rPr>
                <w:rFonts w:hint="eastAsia"/>
                <w:b/>
                <w:sz w:val="24"/>
              </w:rPr>
            </w:pPr>
            <w:r>
              <w:rPr>
                <w:rFonts w:hint="eastAsia"/>
                <w:b/>
                <w:sz w:val="24"/>
              </w:rPr>
              <w:t>新区</w:t>
            </w:r>
          </w:p>
          <w:p>
            <w:pPr>
              <w:keepNext w:val="0"/>
              <w:keepLines w:val="0"/>
              <w:pageBreakBefore w:val="0"/>
              <w:widowControl w:val="0"/>
              <w:kinsoku/>
              <w:overflowPunct/>
              <w:topLinePunct w:val="0"/>
              <w:autoSpaceDE/>
              <w:autoSpaceDN/>
              <w:bidi w:val="0"/>
              <w:spacing w:line="360" w:lineRule="auto"/>
              <w:jc w:val="center"/>
              <w:textAlignment w:val="auto"/>
              <w:rPr>
                <w:rFonts w:hint="eastAsia" w:eastAsia="宋体"/>
                <w:b/>
                <w:sz w:val="24"/>
                <w:lang w:eastAsia="zh-CN"/>
              </w:rPr>
            </w:pPr>
            <w:r>
              <w:rPr>
                <w:rFonts w:hint="eastAsia"/>
                <w:b/>
                <w:sz w:val="24"/>
                <w:lang w:val="en-US" w:eastAsia="zh-CN"/>
              </w:rPr>
              <w:t>监管</w:t>
            </w:r>
          </w:p>
          <w:p>
            <w:pPr>
              <w:keepNext w:val="0"/>
              <w:keepLines w:val="0"/>
              <w:pageBreakBefore w:val="0"/>
              <w:widowControl w:val="0"/>
              <w:kinsoku/>
              <w:overflowPunct/>
              <w:topLinePunct w:val="0"/>
              <w:autoSpaceDE/>
              <w:autoSpaceDN/>
              <w:bidi w:val="0"/>
              <w:spacing w:line="360" w:lineRule="auto"/>
              <w:jc w:val="center"/>
              <w:textAlignment w:val="auto"/>
              <w:rPr>
                <w:rFonts w:hint="eastAsia"/>
                <w:b/>
                <w:sz w:val="24"/>
              </w:rPr>
            </w:pPr>
            <w:r>
              <w:rPr>
                <w:rFonts w:hint="eastAsia"/>
                <w:b/>
                <w:sz w:val="24"/>
              </w:rPr>
              <w:t>部门</w:t>
            </w:r>
          </w:p>
          <w:p>
            <w:pPr>
              <w:keepNext w:val="0"/>
              <w:keepLines w:val="0"/>
              <w:pageBreakBefore w:val="0"/>
              <w:widowControl w:val="0"/>
              <w:kinsoku/>
              <w:overflowPunct/>
              <w:topLinePunct w:val="0"/>
              <w:autoSpaceDE/>
              <w:autoSpaceDN/>
              <w:bidi w:val="0"/>
              <w:spacing w:line="360" w:lineRule="auto"/>
              <w:jc w:val="center"/>
              <w:textAlignment w:val="auto"/>
              <w:rPr>
                <w:b/>
                <w:sz w:val="24"/>
              </w:rPr>
            </w:pPr>
            <w:r>
              <w:rPr>
                <w:rFonts w:hint="eastAsia"/>
                <w:b/>
                <w:sz w:val="24"/>
              </w:rPr>
              <w:t>意见</w:t>
            </w:r>
          </w:p>
        </w:tc>
        <w:tc>
          <w:tcPr>
            <w:tcW w:w="6935" w:type="dxa"/>
            <w:gridSpan w:val="3"/>
            <w:vAlign w:val="bottom"/>
          </w:tcPr>
          <w:p>
            <w:pPr>
              <w:keepNext w:val="0"/>
              <w:keepLines w:val="0"/>
              <w:pageBreakBefore w:val="0"/>
              <w:widowControl w:val="0"/>
              <w:kinsoku/>
              <w:wordWrap w:val="0"/>
              <w:overflowPunct/>
              <w:topLinePunct w:val="0"/>
              <w:autoSpaceDE/>
              <w:autoSpaceDN/>
              <w:bidi w:val="0"/>
              <w:spacing w:line="360" w:lineRule="auto"/>
              <w:ind w:right="480"/>
              <w:textAlignment w:val="auto"/>
              <w:rPr>
                <w:sz w:val="24"/>
              </w:rPr>
            </w:pPr>
            <w:r>
              <w:rPr>
                <w:rFonts w:hint="eastAsia"/>
                <w:sz w:val="24"/>
              </w:rPr>
              <w:t>审批意见：</w:t>
            </w:r>
          </w:p>
          <w:p>
            <w:pPr>
              <w:keepNext w:val="0"/>
              <w:keepLines w:val="0"/>
              <w:pageBreakBefore w:val="0"/>
              <w:widowControl w:val="0"/>
              <w:kinsoku/>
              <w:wordWrap w:val="0"/>
              <w:overflowPunct/>
              <w:topLinePunct w:val="0"/>
              <w:autoSpaceDE/>
              <w:autoSpaceDN/>
              <w:bidi w:val="0"/>
              <w:spacing w:line="360" w:lineRule="auto"/>
              <w:ind w:right="480"/>
              <w:jc w:val="center"/>
              <w:textAlignment w:val="auto"/>
              <w:rPr>
                <w:rFonts w:hint="eastAsia" w:eastAsiaTheme="minorEastAsia"/>
                <w:sz w:val="24"/>
                <w:lang w:eastAsia="zh-CN"/>
              </w:rPr>
            </w:pPr>
            <w:r>
              <w:rPr>
                <w:sz w:val="24"/>
              </w:rPr>
              <w:t xml:space="preserve"> </w:t>
            </w:r>
            <w:r>
              <w:rPr>
                <w:rFonts w:hint="eastAsia" w:ascii="宋体" w:hAnsi="宋体" w:cs="宋体"/>
                <w:i/>
                <w:iCs/>
                <w:color w:val="4472C4"/>
                <w:sz w:val="21"/>
              </w:rPr>
              <w:t xml:space="preserve"> </w:t>
            </w:r>
            <w:r>
              <w:rPr>
                <w:rFonts w:hint="eastAsia" w:ascii="宋体" w:hAnsi="宋体" w:cs="宋体"/>
                <w:i/>
                <w:iCs/>
                <w:color w:val="4472C4"/>
                <w:sz w:val="21"/>
                <w:lang w:eastAsia="zh-CN"/>
              </w:rPr>
              <w:t>（</w:t>
            </w:r>
            <w:r>
              <w:rPr>
                <w:rFonts w:hint="eastAsia" w:ascii="宋体" w:hAnsi="宋体" w:cs="宋体"/>
                <w:i/>
                <w:iCs/>
                <w:color w:val="4472C4"/>
                <w:sz w:val="21"/>
                <w:lang w:val="en-US" w:eastAsia="zh-CN"/>
              </w:rPr>
              <w:t>重点监管金额以外的预售资金出款审批无此项</w:t>
            </w:r>
            <w:r>
              <w:rPr>
                <w:rFonts w:hint="eastAsia" w:ascii="宋体" w:hAnsi="宋体" w:cs="宋体"/>
                <w:i/>
                <w:iCs/>
                <w:color w:val="4472C4"/>
                <w:sz w:val="21"/>
                <w:lang w:eastAsia="zh-CN"/>
              </w:rPr>
              <w:t>）</w:t>
            </w:r>
          </w:p>
          <w:p>
            <w:pPr>
              <w:keepNext w:val="0"/>
              <w:keepLines w:val="0"/>
              <w:pageBreakBefore w:val="0"/>
              <w:widowControl w:val="0"/>
              <w:kinsoku/>
              <w:wordWrap w:val="0"/>
              <w:overflowPunct/>
              <w:topLinePunct w:val="0"/>
              <w:autoSpaceDE/>
              <w:autoSpaceDN/>
              <w:bidi w:val="0"/>
              <w:spacing w:line="360" w:lineRule="auto"/>
              <w:ind w:right="480"/>
              <w:jc w:val="center"/>
              <w:textAlignment w:val="auto"/>
              <w:rPr>
                <w:rFonts w:hint="eastAsia"/>
                <w:sz w:val="24"/>
              </w:rPr>
            </w:pPr>
            <w:r>
              <w:rPr>
                <w:sz w:val="24"/>
              </w:rPr>
              <w:t xml:space="preserve">                       </w:t>
            </w:r>
            <w:r>
              <w:rPr>
                <w:rFonts w:hint="eastAsia"/>
                <w:sz w:val="24"/>
              </w:rPr>
              <w:t xml:space="preserve">年 </w:t>
            </w:r>
            <w:r>
              <w:rPr>
                <w:sz w:val="24"/>
              </w:rPr>
              <w:t xml:space="preserve">  </w:t>
            </w:r>
            <w:r>
              <w:rPr>
                <w:rFonts w:hint="eastAsia"/>
                <w:sz w:val="24"/>
              </w:rPr>
              <w:t xml:space="preserve">月 </w:t>
            </w:r>
            <w:r>
              <w:rPr>
                <w:sz w:val="24"/>
              </w:rPr>
              <w:t xml:space="preserve">   </w:t>
            </w:r>
            <w:r>
              <w:rPr>
                <w:rFonts w:hint="eastAsia"/>
                <w:sz w:val="24"/>
              </w:rPr>
              <w:t>日</w:t>
            </w:r>
          </w:p>
        </w:tc>
      </w:tr>
    </w:tbl>
    <w:p>
      <w:pPr>
        <w:keepNext w:val="0"/>
        <w:keepLines w:val="0"/>
        <w:pageBreakBefore w:val="0"/>
        <w:widowControl w:val="0"/>
        <w:pBdr>
          <w:top w:val="single" w:color="auto" w:sz="4" w:space="1"/>
          <w:bottom w:val="single" w:color="auto" w:sz="4" w:space="1"/>
        </w:pBdr>
        <w:kinsoku/>
        <w:overflowPunct/>
        <w:topLinePunct w:val="0"/>
        <w:autoSpaceDE/>
        <w:autoSpaceDN/>
        <w:bidi w:val="0"/>
        <w:spacing w:line="600" w:lineRule="exact"/>
        <w:jc w:val="left"/>
        <w:textAlignment w:val="auto"/>
        <w:rPr>
          <w:rFonts w:hint="default" w:ascii="仿宋_GB2312" w:hAnsi="Times New Roman" w:eastAsia="仿宋_GB2312" w:cs="Times New Roman"/>
          <w:color w:val="000000" w:themeColor="text1"/>
          <w:spacing w:val="0"/>
          <w:kern w:val="0"/>
          <w:sz w:val="28"/>
          <w:szCs w:val="28"/>
          <w:lang w:val="en-US" w:eastAsia="zh-CN" w:bidi="en-US"/>
          <w14:textFill>
            <w14:solidFill>
              <w14:schemeClr w14:val="tx1"/>
            </w14:solidFill>
          </w14:textFill>
        </w:rPr>
      </w:pPr>
      <w:bookmarkStart w:id="0" w:name="_GoBack"/>
      <w:bookmarkEnd w:id="0"/>
    </w:p>
    <w:sectPr>
      <w:headerReference r:id="rId3" w:type="default"/>
      <w:footerReference r:id="rId4" w:type="default"/>
      <w:pgSz w:w="11906" w:h="16838"/>
      <w:pgMar w:top="1871" w:right="1474" w:bottom="1701"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58240;mso-width-relative:page;mso-height-relative:page;" filled="f" stroked="f" coordsize="21600,21600" o:gfxdata="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shAo1QAAAAcBAAAPAAAAAAAAAAEA&#10;IAAAACIAAABkcnMvZG93bnJldi54bWxQSwECFAAUAAAACACHTuJAStvN/xICAAATBAAADgAAAAAA&#10;AAABACAAAAAkAQAAZHJzL2Uyb0RvYy54bWxQSwUGAAAAAAYABgBZAQAAqA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p>
    <w:pPr>
      <w:pStyle w:val="6"/>
      <w:pBdr>
        <w:bottom w:val="none" w:color="auto" w:sz="0" w:space="1"/>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马娜">
    <w15:presenceInfo w15:providerId="None" w15:userId="马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A3700B"/>
    <w:rsid w:val="00003043"/>
    <w:rsid w:val="00082276"/>
    <w:rsid w:val="000C1AFE"/>
    <w:rsid w:val="000D2A7B"/>
    <w:rsid w:val="0011438D"/>
    <w:rsid w:val="001578E4"/>
    <w:rsid w:val="001753EF"/>
    <w:rsid w:val="001A30E1"/>
    <w:rsid w:val="001F68C2"/>
    <w:rsid w:val="003635F1"/>
    <w:rsid w:val="003B566D"/>
    <w:rsid w:val="0042567A"/>
    <w:rsid w:val="00442D1F"/>
    <w:rsid w:val="00444BBD"/>
    <w:rsid w:val="0046695B"/>
    <w:rsid w:val="00492B52"/>
    <w:rsid w:val="004B719F"/>
    <w:rsid w:val="004D5E3D"/>
    <w:rsid w:val="00504374"/>
    <w:rsid w:val="00511289"/>
    <w:rsid w:val="005428A8"/>
    <w:rsid w:val="0055116E"/>
    <w:rsid w:val="00577987"/>
    <w:rsid w:val="00584C07"/>
    <w:rsid w:val="00596D1D"/>
    <w:rsid w:val="005B1D91"/>
    <w:rsid w:val="005C7B08"/>
    <w:rsid w:val="005E72C3"/>
    <w:rsid w:val="00623DEE"/>
    <w:rsid w:val="0064065E"/>
    <w:rsid w:val="00647E30"/>
    <w:rsid w:val="006577EA"/>
    <w:rsid w:val="006A0A71"/>
    <w:rsid w:val="00720CA0"/>
    <w:rsid w:val="00737F37"/>
    <w:rsid w:val="007F57A3"/>
    <w:rsid w:val="00831DDE"/>
    <w:rsid w:val="00844C7B"/>
    <w:rsid w:val="00860FC7"/>
    <w:rsid w:val="00883775"/>
    <w:rsid w:val="00892513"/>
    <w:rsid w:val="008A48D3"/>
    <w:rsid w:val="008C5AD8"/>
    <w:rsid w:val="00906643"/>
    <w:rsid w:val="009635E4"/>
    <w:rsid w:val="00963A74"/>
    <w:rsid w:val="0096672D"/>
    <w:rsid w:val="009E1D2A"/>
    <w:rsid w:val="00B05F92"/>
    <w:rsid w:val="00B510BD"/>
    <w:rsid w:val="00BC4C61"/>
    <w:rsid w:val="00C16A16"/>
    <w:rsid w:val="00C16CB6"/>
    <w:rsid w:val="00C505D0"/>
    <w:rsid w:val="00C62A37"/>
    <w:rsid w:val="00C668CD"/>
    <w:rsid w:val="00CC1234"/>
    <w:rsid w:val="00CF4EFC"/>
    <w:rsid w:val="00D864D4"/>
    <w:rsid w:val="00DB01B6"/>
    <w:rsid w:val="00DB343B"/>
    <w:rsid w:val="00DD1DA0"/>
    <w:rsid w:val="00E427E1"/>
    <w:rsid w:val="00E4732A"/>
    <w:rsid w:val="00EA2F61"/>
    <w:rsid w:val="00EC6492"/>
    <w:rsid w:val="00F042AF"/>
    <w:rsid w:val="00F37811"/>
    <w:rsid w:val="00F86A6E"/>
    <w:rsid w:val="00F941DB"/>
    <w:rsid w:val="00FA404D"/>
    <w:rsid w:val="00FA4F37"/>
    <w:rsid w:val="00FE6C07"/>
    <w:rsid w:val="0CAA4AD1"/>
    <w:rsid w:val="0D471FFE"/>
    <w:rsid w:val="0E1212FC"/>
    <w:rsid w:val="0E930BB3"/>
    <w:rsid w:val="0FAE25BB"/>
    <w:rsid w:val="11167004"/>
    <w:rsid w:val="169B5663"/>
    <w:rsid w:val="16DF12B9"/>
    <w:rsid w:val="19AD0D73"/>
    <w:rsid w:val="1C130C2A"/>
    <w:rsid w:val="1CFB5C19"/>
    <w:rsid w:val="1DCB4BED"/>
    <w:rsid w:val="1E806630"/>
    <w:rsid w:val="234646FC"/>
    <w:rsid w:val="2670330C"/>
    <w:rsid w:val="29953011"/>
    <w:rsid w:val="2CBA22EB"/>
    <w:rsid w:val="30E923DC"/>
    <w:rsid w:val="30FC5701"/>
    <w:rsid w:val="32396962"/>
    <w:rsid w:val="34457E4F"/>
    <w:rsid w:val="378B613C"/>
    <w:rsid w:val="39A3700B"/>
    <w:rsid w:val="3BCC3526"/>
    <w:rsid w:val="3CBE2E05"/>
    <w:rsid w:val="3E1909BF"/>
    <w:rsid w:val="415575DB"/>
    <w:rsid w:val="448A537C"/>
    <w:rsid w:val="463D5CDA"/>
    <w:rsid w:val="47533284"/>
    <w:rsid w:val="4F9D0FE0"/>
    <w:rsid w:val="4FCD192E"/>
    <w:rsid w:val="51611183"/>
    <w:rsid w:val="516B5B5B"/>
    <w:rsid w:val="527D57FC"/>
    <w:rsid w:val="52F5482A"/>
    <w:rsid w:val="534554DC"/>
    <w:rsid w:val="57923C09"/>
    <w:rsid w:val="59017325"/>
    <w:rsid w:val="5CC26AC6"/>
    <w:rsid w:val="5D261584"/>
    <w:rsid w:val="5FA075ED"/>
    <w:rsid w:val="60806FFC"/>
    <w:rsid w:val="61817516"/>
    <w:rsid w:val="62554FB7"/>
    <w:rsid w:val="63EE66CE"/>
    <w:rsid w:val="657504D6"/>
    <w:rsid w:val="65D62AC2"/>
    <w:rsid w:val="67AD3E04"/>
    <w:rsid w:val="68362652"/>
    <w:rsid w:val="68E204C0"/>
    <w:rsid w:val="6E2111DE"/>
    <w:rsid w:val="6EB14C1F"/>
    <w:rsid w:val="6FBA6409"/>
    <w:rsid w:val="76D20688"/>
    <w:rsid w:val="7D6C1191"/>
    <w:rsid w:val="7E656AAC"/>
    <w:rsid w:val="7EEE6108"/>
    <w:rsid w:val="7FD80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line="360" w:lineRule="auto"/>
      <w:ind w:firstLine="480" w:firstLineChars="200"/>
    </w:pPr>
    <w:rPr>
      <w:sz w:val="24"/>
    </w:rPr>
  </w:style>
  <w:style w:type="paragraph" w:styleId="4">
    <w:name w:val="Balloon Text"/>
    <w:basedOn w:val="1"/>
    <w:link w:val="15"/>
    <w:qFormat/>
    <w:uiPriority w:val="0"/>
    <w:rPr>
      <w:sz w:val="18"/>
      <w:szCs w:val="18"/>
    </w:rPr>
  </w:style>
  <w:style w:type="paragraph" w:styleId="5">
    <w:name w:val="footer"/>
    <w:basedOn w:val="1"/>
    <w:semiHidden/>
    <w:qFormat/>
    <w:uiPriority w:val="99"/>
    <w:pPr>
      <w:tabs>
        <w:tab w:val="center" w:pos="4153"/>
        <w:tab w:val="right" w:pos="8306"/>
      </w:tabs>
      <w:snapToGrid w:val="0"/>
      <w:jc w:val="left"/>
    </w:pPr>
    <w:rPr>
      <w:kern w:val="0"/>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szCs w:val="24"/>
    </w:rPr>
  </w:style>
  <w:style w:type="character" w:styleId="9">
    <w:name w:val="page number"/>
    <w:basedOn w:val="8"/>
    <w:qFormat/>
    <w:uiPriority w:val="0"/>
  </w:style>
  <w:style w:type="paragraph" w:customStyle="1" w:styleId="11">
    <w:name w:val="正文文字缩进 2"/>
    <w:basedOn w:val="1"/>
    <w:qFormat/>
    <w:uiPriority w:val="0"/>
    <w:pPr>
      <w:ind w:firstLine="600"/>
    </w:pPr>
    <w:rPr>
      <w:rFonts w:ascii="宋体" w:hAnsi="宋体"/>
      <w:sz w:val="32"/>
      <w:szCs w:val="30"/>
    </w:rPr>
  </w:style>
  <w:style w:type="paragraph" w:customStyle="1" w:styleId="12">
    <w:name w:val="正文首行缩进1"/>
    <w:basedOn w:val="2"/>
    <w:qFormat/>
    <w:uiPriority w:val="0"/>
    <w:pPr>
      <w:spacing w:after="0"/>
      <w:ind w:firstLine="420"/>
    </w:pPr>
  </w:style>
  <w:style w:type="paragraph" w:customStyle="1" w:styleId="13">
    <w:name w:val="Body text|1"/>
    <w:basedOn w:val="1"/>
    <w:qFormat/>
    <w:uiPriority w:val="0"/>
    <w:pPr>
      <w:spacing w:line="401" w:lineRule="auto"/>
      <w:ind w:firstLine="400"/>
      <w:jc w:val="left"/>
    </w:pPr>
    <w:rPr>
      <w:rFonts w:ascii="宋体" w:hAnsi="宋体" w:eastAsia="宋体" w:cs="宋体"/>
      <w:kern w:val="0"/>
      <w:sz w:val="20"/>
      <w:szCs w:val="20"/>
      <w:lang w:val="zh-TW" w:eastAsia="zh-TW" w:bidi="zh-TW"/>
    </w:rPr>
  </w:style>
  <w:style w:type="character" w:customStyle="1" w:styleId="14">
    <w:name w:val="页眉 字符"/>
    <w:basedOn w:val="8"/>
    <w:link w:val="6"/>
    <w:qFormat/>
    <w:uiPriority w:val="0"/>
    <w:rPr>
      <w:rFonts w:asciiTheme="minorHAnsi" w:hAnsiTheme="minorHAnsi" w:eastAsiaTheme="minorEastAsia" w:cstheme="minorBidi"/>
      <w:kern w:val="2"/>
      <w:sz w:val="18"/>
      <w:szCs w:val="18"/>
    </w:rPr>
  </w:style>
  <w:style w:type="character" w:customStyle="1" w:styleId="15">
    <w:name w:val="批注框文本 字符"/>
    <w:basedOn w:val="8"/>
    <w:link w:val="4"/>
    <w:qFormat/>
    <w:uiPriority w:val="0"/>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2584</Words>
  <Characters>14730</Characters>
  <Lines>122</Lines>
  <Paragraphs>34</Paragraphs>
  <TotalTime>7</TotalTime>
  <ScaleCrop>false</ScaleCrop>
  <LinksUpToDate>false</LinksUpToDate>
  <CharactersWithSpaces>17280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2020-12-17T06:26:00Z</dcterms:created>
  <dc:creator>51712</dc:creator>
  <cp:lastModifiedBy>马娜</cp:lastModifiedBy>
  <cp:lastPrinted>2020-12-29T08:38:00Z</cp:lastPrinted>
  <dcterms:modified xsi:type="dcterms:W3CDTF">2021-01-08T06:44:33Z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