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default" w:ascii="Times New Roman" w:hAnsi="Times New Roman" w:eastAsia="宋体" w:cs="Times New Roman"/>
          <w:color w:val="auto"/>
          <w:sz w:val="44"/>
        </w:rPr>
      </w:pPr>
      <w:bookmarkStart w:id="0" w:name="_Toc514075315"/>
    </w:p>
    <w:p>
      <w:pPr>
        <w:pStyle w:val="51"/>
        <w:tabs>
          <w:tab w:val="right" w:leader="dot" w:pos="8296"/>
        </w:tabs>
        <w:jc w:val="center"/>
        <w:rPr>
          <w:rFonts w:hint="default" w:ascii="Times New Roman" w:hAnsi="Times New Roman" w:eastAsia="宋体" w:cs="Times New Roman"/>
          <w:caps w:val="0"/>
          <w:color w:val="auto"/>
          <w:sz w:val="44"/>
          <w:szCs w:val="44"/>
        </w:rPr>
      </w:pPr>
      <w:bookmarkStart w:id="1" w:name="_Toc10351"/>
      <w:bookmarkStart w:id="2" w:name="_Toc27435"/>
    </w:p>
    <w:p>
      <w:pPr>
        <w:pStyle w:val="51"/>
        <w:tabs>
          <w:tab w:val="right" w:leader="dot" w:pos="8296"/>
        </w:tabs>
        <w:spacing w:line="240" w:lineRule="atLeast"/>
        <w:rPr>
          <w:rFonts w:hint="default" w:ascii="Times New Roman" w:hAnsi="Times New Roman" w:eastAsia="宋体" w:cs="Times New Roman"/>
          <w:color w:val="auto"/>
          <w:sz w:val="36"/>
          <w:szCs w:val="36"/>
        </w:rPr>
      </w:pPr>
    </w:p>
    <w:p>
      <w:pPr>
        <w:spacing w:line="240" w:lineRule="atLeast"/>
        <w:jc w:val="center"/>
        <w:rPr>
          <w:rFonts w:hint="default" w:ascii="Times New Roman" w:hAnsi="Times New Roman" w:eastAsia="宋体" w:cs="Times New Roman"/>
          <w:b/>
          <w:bCs/>
          <w:caps/>
          <w:color w:val="auto"/>
          <w:sz w:val="48"/>
          <w:szCs w:val="48"/>
        </w:rPr>
      </w:pPr>
      <w:r>
        <w:rPr>
          <w:rFonts w:hint="default" w:ascii="Times New Roman" w:hAnsi="Times New Roman" w:eastAsia="宋体" w:cs="Times New Roman"/>
          <w:b/>
          <w:bCs/>
          <w:caps/>
          <w:color w:val="auto"/>
          <w:sz w:val="48"/>
          <w:szCs w:val="48"/>
        </w:rPr>
        <w:t>咸阳石油化工有限公司</w:t>
      </w:r>
    </w:p>
    <w:p>
      <w:pPr>
        <w:spacing w:line="240" w:lineRule="atLeast"/>
        <w:jc w:val="center"/>
        <w:rPr>
          <w:rFonts w:hint="default" w:ascii="Times New Roman" w:hAnsi="Times New Roman" w:eastAsia="宋体" w:cs="Times New Roman"/>
          <w:b/>
          <w:bCs/>
          <w:caps/>
          <w:color w:val="auto"/>
          <w:sz w:val="52"/>
          <w:szCs w:val="52"/>
        </w:rPr>
      </w:pPr>
      <w:r>
        <w:rPr>
          <w:rFonts w:hint="default" w:ascii="Times New Roman" w:hAnsi="Times New Roman" w:eastAsia="宋体" w:cs="Times New Roman"/>
          <w:b/>
          <w:bCs/>
          <w:caps/>
          <w:color w:val="auto"/>
          <w:sz w:val="52"/>
          <w:szCs w:val="52"/>
        </w:rPr>
        <w:t>突发环境事件风险评估报告</w:t>
      </w:r>
    </w:p>
    <w:p>
      <w:pPr>
        <w:spacing w:line="360" w:lineRule="auto"/>
        <w:jc w:val="center"/>
        <w:rPr>
          <w:rFonts w:hint="eastAsia" w:ascii="Times New Roman" w:hAnsi="Times New Roman" w:eastAsia="宋体" w:cs="Times New Roman"/>
          <w:b/>
          <w:bCs/>
          <w:caps/>
          <w:color w:val="auto"/>
          <w:kern w:val="2"/>
          <w:sz w:val="44"/>
          <w:szCs w:val="44"/>
          <w:lang w:val="en-US" w:eastAsia="zh-CN" w:bidi="ar-SA"/>
        </w:rPr>
      </w:pPr>
      <w:r>
        <w:rPr>
          <w:rFonts w:hint="eastAsia" w:ascii="Times New Roman" w:hAnsi="Times New Roman" w:eastAsia="宋体" w:cs="Times New Roman"/>
          <w:b/>
          <w:bCs/>
          <w:caps/>
          <w:color w:val="auto"/>
          <w:kern w:val="2"/>
          <w:sz w:val="44"/>
          <w:szCs w:val="44"/>
          <w:lang w:val="en-US" w:eastAsia="zh-CN" w:bidi="ar-SA"/>
        </w:rPr>
        <w:t>（2021年修订稿）</w:t>
      </w:r>
    </w:p>
    <w:p>
      <w:pPr>
        <w:pStyle w:val="51"/>
        <w:tabs>
          <w:tab w:val="left" w:pos="7388"/>
        </w:tabs>
        <w:spacing w:line="240" w:lineRule="atLeast"/>
        <w:rPr>
          <w:rFonts w:hint="default" w:ascii="Times New Roman" w:hAnsi="Times New Roman" w:eastAsia="宋体" w:cs="Times New Roman"/>
          <w:caps w:val="0"/>
          <w:color w:val="auto"/>
          <w:sz w:val="44"/>
          <w:szCs w:val="44"/>
        </w:rPr>
      </w:pPr>
    </w:p>
    <w:p>
      <w:pPr>
        <w:pStyle w:val="51"/>
        <w:tabs>
          <w:tab w:val="left" w:pos="7388"/>
        </w:tabs>
        <w:spacing w:line="240" w:lineRule="atLeast"/>
        <w:rPr>
          <w:rFonts w:hint="default" w:ascii="Times New Roman" w:hAnsi="Times New Roman" w:eastAsia="宋体" w:cs="Times New Roman"/>
          <w:caps w:val="0"/>
          <w:color w:val="auto"/>
          <w:sz w:val="44"/>
          <w:szCs w:val="44"/>
        </w:rPr>
      </w:pPr>
      <w:r>
        <w:rPr>
          <w:rFonts w:hint="default" w:ascii="Times New Roman" w:hAnsi="Times New Roman" w:eastAsia="宋体" w:cs="Times New Roman"/>
          <w:caps w:val="0"/>
          <w:color w:val="auto"/>
          <w:sz w:val="44"/>
          <w:szCs w:val="44"/>
        </w:rPr>
        <w:tab/>
      </w:r>
    </w:p>
    <w:p>
      <w:pPr>
        <w:pStyle w:val="51"/>
        <w:tabs>
          <w:tab w:val="right" w:leader="dot" w:pos="8296"/>
        </w:tabs>
        <w:rPr>
          <w:rFonts w:hint="default" w:ascii="Times New Roman" w:hAnsi="Times New Roman" w:eastAsia="宋体" w:cs="Times New Roman"/>
          <w:caps w:val="0"/>
          <w:color w:val="auto"/>
          <w:sz w:val="44"/>
          <w:szCs w:val="44"/>
        </w:rPr>
      </w:pPr>
    </w:p>
    <w:p>
      <w:pPr>
        <w:pStyle w:val="51"/>
        <w:tabs>
          <w:tab w:val="right" w:leader="dot" w:pos="8296"/>
        </w:tabs>
        <w:rPr>
          <w:rFonts w:hint="default" w:ascii="Times New Roman" w:hAnsi="Times New Roman" w:eastAsia="宋体" w:cs="Times New Roman"/>
          <w:caps w:val="0"/>
          <w:color w:val="auto"/>
          <w:sz w:val="44"/>
          <w:szCs w:val="44"/>
        </w:rPr>
      </w:pPr>
    </w:p>
    <w:p>
      <w:pPr>
        <w:rPr>
          <w:rFonts w:hint="default" w:ascii="Times New Roman" w:hAnsi="Times New Roman" w:eastAsia="宋体" w:cs="Times New Roman"/>
          <w:color w:val="auto"/>
        </w:rPr>
      </w:pPr>
    </w:p>
    <w:p>
      <w:pPr>
        <w:rPr>
          <w:rFonts w:hint="default" w:ascii="Times New Roman" w:hAnsi="Times New Roman" w:eastAsia="宋体" w:cs="Times New Roman"/>
          <w:color w:val="auto"/>
        </w:rPr>
      </w:pPr>
    </w:p>
    <w:p>
      <w:pPr>
        <w:rPr>
          <w:rFonts w:hint="default" w:ascii="Times New Roman" w:hAnsi="Times New Roman" w:eastAsia="宋体" w:cs="Times New Roman"/>
          <w:color w:val="auto"/>
        </w:rPr>
      </w:pPr>
    </w:p>
    <w:p>
      <w:pPr>
        <w:rPr>
          <w:rFonts w:hint="default" w:ascii="Times New Roman" w:hAnsi="Times New Roman" w:eastAsia="宋体" w:cs="Times New Roman"/>
          <w:color w:val="auto"/>
        </w:rPr>
      </w:pPr>
    </w:p>
    <w:p>
      <w:pPr>
        <w:rPr>
          <w:rFonts w:hint="default" w:ascii="Times New Roman" w:hAnsi="Times New Roman" w:eastAsia="宋体" w:cs="Times New Roman"/>
          <w:color w:val="auto"/>
        </w:rPr>
      </w:pPr>
    </w:p>
    <w:p>
      <w:pPr>
        <w:rPr>
          <w:rFonts w:hint="default" w:ascii="Times New Roman" w:hAnsi="Times New Roman" w:eastAsia="宋体" w:cs="Times New Roman"/>
          <w:color w:val="auto"/>
        </w:rPr>
      </w:pPr>
    </w:p>
    <w:p>
      <w:pPr>
        <w:rPr>
          <w:rFonts w:hint="default" w:ascii="Times New Roman" w:hAnsi="Times New Roman" w:eastAsia="宋体" w:cs="Times New Roman"/>
          <w:color w:val="auto"/>
        </w:rPr>
      </w:pPr>
    </w:p>
    <w:p>
      <w:pPr>
        <w:pStyle w:val="51"/>
        <w:tabs>
          <w:tab w:val="right" w:leader="dot" w:pos="8296"/>
        </w:tabs>
        <w:rPr>
          <w:rFonts w:hint="default" w:ascii="Times New Roman" w:hAnsi="Times New Roman" w:eastAsia="宋体" w:cs="Times New Roman"/>
          <w:caps w:val="0"/>
          <w:color w:val="auto"/>
          <w:sz w:val="44"/>
          <w:szCs w:val="44"/>
        </w:rPr>
      </w:pPr>
    </w:p>
    <w:p>
      <w:pPr>
        <w:rPr>
          <w:rFonts w:hint="default" w:ascii="Times New Roman" w:hAnsi="Times New Roman" w:eastAsia="宋体" w:cs="Times New Roman"/>
          <w:caps w:val="0"/>
          <w:color w:val="auto"/>
          <w:sz w:val="44"/>
          <w:szCs w:val="44"/>
        </w:rPr>
      </w:pPr>
    </w:p>
    <w:p>
      <w:pPr>
        <w:rPr>
          <w:rFonts w:hint="default" w:ascii="Times New Roman" w:hAnsi="Times New Roman" w:eastAsia="宋体" w:cs="Times New Roman"/>
          <w:caps w:val="0"/>
          <w:color w:val="auto"/>
          <w:sz w:val="44"/>
          <w:szCs w:val="44"/>
        </w:rPr>
      </w:pPr>
    </w:p>
    <w:p>
      <w:pPr>
        <w:rPr>
          <w:rFonts w:hint="default" w:ascii="Times New Roman" w:hAnsi="Times New Roman" w:eastAsia="宋体" w:cs="Times New Roman"/>
          <w:caps w:val="0"/>
          <w:color w:val="auto"/>
          <w:sz w:val="44"/>
          <w:szCs w:val="44"/>
        </w:rPr>
      </w:pPr>
    </w:p>
    <w:p>
      <w:pPr>
        <w:rPr>
          <w:rFonts w:hint="default" w:ascii="Times New Roman" w:hAnsi="Times New Roman" w:eastAsia="宋体" w:cs="Times New Roman"/>
          <w:caps w:val="0"/>
          <w:color w:val="auto"/>
          <w:sz w:val="44"/>
          <w:szCs w:val="44"/>
        </w:rPr>
      </w:pPr>
    </w:p>
    <w:p>
      <w:pPr>
        <w:rPr>
          <w:rFonts w:hint="default" w:ascii="Times New Roman" w:hAnsi="Times New Roman" w:eastAsia="宋体" w:cs="Times New Roman"/>
          <w:caps w:val="0"/>
          <w:color w:val="auto"/>
          <w:sz w:val="44"/>
          <w:szCs w:val="44"/>
        </w:rPr>
      </w:pPr>
    </w:p>
    <w:p>
      <w:pPr>
        <w:pStyle w:val="51"/>
        <w:tabs>
          <w:tab w:val="right" w:leader="dot" w:pos="8296"/>
        </w:tabs>
        <w:rPr>
          <w:rFonts w:hint="default" w:ascii="Times New Roman" w:hAnsi="Times New Roman" w:eastAsia="宋体" w:cs="Times New Roman"/>
          <w:caps w:val="0"/>
          <w:color w:val="auto"/>
          <w:sz w:val="44"/>
          <w:szCs w:val="44"/>
        </w:rPr>
      </w:pPr>
    </w:p>
    <w:p>
      <w:pPr>
        <w:spacing w:line="360" w:lineRule="auto"/>
        <w:jc w:val="center"/>
        <w:rPr>
          <w:rFonts w:hint="eastAsia" w:ascii="宋体" w:hAnsi="宋体"/>
          <w:b/>
          <w:color w:val="auto"/>
          <w:sz w:val="32"/>
          <w:szCs w:val="32"/>
        </w:rPr>
      </w:pPr>
      <w:r>
        <w:rPr>
          <w:rFonts w:hint="eastAsia" w:ascii="宋体" w:hAnsi="宋体"/>
          <w:b/>
          <w:color w:val="auto"/>
          <w:sz w:val="32"/>
          <w:szCs w:val="32"/>
        </w:rPr>
        <w:t>咸阳石油化工有限公司</w:t>
      </w:r>
    </w:p>
    <w:p>
      <w:pPr>
        <w:jc w:val="center"/>
        <w:rPr>
          <w:rFonts w:hint="default" w:ascii="Times New Roman" w:hAnsi="Times New Roman" w:eastAsia="宋体" w:cs="Times New Roman"/>
          <w:bCs/>
          <w:color w:val="auto"/>
          <w:sz w:val="30"/>
          <w:szCs w:val="30"/>
        </w:rPr>
      </w:pPr>
      <w:r>
        <w:rPr>
          <w:rFonts w:hint="eastAsia" w:ascii="宋体" w:hAnsi="宋体"/>
          <w:b/>
          <w:color w:val="auto"/>
          <w:sz w:val="32"/>
          <w:szCs w:val="32"/>
        </w:rPr>
        <w:t>二O</w:t>
      </w:r>
      <w:r>
        <w:rPr>
          <w:rFonts w:hint="eastAsia" w:ascii="宋体" w:hAnsi="宋体"/>
          <w:b/>
          <w:color w:val="auto"/>
          <w:sz w:val="32"/>
          <w:szCs w:val="32"/>
          <w:lang w:val="en-US" w:eastAsia="zh-CN"/>
        </w:rPr>
        <w:t>二一</w:t>
      </w:r>
      <w:r>
        <w:rPr>
          <w:rFonts w:hint="eastAsia" w:ascii="宋体" w:hAnsi="宋体"/>
          <w:b/>
          <w:color w:val="auto"/>
          <w:sz w:val="32"/>
          <w:szCs w:val="32"/>
        </w:rPr>
        <w:t>年</w:t>
      </w:r>
      <w:r>
        <w:rPr>
          <w:rFonts w:hint="eastAsia" w:ascii="宋体" w:hAnsi="宋体"/>
          <w:b/>
          <w:color w:val="auto"/>
          <w:sz w:val="32"/>
          <w:szCs w:val="32"/>
          <w:lang w:val="en-US" w:eastAsia="zh-CN"/>
        </w:rPr>
        <w:t>八</w:t>
      </w:r>
      <w:r>
        <w:rPr>
          <w:rFonts w:hint="eastAsia" w:ascii="宋体" w:hAnsi="宋体"/>
          <w:b/>
          <w:color w:val="auto"/>
          <w:sz w:val="32"/>
          <w:szCs w:val="32"/>
        </w:rPr>
        <w:t>月</w:t>
      </w:r>
    </w:p>
    <w:p>
      <w:pPr>
        <w:pStyle w:val="51"/>
        <w:tabs>
          <w:tab w:val="right" w:leader="dot" w:pos="8296"/>
        </w:tabs>
        <w:ind w:firstLine="295" w:firstLineChars="98"/>
        <w:jc w:val="both"/>
        <w:rPr>
          <w:rFonts w:hint="default" w:ascii="Times New Roman" w:hAnsi="Times New Roman" w:eastAsia="宋体" w:cs="Times New Roman"/>
          <w:caps w:val="0"/>
          <w:color w:val="auto"/>
          <w:sz w:val="30"/>
          <w:szCs w:val="30"/>
        </w:rPr>
      </w:pPr>
    </w:p>
    <w:p>
      <w:pPr>
        <w:rPr>
          <w:rFonts w:hint="default" w:ascii="Times New Roman" w:hAnsi="Times New Roman" w:eastAsia="宋体" w:cs="Times New Roman"/>
          <w:color w:val="auto"/>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bookmarkStart w:id="3" w:name="_Toc426376466"/>
      <w:bookmarkStart w:id="4" w:name="_Toc523580088"/>
      <w:bookmarkStart w:id="5" w:name="_Toc23971"/>
    </w:p>
    <w:sdt>
      <w:sdtPr>
        <w:rPr>
          <w:rFonts w:ascii="宋体" w:hAnsi="宋体" w:eastAsia="宋体" w:cs="Times New Roman"/>
          <w:color w:val="auto"/>
          <w:kern w:val="2"/>
          <w:sz w:val="21"/>
          <w:szCs w:val="24"/>
          <w:lang w:val="en-US" w:eastAsia="zh-CN" w:bidi="ar-SA"/>
        </w:rPr>
        <w:id w:val="147458559"/>
        <w15:color w:val="DBDBDB"/>
        <w:docPartObj>
          <w:docPartGallery w:val="Table of Contents"/>
          <w:docPartUnique/>
        </w:docPartObj>
      </w:sdtPr>
      <w:sdtEndPr>
        <w:rPr>
          <w:rFonts w:ascii="宋体" w:hAnsi="宋体" w:eastAsia="宋体" w:cs="Times New Roman"/>
          <w:color w:val="auto"/>
          <w:kern w:val="2"/>
          <w:sz w:val="21"/>
          <w:szCs w:val="24"/>
          <w:lang w:val="en-US" w:eastAsia="zh-CN" w:bidi="ar-SA"/>
        </w:rPr>
      </w:sdtEndPr>
      <w:sdtContent>
        <w:p>
          <w:pPr>
            <w:spacing w:before="0" w:beforeLines="0" w:after="0" w:afterLines="0" w:line="240" w:lineRule="auto"/>
            <w:ind w:left="0" w:leftChars="0" w:right="0" w:rightChars="0" w:firstLine="0" w:firstLineChars="0"/>
            <w:jc w:val="center"/>
            <w:rPr>
              <w:b/>
              <w:bCs/>
              <w:color w:val="auto"/>
              <w:sz w:val="32"/>
              <w:szCs w:val="32"/>
            </w:rPr>
          </w:pPr>
          <w:r>
            <w:rPr>
              <w:rFonts w:ascii="宋体" w:hAnsi="宋体" w:eastAsia="宋体"/>
              <w:b/>
              <w:bCs/>
              <w:color w:val="auto"/>
              <w:sz w:val="32"/>
              <w:szCs w:val="32"/>
            </w:rPr>
            <w:t>目录</w:t>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color w:val="auto"/>
            </w:rPr>
            <w:fldChar w:fldCharType="begin"/>
          </w:r>
          <w:r>
            <w:rPr>
              <w:color w:val="auto"/>
            </w:rPr>
            <w:instrText xml:space="preserve">TOC \o "1-1" \h \u </w:instrText>
          </w:r>
          <w:r>
            <w:rPr>
              <w:color w:val="auto"/>
            </w:rPr>
            <w:fldChar w:fldCharType="separate"/>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_Toc5076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1前言</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_Toc5076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1</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_Toc27513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2总则</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_Toc27513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_Toc31580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2.1编制原则</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_Toc31580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_Toc8938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2.2编制依据</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_Toc8938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_Toc5006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3资料准备与环境风险识别</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_Toc5006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_Toc1260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3.1企业基本信息</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_Toc1260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_Toc15203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3.2周边环境风险受体情况</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_Toc15203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11</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_Toc15097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3.3涉及环境风险物质情况</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_Toc15097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11</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_Toc19248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3.4生产工艺过程</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_Toc19248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27</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_Toc17875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3.5大气环境风险控制水平（M）评估</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_Toc17875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34</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_Toc2948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3.6生产工艺过程与水环境风险控制水平（M）评估</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_Toc2948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37</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_Toc13139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3.7企业突发环境事件风险等级确定与调整</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_Toc13139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44</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_Toc17462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3.8现有应急资源情况</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_Toc17462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44</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_Toc24524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4突发环境事件及其后果分析</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_Toc24524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49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_Toc11452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4.1可能发生的突发环境事件及其后果情景分析</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_Toc11452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49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_Toc1930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4.2突发环境事件情景源强分析</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_Toc1930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49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_Toc4146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4.3释放环境风险物质的扩散途径</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_Toc4146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58</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_Toc20784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4.4突发环境事件危害后果分析</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_Toc20784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59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_Toc13166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5现有环境风险防控和应急措施差距分析</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_Toc13166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67</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_Toc13615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6完善环境安全隐患排查治理相关文件</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_Toc13615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68</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_Toc23532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7相关结论与对策建议</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_Toc23532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_Toc8807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7.1突发环境事件风险等级</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_Toc8807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_Toc8915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7.2突发环境事件事故情景</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_Toc8915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_Toc23075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7.3提出突发环境事件应急管理方面相关建议</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_Toc23075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69</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_Toc11757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7.4提出环境风险防控与应急措施方面相关建议</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_Toc11757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70</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ind w:firstLine="422"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_Toc6930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7.5提出环境应急资源方面相关建议</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_Toc6930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70</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_Toc22793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附件1MSDS数据表</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_Toc22793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71</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pStyle w:val="576"/>
            <w:tabs>
              <w:tab w:val="right" w:leader="dot" w:pos="8312"/>
            </w:tabs>
            <w:spacing w:line="360" w:lineRule="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HYPERLINK \l _Toc4638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kern w:val="0"/>
              <w:sz w:val="21"/>
              <w:szCs w:val="21"/>
            </w:rPr>
            <w:t>附件</w:t>
          </w:r>
          <w:r>
            <w:rPr>
              <w:rFonts w:hint="default" w:ascii="Times New Roman" w:hAnsi="Times New Roman" w:eastAsia="宋体" w:cs="Times New Roman"/>
              <w:b/>
              <w:bCs/>
              <w:color w:val="auto"/>
              <w:sz w:val="21"/>
              <w:szCs w:val="21"/>
            </w:rPr>
            <w:t>2</w:t>
          </w:r>
          <w:r>
            <w:rPr>
              <w:rFonts w:hint="default" w:ascii="Times New Roman" w:hAnsi="Times New Roman" w:eastAsia="宋体" w:cs="Times New Roman"/>
              <w:b/>
              <w:bCs/>
              <w:color w:val="auto"/>
              <w:kern w:val="0"/>
              <w:sz w:val="21"/>
              <w:szCs w:val="21"/>
            </w:rPr>
            <w:t>附表</w:t>
          </w:r>
          <w:r>
            <w:rPr>
              <w:rFonts w:hint="default" w:ascii="Times New Roman" w:hAnsi="Times New Roman" w:eastAsia="宋体" w:cs="Times New Roman"/>
              <w:b/>
              <w:bCs/>
              <w:color w:val="auto"/>
              <w:sz w:val="21"/>
              <w:szCs w:val="21"/>
            </w:rPr>
            <w:tab/>
          </w:r>
          <w:r>
            <w:rPr>
              <w:rFonts w:hint="default" w:ascii="Times New Roman" w:hAnsi="Times New Roman" w:eastAsia="宋体" w:cs="Times New Roman"/>
              <w:b/>
              <w:bCs/>
              <w:color w:val="auto"/>
              <w:sz w:val="21"/>
              <w:szCs w:val="21"/>
            </w:rPr>
            <w:fldChar w:fldCharType="begin"/>
          </w:r>
          <w:r>
            <w:rPr>
              <w:rFonts w:hint="default" w:ascii="Times New Roman" w:hAnsi="Times New Roman" w:eastAsia="宋体" w:cs="Times New Roman"/>
              <w:b/>
              <w:bCs/>
              <w:color w:val="auto"/>
              <w:sz w:val="21"/>
              <w:szCs w:val="21"/>
            </w:rPr>
            <w:instrText xml:space="preserve"> PAGEREF _Toc4638 \h </w:instrText>
          </w:r>
          <w:r>
            <w:rPr>
              <w:rFonts w:hint="default" w:ascii="Times New Roman" w:hAnsi="Times New Roman" w:eastAsia="宋体" w:cs="Times New Roman"/>
              <w:b/>
              <w:bCs/>
              <w:color w:val="auto"/>
              <w:sz w:val="21"/>
              <w:szCs w:val="21"/>
            </w:rPr>
            <w:fldChar w:fldCharType="separate"/>
          </w:r>
          <w:r>
            <w:rPr>
              <w:rFonts w:hint="default" w:ascii="Times New Roman" w:hAnsi="Times New Roman" w:eastAsia="宋体" w:cs="Times New Roman"/>
              <w:b/>
              <w:bCs/>
              <w:color w:val="auto"/>
              <w:sz w:val="21"/>
              <w:szCs w:val="21"/>
            </w:rPr>
            <w:t>82</w:t>
          </w:r>
          <w:r>
            <w:rPr>
              <w:rFonts w:hint="default" w:ascii="Times New Roman" w:hAnsi="Times New Roman" w:eastAsia="宋体" w:cs="Times New Roman"/>
              <w:b/>
              <w:bCs/>
              <w:color w:val="auto"/>
              <w:sz w:val="21"/>
              <w:szCs w:val="21"/>
            </w:rPr>
            <w:fldChar w:fldCharType="end"/>
          </w:r>
          <w:r>
            <w:rPr>
              <w:rFonts w:hint="default" w:ascii="Times New Roman" w:hAnsi="Times New Roman" w:eastAsia="宋体" w:cs="Times New Roman"/>
              <w:b/>
              <w:bCs/>
              <w:color w:val="auto"/>
              <w:sz w:val="21"/>
              <w:szCs w:val="21"/>
            </w:rPr>
            <w:fldChar w:fldCharType="end"/>
          </w:r>
        </w:p>
        <w:p>
          <w:pPr>
            <w:rPr>
              <w:color w:val="auto"/>
            </w:rPr>
          </w:pPr>
          <w:r>
            <w:rPr>
              <w:color w:val="auto"/>
            </w:rPr>
            <w:fldChar w:fldCharType="end"/>
          </w:r>
        </w:p>
      </w:sdtContent>
    </w:sdt>
    <w:p>
      <w:pPr>
        <w:spacing w:before="240" w:beforeLines="100" w:after="240" w:afterLines="100" w:line="360" w:lineRule="auto"/>
        <w:jc w:val="center"/>
        <w:outlineLvl w:val="0"/>
        <w:rPr>
          <w:rFonts w:hint="default" w:ascii="Times New Roman" w:hAnsi="Times New Roman" w:eastAsia="宋体" w:cs="Times New Roman"/>
          <w:b/>
          <w:bCs/>
          <w:color w:val="auto"/>
          <w:sz w:val="30"/>
          <w:szCs w:val="30"/>
        </w:rPr>
        <w:sectPr>
          <w:headerReference r:id="rId3" w:type="default"/>
          <w:pgSz w:w="11906" w:h="16838"/>
          <w:pgMar w:top="1440" w:right="1797" w:bottom="1440" w:left="1797" w:header="851" w:footer="992" w:gutter="0"/>
          <w:pgNumType w:fmt="decimal" w:start="1"/>
          <w:cols w:space="720" w:num="1"/>
          <w:docGrid w:linePitch="312" w:charSpace="0"/>
        </w:sectPr>
      </w:pPr>
      <w:bookmarkStart w:id="6" w:name="_Toc5076"/>
    </w:p>
    <w:p>
      <w:pPr>
        <w:spacing w:before="240" w:beforeLines="100" w:after="240" w:afterLines="100" w:line="360" w:lineRule="auto"/>
        <w:jc w:val="center"/>
        <w:outlineLvl w:val="0"/>
        <w:rPr>
          <w:rFonts w:hint="default" w:ascii="Times New Roman" w:hAnsi="Times New Roman" w:eastAsia="宋体" w:cs="Times New Roman"/>
          <w:b/>
          <w:bCs/>
          <w:color w:val="auto"/>
          <w:sz w:val="30"/>
          <w:szCs w:val="30"/>
        </w:rPr>
      </w:pPr>
      <w:r>
        <w:rPr>
          <w:rFonts w:hint="default" w:ascii="Times New Roman" w:hAnsi="Times New Roman" w:eastAsia="宋体" w:cs="Times New Roman"/>
          <w:b/>
          <w:bCs/>
          <w:color w:val="auto"/>
          <w:sz w:val="30"/>
          <w:szCs w:val="30"/>
        </w:rPr>
        <w:t>1前言</w:t>
      </w:r>
      <w:bookmarkEnd w:id="3"/>
      <w:bookmarkEnd w:id="4"/>
      <w:bookmarkEnd w:id="6"/>
    </w:p>
    <w:p>
      <w:pPr>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咸阳石油化工有限公司是由咸阳科技产业投资有限公司出资组建的有限责任公司，位于陕西省西咸新区秦汉新城</w:t>
      </w:r>
      <w:r>
        <w:rPr>
          <w:rFonts w:hint="default" w:ascii="Times New Roman" w:hAnsi="Times New Roman" w:eastAsia="宋体" w:cs="Times New Roman"/>
          <w:color w:val="auto"/>
          <w:sz w:val="24"/>
          <w:szCs w:val="24"/>
          <w:lang w:val="zh-CN"/>
        </w:rPr>
        <w:t>金旭大道1号</w:t>
      </w:r>
      <w:r>
        <w:rPr>
          <w:rFonts w:hint="default" w:ascii="Times New Roman" w:hAnsi="Times New Roman" w:eastAsia="宋体" w:cs="Times New Roman"/>
          <w:color w:val="auto"/>
          <w:sz w:val="24"/>
          <w:szCs w:val="24"/>
        </w:rPr>
        <w:t>。公司成立于2005年9月21日，是一家新型石油替代能源和高品质汽油添加剂节能环保循环经济生产企业。公司现有四套生产装置，分别为10万吨/年甲醇装置、5万吨/年MTBE装置、20万吨/年技术改造生产烷基化项目及30万吨/年轻汽油醚化装置及罐区配套设施项目。</w:t>
      </w:r>
    </w:p>
    <w:p>
      <w:pPr>
        <w:spacing w:line="360" w:lineRule="auto"/>
        <w:ind w:firstLine="480" w:firstLineChars="200"/>
        <w:jc w:val="left"/>
        <w:rPr>
          <w:rFonts w:hint="default" w:ascii="Times New Roman" w:hAnsi="Times New Roman" w:eastAsia="宋体" w:cs="Times New Roman"/>
          <w:color w:val="auto"/>
          <w:sz w:val="24"/>
          <w:szCs w:val="24"/>
        </w:rPr>
      </w:pPr>
      <w:bookmarkStart w:id="7" w:name="_Toc426376467"/>
      <w:bookmarkStart w:id="8" w:name="_Toc426376708"/>
      <w:bookmarkStart w:id="9" w:name="_Toc427166838"/>
      <w:r>
        <w:rPr>
          <w:rFonts w:hint="default" w:ascii="Times New Roman" w:hAnsi="Times New Roman" w:eastAsia="宋体" w:cs="Times New Roman"/>
          <w:color w:val="auto"/>
          <w:sz w:val="24"/>
          <w:szCs w:val="24"/>
        </w:rPr>
        <w:t>公司主要环境风险物质为甲醇、MTBE（甲基叔丁基醚）、轻汽油、醚化汽油、液化石油气、浓H2SO4等。可能发生的突发环境事件最坏情景：（1）液化石油发生火灾、爆炸事故，事故为不完全燃烧，产生的主要污染物为一氧化碳，有风D稳定度条件下，事故发生后CO最大落地浓度为1918.68m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，最大落地浓度距离为距离储罐25m处，CO最大落地浓度低于其半致死浓度；一氧化碳半致死浓度为2069mg/m</w:t>
      </w:r>
      <w:r>
        <w:rPr>
          <w:rFonts w:hint="default" w:ascii="Times New Roman" w:hAnsi="Times New Roman" w:eastAsia="宋体" w:cs="Times New Roman"/>
          <w:color w:val="auto"/>
          <w:sz w:val="24"/>
          <w:szCs w:val="24"/>
          <w:vertAlign w:val="superscript"/>
        </w:rPr>
        <w:t>3</w:t>
      </w:r>
      <w:r>
        <w:rPr>
          <w:rFonts w:hint="default" w:ascii="Times New Roman" w:hAnsi="Times New Roman" w:eastAsia="宋体" w:cs="Times New Roman"/>
          <w:color w:val="auto"/>
          <w:sz w:val="24"/>
          <w:szCs w:val="24"/>
        </w:rPr>
        <w:t>，无超过半致死浓度范围，另外，在爆炸发生的时间内，液化石油压力球罐周围约240m的人可能会有严重头痛、眩晕的反应；（2）甲醇储罐发生泄漏及火灾爆炸事故，有风时罐区下风向600m范围内超标，2.5m/s风速时罐区下风向最大超标距离可达650m。静风条件下距离300m范围内有超标现象</w:t>
      </w:r>
      <w:r>
        <w:rPr>
          <w:rFonts w:hint="eastAsia" w:cs="Times New Roman"/>
          <w:color w:val="auto"/>
          <w:sz w:val="24"/>
          <w:szCs w:val="24"/>
          <w:lang w:eastAsia="zh-CN"/>
        </w:rPr>
        <w:t>，</w:t>
      </w:r>
      <w:r>
        <w:rPr>
          <w:rFonts w:hint="default" w:ascii="Times New Roman" w:hAnsi="Times New Roman" w:eastAsia="宋体" w:cs="Times New Roman"/>
          <w:color w:val="auto"/>
          <w:sz w:val="24"/>
          <w:szCs w:val="24"/>
        </w:rPr>
        <w:t>静风时对人体有影响的距离为300m，静风条件下将短期影响厂区，有风时可能对厂外环境也有一定程度的影响；（3）醚化汽油储罐火灾，距储罐区池火中心39.3m的范围内操作设备全部损坏及人员伤亡；（4）MTBE装置催化蒸馏塔发生爆炸，</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1 \* GB3</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①</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蒸汽云的TNT当量为147903kg；</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2 \* GB3</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②</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死亡半径：86.4m；</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3 \* GB3</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③</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重伤半径：208.9m；</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4 \* GB3</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④</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轻伤半径：374.7m；</w:t>
      </w:r>
      <w:r>
        <w:rPr>
          <w:rFonts w:hint="default" w:ascii="Times New Roman" w:hAnsi="Times New Roman" w:eastAsia="宋体" w:cs="Times New Roman"/>
          <w:color w:val="auto"/>
          <w:sz w:val="24"/>
          <w:szCs w:val="24"/>
        </w:rPr>
        <w:fldChar w:fldCharType="begin"/>
      </w:r>
      <w:r>
        <w:rPr>
          <w:rFonts w:hint="default" w:ascii="Times New Roman" w:hAnsi="Times New Roman" w:eastAsia="宋体" w:cs="Times New Roman"/>
          <w:color w:val="auto"/>
          <w:sz w:val="24"/>
          <w:szCs w:val="24"/>
        </w:rPr>
        <w:instrText xml:space="preserve">= 5 \* GB3</w:instrText>
      </w:r>
      <w:r>
        <w:rPr>
          <w:rFonts w:hint="default" w:ascii="Times New Roman" w:hAnsi="Times New Roman" w:eastAsia="宋体" w:cs="Times New Roman"/>
          <w:color w:val="auto"/>
          <w:sz w:val="24"/>
          <w:szCs w:val="24"/>
        </w:rPr>
        <w:fldChar w:fldCharType="separate"/>
      </w:r>
      <w:r>
        <w:rPr>
          <w:rFonts w:hint="default" w:ascii="Times New Roman" w:hAnsi="Times New Roman" w:eastAsia="宋体" w:cs="Times New Roman"/>
          <w:color w:val="auto"/>
          <w:sz w:val="24"/>
          <w:szCs w:val="24"/>
        </w:rPr>
        <w:t>⑤</w:t>
      </w:r>
      <w:r>
        <w:rPr>
          <w:rFonts w:hint="default" w:ascii="Times New Roman" w:hAnsi="Times New Roman" w:eastAsia="宋体" w:cs="Times New Roman"/>
          <w:color w:val="auto"/>
          <w:sz w:val="24"/>
          <w:szCs w:val="24"/>
        </w:rPr>
        <w:fldChar w:fldCharType="end"/>
      </w:r>
      <w:r>
        <w:rPr>
          <w:rFonts w:hint="default" w:ascii="Times New Roman" w:hAnsi="Times New Roman" w:eastAsia="宋体" w:cs="Times New Roman"/>
          <w:color w:val="auto"/>
          <w:sz w:val="24"/>
          <w:szCs w:val="24"/>
        </w:rPr>
        <w:t>财产损失半径：243.2m。由预测结果可见，MTBE储罐爆炸事故不会对外界环境造成太大影响。（5）罐区及生产装置区甲醇、MTBE、轻汽油、醚化汽油、浓H</w:t>
      </w:r>
      <w:r>
        <w:rPr>
          <w:rFonts w:hint="default" w:ascii="Times New Roman" w:hAnsi="Times New Roman" w:eastAsia="宋体" w:cs="Times New Roman"/>
          <w:color w:val="auto"/>
          <w:sz w:val="24"/>
          <w:szCs w:val="24"/>
          <w:vertAlign w:val="subscript"/>
        </w:rPr>
        <w:t>2</w:t>
      </w:r>
      <w:r>
        <w:rPr>
          <w:rFonts w:hint="default" w:ascii="Times New Roman" w:hAnsi="Times New Roman" w:eastAsia="宋体" w:cs="Times New Roman"/>
          <w:color w:val="auto"/>
          <w:sz w:val="24"/>
          <w:szCs w:val="24"/>
        </w:rPr>
        <w:t>SO</w:t>
      </w:r>
      <w:r>
        <w:rPr>
          <w:rFonts w:hint="default" w:ascii="Times New Roman" w:hAnsi="Times New Roman" w:eastAsia="宋体" w:cs="Times New Roman"/>
          <w:color w:val="auto"/>
          <w:sz w:val="24"/>
          <w:szCs w:val="24"/>
          <w:vertAlign w:val="subscript"/>
        </w:rPr>
        <w:t>4</w:t>
      </w:r>
      <w:r>
        <w:rPr>
          <w:rFonts w:hint="default" w:ascii="Times New Roman" w:hAnsi="Times New Roman" w:eastAsia="宋体" w:cs="Times New Roman"/>
          <w:color w:val="auto"/>
          <w:sz w:val="24"/>
          <w:szCs w:val="24"/>
        </w:rPr>
        <w:t>等发生大量泄漏，若遇到特大暴雨等各种自然灾害、极端天气或不利气象条件，公司雨水排放口不能及时关闭，雨水排放口距渭河1km，事故排水等通过雨水管网流至渭河，污染渭河水质、流经地区的植被和土壤等。</w:t>
      </w:r>
    </w:p>
    <w:p>
      <w:pPr>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为严格落实企业环境安全主体责任，摸清环境风险底数及风险状况，预防、遏制并妥善应对突发环境事件，咸阳石油化工有限公司结合自身实际，按照“识别全面、真实反映、重点突出、操作性强、通俗易懂”的原则，依据《企业突发环境事件风险评估指南（试行）》（环办[2014]34号）、《企业突发环境事件风险分级方法》（HJ941-2018）的相关规定，开展环境风险评估工作。</w:t>
      </w:r>
      <w:bookmarkEnd w:id="1"/>
      <w:bookmarkEnd w:id="2"/>
      <w:bookmarkEnd w:id="5"/>
      <w:bookmarkEnd w:id="7"/>
      <w:bookmarkEnd w:id="8"/>
      <w:bookmarkEnd w:id="9"/>
      <w:bookmarkStart w:id="10" w:name="_Toc479020526"/>
      <w:bookmarkEnd w:id="10"/>
      <w:bookmarkStart w:id="11" w:name="_Toc426376945"/>
      <w:bookmarkEnd w:id="11"/>
      <w:bookmarkStart w:id="12" w:name="_Toc457916315"/>
      <w:bookmarkEnd w:id="12"/>
      <w:bookmarkStart w:id="13" w:name="_Toc427167170"/>
      <w:bookmarkEnd w:id="13"/>
      <w:bookmarkStart w:id="14" w:name="_Toc441338821"/>
      <w:bookmarkEnd w:id="14"/>
      <w:bookmarkStart w:id="15" w:name="_Toc479020222"/>
      <w:bookmarkEnd w:id="15"/>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bookmarkStart w:id="16" w:name="_Toc523580089"/>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pStyle w:val="2"/>
        <w:rPr>
          <w:rFonts w:hint="default"/>
        </w:rPr>
      </w:pPr>
    </w:p>
    <w:p>
      <w:pPr>
        <w:spacing w:before="240" w:beforeLines="100" w:after="240" w:afterLines="100" w:line="360" w:lineRule="auto"/>
        <w:jc w:val="center"/>
        <w:outlineLvl w:val="0"/>
        <w:rPr>
          <w:rFonts w:hint="default" w:ascii="Times New Roman" w:hAnsi="Times New Roman" w:eastAsia="宋体" w:cs="Times New Roman"/>
          <w:b/>
          <w:bCs/>
          <w:color w:val="auto"/>
          <w:sz w:val="30"/>
          <w:szCs w:val="30"/>
        </w:rPr>
      </w:pPr>
      <w:bookmarkStart w:id="17" w:name="_Toc27513"/>
      <w:r>
        <w:rPr>
          <w:rFonts w:hint="default" w:ascii="Times New Roman" w:hAnsi="Times New Roman" w:eastAsia="宋体" w:cs="Times New Roman"/>
          <w:b/>
          <w:bCs/>
          <w:color w:val="auto"/>
          <w:sz w:val="30"/>
          <w:szCs w:val="30"/>
        </w:rPr>
        <w:t>2总则</w:t>
      </w:r>
      <w:bookmarkEnd w:id="16"/>
      <w:bookmarkEnd w:id="17"/>
    </w:p>
    <w:p>
      <w:pPr>
        <w:pStyle w:val="2"/>
        <w:spacing w:before="120" w:beforeLines="50" w:after="120" w:afterLines="50" w:line="360" w:lineRule="auto"/>
        <w:jc w:val="left"/>
        <w:outlineLvl w:val="0"/>
        <w:rPr>
          <w:rFonts w:hint="default" w:ascii="Times New Roman" w:hAnsi="Times New Roman" w:eastAsia="宋体" w:cs="Times New Roman"/>
          <w:color w:val="auto"/>
          <w:sz w:val="28"/>
          <w:szCs w:val="28"/>
        </w:rPr>
      </w:pPr>
      <w:bookmarkStart w:id="18" w:name="_Toc12732"/>
      <w:bookmarkStart w:id="19" w:name="_Toc23392"/>
      <w:bookmarkStart w:id="20" w:name="_Toc2345"/>
      <w:bookmarkStart w:id="21" w:name="_Toc523580090"/>
      <w:bookmarkStart w:id="22" w:name="_Toc31580"/>
      <w:r>
        <w:rPr>
          <w:rFonts w:hint="default" w:ascii="Times New Roman" w:hAnsi="Times New Roman" w:eastAsia="宋体" w:cs="Times New Roman"/>
          <w:color w:val="auto"/>
          <w:sz w:val="28"/>
          <w:szCs w:val="28"/>
        </w:rPr>
        <w:t>2.1编制</w:t>
      </w:r>
      <w:bookmarkEnd w:id="18"/>
      <w:bookmarkEnd w:id="19"/>
      <w:bookmarkEnd w:id="20"/>
      <w:r>
        <w:rPr>
          <w:rFonts w:hint="default" w:ascii="Times New Roman" w:hAnsi="Times New Roman" w:eastAsia="宋体" w:cs="Times New Roman"/>
          <w:color w:val="auto"/>
          <w:sz w:val="28"/>
          <w:szCs w:val="28"/>
        </w:rPr>
        <w:t>原则</w:t>
      </w:r>
      <w:bookmarkEnd w:id="21"/>
      <w:bookmarkEnd w:id="22"/>
    </w:p>
    <w:p>
      <w:pPr>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按照</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以人为本</w:t>
      </w:r>
      <w:r>
        <w:rPr>
          <w:rFonts w:hint="eastAsia" w:ascii="Times New Roman" w:hAnsi="Times New Roman" w:eastAsia="宋体" w:cs="Times New Roman"/>
          <w:color w:val="auto"/>
          <w:sz w:val="24"/>
          <w:szCs w:val="24"/>
          <w:lang w:eastAsia="zh-CN"/>
        </w:rPr>
        <w:t>”</w:t>
      </w:r>
      <w:r>
        <w:rPr>
          <w:rFonts w:hint="default" w:ascii="Times New Roman" w:hAnsi="Times New Roman" w:eastAsia="宋体" w:cs="Times New Roman"/>
          <w:color w:val="auto"/>
          <w:sz w:val="24"/>
          <w:szCs w:val="24"/>
        </w:rPr>
        <w:t>的宗旨，合理保障人民群众的身体健康和环境安全，严格规范企业突发环境事件风险评估行为，提高突发环境事件防控能力，全面落实企业环境风险防控主体，并遵循以下原则开展环境风险评估工作：</w:t>
      </w:r>
    </w:p>
    <w:p>
      <w:pPr>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（1）环境风险评估工作应体现科学性、规范性、客观性和真实性的原则；</w:t>
      </w:r>
    </w:p>
    <w:p>
      <w:pPr>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（2）环境风险评估过程应贯彻执行我国环保相关的法律法规、标准、政策分析企业自身环境风险状况，明确环境风险防控措施。</w:t>
      </w:r>
    </w:p>
    <w:p>
      <w:pPr>
        <w:pStyle w:val="2"/>
        <w:spacing w:before="120" w:beforeLines="50" w:after="120" w:afterLines="50" w:line="360" w:lineRule="auto"/>
        <w:jc w:val="left"/>
        <w:outlineLvl w:val="0"/>
        <w:rPr>
          <w:rFonts w:hint="default" w:ascii="Times New Roman" w:hAnsi="Times New Roman" w:eastAsia="宋体" w:cs="Times New Roman"/>
          <w:color w:val="auto"/>
          <w:sz w:val="28"/>
          <w:szCs w:val="28"/>
        </w:rPr>
      </w:pPr>
      <w:bookmarkStart w:id="23" w:name="_Toc523580091"/>
      <w:bookmarkStart w:id="24" w:name="_Toc8938"/>
      <w:bookmarkStart w:id="25" w:name="_Toc18871"/>
      <w:bookmarkStart w:id="26" w:name="_Toc28809"/>
      <w:bookmarkStart w:id="27" w:name="_Toc2376"/>
      <w:r>
        <w:rPr>
          <w:rFonts w:hint="default" w:ascii="Times New Roman" w:hAnsi="Times New Roman" w:eastAsia="宋体" w:cs="Times New Roman"/>
          <w:color w:val="auto"/>
          <w:sz w:val="28"/>
          <w:szCs w:val="28"/>
        </w:rPr>
        <w:t>2.2编制依据</w:t>
      </w:r>
      <w:bookmarkEnd w:id="23"/>
      <w:bookmarkEnd w:id="24"/>
      <w:bookmarkEnd w:id="25"/>
      <w:bookmarkEnd w:id="26"/>
      <w:bookmarkEnd w:id="27"/>
    </w:p>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bookmarkStart w:id="28" w:name="_Toc427166847"/>
      <w:bookmarkStart w:id="29" w:name="_Toc393355348"/>
      <w:r>
        <w:rPr>
          <w:rFonts w:hint="default" w:ascii="Times New Roman" w:hAnsi="Times New Roman" w:eastAsia="宋体" w:cs="Times New Roman"/>
          <w:b/>
          <w:color w:val="auto"/>
          <w:sz w:val="24"/>
          <w:szCs w:val="24"/>
        </w:rPr>
        <w:t>2.2.1法律、法规</w:t>
      </w:r>
      <w:bookmarkEnd w:id="28"/>
      <w:bookmarkEnd w:id="29"/>
    </w:p>
    <w:p>
      <w:pPr>
        <w:widowControl/>
        <w:spacing w:line="360" w:lineRule="auto"/>
        <w:ind w:firstLine="480" w:firstLineChars="200"/>
        <w:jc w:val="left"/>
        <w:rPr>
          <w:rFonts w:hint="default" w:ascii="Times New Roman" w:hAnsi="Times New Roman" w:eastAsia="宋体" w:cs="Times New Roman"/>
          <w:color w:val="auto"/>
          <w:sz w:val="24"/>
        </w:rPr>
      </w:pPr>
      <w:bookmarkStart w:id="30" w:name="_Toc427166850"/>
      <w:r>
        <w:rPr>
          <w:rFonts w:hint="default" w:ascii="Times New Roman" w:hAnsi="Times New Roman" w:eastAsia="宋体" w:cs="Times New Roman"/>
          <w:color w:val="auto"/>
          <w:sz w:val="24"/>
        </w:rPr>
        <w:t>（1）《中华人民共和国环境保护法》（主席令第9号），2015年1月1日实施；</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（2）《中华人民共和国突发事件应对法》（主席令第69号），2007年11月1日实施；</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（3）《中华人民共和国安全生产法》（主席令第13号），2014年12月1日实施；</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（4）《中华人民共和国消防法》（主席令第6号），2009年5月1日实施；</w:t>
      </w:r>
    </w:p>
    <w:p>
      <w:pPr>
        <w:pStyle w:val="280"/>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rPr>
        <w:t>（5）</w:t>
      </w:r>
      <w:r>
        <w:rPr>
          <w:rFonts w:hint="default" w:ascii="Times New Roman" w:hAnsi="Times New Roman" w:eastAsia="宋体" w:cs="Times New Roman"/>
          <w:color w:val="auto"/>
          <w:sz w:val="24"/>
          <w:szCs w:val="24"/>
        </w:rPr>
        <w:t>《中华人民共和国大气污染防治法》（主席令第31号），2016年1月1日实施；</w:t>
      </w:r>
    </w:p>
    <w:p>
      <w:pPr>
        <w:pStyle w:val="280"/>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（6）《中华人民共和国水污染防治法》（主席令第87号），20</w:t>
      </w:r>
      <w:r>
        <w:rPr>
          <w:rFonts w:hint="eastAsia" w:ascii="Times New Roman" w:hAnsi="Times New Roman" w:eastAsia="宋体" w:cs="Times New Roman"/>
          <w:color w:val="auto"/>
          <w:sz w:val="24"/>
          <w:szCs w:val="24"/>
          <w:lang w:val="en-US" w:eastAsia="zh-CN"/>
        </w:rPr>
        <w:t>18</w:t>
      </w:r>
      <w:r>
        <w:rPr>
          <w:rFonts w:hint="default"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月1日实施；</w:t>
      </w:r>
    </w:p>
    <w:p>
      <w:pPr>
        <w:pStyle w:val="280"/>
        <w:spacing w:line="360" w:lineRule="auto"/>
        <w:ind w:firstLine="480" w:firstLineChars="200"/>
        <w:jc w:val="left"/>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（7）《中华人民共和国固体废物污染环境防治法》，20</w:t>
      </w:r>
      <w:r>
        <w:rPr>
          <w:rFonts w:hint="eastAsia" w:ascii="Times New Roman" w:hAnsi="Times New Roman" w:eastAsia="宋体" w:cs="Times New Roman"/>
          <w:color w:val="auto"/>
          <w:sz w:val="24"/>
          <w:szCs w:val="24"/>
          <w:lang w:val="en-US" w:eastAsia="zh-CN"/>
        </w:rPr>
        <w:t>20</w:t>
      </w:r>
      <w:r>
        <w:rPr>
          <w:rFonts w:hint="default" w:ascii="Times New Roman" w:hAnsi="Times New Roman" w:eastAsia="宋体" w:cs="Times New Roman"/>
          <w:color w:val="auto"/>
          <w:sz w:val="24"/>
          <w:szCs w:val="24"/>
        </w:rPr>
        <w:t>年</w:t>
      </w:r>
      <w:r>
        <w:rPr>
          <w:rFonts w:hint="eastAsia" w:ascii="Times New Roman" w:hAnsi="Times New Roman" w:eastAsia="宋体" w:cs="Times New Roman"/>
          <w:color w:val="auto"/>
          <w:sz w:val="24"/>
          <w:szCs w:val="24"/>
          <w:lang w:val="en-US" w:eastAsia="zh-CN"/>
        </w:rPr>
        <w:t>9</w:t>
      </w:r>
      <w:r>
        <w:rPr>
          <w:rFonts w:hint="default" w:ascii="Times New Roman" w:hAnsi="Times New Roman" w:eastAsia="宋体" w:cs="Times New Roman"/>
          <w:color w:val="auto"/>
          <w:sz w:val="24"/>
          <w:szCs w:val="24"/>
        </w:rPr>
        <w:t>月</w:t>
      </w:r>
      <w:r>
        <w:rPr>
          <w:rFonts w:hint="eastAsia" w:ascii="Times New Roman" w:hAnsi="Times New Roman" w:eastAsia="宋体" w:cs="Times New Roman"/>
          <w:color w:val="auto"/>
          <w:sz w:val="24"/>
          <w:szCs w:val="24"/>
          <w:lang w:val="en-US" w:eastAsia="zh-CN"/>
        </w:rPr>
        <w:t>1</w:t>
      </w:r>
      <w:r>
        <w:rPr>
          <w:rFonts w:hint="default" w:ascii="Times New Roman" w:hAnsi="Times New Roman" w:eastAsia="宋体" w:cs="Times New Roman"/>
          <w:color w:val="auto"/>
          <w:sz w:val="24"/>
          <w:szCs w:val="24"/>
        </w:rPr>
        <w:t>日实施；</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（8）《突发事件应急预案管理办法》（国办发〔2013〕101号）；</w:t>
      </w:r>
    </w:p>
    <w:p>
      <w:pPr>
        <w:widowControl/>
        <w:spacing w:line="360" w:lineRule="auto"/>
        <w:ind w:firstLine="480" w:firstLineChars="200"/>
        <w:jc w:val="left"/>
        <w:rPr>
          <w:rFonts w:hint="default" w:ascii="Times New Roman" w:hAnsi="Times New Roman" w:eastAsia="宋体" w:cs="Times New Roman"/>
          <w:color w:val="auto"/>
          <w:kern w:val="0"/>
          <w:sz w:val="24"/>
          <w:lang w:val="en-US" w:eastAsia="zh-CN"/>
        </w:rPr>
      </w:pPr>
      <w:r>
        <w:rPr>
          <w:rFonts w:hint="default" w:ascii="Times New Roman" w:hAnsi="Times New Roman" w:eastAsia="宋体" w:cs="Times New Roman"/>
          <w:color w:val="auto"/>
          <w:kern w:val="0"/>
          <w:sz w:val="24"/>
        </w:rPr>
        <w:t>（9）</w:t>
      </w:r>
      <w:r>
        <w:rPr>
          <w:rFonts w:hint="default" w:ascii="Times New Roman" w:hAnsi="Times New Roman" w:eastAsia="宋体" w:cs="Times New Roman"/>
          <w:color w:val="auto"/>
          <w:sz w:val="24"/>
        </w:rPr>
        <w:t>《突发环境事件信息报告办法》（环境保护部令第17号</w:t>
      </w:r>
      <w:r>
        <w:rPr>
          <w:rFonts w:hint="eastAsia" w:ascii="Times New Roman" w:hAnsi="Times New Roman" w:eastAsia="宋体" w:cs="Times New Roman"/>
          <w:color w:val="auto"/>
          <w:sz w:val="24"/>
          <w:lang w:eastAsia="zh-CN"/>
        </w:rPr>
        <w:t>，</w:t>
      </w:r>
      <w:r>
        <w:rPr>
          <w:rFonts w:hint="eastAsia" w:ascii="Times New Roman" w:hAnsi="Times New Roman" w:eastAsia="宋体" w:cs="Times New Roman"/>
          <w:color w:val="auto"/>
          <w:sz w:val="24"/>
          <w:lang w:val="en-US" w:eastAsia="zh-CN"/>
        </w:rPr>
        <w:t>2011年5月1日实施）；</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（10）《突发环境事件调查处理办法》（环境保护部令部令第32号）；</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（11）《国家突发环境事件应急预案》(国办函〔2014〕119号)，2014年12月29日实施；</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（12）《企业事业单位突发环境事件应急预案备案管理办法（试行）》（环发〔2015〕4号）；</w:t>
      </w:r>
    </w:p>
    <w:p>
      <w:pPr>
        <w:widowControl/>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（13）《企业突发环境事件隐患排查和治理工作指南（试行）》（环境保护部公告2016年第74号）；</w:t>
      </w:r>
    </w:p>
    <w:p>
      <w:pPr>
        <w:pStyle w:val="280"/>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szCs w:val="24"/>
        </w:rPr>
        <w:t>（14）</w:t>
      </w:r>
      <w:r>
        <w:rPr>
          <w:rFonts w:hint="default" w:ascii="Times New Roman" w:hAnsi="Times New Roman" w:eastAsia="宋体" w:cs="Times New Roman"/>
          <w:color w:val="auto"/>
          <w:sz w:val="24"/>
        </w:rPr>
        <w:t>《突发环境事件风险评估指南》（环办[2014]34号）；</w:t>
      </w:r>
    </w:p>
    <w:p>
      <w:pPr>
        <w:pStyle w:val="280"/>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szCs w:val="24"/>
        </w:rPr>
        <w:t>（15）《企业事业单位突发环境事件应急预案评审工作指南（试行）》环办应急[2018]8号</w:t>
      </w:r>
      <w:r>
        <w:rPr>
          <w:rFonts w:hint="default" w:ascii="Times New Roman" w:hAnsi="Times New Roman" w:eastAsia="宋体" w:cs="Times New Roman"/>
          <w:color w:val="auto"/>
          <w:sz w:val="24"/>
        </w:rPr>
        <w:t>；</w:t>
      </w:r>
    </w:p>
    <w:p>
      <w:pPr>
        <w:pStyle w:val="280"/>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rPr>
        <w:t>（16）</w:t>
      </w:r>
      <w:r>
        <w:rPr>
          <w:rFonts w:hint="default" w:ascii="Times New Roman" w:hAnsi="Times New Roman" w:eastAsia="宋体" w:cs="Times New Roman"/>
          <w:color w:val="auto"/>
          <w:sz w:val="24"/>
          <w:szCs w:val="24"/>
        </w:rPr>
        <w:t>陕西省环境保护厅关于转发环保部办公厅《关于转发尾矿库环境风险评估报告和突发环境事件应急预案典型案例的通知》的通知，陕环应急函〔2018〕10号。</w:t>
      </w:r>
    </w:p>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2.2.2标准、技术规范</w:t>
      </w:r>
      <w:bookmarkEnd w:id="30"/>
    </w:p>
    <w:p>
      <w:pPr>
        <w:widowControl/>
        <w:spacing w:line="360" w:lineRule="auto"/>
        <w:ind w:firstLine="480" w:firstLineChars="200"/>
        <w:rPr>
          <w:rFonts w:hint="default" w:ascii="Times New Roman" w:hAnsi="Times New Roman" w:eastAsia="宋体" w:cs="Times New Roman"/>
          <w:color w:val="auto"/>
          <w:kern w:val="0"/>
          <w:sz w:val="24"/>
          <w:szCs w:val="21"/>
          <w:lang w:val="en-US" w:eastAsia="zh-CN" w:bidi="ar-SA"/>
        </w:rPr>
      </w:pPr>
      <w:r>
        <w:rPr>
          <w:rFonts w:hint="default" w:ascii="Times New Roman" w:hAnsi="Times New Roman" w:eastAsia="宋体" w:cs="Times New Roman"/>
          <w:color w:val="auto"/>
          <w:kern w:val="0"/>
          <w:sz w:val="24"/>
          <w:szCs w:val="21"/>
          <w:lang w:val="en-US" w:eastAsia="zh-CN" w:bidi="ar-SA"/>
        </w:rPr>
        <w:t>（1）《危险化学品重大危险源辨识》（GB18218-20</w:t>
      </w:r>
      <w:r>
        <w:rPr>
          <w:rFonts w:hint="eastAsia" w:ascii="Times New Roman" w:hAnsi="Times New Roman" w:eastAsia="宋体" w:cs="Times New Roman"/>
          <w:color w:val="auto"/>
          <w:kern w:val="0"/>
          <w:sz w:val="24"/>
          <w:szCs w:val="21"/>
          <w:lang w:val="en-US" w:eastAsia="zh-CN" w:bidi="ar-SA"/>
        </w:rPr>
        <w:t>18</w:t>
      </w:r>
      <w:r>
        <w:rPr>
          <w:rFonts w:hint="default" w:ascii="Times New Roman" w:hAnsi="Times New Roman" w:eastAsia="宋体" w:cs="Times New Roman"/>
          <w:color w:val="auto"/>
          <w:kern w:val="0"/>
          <w:sz w:val="24"/>
          <w:szCs w:val="21"/>
          <w:lang w:val="en-US" w:eastAsia="zh-CN" w:bidi="ar-SA"/>
        </w:rPr>
        <w:t>）；</w:t>
      </w:r>
    </w:p>
    <w:p>
      <w:pPr>
        <w:widowControl/>
        <w:spacing w:line="360" w:lineRule="auto"/>
        <w:ind w:firstLine="480" w:firstLineChars="200"/>
        <w:rPr>
          <w:rFonts w:hint="default" w:ascii="Times New Roman" w:hAnsi="Times New Roman" w:eastAsia="宋体" w:cs="Times New Roman"/>
          <w:color w:val="auto"/>
          <w:kern w:val="0"/>
          <w:sz w:val="24"/>
          <w:szCs w:val="21"/>
          <w:lang w:val="en-US" w:eastAsia="zh-CN" w:bidi="ar-SA"/>
        </w:rPr>
      </w:pPr>
      <w:bookmarkStart w:id="31" w:name="_Toc427166851"/>
      <w:r>
        <w:rPr>
          <w:rFonts w:hint="default" w:ascii="Times New Roman" w:hAnsi="Times New Roman" w:eastAsia="宋体" w:cs="Times New Roman"/>
          <w:color w:val="auto"/>
          <w:kern w:val="0"/>
          <w:sz w:val="24"/>
          <w:szCs w:val="21"/>
          <w:lang w:val="en-US" w:eastAsia="zh-CN" w:bidi="ar-SA"/>
        </w:rPr>
        <w:t>（2）《化工建设项目环境保护设计规范》（GB50483-20</w:t>
      </w:r>
      <w:r>
        <w:rPr>
          <w:rFonts w:hint="eastAsia" w:ascii="Times New Roman" w:hAnsi="Times New Roman" w:eastAsia="宋体" w:cs="Times New Roman"/>
          <w:color w:val="auto"/>
          <w:kern w:val="0"/>
          <w:sz w:val="24"/>
          <w:szCs w:val="21"/>
          <w:lang w:val="en-US" w:eastAsia="zh-CN" w:bidi="ar-SA"/>
        </w:rPr>
        <w:t>19</w:t>
      </w:r>
      <w:r>
        <w:rPr>
          <w:rFonts w:hint="default" w:ascii="Times New Roman" w:hAnsi="Times New Roman" w:eastAsia="宋体" w:cs="Times New Roman"/>
          <w:color w:val="auto"/>
          <w:kern w:val="0"/>
          <w:sz w:val="24"/>
          <w:szCs w:val="21"/>
          <w:lang w:val="en-US" w:eastAsia="zh-CN" w:bidi="ar-SA"/>
        </w:rPr>
        <w:t>）；</w:t>
      </w:r>
      <w:bookmarkEnd w:id="31"/>
    </w:p>
    <w:p>
      <w:pPr>
        <w:widowControl/>
        <w:spacing w:line="360" w:lineRule="auto"/>
        <w:ind w:firstLine="480" w:firstLineChars="200"/>
        <w:rPr>
          <w:rFonts w:hint="default" w:ascii="Times New Roman" w:hAnsi="Times New Roman" w:eastAsia="宋体" w:cs="Times New Roman"/>
          <w:color w:val="auto"/>
          <w:kern w:val="0"/>
          <w:sz w:val="24"/>
          <w:szCs w:val="21"/>
          <w:lang w:val="en-US" w:eastAsia="zh-CN" w:bidi="ar-SA"/>
        </w:rPr>
      </w:pPr>
      <w:r>
        <w:rPr>
          <w:rFonts w:hint="default" w:ascii="Times New Roman" w:hAnsi="Times New Roman" w:eastAsia="宋体" w:cs="Times New Roman"/>
          <w:color w:val="auto"/>
          <w:kern w:val="0"/>
          <w:sz w:val="24"/>
          <w:szCs w:val="21"/>
          <w:lang w:val="en-US" w:eastAsia="zh-CN" w:bidi="ar-SA"/>
        </w:rPr>
        <w:t>（3）《建筑设计防火规范》（GB50016-20</w:t>
      </w:r>
      <w:r>
        <w:rPr>
          <w:rFonts w:hint="eastAsia" w:ascii="Times New Roman" w:hAnsi="Times New Roman" w:eastAsia="宋体" w:cs="Times New Roman"/>
          <w:color w:val="auto"/>
          <w:kern w:val="0"/>
          <w:sz w:val="24"/>
          <w:szCs w:val="21"/>
          <w:lang w:val="en-US" w:eastAsia="zh-CN" w:bidi="ar-SA"/>
        </w:rPr>
        <w:t>14</w:t>
      </w:r>
      <w:r>
        <w:rPr>
          <w:rFonts w:hint="default" w:ascii="Times New Roman" w:hAnsi="Times New Roman" w:eastAsia="宋体" w:cs="Times New Roman"/>
          <w:color w:val="auto"/>
          <w:kern w:val="0"/>
          <w:sz w:val="24"/>
          <w:szCs w:val="21"/>
          <w:lang w:val="en-US" w:eastAsia="zh-CN" w:bidi="ar-SA"/>
        </w:rPr>
        <w:t>）；</w:t>
      </w:r>
    </w:p>
    <w:p>
      <w:pPr>
        <w:widowControl/>
        <w:spacing w:line="360" w:lineRule="auto"/>
        <w:ind w:firstLine="480" w:firstLineChars="200"/>
        <w:rPr>
          <w:rFonts w:hint="default" w:ascii="Times New Roman" w:hAnsi="Times New Roman" w:eastAsia="宋体" w:cs="Times New Roman"/>
          <w:color w:val="auto"/>
          <w:kern w:val="0"/>
          <w:sz w:val="24"/>
          <w:szCs w:val="21"/>
          <w:lang w:val="en-US" w:eastAsia="zh-CN" w:bidi="ar-SA"/>
        </w:rPr>
      </w:pPr>
      <w:bookmarkStart w:id="32" w:name="_Toc427166852"/>
      <w:r>
        <w:rPr>
          <w:rFonts w:hint="default" w:ascii="Times New Roman" w:hAnsi="Times New Roman" w:eastAsia="宋体" w:cs="Times New Roman"/>
          <w:color w:val="auto"/>
          <w:kern w:val="0"/>
          <w:sz w:val="24"/>
          <w:szCs w:val="21"/>
          <w:lang w:val="en-US" w:eastAsia="zh-CN" w:bidi="ar-SA"/>
        </w:rPr>
        <w:t>（4）《石油化工企业设计防火规范》（GB50160-20</w:t>
      </w:r>
      <w:r>
        <w:rPr>
          <w:rFonts w:hint="eastAsia" w:ascii="Times New Roman" w:hAnsi="Times New Roman" w:eastAsia="宋体" w:cs="Times New Roman"/>
          <w:color w:val="auto"/>
          <w:kern w:val="0"/>
          <w:sz w:val="24"/>
          <w:szCs w:val="21"/>
          <w:lang w:val="en-US" w:eastAsia="zh-CN" w:bidi="ar-SA"/>
        </w:rPr>
        <w:t>18</w:t>
      </w:r>
      <w:r>
        <w:rPr>
          <w:rFonts w:hint="default" w:ascii="Times New Roman" w:hAnsi="Times New Roman" w:eastAsia="宋体" w:cs="Times New Roman"/>
          <w:color w:val="auto"/>
          <w:kern w:val="0"/>
          <w:sz w:val="24"/>
          <w:szCs w:val="21"/>
          <w:lang w:val="en-US" w:eastAsia="zh-CN" w:bidi="ar-SA"/>
        </w:rPr>
        <w:t>）；</w:t>
      </w:r>
      <w:bookmarkEnd w:id="32"/>
    </w:p>
    <w:p>
      <w:pPr>
        <w:widowControl/>
        <w:spacing w:line="360" w:lineRule="auto"/>
        <w:ind w:firstLine="480" w:firstLineChars="200"/>
        <w:rPr>
          <w:rFonts w:hint="default" w:ascii="Times New Roman" w:hAnsi="Times New Roman" w:eastAsia="宋体" w:cs="Times New Roman"/>
          <w:color w:val="auto"/>
          <w:kern w:val="0"/>
          <w:sz w:val="24"/>
          <w:szCs w:val="21"/>
          <w:lang w:val="en-US" w:eastAsia="zh-CN" w:bidi="ar-SA"/>
        </w:rPr>
      </w:pPr>
      <w:r>
        <w:rPr>
          <w:rFonts w:hint="default" w:ascii="Times New Roman" w:hAnsi="Times New Roman" w:eastAsia="宋体" w:cs="Times New Roman"/>
          <w:color w:val="auto"/>
          <w:kern w:val="0"/>
          <w:sz w:val="24"/>
          <w:szCs w:val="21"/>
          <w:lang w:val="en-US" w:eastAsia="zh-CN" w:bidi="ar-SA"/>
        </w:rPr>
        <w:t>（5）《储罐区防火堤设计规范》（GB50351-20</w:t>
      </w:r>
      <w:r>
        <w:rPr>
          <w:rFonts w:hint="eastAsia" w:ascii="Times New Roman" w:hAnsi="Times New Roman" w:eastAsia="宋体" w:cs="Times New Roman"/>
          <w:color w:val="auto"/>
          <w:kern w:val="0"/>
          <w:sz w:val="24"/>
          <w:szCs w:val="21"/>
          <w:lang w:val="en-US" w:eastAsia="zh-CN" w:bidi="ar-SA"/>
        </w:rPr>
        <w:t>14</w:t>
      </w:r>
      <w:r>
        <w:rPr>
          <w:rFonts w:hint="default" w:ascii="Times New Roman" w:hAnsi="Times New Roman" w:eastAsia="宋体" w:cs="Times New Roman"/>
          <w:color w:val="auto"/>
          <w:kern w:val="0"/>
          <w:sz w:val="24"/>
          <w:szCs w:val="21"/>
          <w:lang w:val="en-US" w:eastAsia="zh-CN" w:bidi="ar-SA"/>
        </w:rPr>
        <w:t>）；</w:t>
      </w:r>
    </w:p>
    <w:p>
      <w:pPr>
        <w:widowControl/>
        <w:spacing w:line="360" w:lineRule="auto"/>
        <w:ind w:firstLine="480" w:firstLineChars="200"/>
        <w:rPr>
          <w:rFonts w:hint="default" w:ascii="Times New Roman" w:hAnsi="Times New Roman" w:eastAsia="宋体" w:cs="Times New Roman"/>
          <w:color w:val="auto"/>
          <w:kern w:val="0"/>
          <w:sz w:val="24"/>
          <w:szCs w:val="21"/>
          <w:lang w:val="en-US" w:eastAsia="zh-CN" w:bidi="ar-SA"/>
        </w:rPr>
      </w:pPr>
      <w:r>
        <w:rPr>
          <w:rFonts w:hint="eastAsia" w:ascii="Times New Roman" w:hAnsi="Times New Roman" w:eastAsia="宋体" w:cs="Times New Roman"/>
          <w:color w:val="auto"/>
          <w:kern w:val="0"/>
          <w:sz w:val="24"/>
          <w:szCs w:val="21"/>
          <w:lang w:val="en-US" w:eastAsia="zh-CN" w:bidi="ar-SA"/>
        </w:rPr>
        <w:t>（6）《</w:t>
      </w:r>
      <w:r>
        <w:rPr>
          <w:rFonts w:hint="default" w:ascii="Times New Roman" w:hAnsi="Times New Roman" w:eastAsia="宋体" w:cs="Times New Roman"/>
          <w:color w:val="auto"/>
          <w:kern w:val="0"/>
          <w:sz w:val="24"/>
          <w:szCs w:val="21"/>
          <w:lang w:val="en-US" w:eastAsia="zh-CN" w:bidi="ar-SA"/>
        </w:rPr>
        <w:t>化学品分类、警示标签和警</w:t>
      </w:r>
      <w:r>
        <w:rPr>
          <w:rFonts w:hint="default" w:ascii="Times New Roman" w:hAnsi="Times New Roman" w:eastAsia="宋体" w:cs="Times New Roman"/>
          <w:color w:val="auto"/>
          <w:sz w:val="24"/>
        </w:rPr>
        <w:t>示性说明安全规程</w:t>
      </w:r>
      <w:r>
        <w:rPr>
          <w:rFonts w:hint="eastAsia" w:ascii="Times New Roman" w:hAnsi="Times New Roman" w:eastAsia="宋体" w:cs="Times New Roman"/>
          <w:color w:val="auto"/>
          <w:kern w:val="0"/>
          <w:sz w:val="24"/>
          <w:szCs w:val="21"/>
          <w:lang w:val="en-US" w:eastAsia="zh-CN" w:bidi="ar-SA"/>
        </w:rPr>
        <w:t>》（GB20576-2006）</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（7）《石油化工企业给水排水系统设计规范》（SH3015-20</w:t>
      </w:r>
      <w:r>
        <w:rPr>
          <w:rFonts w:hint="eastAsia" w:ascii="Times New Roman" w:hAnsi="Times New Roman" w:eastAsia="宋体" w:cs="Times New Roman"/>
          <w:color w:val="auto"/>
          <w:sz w:val="24"/>
          <w:lang w:val="en-US" w:eastAsia="zh-CN"/>
        </w:rPr>
        <w:t>19</w:t>
      </w:r>
      <w:r>
        <w:rPr>
          <w:rFonts w:hint="default" w:ascii="Times New Roman" w:hAnsi="Times New Roman" w:eastAsia="宋体" w:cs="Times New Roman"/>
          <w:color w:val="auto"/>
          <w:sz w:val="24"/>
        </w:rPr>
        <w:t>）；</w:t>
      </w:r>
    </w:p>
    <w:p>
      <w:pPr>
        <w:widowControl/>
        <w:spacing w:line="360" w:lineRule="auto"/>
        <w:ind w:firstLine="480" w:firstLineChars="200"/>
        <w:rPr>
          <w:rFonts w:hint="default" w:ascii="Times New Roman" w:hAnsi="Times New Roman" w:eastAsia="宋体" w:cs="Times New Roman"/>
          <w:color w:val="auto"/>
          <w:sz w:val="24"/>
        </w:rPr>
      </w:pPr>
      <w:bookmarkStart w:id="33" w:name="_Toc427166853"/>
      <w:r>
        <w:rPr>
          <w:rFonts w:hint="default" w:ascii="Times New Roman" w:hAnsi="Times New Roman" w:eastAsia="宋体" w:cs="Times New Roman"/>
          <w:color w:val="auto"/>
          <w:sz w:val="24"/>
        </w:rPr>
        <w:t>（8）《石油化工污水处理设计规范》（GB50747-2012）；</w:t>
      </w:r>
      <w:bookmarkEnd w:id="33"/>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（9）《环境影响评价技术导则地下水环境》（HJ610-2016）；</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（10）《建设项目环境风险评价技术导则》（HJ</w:t>
      </w:r>
      <w:r>
        <w:rPr>
          <w:rFonts w:hint="eastAsia" w:ascii="Times New Roman" w:hAnsi="Times New Roman" w:eastAsia="宋体" w:cs="Times New Roman"/>
          <w:color w:val="auto"/>
          <w:sz w:val="24"/>
          <w:lang w:val="en-US" w:eastAsia="zh-CN"/>
        </w:rPr>
        <w:t xml:space="preserve"> </w:t>
      </w:r>
      <w:r>
        <w:rPr>
          <w:rFonts w:hint="default" w:ascii="Times New Roman" w:hAnsi="Times New Roman" w:eastAsia="宋体" w:cs="Times New Roman"/>
          <w:color w:val="auto"/>
          <w:sz w:val="24"/>
        </w:rPr>
        <w:t>169-20</w:t>
      </w:r>
      <w:r>
        <w:rPr>
          <w:rFonts w:hint="eastAsia" w:ascii="Times New Roman" w:hAnsi="Times New Roman" w:eastAsia="宋体" w:cs="Times New Roman"/>
          <w:color w:val="auto"/>
          <w:sz w:val="24"/>
          <w:lang w:val="en-US" w:eastAsia="zh-CN"/>
        </w:rPr>
        <w:t>18</w:t>
      </w:r>
      <w:r>
        <w:rPr>
          <w:rFonts w:hint="default" w:ascii="Times New Roman" w:hAnsi="Times New Roman" w:eastAsia="宋体" w:cs="Times New Roman"/>
          <w:color w:val="auto"/>
          <w:sz w:val="24"/>
        </w:rPr>
        <w:t>）；</w:t>
      </w:r>
    </w:p>
    <w:p>
      <w:pPr>
        <w:widowControl/>
        <w:spacing w:line="360" w:lineRule="auto"/>
        <w:ind w:firstLine="480" w:firstLineChars="200"/>
        <w:rPr>
          <w:rFonts w:hint="default" w:ascii="Times New Roman" w:hAnsi="Times New Roman" w:eastAsia="宋体" w:cs="Times New Roman"/>
          <w:color w:val="auto"/>
          <w:sz w:val="24"/>
        </w:rPr>
      </w:pPr>
      <w:bookmarkStart w:id="34" w:name="_Toc427166854"/>
      <w:r>
        <w:rPr>
          <w:rFonts w:hint="default" w:ascii="Times New Roman" w:hAnsi="Times New Roman" w:eastAsia="宋体" w:cs="Times New Roman"/>
          <w:color w:val="auto"/>
          <w:sz w:val="24"/>
        </w:rPr>
        <w:t>（11）</w:t>
      </w:r>
      <w:bookmarkEnd w:id="34"/>
      <w:r>
        <w:rPr>
          <w:rFonts w:hint="default" w:ascii="Times New Roman" w:hAnsi="Times New Roman" w:eastAsia="宋体" w:cs="Times New Roman"/>
          <w:color w:val="auto"/>
          <w:sz w:val="24"/>
        </w:rPr>
        <w:t>《化学品毒性鉴定技术规范》（卫监督发〔2005〕272号）；</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（12）《事故状态下水体污染的预防与控制技术要求》（中国石油企业标准Q/SY1190-20</w:t>
      </w:r>
      <w:r>
        <w:rPr>
          <w:rFonts w:hint="eastAsia" w:ascii="Times New Roman" w:hAnsi="Times New Roman" w:eastAsia="宋体" w:cs="Times New Roman"/>
          <w:color w:val="auto"/>
          <w:sz w:val="24"/>
          <w:lang w:val="en-US" w:eastAsia="zh-CN"/>
        </w:rPr>
        <w:t>18</w:t>
      </w:r>
      <w:r>
        <w:rPr>
          <w:rFonts w:hint="default" w:ascii="Times New Roman" w:hAnsi="Times New Roman" w:eastAsia="宋体" w:cs="Times New Roman"/>
          <w:color w:val="auto"/>
          <w:sz w:val="24"/>
        </w:rPr>
        <w:t>）；</w:t>
      </w:r>
    </w:p>
    <w:p>
      <w:pPr>
        <w:widowControl/>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sz w:val="24"/>
        </w:rPr>
        <w:t>（13）《企业突发环境事件风险分级方法》（HJ941-2018）</w:t>
      </w:r>
      <w:r>
        <w:rPr>
          <w:rFonts w:hint="default" w:ascii="Times New Roman" w:hAnsi="Times New Roman" w:eastAsia="宋体" w:cs="Times New Roman"/>
          <w:color w:val="auto"/>
          <w:kern w:val="0"/>
          <w:sz w:val="24"/>
        </w:rPr>
        <w:t>;</w:t>
      </w:r>
    </w:p>
    <w:p>
      <w:pPr>
        <w:adjustRightInd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（14）《产业结构调整指导目录》（20</w:t>
      </w:r>
      <w:r>
        <w:rPr>
          <w:rFonts w:hint="eastAsia" w:ascii="Times New Roman" w:hAnsi="Times New Roman" w:eastAsia="宋体" w:cs="Times New Roman"/>
          <w:color w:val="auto"/>
          <w:kern w:val="0"/>
          <w:sz w:val="24"/>
          <w:lang w:val="en-US" w:eastAsia="zh-CN"/>
        </w:rPr>
        <w:t>19</w:t>
      </w:r>
      <w:r>
        <w:rPr>
          <w:rFonts w:hint="default" w:ascii="Times New Roman" w:hAnsi="Times New Roman" w:eastAsia="宋体" w:cs="Times New Roman"/>
          <w:color w:val="auto"/>
          <w:kern w:val="0"/>
          <w:sz w:val="24"/>
        </w:rPr>
        <w:t>年本）</w:t>
      </w:r>
      <w:r>
        <w:rPr>
          <w:rFonts w:hint="default" w:ascii="Times New Roman" w:hAnsi="Times New Roman" w:eastAsia="宋体" w:cs="Times New Roman"/>
          <w:color w:val="auto"/>
          <w:sz w:val="24"/>
        </w:rPr>
        <w:t>。</w:t>
      </w:r>
    </w:p>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2.2.3其他技术资料</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（1）化学品安全技术说明书；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（2）《咸阳天然气化工有限责任公司10万吨/年甲醇节气节能新技术项目环境影响报告书》；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（3）《咸阳石油化工有限公司5万吨/年MTBE装置项目环境影响报告书》；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（4）《咸阳石油化工司20万吨/年连续工业异辛烷装置升级改造项目环境影响报告书》；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（5）《咸阳石油化工司</w:t>
      </w:r>
      <w:r>
        <w:rPr>
          <w:rFonts w:hint="default" w:ascii="Times New Roman" w:hAnsi="Times New Roman" w:eastAsia="宋体" w:cs="Times New Roman"/>
          <w:color w:val="auto"/>
          <w:sz w:val="24"/>
          <w:szCs w:val="24"/>
          <w:lang w:val="zh-CN"/>
        </w:rPr>
        <w:t>30万吨/年轻汽油醚化装置及罐区配套项目</w:t>
      </w:r>
      <w:r>
        <w:rPr>
          <w:rFonts w:hint="default" w:ascii="Times New Roman" w:hAnsi="Times New Roman" w:eastAsia="宋体" w:cs="Times New Roman"/>
          <w:color w:val="auto"/>
          <w:sz w:val="24"/>
          <w:szCs w:val="24"/>
        </w:rPr>
        <w:t>环境影响报告书》；</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（6）《咸阳石油化工有限公司20万吨/年连续工业异辛烷装置升级改造项目环境影响变更说明》；</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（7）《咸阳石油化工有限公司生产安全事故应急预案》；</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（8）《咸阳石油化工司20万吨/年连续工业异辛烷装置升级改造项目安全设施设计专篇》；</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（9）《咸阳石油化工有限公司10万吨/年甲醇项目安全设施竣工验收评价报告》；</w:t>
      </w:r>
    </w:p>
    <w:p>
      <w:pPr>
        <w:spacing w:line="360" w:lineRule="auto"/>
        <w:ind w:firstLine="480"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color w:val="auto"/>
          <w:sz w:val="24"/>
          <w:szCs w:val="24"/>
        </w:rPr>
        <w:t>（10）《咸阳石油化工有限公司30万吨/年轻汽油醚化装置及罐区项目安全设施竣工验收评价报告》。</w:t>
      </w: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pStyle w:val="2"/>
        <w:rPr>
          <w:rFonts w:hint="default" w:ascii="Times New Roman" w:hAnsi="Times New Roman" w:eastAsia="宋体" w:cs="Times New Roman"/>
          <w:b/>
          <w:bCs/>
          <w:color w:val="auto"/>
          <w:sz w:val="30"/>
          <w:szCs w:val="30"/>
        </w:rPr>
      </w:pPr>
    </w:p>
    <w:p>
      <w:pPr>
        <w:rPr>
          <w:rFonts w:hint="default" w:ascii="Times New Roman" w:hAnsi="Times New Roman" w:eastAsia="宋体" w:cs="Times New Roman"/>
          <w:b/>
          <w:bCs/>
          <w:color w:val="auto"/>
          <w:sz w:val="30"/>
          <w:szCs w:val="30"/>
        </w:rPr>
      </w:pPr>
    </w:p>
    <w:p>
      <w:pPr>
        <w:pStyle w:val="2"/>
        <w:rPr>
          <w:rFonts w:hint="default" w:ascii="Times New Roman" w:hAnsi="Times New Roman" w:eastAsia="宋体" w:cs="Times New Roman"/>
          <w:b/>
          <w:bCs/>
          <w:color w:val="auto"/>
          <w:sz w:val="30"/>
          <w:szCs w:val="30"/>
        </w:rPr>
      </w:pPr>
    </w:p>
    <w:p>
      <w:pPr>
        <w:rPr>
          <w:rFonts w:hint="default" w:ascii="Times New Roman" w:hAnsi="Times New Roman" w:eastAsia="宋体" w:cs="Times New Roman"/>
          <w:b/>
          <w:bCs/>
          <w:color w:val="auto"/>
          <w:sz w:val="30"/>
          <w:szCs w:val="30"/>
        </w:rPr>
      </w:pPr>
    </w:p>
    <w:p>
      <w:pPr>
        <w:pStyle w:val="2"/>
        <w:rPr>
          <w:rFonts w:hint="default"/>
          <w:color w:val="auto"/>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0"/>
        <w:rPr>
          <w:rFonts w:hint="default" w:ascii="Times New Roman" w:hAnsi="Times New Roman" w:eastAsia="宋体" w:cs="Times New Roman"/>
          <w:b/>
          <w:bCs/>
          <w:color w:val="auto"/>
          <w:sz w:val="30"/>
          <w:szCs w:val="30"/>
        </w:rPr>
      </w:pPr>
      <w:bookmarkStart w:id="35" w:name="_Toc5006"/>
      <w:bookmarkStart w:id="36" w:name="_Toc523580092"/>
      <w:r>
        <w:rPr>
          <w:rFonts w:hint="default" w:ascii="Times New Roman" w:hAnsi="Times New Roman" w:eastAsia="宋体" w:cs="Times New Roman"/>
          <w:b/>
          <w:bCs/>
          <w:color w:val="auto"/>
          <w:sz w:val="30"/>
          <w:szCs w:val="30"/>
        </w:rPr>
        <w:t>3资料准备与环境风险识别</w:t>
      </w:r>
      <w:bookmarkEnd w:id="35"/>
      <w:bookmarkEnd w:id="36"/>
    </w:p>
    <w:p>
      <w:pPr>
        <w:pStyle w:val="2"/>
        <w:spacing w:before="120" w:beforeLines="50" w:after="120" w:afterLines="50" w:line="360" w:lineRule="auto"/>
        <w:jc w:val="left"/>
        <w:outlineLvl w:val="0"/>
        <w:rPr>
          <w:rFonts w:hint="default" w:ascii="Times New Roman" w:hAnsi="Times New Roman" w:eastAsia="宋体" w:cs="Times New Roman"/>
          <w:color w:val="auto"/>
          <w:sz w:val="28"/>
          <w:szCs w:val="28"/>
        </w:rPr>
      </w:pPr>
      <w:bookmarkStart w:id="37" w:name="_Toc523580093"/>
      <w:bookmarkStart w:id="38" w:name="_Toc1260"/>
      <w:bookmarkStart w:id="39" w:name="_Toc28512"/>
      <w:bookmarkStart w:id="40" w:name="_Toc29440"/>
      <w:bookmarkStart w:id="41" w:name="_Toc9024"/>
      <w:r>
        <w:rPr>
          <w:rFonts w:hint="default" w:ascii="Times New Roman" w:hAnsi="Times New Roman" w:eastAsia="宋体" w:cs="Times New Roman"/>
          <w:color w:val="auto"/>
          <w:sz w:val="28"/>
          <w:szCs w:val="28"/>
        </w:rPr>
        <w:t>3.1企业基本信息</w:t>
      </w:r>
      <w:bookmarkEnd w:id="37"/>
      <w:bookmarkEnd w:id="38"/>
    </w:p>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bookmarkStart w:id="42" w:name="_Toc426376718"/>
      <w:bookmarkStart w:id="43" w:name="_Toc427166858"/>
      <w:bookmarkStart w:id="44" w:name="_Toc441338711"/>
      <w:r>
        <w:rPr>
          <w:rFonts w:hint="default" w:ascii="Times New Roman" w:hAnsi="Times New Roman" w:eastAsia="宋体" w:cs="Times New Roman"/>
          <w:b/>
          <w:color w:val="auto"/>
          <w:sz w:val="24"/>
          <w:szCs w:val="24"/>
        </w:rPr>
        <w:t>3.1.1企业</w:t>
      </w:r>
      <w:bookmarkEnd w:id="42"/>
      <w:bookmarkEnd w:id="43"/>
      <w:r>
        <w:rPr>
          <w:rFonts w:hint="default" w:ascii="Times New Roman" w:hAnsi="Times New Roman" w:eastAsia="宋体" w:cs="Times New Roman"/>
          <w:b/>
          <w:color w:val="auto"/>
          <w:sz w:val="24"/>
          <w:szCs w:val="24"/>
        </w:rPr>
        <w:t>简介</w:t>
      </w:r>
      <w:bookmarkEnd w:id="44"/>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咸阳石油化工有限公司是由咸阳科技产业投资有限公司出资组建的有限责任公司，位于陕西省西咸新区秦汉新城。公司成立于2005年9月21日，是一家新型石油替代能源和高品质汽油添加剂节能环保循环经济生产企业。</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咸阳石油化工有限公司现有四套生产装置，分别为10万吨/年甲醇装置、5万吨/年MTBE装置、20万吨/年技术改造生产烷基化项目及30万吨/年轻汽油醚化装置及罐区配套项目。</w:t>
      </w:r>
      <w:r>
        <w:rPr>
          <w:rFonts w:hint="default" w:ascii="Times New Roman" w:hAnsi="Times New Roman" w:eastAsia="宋体" w:cs="Times New Roman"/>
          <w:color w:val="auto"/>
          <w:sz w:val="24"/>
          <w:lang w:val="en-US" w:eastAsia="zh-CN"/>
        </w:rPr>
        <w:t>我公司环保方面主要依托于长庆石化公司的火炬系统和长庆石化的污水处理设施。在事故停车状态下将装置中的废气排放至长庆石化火炬做燃烧处理。污水方面我公司在依托长庆石化公司污水处理设施的同时建设了一座8500</w:t>
      </w:r>
      <w:r>
        <w:rPr>
          <w:rFonts w:hint="default" w:ascii="Times New Roman" w:hAnsi="Times New Roman" w:eastAsia="宋体" w:cs="Times New Roman"/>
          <w:color w:val="auto"/>
          <w:sz w:val="24"/>
        </w:rPr>
        <w:t>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lang w:val="en-US" w:eastAsia="zh-CN"/>
        </w:rPr>
        <w:t>的事故池，</w:t>
      </w:r>
      <w:r>
        <w:rPr>
          <w:rFonts w:hint="default" w:ascii="Times New Roman" w:hAnsi="Times New Roman" w:eastAsia="宋体" w:cs="Times New Roman"/>
          <w:color w:val="auto"/>
          <w:sz w:val="24"/>
        </w:rPr>
        <w:t>我公司在8500m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事故池能满足全厂事故状态应急处理需要的基础上，又在事故池南侧建设了1座326m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lang w:val="zh-CN"/>
        </w:rPr>
        <w:t>污水收集提升池、</w:t>
      </w:r>
      <w:r>
        <w:rPr>
          <w:rFonts w:hint="default" w:ascii="Times New Roman" w:hAnsi="Times New Roman" w:eastAsia="宋体" w:cs="Times New Roman"/>
          <w:color w:val="auto"/>
          <w:sz w:val="24"/>
        </w:rPr>
        <w:t>1座480m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雨水收集提升池。</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本系统在实施清污分流、雨污分流的设计原则下，在管网建设时，对全厂生产废水、含油废水、生活污水、雨水排放管网进行了重新设计整合。</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全厂所有生产废水、含油废水、生活污水通过管网整合，统一收集至新建污水收集池，经污水提升泵P02压力管道输送至长庆石化公司污水处理厂；全厂雨水通过重新设计整合后的雨水管网,统一收集至雨水收集池，经雨水提升泵P03通过阀门控制，初期雨水送入事故池，清洁雨水管输至朝阳四路城市雨水管网。公司其它基本信息情况见表3.1-1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表3.1-1  基本信息情况</w:t>
      </w:r>
    </w:p>
    <w:tbl>
      <w:tblPr>
        <w:tblStyle w:val="75"/>
        <w:tblW w:w="82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68"/>
        <w:gridCol w:w="1420"/>
        <w:gridCol w:w="2068"/>
        <w:gridCol w:w="459"/>
        <w:gridCol w:w="20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单位名称</w:t>
            </w:r>
          </w:p>
        </w:tc>
        <w:tc>
          <w:tcPr>
            <w:tcW w:w="5976" w:type="dxa"/>
            <w:gridSpan w:val="4"/>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咸阳石油化工有限公司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单位地址</w:t>
            </w:r>
          </w:p>
        </w:tc>
        <w:tc>
          <w:tcPr>
            <w:tcW w:w="5976" w:type="dxa"/>
            <w:gridSpan w:val="4"/>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陕西省西咸新区秦汉新城金旭大道1号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统一社会信用代码</w:t>
            </w:r>
          </w:p>
        </w:tc>
        <w:tc>
          <w:tcPr>
            <w:tcW w:w="5976" w:type="dxa"/>
            <w:gridSpan w:val="4"/>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91611103779908249Y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法定代表人</w:t>
            </w:r>
          </w:p>
        </w:tc>
        <w:tc>
          <w:tcPr>
            <w:tcW w:w="1420" w:type="dxa"/>
            <w:noWrap w:val="0"/>
            <w:vAlign w:val="center"/>
          </w:tcPr>
          <w:p>
            <w:pPr>
              <w:tabs>
                <w:tab w:val="left" w:pos="1848"/>
                <w:tab w:val="left" w:pos="6061"/>
                <w:tab w:val="left" w:pos="8665"/>
              </w:tabs>
              <w:snapToGrid w:val="0"/>
              <w:spacing w:line="340" w:lineRule="exact"/>
              <w:jc w:val="center"/>
              <w:rPr>
                <w:rFonts w:hint="eastAsia" w:ascii="Times New Roman" w:hAnsi="Times New Roman" w:eastAsia="宋体" w:cs="Times New Roman"/>
                <w:b w:val="0"/>
                <w:bCs/>
                <w:color w:val="auto"/>
                <w:sz w:val="21"/>
                <w:szCs w:val="21"/>
                <w:lang w:eastAsia="zh-CN"/>
              </w:rPr>
            </w:pPr>
            <w:r>
              <w:rPr>
                <w:rFonts w:hint="eastAsia" w:ascii="Times New Roman" w:hAnsi="Times New Roman" w:eastAsia="宋体" w:cs="Times New Roman"/>
                <w:b w:val="0"/>
                <w:bCs/>
                <w:color w:val="auto"/>
                <w:sz w:val="21"/>
                <w:szCs w:val="21"/>
                <w:lang w:val="en-US" w:eastAsia="zh-CN"/>
              </w:rPr>
              <w:t>岳峰</w:t>
            </w:r>
          </w:p>
        </w:tc>
        <w:tc>
          <w:tcPr>
            <w:tcW w:w="20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所属行业类别</w:t>
            </w:r>
          </w:p>
        </w:tc>
        <w:tc>
          <w:tcPr>
            <w:tcW w:w="2488" w:type="dxa"/>
            <w:gridSpan w:val="2"/>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2614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地理坐标</w:t>
            </w:r>
          </w:p>
        </w:tc>
        <w:tc>
          <w:tcPr>
            <w:tcW w:w="5976" w:type="dxa"/>
            <w:gridSpan w:val="4"/>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经度：108.785556    纬度：34.329722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建厂年月</w:t>
            </w: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2005.9</w:t>
            </w:r>
          </w:p>
        </w:tc>
        <w:tc>
          <w:tcPr>
            <w:tcW w:w="20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最新扩改年月</w:t>
            </w:r>
          </w:p>
        </w:tc>
        <w:tc>
          <w:tcPr>
            <w:tcW w:w="2488" w:type="dxa"/>
            <w:gridSpan w:val="2"/>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主要联系方式</w:t>
            </w: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33140178</w:t>
            </w:r>
          </w:p>
        </w:tc>
        <w:tc>
          <w:tcPr>
            <w:tcW w:w="20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企业规模</w:t>
            </w:r>
          </w:p>
        </w:tc>
        <w:tc>
          <w:tcPr>
            <w:tcW w:w="2488" w:type="dxa"/>
            <w:gridSpan w:val="2"/>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中型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厂区面积</w:t>
            </w: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185亩</w:t>
            </w:r>
          </w:p>
        </w:tc>
        <w:tc>
          <w:tcPr>
            <w:tcW w:w="20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从业人数</w:t>
            </w:r>
          </w:p>
        </w:tc>
        <w:tc>
          <w:tcPr>
            <w:tcW w:w="2488" w:type="dxa"/>
            <w:gridSpan w:val="2"/>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185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restart"/>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安全生产许可证</w:t>
            </w: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发放单位</w:t>
            </w:r>
          </w:p>
        </w:tc>
        <w:tc>
          <w:tcPr>
            <w:tcW w:w="4556" w:type="dxa"/>
            <w:gridSpan w:val="3"/>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r>
              <w:rPr>
                <w:rFonts w:hint="eastAsia" w:cs="Times New Roman"/>
                <w:b w:val="0"/>
                <w:bCs/>
                <w:color w:val="auto"/>
                <w:sz w:val="21"/>
                <w:szCs w:val="21"/>
                <w:lang w:val="en-US" w:eastAsia="zh-CN"/>
              </w:rPr>
              <w:t>西咸新区</w:t>
            </w:r>
            <w:r>
              <w:rPr>
                <w:rFonts w:hint="default" w:ascii="Times New Roman" w:hAnsi="Times New Roman" w:eastAsia="宋体" w:cs="Times New Roman"/>
                <w:b w:val="0"/>
                <w:bCs/>
                <w:color w:val="auto"/>
                <w:sz w:val="21"/>
                <w:szCs w:val="21"/>
              </w:rPr>
              <w:t>安全生产监督管理局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颁（换）时间</w:t>
            </w:r>
          </w:p>
        </w:tc>
        <w:tc>
          <w:tcPr>
            <w:tcW w:w="2068" w:type="dxa"/>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20</w:t>
            </w:r>
            <w:r>
              <w:rPr>
                <w:rFonts w:hint="eastAsia" w:ascii="Times New Roman" w:hAnsi="Times New Roman" w:eastAsia="宋体" w:cs="Times New Roman"/>
                <w:b w:val="0"/>
                <w:bCs/>
                <w:color w:val="auto"/>
                <w:sz w:val="21"/>
                <w:szCs w:val="21"/>
                <w:lang w:val="en-US" w:eastAsia="zh-CN"/>
              </w:rPr>
              <w:t>21</w:t>
            </w:r>
            <w:r>
              <w:rPr>
                <w:rFonts w:hint="default" w:ascii="Times New Roman" w:hAnsi="Times New Roman" w:eastAsia="宋体" w:cs="Times New Roman"/>
                <w:b w:val="0"/>
                <w:bCs/>
                <w:color w:val="auto"/>
                <w:sz w:val="21"/>
                <w:szCs w:val="21"/>
              </w:rPr>
              <w:t>年</w:t>
            </w:r>
            <w:r>
              <w:rPr>
                <w:rFonts w:hint="eastAsia" w:ascii="Times New Roman" w:hAnsi="Times New Roman" w:eastAsia="宋体" w:cs="Times New Roman"/>
                <w:b w:val="0"/>
                <w:bCs/>
                <w:color w:val="auto"/>
                <w:sz w:val="21"/>
                <w:szCs w:val="21"/>
                <w:lang w:val="en-US" w:eastAsia="zh-CN"/>
              </w:rPr>
              <w:t>4</w:t>
            </w:r>
            <w:r>
              <w:rPr>
                <w:rFonts w:hint="default" w:ascii="Times New Roman" w:hAnsi="Times New Roman" w:eastAsia="宋体" w:cs="Times New Roman"/>
                <w:b w:val="0"/>
                <w:bCs/>
                <w:color w:val="auto"/>
                <w:sz w:val="21"/>
                <w:szCs w:val="21"/>
              </w:rPr>
              <w:t>月</w:t>
            </w:r>
            <w:r>
              <w:rPr>
                <w:rFonts w:hint="eastAsia" w:ascii="Times New Roman" w:hAnsi="Times New Roman" w:eastAsia="宋体" w:cs="Times New Roman"/>
                <w:b w:val="0"/>
                <w:bCs/>
                <w:color w:val="auto"/>
                <w:sz w:val="21"/>
                <w:szCs w:val="21"/>
                <w:lang w:val="en-US" w:eastAsia="zh-CN"/>
              </w:rPr>
              <w:t>19</w:t>
            </w:r>
            <w:r>
              <w:rPr>
                <w:rFonts w:hint="default" w:ascii="Times New Roman" w:hAnsi="Times New Roman" w:eastAsia="宋体" w:cs="Times New Roman"/>
                <w:b w:val="0"/>
                <w:bCs/>
                <w:color w:val="auto"/>
                <w:sz w:val="21"/>
                <w:szCs w:val="21"/>
              </w:rPr>
              <w:t>日</w:t>
            </w:r>
          </w:p>
        </w:tc>
        <w:tc>
          <w:tcPr>
            <w:tcW w:w="45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编号</w:t>
            </w:r>
          </w:p>
        </w:tc>
        <w:tc>
          <w:tcPr>
            <w:tcW w:w="202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w:t>
            </w:r>
            <w:r>
              <w:rPr>
                <w:rFonts w:hint="eastAsia" w:ascii="Times New Roman" w:hAnsi="Times New Roman" w:eastAsia="宋体" w:cs="Times New Roman"/>
                <w:b w:val="0"/>
                <w:bCs/>
                <w:color w:val="auto"/>
                <w:sz w:val="21"/>
                <w:szCs w:val="21"/>
                <w:lang w:val="en-US" w:eastAsia="zh-CN"/>
              </w:rPr>
              <w:t>西咸</w:t>
            </w:r>
            <w:r>
              <w:rPr>
                <w:rFonts w:hint="default" w:ascii="Times New Roman" w:hAnsi="Times New Roman" w:eastAsia="宋体" w:cs="Times New Roman"/>
                <w:b w:val="0"/>
                <w:bCs/>
                <w:color w:val="auto"/>
                <w:sz w:val="21"/>
                <w:szCs w:val="21"/>
              </w:rPr>
              <w:t>）WH安许证字【000</w:t>
            </w:r>
            <w:r>
              <w:rPr>
                <w:rFonts w:hint="eastAsia" w:ascii="Times New Roman" w:hAnsi="Times New Roman" w:eastAsia="宋体" w:cs="Times New Roman"/>
                <w:b w:val="0"/>
                <w:bCs/>
                <w:color w:val="auto"/>
                <w:sz w:val="21"/>
                <w:szCs w:val="21"/>
                <w:lang w:val="en-US" w:eastAsia="zh-CN"/>
              </w:rPr>
              <w:t>009</w:t>
            </w:r>
            <w:r>
              <w:rPr>
                <w:rFonts w:hint="default" w:ascii="Times New Roman" w:hAnsi="Times New Roman" w:eastAsia="宋体" w:cs="Times New Roman"/>
                <w:b w:val="0"/>
                <w:bCs/>
                <w:color w:val="auto"/>
                <w:sz w:val="21"/>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restart"/>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排污许可证</w:t>
            </w: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发放单位</w:t>
            </w:r>
          </w:p>
        </w:tc>
        <w:tc>
          <w:tcPr>
            <w:tcW w:w="4556" w:type="dxa"/>
            <w:gridSpan w:val="3"/>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lang w:val="en-US" w:eastAsia="zh-CN"/>
              </w:rPr>
            </w:pPr>
            <w:r>
              <w:rPr>
                <w:rFonts w:hint="default" w:ascii="Times New Roman" w:hAnsi="Times New Roman" w:eastAsia="宋体" w:cs="Times New Roman"/>
                <w:b w:val="0"/>
                <w:bCs/>
                <w:color w:val="auto"/>
                <w:sz w:val="21"/>
                <w:szCs w:val="21"/>
              </w:rPr>
              <w:t>西咸新区</w:t>
            </w:r>
            <w:r>
              <w:rPr>
                <w:rFonts w:hint="eastAsia" w:cs="Times New Roman"/>
                <w:b w:val="0"/>
                <w:bCs/>
                <w:color w:val="auto"/>
                <w:sz w:val="21"/>
                <w:szCs w:val="21"/>
                <w:lang w:val="en-US" w:eastAsia="zh-CN"/>
              </w:rPr>
              <w:t>生态环境局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颁（换）时间</w:t>
            </w:r>
          </w:p>
        </w:tc>
        <w:tc>
          <w:tcPr>
            <w:tcW w:w="2068" w:type="dxa"/>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20</w:t>
            </w:r>
            <w:r>
              <w:rPr>
                <w:rFonts w:hint="eastAsia" w:ascii="Times New Roman" w:hAnsi="Times New Roman" w:eastAsia="宋体" w:cs="Times New Roman"/>
                <w:b w:val="0"/>
                <w:bCs/>
                <w:color w:val="auto"/>
                <w:sz w:val="21"/>
                <w:szCs w:val="21"/>
                <w:lang w:val="en-US" w:eastAsia="zh-CN"/>
              </w:rPr>
              <w:t>20</w:t>
            </w:r>
            <w:r>
              <w:rPr>
                <w:rFonts w:hint="default" w:ascii="Times New Roman" w:hAnsi="Times New Roman" w:eastAsia="宋体" w:cs="Times New Roman"/>
                <w:b w:val="0"/>
                <w:bCs/>
                <w:color w:val="auto"/>
                <w:sz w:val="21"/>
                <w:szCs w:val="21"/>
              </w:rPr>
              <w:t>年</w:t>
            </w:r>
            <w:r>
              <w:rPr>
                <w:rFonts w:hint="eastAsia" w:ascii="Times New Roman" w:hAnsi="Times New Roman" w:eastAsia="宋体" w:cs="Times New Roman"/>
                <w:b w:val="0"/>
                <w:bCs/>
                <w:color w:val="auto"/>
                <w:sz w:val="21"/>
                <w:szCs w:val="21"/>
                <w:lang w:val="en-US" w:eastAsia="zh-CN"/>
              </w:rPr>
              <w:t>11</w:t>
            </w:r>
            <w:r>
              <w:rPr>
                <w:rFonts w:hint="default" w:ascii="Times New Roman" w:hAnsi="Times New Roman" w:eastAsia="宋体" w:cs="Times New Roman"/>
                <w:b w:val="0"/>
                <w:bCs/>
                <w:color w:val="auto"/>
                <w:sz w:val="21"/>
                <w:szCs w:val="21"/>
              </w:rPr>
              <w:t>月2</w:t>
            </w:r>
            <w:r>
              <w:rPr>
                <w:rFonts w:hint="eastAsia" w:ascii="Times New Roman" w:hAnsi="Times New Roman" w:eastAsia="宋体" w:cs="Times New Roman"/>
                <w:b w:val="0"/>
                <w:bCs/>
                <w:color w:val="auto"/>
                <w:sz w:val="21"/>
                <w:szCs w:val="21"/>
                <w:lang w:val="en-US" w:eastAsia="zh-CN"/>
              </w:rPr>
              <w:t>7</w:t>
            </w:r>
            <w:r>
              <w:rPr>
                <w:rFonts w:hint="default" w:ascii="Times New Roman" w:hAnsi="Times New Roman" w:eastAsia="宋体" w:cs="Times New Roman"/>
                <w:b w:val="0"/>
                <w:bCs/>
                <w:color w:val="auto"/>
                <w:sz w:val="21"/>
                <w:szCs w:val="21"/>
              </w:rPr>
              <w:t>日</w:t>
            </w:r>
          </w:p>
        </w:tc>
        <w:tc>
          <w:tcPr>
            <w:tcW w:w="45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编号</w:t>
            </w:r>
          </w:p>
        </w:tc>
        <w:tc>
          <w:tcPr>
            <w:tcW w:w="202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91611103779908249Y001P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restart"/>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环评批复</w:t>
            </w:r>
          </w:p>
        </w:tc>
        <w:tc>
          <w:tcPr>
            <w:tcW w:w="1420" w:type="dxa"/>
            <w:vMerge w:val="restart"/>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批准文号</w:t>
            </w: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咸环函【2008】110号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咸环批复【2011】94号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咸环批复【2013】47号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秦汉管规函【2014】216号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秦汉环函【2017】1号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restart"/>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“三同时”验收</w:t>
            </w:r>
          </w:p>
        </w:tc>
        <w:tc>
          <w:tcPr>
            <w:tcW w:w="1420" w:type="dxa"/>
            <w:vMerge w:val="restart"/>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验收文号</w:t>
            </w: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咸环批复【2010】170号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咸环批复【2012】149号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咸环批复【2015】160号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vMerge w:val="continue"/>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rPr>
            </w:pP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秦汉环批复【2017】28号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restart"/>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突发环境事件应急预案备案表</w:t>
            </w: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受理机构</w:t>
            </w:r>
          </w:p>
        </w:tc>
        <w:tc>
          <w:tcPr>
            <w:tcW w:w="4556" w:type="dxa"/>
            <w:gridSpan w:val="3"/>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咸阳市环境保护局渭城分局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备案时间</w:t>
            </w:r>
          </w:p>
        </w:tc>
        <w:tc>
          <w:tcPr>
            <w:tcW w:w="20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2016年2月24日</w:t>
            </w:r>
          </w:p>
        </w:tc>
        <w:tc>
          <w:tcPr>
            <w:tcW w:w="45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编号</w:t>
            </w:r>
          </w:p>
        </w:tc>
        <w:tc>
          <w:tcPr>
            <w:tcW w:w="202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rPr>
            </w:pPr>
            <w:r>
              <w:rPr>
                <w:rFonts w:hint="default" w:ascii="Times New Roman" w:hAnsi="Times New Roman" w:eastAsia="宋体" w:cs="Times New Roman"/>
                <w:b w:val="0"/>
                <w:bCs/>
                <w:color w:val="auto"/>
                <w:sz w:val="21"/>
                <w:szCs w:val="21"/>
              </w:rPr>
              <w:t>610404-2016-001-H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lang w:val="en-US" w:eastAsia="zh-CN"/>
              </w:rPr>
            </w:pPr>
            <w:r>
              <w:rPr>
                <w:rFonts w:hint="default" w:ascii="Times New Roman" w:hAnsi="Times New Roman" w:eastAsia="宋体" w:cs="Times New Roman"/>
                <w:b w:val="0"/>
                <w:bCs/>
                <w:color w:val="auto"/>
                <w:sz w:val="21"/>
                <w:szCs w:val="21"/>
                <w:lang w:val="en-US" w:eastAsia="zh-CN"/>
              </w:rPr>
              <w:t>受理机构</w:t>
            </w:r>
          </w:p>
        </w:tc>
        <w:tc>
          <w:tcPr>
            <w:tcW w:w="4556" w:type="dxa"/>
            <w:gridSpan w:val="3"/>
            <w:noWrap w:val="0"/>
            <w:vAlign w:val="center"/>
          </w:tcPr>
          <w:p>
            <w:pPr>
              <w:tabs>
                <w:tab w:val="left" w:pos="1848"/>
                <w:tab w:val="left" w:pos="6061"/>
                <w:tab w:val="left" w:pos="8665"/>
              </w:tabs>
              <w:snapToGrid w:val="0"/>
              <w:spacing w:line="340" w:lineRule="exact"/>
              <w:ind w:firstLine="210" w:firstLineChars="100"/>
              <w:jc w:val="center"/>
              <w:rPr>
                <w:rFonts w:hint="default" w:ascii="Times New Roman" w:hAnsi="Times New Roman" w:eastAsia="宋体" w:cs="Times New Roman"/>
                <w:b w:val="0"/>
                <w:bCs/>
                <w:color w:val="auto"/>
                <w:sz w:val="21"/>
                <w:szCs w:val="21"/>
                <w:lang w:val="en-US" w:eastAsia="zh-CN"/>
              </w:rPr>
            </w:pPr>
            <w:r>
              <w:rPr>
                <w:rFonts w:hint="eastAsia" w:cs="Times New Roman"/>
                <w:b w:val="0"/>
                <w:bCs/>
                <w:color w:val="auto"/>
                <w:sz w:val="21"/>
                <w:szCs w:val="21"/>
                <w:lang w:val="en-US" w:eastAsia="zh-CN"/>
              </w:rPr>
              <w:t>秦汉新城生态环境局</w:t>
            </w:r>
          </w:p>
        </w:tc>
      </w:tr>
      <w:tr>
        <w:tblPrEx>
          <w:tblCellMar>
            <w:top w:w="0" w:type="dxa"/>
            <w:left w:w="108" w:type="dxa"/>
            <w:bottom w:w="0" w:type="dxa"/>
            <w:right w:w="108" w:type="dxa"/>
          </w:tblCellMar>
        </w:tblPrEx>
        <w:trPr>
          <w:trHeight w:val="412" w:hRule="atLeast"/>
          <w:jc w:val="center"/>
        </w:trPr>
        <w:tc>
          <w:tcPr>
            <w:tcW w:w="2268" w:type="dxa"/>
            <w:vMerge w:val="continue"/>
            <w:noWrap w:val="0"/>
            <w:vAlign w:val="center"/>
          </w:tcPr>
          <w:p>
            <w:pPr>
              <w:tabs>
                <w:tab w:val="left" w:pos="1848"/>
                <w:tab w:val="left" w:pos="6061"/>
                <w:tab w:val="left" w:pos="8665"/>
              </w:tabs>
              <w:snapToGrid w:val="0"/>
              <w:spacing w:line="340" w:lineRule="exact"/>
              <w:ind w:firstLine="211" w:firstLineChars="100"/>
              <w:jc w:val="center"/>
              <w:rPr>
                <w:rFonts w:hint="default" w:ascii="Times New Roman" w:hAnsi="Times New Roman" w:eastAsia="宋体" w:cs="Times New Roman"/>
                <w:b/>
                <w:color w:val="auto"/>
                <w:sz w:val="21"/>
                <w:szCs w:val="21"/>
              </w:rPr>
            </w:pPr>
          </w:p>
        </w:tc>
        <w:tc>
          <w:tcPr>
            <w:tcW w:w="1420"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lang w:val="en-US" w:eastAsia="zh-CN"/>
              </w:rPr>
            </w:pPr>
            <w:r>
              <w:rPr>
                <w:rFonts w:hint="default" w:ascii="Times New Roman" w:hAnsi="Times New Roman" w:eastAsia="宋体" w:cs="Times New Roman"/>
                <w:b w:val="0"/>
                <w:bCs/>
                <w:color w:val="auto"/>
                <w:sz w:val="21"/>
                <w:szCs w:val="21"/>
                <w:lang w:val="en-US" w:eastAsia="zh-CN"/>
              </w:rPr>
              <w:t>备案时间</w:t>
            </w:r>
          </w:p>
        </w:tc>
        <w:tc>
          <w:tcPr>
            <w:tcW w:w="2068"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2018年10月8号</w:t>
            </w:r>
          </w:p>
        </w:tc>
        <w:tc>
          <w:tcPr>
            <w:tcW w:w="459" w:type="dxa"/>
            <w:noWrap w:val="0"/>
            <w:vAlign w:val="center"/>
          </w:tcPr>
          <w:p>
            <w:pPr>
              <w:tabs>
                <w:tab w:val="left" w:pos="1848"/>
                <w:tab w:val="left" w:pos="6061"/>
                <w:tab w:val="left" w:pos="8665"/>
              </w:tabs>
              <w:snapToGrid w:val="0"/>
              <w:spacing w:line="340" w:lineRule="exact"/>
              <w:jc w:val="both"/>
              <w:rPr>
                <w:rFonts w:hint="eastAsia" w:ascii="Times New Roman" w:hAnsi="Times New Roman" w:eastAsia="宋体" w:cs="Times New Roman"/>
                <w:b w:val="0"/>
                <w:bCs/>
                <w:color w:val="auto"/>
                <w:sz w:val="21"/>
                <w:szCs w:val="21"/>
                <w:lang w:val="en-US" w:eastAsia="zh-CN"/>
              </w:rPr>
            </w:pPr>
            <w:r>
              <w:rPr>
                <w:rFonts w:hint="eastAsia" w:cs="Times New Roman"/>
                <w:b w:val="0"/>
                <w:bCs/>
                <w:color w:val="auto"/>
                <w:sz w:val="21"/>
                <w:szCs w:val="21"/>
                <w:lang w:val="en-US" w:eastAsia="zh-CN"/>
              </w:rPr>
              <w:t>编号</w:t>
            </w:r>
          </w:p>
        </w:tc>
        <w:tc>
          <w:tcPr>
            <w:tcW w:w="2029" w:type="dxa"/>
            <w:noWrap w:val="0"/>
            <w:vAlign w:val="center"/>
          </w:tcPr>
          <w:p>
            <w:pPr>
              <w:tabs>
                <w:tab w:val="left" w:pos="1848"/>
                <w:tab w:val="left" w:pos="6061"/>
                <w:tab w:val="left" w:pos="8665"/>
              </w:tabs>
              <w:snapToGrid w:val="0"/>
              <w:spacing w:line="340" w:lineRule="exact"/>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61123-2018-0028-Q</w:t>
            </w:r>
          </w:p>
        </w:tc>
      </w:tr>
    </w:tbl>
    <w:p>
      <w:pPr>
        <w:spacing w:before="120" w:beforeLines="50" w:after="120" w:afterLines="50" w:line="360" w:lineRule="auto"/>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color w:val="auto"/>
          <w:sz w:val="24"/>
        </w:rPr>
        <w:t>3.1.2</w:t>
      </w:r>
      <w:r>
        <w:rPr>
          <w:rFonts w:hint="default" w:ascii="Times New Roman" w:hAnsi="Times New Roman" w:eastAsia="宋体" w:cs="Times New Roman"/>
          <w:b/>
          <w:bCs/>
          <w:color w:val="auto"/>
          <w:sz w:val="24"/>
        </w:rPr>
        <w:t>自然环境概况</w:t>
      </w:r>
    </w:p>
    <w:p>
      <w:pPr>
        <w:spacing w:line="360" w:lineRule="auto"/>
        <w:jc w:val="left"/>
        <w:rPr>
          <w:rFonts w:hint="default" w:ascii="Times New Roman" w:hAnsi="Times New Roman" w:eastAsia="宋体" w:cs="Times New Roman"/>
          <w:b/>
          <w:color w:val="auto"/>
          <w:sz w:val="24"/>
        </w:rPr>
      </w:pPr>
      <w:bookmarkStart w:id="45" w:name="_Toc358195194"/>
      <w:bookmarkStart w:id="46" w:name="_Toc16748"/>
      <w:bookmarkStart w:id="47" w:name="_Toc477944719"/>
      <w:bookmarkStart w:id="48" w:name="_Toc427166863"/>
      <w:r>
        <w:rPr>
          <w:rFonts w:hint="default" w:ascii="Times New Roman" w:hAnsi="Times New Roman" w:eastAsia="宋体" w:cs="Times New Roman"/>
          <w:b/>
          <w:color w:val="auto"/>
          <w:sz w:val="24"/>
        </w:rPr>
        <w:t>（1）地形地貌</w:t>
      </w:r>
      <w:bookmarkEnd w:id="45"/>
      <w:bookmarkEnd w:id="46"/>
      <w:bookmarkEnd w:id="47"/>
    </w:p>
    <w:p>
      <w:pPr>
        <w:autoSpaceDE w:val="0"/>
        <w:autoSpaceDN w:val="0"/>
        <w:adjustRightInd w:val="0"/>
        <w:spacing w:line="440" w:lineRule="exact"/>
        <w:ind w:firstLine="480" w:firstLineChars="200"/>
        <w:rPr>
          <w:rFonts w:hint="default" w:ascii="Times New Roman" w:hAnsi="Times New Roman" w:eastAsia="宋体" w:cs="Times New Roman"/>
          <w:color w:val="auto"/>
          <w:kern w:val="0"/>
          <w:sz w:val="24"/>
        </w:rPr>
      </w:pPr>
      <w:bookmarkStart w:id="49" w:name="_Toc358195195"/>
      <w:bookmarkStart w:id="50" w:name="_Toc19971"/>
      <w:bookmarkStart w:id="51" w:name="_Toc477944720"/>
      <w:r>
        <w:rPr>
          <w:rFonts w:hint="default" w:ascii="Times New Roman" w:hAnsi="Times New Roman" w:eastAsia="宋体" w:cs="Times New Roman"/>
          <w:color w:val="auto"/>
          <w:sz w:val="24"/>
        </w:rPr>
        <w:t>公司地处</w:t>
      </w:r>
      <w:r>
        <w:rPr>
          <w:rFonts w:hint="default" w:ascii="Times New Roman" w:hAnsi="Times New Roman" w:eastAsia="宋体" w:cs="Times New Roman"/>
          <w:color w:val="auto"/>
          <w:kern w:val="0"/>
          <w:sz w:val="24"/>
        </w:rPr>
        <w:t>秦汉新城地势中部高南北低，北部、中部为冲积平原，自西向东逐渐展宽降低，大部分海拔400m，地势平坦。中部为黄土台塬，位于泾河以南，塬面开阔，地势平坦，海拔为430-500m。南部大致以宝鸡峡高干渠为分界线，为冲积平原区，隔渭河与西安相望。秦汉新城总面积302.2km</w:t>
      </w:r>
      <w:r>
        <w:rPr>
          <w:rFonts w:hint="default" w:ascii="Times New Roman" w:hAnsi="Times New Roman" w:eastAsia="宋体" w:cs="Times New Roman"/>
          <w:color w:val="auto"/>
          <w:kern w:val="0"/>
          <w:sz w:val="24"/>
          <w:vertAlign w:val="superscript"/>
        </w:rPr>
        <w:t>2</w:t>
      </w:r>
      <w:r>
        <w:rPr>
          <w:rFonts w:hint="default" w:ascii="Times New Roman" w:hAnsi="Times New Roman" w:eastAsia="宋体" w:cs="Times New Roman"/>
          <w:color w:val="auto"/>
          <w:kern w:val="0"/>
          <w:sz w:val="24"/>
        </w:rPr>
        <w:t>，其中建设用地50km</w:t>
      </w:r>
      <w:r>
        <w:rPr>
          <w:rFonts w:hint="default" w:ascii="Times New Roman" w:hAnsi="Times New Roman" w:eastAsia="宋体" w:cs="Times New Roman"/>
          <w:color w:val="auto"/>
          <w:kern w:val="0"/>
          <w:sz w:val="24"/>
          <w:vertAlign w:val="superscript"/>
        </w:rPr>
        <w:t>2</w:t>
      </w:r>
      <w:r>
        <w:rPr>
          <w:rFonts w:hint="default" w:ascii="Times New Roman" w:hAnsi="Times New Roman" w:eastAsia="宋体" w:cs="Times New Roman"/>
          <w:color w:val="auto"/>
          <w:kern w:val="0"/>
          <w:sz w:val="24"/>
        </w:rPr>
        <w:t>，遗址保护区面积104km</w:t>
      </w:r>
      <w:r>
        <w:rPr>
          <w:rFonts w:hint="default" w:ascii="Times New Roman" w:hAnsi="Times New Roman" w:eastAsia="宋体" w:cs="Times New Roman"/>
          <w:color w:val="auto"/>
          <w:kern w:val="0"/>
          <w:sz w:val="24"/>
          <w:vertAlign w:val="superscript"/>
        </w:rPr>
        <w:t>2</w:t>
      </w:r>
      <w:r>
        <w:rPr>
          <w:rFonts w:hint="default" w:ascii="Times New Roman" w:hAnsi="Times New Roman" w:eastAsia="宋体" w:cs="Times New Roman"/>
          <w:color w:val="auto"/>
          <w:kern w:val="0"/>
          <w:sz w:val="24"/>
        </w:rPr>
        <w:t>。</w:t>
      </w:r>
    </w:p>
    <w:p>
      <w:pPr>
        <w:spacing w:before="120" w:beforeLines="50" w:after="120" w:afterLines="50" w:line="360" w:lineRule="auto"/>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（2）气候与气象</w:t>
      </w:r>
    </w:p>
    <w:bookmarkEnd w:id="49"/>
    <w:bookmarkEnd w:id="50"/>
    <w:bookmarkEnd w:id="51"/>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咸阳市属暖温带大陆性季风气候，四季分明、雨热同季，多年平均降水量约为500.5mm，年降水量最大值为762.9mm；极端最高气温为42℃；全年日照时数2095.7h，太阳总辐射量为4.7×10</w:t>
      </w:r>
      <w:r>
        <w:rPr>
          <w:rFonts w:hint="default" w:ascii="Times New Roman" w:hAnsi="Times New Roman" w:eastAsia="宋体" w:cs="Times New Roman"/>
          <w:color w:val="auto"/>
          <w:sz w:val="24"/>
          <w:vertAlign w:val="superscript"/>
        </w:rPr>
        <w:t>9</w:t>
      </w:r>
      <w:r>
        <w:rPr>
          <w:rFonts w:hint="default" w:ascii="Times New Roman" w:hAnsi="Times New Roman" w:eastAsia="宋体" w:cs="Times New Roman"/>
          <w:color w:val="auto"/>
          <w:sz w:val="24"/>
        </w:rPr>
        <w:t>j。由于季风气候的不稳定性，常见气象灾害有干旱、连阴雨、暴雨、大雨、大风、冰雹、霜冻、干热风等。全年主导风向为NE，其次为ENE；年平均风速2.5m/s，最大风速18m/s；全年静风频率较高达25%。咸阳市四季风速均较大，多年平均风速2.5m/s，变化范围在2.1～2.9m/s之间，风速季节转换明显。多年平均气温13.0℃。四季代表的风向频率见图3-1。</w:t>
      </w:r>
    </w:p>
    <w:p>
      <w:pPr>
        <w:spacing w:before="120" w:beforeLines="50" w:line="360" w:lineRule="auto"/>
        <w:ind w:firstLine="482" w:firstLineChars="200"/>
        <w:jc w:val="center"/>
        <w:rPr>
          <w:rFonts w:hint="default" w:ascii="Times New Roman" w:hAnsi="Times New Roman" w:eastAsia="宋体" w:cs="Times New Roman"/>
          <w:b/>
          <w:bCs/>
          <w:color w:val="auto"/>
          <w:sz w:val="24"/>
        </w:rPr>
      </w:pPr>
      <w:r>
        <w:rPr>
          <w:rFonts w:hint="default" w:ascii="Times New Roman" w:hAnsi="Times New Roman" w:eastAsia="宋体" w:cs="Times New Roman"/>
          <w:b/>
          <w:color w:val="auto"/>
          <w:sz w:val="24"/>
        </w:rPr>
        <w:drawing>
          <wp:inline distT="0" distB="0" distL="0" distR="0">
            <wp:extent cx="4852670" cy="4055110"/>
            <wp:effectExtent l="19050" t="0" r="4724"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861903" cy="4062583"/>
                    </a:xfrm>
                    <a:prstGeom prst="rect">
                      <a:avLst/>
                    </a:prstGeom>
                    <a:noFill/>
                    <a:ln>
                      <a:noFill/>
                    </a:ln>
                  </pic:spPr>
                </pic:pic>
              </a:graphicData>
            </a:graphic>
          </wp:inline>
        </w:drawing>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图3-1四季代表的风向频率图</w:t>
      </w:r>
    </w:p>
    <w:p>
      <w:pPr>
        <w:spacing w:line="360" w:lineRule="auto"/>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（3）水文</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咸阳市地表水系为渭河。渭河在咸阳境内长约30km，河床宽400～1000m。渭河咸阳段多年平均径流量348000×10</w:t>
      </w:r>
      <w:r>
        <w:rPr>
          <w:rFonts w:hint="default" w:ascii="Times New Roman" w:hAnsi="Times New Roman" w:eastAsia="宋体" w:cs="Times New Roman"/>
          <w:color w:val="auto"/>
          <w:sz w:val="24"/>
          <w:vertAlign w:val="superscript"/>
        </w:rPr>
        <w:t>4</w:t>
      </w:r>
      <w:r>
        <w:rPr>
          <w:rFonts w:hint="default" w:ascii="Times New Roman" w:hAnsi="Times New Roman" w:eastAsia="宋体" w:cs="Times New Roman"/>
          <w:color w:val="auto"/>
          <w:sz w:val="24"/>
        </w:rPr>
        <w:t>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，受降水时间分布不均匀的影响，全年70%的时间河水流量较小，低于平均流量。丰水期水量占全年总水量的70%。</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渭河自西向东沿咸阳市辖区南缘流过，境内长度约30km。水量季节性变化大，最大流量6220m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/s，最小流量3.4m</w:t>
      </w:r>
      <w:r>
        <w:rPr>
          <w:rFonts w:hint="default" w:ascii="Times New Roman" w:hAnsi="Times New Roman" w:eastAsia="宋体" w:cs="Times New Roman"/>
          <w:color w:val="auto"/>
          <w:sz w:val="24"/>
          <w:vertAlign w:val="superscript"/>
        </w:rPr>
        <w:t xml:space="preserve"> 3</w:t>
      </w:r>
      <w:r>
        <w:rPr>
          <w:rFonts w:hint="default" w:ascii="Times New Roman" w:hAnsi="Times New Roman" w:eastAsia="宋体" w:cs="Times New Roman"/>
          <w:color w:val="auto"/>
          <w:sz w:val="24"/>
        </w:rPr>
        <w:t>/s，平均流量76.4m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/s。百年一遇洪水流量9920m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/s，相应水位386.5m（铁路桥处）；河床宽浅，平水期水3.0m，河床比降约1‰，河流南岸有沣河等支流汇入。</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公司所在地周围地下水资源丰富含水层为砂、砾、卵石，厚度30~40m，由南向北逐渐变薄，颗粒由粗变细，属第四纪松散岩孔隙水。经勘探厂区地下水位孔隙型潜水，水质较好。主要接收大气降水和高阶地补给，由北向南向渭河排泄。</w:t>
      </w:r>
    </w:p>
    <w:p>
      <w:pPr>
        <w:spacing w:line="360" w:lineRule="auto"/>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（4）地震</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依据GB50011-2010《建筑抗震设计规范》，项目所在地抗震设防烈度为7度，设计基本地震加速度值0.5g。《咸阳市建设工程抗震设防管理暂行规定》咸政建发（2008）（咸政发〔2008〕55号）规定，中心城市规划区新建、改建、扩建工程，必须按照抗震设防烈度8度（地震加速度值0.20g）来设防，进行抗震设计。因此本项目场区抗震设防烈度为8度，设计基本地震加速度值为0.20g，设计地震分组为第一组，特征周期为0.42s。建筑场地类别：Ⅲ类。</w:t>
      </w:r>
    </w:p>
    <w:p>
      <w:pPr>
        <w:spacing w:before="120" w:beforeLines="50" w:after="120" w:afterLines="50" w:line="360" w:lineRule="auto"/>
        <w:outlineLvl w:val="2"/>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3.1.</w:t>
      </w:r>
      <w:bookmarkEnd w:id="48"/>
      <w:bookmarkStart w:id="52" w:name="_Toc404591415"/>
      <w:bookmarkStart w:id="53" w:name="_Toc404674702"/>
      <w:bookmarkStart w:id="54" w:name="_Toc457287064"/>
      <w:bookmarkStart w:id="55" w:name="_Toc381001128"/>
      <w:bookmarkStart w:id="56" w:name="_Toc402184005"/>
      <w:bookmarkStart w:id="57" w:name="_Toc380403427"/>
      <w:r>
        <w:rPr>
          <w:rFonts w:hint="default" w:ascii="Times New Roman" w:hAnsi="Times New Roman" w:eastAsia="宋体" w:cs="Times New Roman"/>
          <w:b/>
          <w:color w:val="auto"/>
          <w:sz w:val="24"/>
        </w:rPr>
        <w:t>3环境功能区划</w:t>
      </w:r>
      <w:bookmarkEnd w:id="52"/>
      <w:bookmarkEnd w:id="53"/>
      <w:bookmarkEnd w:id="54"/>
      <w:bookmarkEnd w:id="55"/>
      <w:bookmarkEnd w:id="56"/>
      <w:bookmarkEnd w:id="57"/>
      <w:r>
        <w:rPr>
          <w:rFonts w:hint="default" w:ascii="Times New Roman" w:hAnsi="Times New Roman" w:eastAsia="宋体" w:cs="Times New Roman"/>
          <w:b/>
          <w:color w:val="auto"/>
          <w:sz w:val="24"/>
        </w:rPr>
        <w:t>及执行标准</w:t>
      </w:r>
    </w:p>
    <w:p>
      <w:pPr>
        <w:spacing w:line="360" w:lineRule="auto"/>
        <w:ind w:firstLine="480" w:firstLineChars="200"/>
        <w:rPr>
          <w:rFonts w:hint="default" w:ascii="Times New Roman" w:hAnsi="Times New Roman" w:eastAsia="宋体" w:cs="Times New Roman"/>
          <w:color w:val="auto"/>
          <w:sz w:val="24"/>
        </w:rPr>
      </w:pPr>
      <w:bookmarkStart w:id="58" w:name="_Toc286215829"/>
      <w:bookmarkStart w:id="59" w:name="_Toc312333952"/>
      <w:bookmarkStart w:id="60" w:name="_Toc303086378"/>
      <w:r>
        <w:rPr>
          <w:rFonts w:hint="default" w:ascii="Times New Roman" w:hAnsi="Times New Roman" w:eastAsia="宋体" w:cs="Times New Roman"/>
          <w:color w:val="auto"/>
          <w:sz w:val="24"/>
        </w:rPr>
        <w:t>公司环境功能区划及执行标准见表3.1-1。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表3.1-1环境功能区划及执行标准</w:t>
      </w:r>
    </w:p>
    <w:tbl>
      <w:tblPr>
        <w:tblStyle w:val="75"/>
        <w:tblW w:w="8535" w:type="dxa"/>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709"/>
        <w:gridCol w:w="2947"/>
        <w:gridCol w:w="1271"/>
        <w:gridCol w:w="1132"/>
        <w:gridCol w:w="432"/>
        <w:gridCol w:w="567"/>
        <w:gridCol w:w="851"/>
        <w:gridCol w:w="626"/>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61" w:name="_Toc138576715"/>
            <w:bookmarkStart w:id="62" w:name="_Toc138516401"/>
            <w:bookmarkStart w:id="63" w:name="_Toc139182974"/>
            <w:bookmarkStart w:id="64" w:name="_Toc138563110"/>
            <w:r>
              <w:rPr>
                <w:rFonts w:hint="default" w:ascii="Times New Roman" w:hAnsi="Times New Roman" w:eastAsia="宋体" w:cs="Times New Roman"/>
                <w:color w:val="auto"/>
                <w:szCs w:val="21"/>
              </w:rPr>
              <w:t>类别</w:t>
            </w:r>
            <w:bookmarkEnd w:id="61"/>
            <w:bookmarkEnd w:id="62"/>
            <w:bookmarkEnd w:id="63"/>
            <w:bookmarkEnd w:id="64"/>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65" w:name="_Toc138563111"/>
            <w:bookmarkStart w:id="66" w:name="_Toc138516402"/>
            <w:bookmarkStart w:id="67" w:name="_Toc138576716"/>
            <w:bookmarkStart w:id="68" w:name="_Toc139182975"/>
            <w:r>
              <w:rPr>
                <w:rFonts w:hint="default" w:ascii="Times New Roman" w:hAnsi="Times New Roman" w:eastAsia="宋体" w:cs="Times New Roman"/>
                <w:color w:val="auto"/>
                <w:szCs w:val="21"/>
              </w:rPr>
              <w:t>标准名称及级(类)别</w:t>
            </w:r>
            <w:bookmarkEnd w:id="65"/>
            <w:bookmarkEnd w:id="66"/>
            <w:bookmarkEnd w:id="67"/>
            <w:bookmarkEnd w:id="68"/>
          </w:p>
        </w:tc>
        <w:tc>
          <w:tcPr>
            <w:tcW w:w="1271"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69" w:name="_Toc138576717"/>
            <w:bookmarkStart w:id="70" w:name="_Toc139182976"/>
            <w:bookmarkStart w:id="71" w:name="_Toc138563112"/>
            <w:bookmarkStart w:id="72" w:name="_Toc138516403"/>
            <w:r>
              <w:rPr>
                <w:rFonts w:hint="default" w:ascii="Times New Roman" w:hAnsi="Times New Roman" w:eastAsia="宋体" w:cs="Times New Roman"/>
                <w:color w:val="auto"/>
                <w:szCs w:val="21"/>
              </w:rPr>
              <w:t>污染</w:t>
            </w:r>
            <w:bookmarkEnd w:id="69"/>
            <w:bookmarkEnd w:id="70"/>
            <w:bookmarkStart w:id="73" w:name="_Toc138576718"/>
            <w:bookmarkStart w:id="74" w:name="_Toc139182977"/>
            <w:r>
              <w:rPr>
                <w:rFonts w:hint="default" w:ascii="Times New Roman" w:hAnsi="Times New Roman" w:eastAsia="宋体" w:cs="Times New Roman"/>
                <w:color w:val="auto"/>
                <w:szCs w:val="21"/>
              </w:rPr>
              <w:t>因子</w:t>
            </w:r>
            <w:bookmarkEnd w:id="71"/>
            <w:bookmarkEnd w:id="72"/>
            <w:bookmarkEnd w:id="73"/>
            <w:bookmarkEnd w:id="74"/>
          </w:p>
        </w:tc>
        <w:tc>
          <w:tcPr>
            <w:tcW w:w="3608" w:type="dxa"/>
            <w:gridSpan w:val="5"/>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75" w:name="_Toc138576719"/>
            <w:bookmarkStart w:id="76" w:name="_Toc139182978"/>
            <w:bookmarkStart w:id="77" w:name="_Toc138563113"/>
            <w:bookmarkStart w:id="78" w:name="_Toc138516404"/>
            <w:r>
              <w:rPr>
                <w:rFonts w:hint="default" w:ascii="Times New Roman" w:hAnsi="Times New Roman" w:eastAsia="宋体" w:cs="Times New Roman"/>
                <w:color w:val="auto"/>
                <w:szCs w:val="21"/>
              </w:rPr>
              <w:t>标准值</w:t>
            </w:r>
            <w:bookmarkEnd w:id="75"/>
            <w:bookmarkEnd w:id="76"/>
            <w:bookmarkEnd w:id="77"/>
            <w:bookmarkEnd w:id="78"/>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564"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79" w:name="_Toc138516405"/>
            <w:bookmarkStart w:id="80" w:name="_Toc138563114"/>
            <w:bookmarkStart w:id="81" w:name="_Toc138576720"/>
            <w:bookmarkStart w:id="82" w:name="_Toc139182979"/>
            <w:r>
              <w:rPr>
                <w:rFonts w:hint="default" w:ascii="Times New Roman" w:hAnsi="Times New Roman" w:eastAsia="宋体" w:cs="Times New Roman"/>
                <w:color w:val="auto"/>
                <w:szCs w:val="21"/>
              </w:rPr>
              <w:t>单位</w:t>
            </w:r>
            <w:bookmarkEnd w:id="79"/>
            <w:bookmarkEnd w:id="80"/>
            <w:bookmarkEnd w:id="81"/>
            <w:bookmarkEnd w:id="82"/>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83" w:name="_Toc138516406"/>
            <w:bookmarkStart w:id="84" w:name="_Toc138563115"/>
            <w:bookmarkStart w:id="85" w:name="_Toc138576721"/>
            <w:bookmarkStart w:id="86" w:name="_Toc139182980"/>
            <w:r>
              <w:rPr>
                <w:rFonts w:hint="default" w:ascii="Times New Roman" w:hAnsi="Times New Roman" w:eastAsia="宋体" w:cs="Times New Roman"/>
                <w:color w:val="auto"/>
                <w:szCs w:val="21"/>
              </w:rPr>
              <w:t>数值</w:t>
            </w:r>
            <w:bookmarkEnd w:id="83"/>
            <w:bookmarkEnd w:id="84"/>
            <w:bookmarkEnd w:id="85"/>
            <w:bookmarkEnd w:id="86"/>
            <w:r>
              <w:rPr>
                <w:rFonts w:hint="default" w:ascii="Times New Roman" w:hAnsi="Times New Roman" w:eastAsia="宋体" w:cs="Times New Roman"/>
                <w:color w:val="auto"/>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87" w:name="_Toc138563116"/>
            <w:bookmarkStart w:id="88" w:name="_Toc138576722"/>
            <w:bookmarkStart w:id="89" w:name="_Toc139182981"/>
            <w:bookmarkStart w:id="90" w:name="_Toc138516407"/>
            <w:r>
              <w:rPr>
                <w:rFonts w:hint="default" w:ascii="Times New Roman" w:hAnsi="Times New Roman" w:eastAsia="宋体" w:cs="Times New Roman"/>
                <w:color w:val="auto"/>
                <w:szCs w:val="21"/>
              </w:rPr>
              <w:t>环</w:t>
            </w:r>
            <w:bookmarkEnd w:id="87"/>
            <w:bookmarkEnd w:id="88"/>
            <w:bookmarkEnd w:id="89"/>
            <w:bookmarkEnd w:id="90"/>
            <w:bookmarkStart w:id="91" w:name="_Toc138516408"/>
            <w:bookmarkStart w:id="92" w:name="_Toc139182982"/>
            <w:bookmarkStart w:id="93" w:name="_Toc138563117"/>
            <w:bookmarkStart w:id="94" w:name="_Toc138576723"/>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境</w:t>
            </w:r>
            <w:bookmarkEnd w:id="91"/>
            <w:bookmarkEnd w:id="92"/>
            <w:bookmarkEnd w:id="93"/>
            <w:bookmarkEnd w:id="94"/>
          </w:p>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95" w:name="_Toc139182983"/>
            <w:bookmarkStart w:id="96" w:name="_Toc138576724"/>
            <w:bookmarkStart w:id="97" w:name="_Toc138563118"/>
            <w:bookmarkStart w:id="98" w:name="_Toc138516409"/>
            <w:r>
              <w:rPr>
                <w:rFonts w:hint="default" w:ascii="Times New Roman" w:hAnsi="Times New Roman" w:eastAsia="宋体" w:cs="Times New Roman"/>
                <w:color w:val="auto"/>
                <w:szCs w:val="21"/>
              </w:rPr>
              <w:t>空</w:t>
            </w:r>
            <w:bookmarkEnd w:id="95"/>
            <w:bookmarkEnd w:id="96"/>
            <w:bookmarkEnd w:id="97"/>
            <w:bookmarkEnd w:id="98"/>
            <w:bookmarkStart w:id="99" w:name="_Toc138563119"/>
            <w:bookmarkStart w:id="100" w:name="_Toc138576725"/>
            <w:bookmarkStart w:id="101" w:name="_Toc138516410"/>
            <w:bookmarkStart w:id="102" w:name="_Toc139182984"/>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气</w:t>
            </w:r>
            <w:bookmarkEnd w:id="99"/>
            <w:bookmarkEnd w:id="100"/>
            <w:bookmarkEnd w:id="101"/>
            <w:bookmarkEnd w:id="102"/>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03" w:name="_Toc138516411"/>
            <w:bookmarkStart w:id="104" w:name="_Toc139182985"/>
            <w:bookmarkStart w:id="105" w:name="_Toc138563120"/>
            <w:bookmarkStart w:id="106" w:name="_Toc138576726"/>
            <w:r>
              <w:rPr>
                <w:rFonts w:hint="default" w:ascii="Times New Roman" w:hAnsi="Times New Roman" w:eastAsia="宋体" w:cs="Times New Roman"/>
                <w:color w:val="auto"/>
                <w:szCs w:val="21"/>
              </w:rPr>
              <w:t>《环境空气质量标准》（GB3095-2012）二级标准</w:t>
            </w:r>
            <w:bookmarkEnd w:id="103"/>
            <w:bookmarkEnd w:id="104"/>
            <w:bookmarkEnd w:id="105"/>
            <w:bookmarkEnd w:id="106"/>
          </w:p>
        </w:tc>
        <w:tc>
          <w:tcPr>
            <w:tcW w:w="1271"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07" w:name="_Toc138576728"/>
            <w:bookmarkStart w:id="108" w:name="_Toc138516413"/>
            <w:bookmarkStart w:id="109" w:name="_Toc138563122"/>
            <w:bookmarkStart w:id="110" w:name="_Toc139182987"/>
            <w:r>
              <w:rPr>
                <w:rFonts w:hint="default" w:ascii="Times New Roman" w:hAnsi="Times New Roman" w:eastAsia="宋体" w:cs="Times New Roman"/>
                <w:color w:val="auto"/>
                <w:szCs w:val="21"/>
              </w:rPr>
              <w:t>SO</w:t>
            </w:r>
            <w:r>
              <w:rPr>
                <w:rFonts w:hint="default" w:ascii="Times New Roman" w:hAnsi="Times New Roman" w:eastAsia="宋体" w:cs="Times New Roman"/>
                <w:color w:val="auto"/>
                <w:szCs w:val="21"/>
                <w:vertAlign w:val="subscript"/>
              </w:rPr>
              <w:t>2</w:t>
            </w:r>
            <w:bookmarkEnd w:id="107"/>
            <w:bookmarkEnd w:id="108"/>
            <w:bookmarkEnd w:id="109"/>
            <w:bookmarkEnd w:id="110"/>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24小时平均</w:t>
            </w:r>
          </w:p>
        </w:tc>
        <w:tc>
          <w:tcPr>
            <w:tcW w:w="432"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11" w:name="_Toc139183012"/>
            <w:bookmarkStart w:id="112" w:name="_Toc138516438"/>
            <w:bookmarkStart w:id="113" w:name="_Toc138563147"/>
            <w:bookmarkStart w:id="114" w:name="_Toc138576753"/>
            <w:r>
              <w:rPr>
                <w:rFonts w:hint="default" w:ascii="Times New Roman" w:hAnsi="Times New Roman" w:eastAsia="宋体" w:cs="Times New Roman"/>
                <w:color w:val="auto"/>
                <w:szCs w:val="21"/>
              </w:rPr>
              <w:t>μg/m</w:t>
            </w:r>
            <w:r>
              <w:rPr>
                <w:rFonts w:hint="default" w:ascii="Times New Roman" w:hAnsi="Times New Roman" w:eastAsia="宋体" w:cs="Times New Roman"/>
                <w:color w:val="auto"/>
                <w:szCs w:val="21"/>
                <w:vertAlign w:val="superscript"/>
              </w:rPr>
              <w:t>3</w:t>
            </w:r>
            <w:bookmarkEnd w:id="111"/>
            <w:bookmarkEnd w:id="112"/>
            <w:bookmarkEnd w:id="113"/>
            <w:bookmarkEnd w:id="114"/>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15" w:name="_Toc138563129"/>
            <w:bookmarkStart w:id="116" w:name="_Toc138516420"/>
            <w:bookmarkStart w:id="117" w:name="_Toc139182994"/>
            <w:bookmarkStart w:id="118" w:name="_Toc138576735"/>
            <w:r>
              <w:rPr>
                <w:rFonts w:hint="default" w:ascii="Times New Roman" w:hAnsi="Times New Roman" w:eastAsia="宋体" w:cs="Times New Roman"/>
                <w:color w:val="auto"/>
                <w:szCs w:val="21"/>
              </w:rPr>
              <w:t>1小时平均</w:t>
            </w:r>
            <w:bookmarkEnd w:id="115"/>
            <w:bookmarkEnd w:id="116"/>
            <w:bookmarkEnd w:id="117"/>
            <w:bookmarkEnd w:id="118"/>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PM</w:t>
            </w:r>
            <w:r>
              <w:rPr>
                <w:rFonts w:hint="default" w:ascii="Times New Roman" w:hAnsi="Times New Roman" w:eastAsia="宋体" w:cs="Times New Roman"/>
                <w:color w:val="auto"/>
                <w:szCs w:val="21"/>
                <w:vertAlign w:val="subscript"/>
              </w:rPr>
              <w:t>10</w:t>
            </w: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24小时平均</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19" w:name="_Toc139183004"/>
            <w:bookmarkStart w:id="120" w:name="_Toc138576745"/>
            <w:bookmarkStart w:id="121" w:name="_Toc138516430"/>
            <w:bookmarkStart w:id="122" w:name="_Toc138563139"/>
            <w:r>
              <w:rPr>
                <w:rFonts w:hint="default" w:ascii="Times New Roman" w:hAnsi="Times New Roman" w:eastAsia="宋体" w:cs="Times New Roman"/>
                <w:color w:val="auto"/>
                <w:szCs w:val="21"/>
              </w:rPr>
              <w:t>NO</w:t>
            </w:r>
            <w:r>
              <w:rPr>
                <w:rFonts w:hint="default" w:ascii="Times New Roman" w:hAnsi="Times New Roman" w:eastAsia="宋体" w:cs="Times New Roman"/>
                <w:color w:val="auto"/>
                <w:szCs w:val="21"/>
                <w:vertAlign w:val="subscript"/>
              </w:rPr>
              <w:t>2</w:t>
            </w:r>
            <w:bookmarkEnd w:id="119"/>
            <w:bookmarkEnd w:id="120"/>
            <w:bookmarkEnd w:id="121"/>
            <w:bookmarkEnd w:id="122"/>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24小时平均</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90" w:hRule="atLeast"/>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23" w:name="_Toc139183011"/>
            <w:bookmarkStart w:id="124" w:name="_Toc138576752"/>
            <w:bookmarkStart w:id="125" w:name="_Toc138563146"/>
            <w:bookmarkStart w:id="126" w:name="_Toc138516437"/>
            <w:r>
              <w:rPr>
                <w:rFonts w:hint="default" w:ascii="Times New Roman" w:hAnsi="Times New Roman" w:eastAsia="宋体" w:cs="Times New Roman"/>
                <w:color w:val="auto"/>
                <w:szCs w:val="21"/>
              </w:rPr>
              <w:t>1小时平均</w:t>
            </w:r>
            <w:bookmarkEnd w:id="123"/>
            <w:bookmarkEnd w:id="124"/>
            <w:bookmarkEnd w:id="125"/>
            <w:bookmarkEnd w:id="126"/>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《大气污染物综合排放标准</w:t>
            </w:r>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（详解）》</w:t>
            </w: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小时值</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widowControl/>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rPr>
              <w:t>《工业企业设计卫生标准》（TJ36-79）</w:t>
            </w:r>
          </w:p>
        </w:tc>
        <w:tc>
          <w:tcPr>
            <w:tcW w:w="1271"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lang w:val="zh-CN"/>
              </w:rPr>
              <w:t>甲醇</w:t>
            </w: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一次</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日平均</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1271"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苯</w:t>
            </w: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一次</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2400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日平均</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二甲苯</w:t>
            </w: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一次</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widowControl/>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《前苏联居民区大气中有害物质的最大允许浓度》（CH245-71）</w:t>
            </w:r>
          </w:p>
        </w:tc>
        <w:tc>
          <w:tcPr>
            <w:tcW w:w="1271"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甲苯</w:t>
            </w: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最大一次</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132"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昼夜平均</w:t>
            </w:r>
          </w:p>
        </w:tc>
        <w:tc>
          <w:tcPr>
            <w:tcW w:w="432"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27" w:name="_Toc138563173"/>
            <w:bookmarkStart w:id="128" w:name="_Toc139183038"/>
            <w:bookmarkStart w:id="129" w:name="_Toc138576779"/>
            <w:bookmarkStart w:id="130" w:name="_Toc138516464"/>
            <w:r>
              <w:rPr>
                <w:rFonts w:hint="default" w:ascii="Times New Roman" w:hAnsi="Times New Roman" w:eastAsia="宋体" w:cs="Times New Roman"/>
                <w:color w:val="auto"/>
                <w:szCs w:val="21"/>
              </w:rPr>
              <w:t>地</w:t>
            </w:r>
            <w:bookmarkEnd w:id="127"/>
            <w:bookmarkEnd w:id="128"/>
            <w:bookmarkEnd w:id="129"/>
            <w:bookmarkEnd w:id="130"/>
            <w:bookmarkStart w:id="131" w:name="_Toc138516465"/>
            <w:bookmarkStart w:id="132" w:name="_Toc139183039"/>
            <w:bookmarkStart w:id="133" w:name="_Toc138576780"/>
            <w:bookmarkStart w:id="134" w:name="_Toc138563174"/>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表</w:t>
            </w:r>
            <w:bookmarkEnd w:id="131"/>
            <w:bookmarkEnd w:id="132"/>
            <w:bookmarkEnd w:id="133"/>
            <w:bookmarkEnd w:id="134"/>
            <w:bookmarkStart w:id="135" w:name="_Toc138576781"/>
            <w:bookmarkStart w:id="136" w:name="_Toc138563175"/>
            <w:bookmarkStart w:id="137" w:name="_Toc139183040"/>
            <w:bookmarkStart w:id="138" w:name="_Toc138516466"/>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水</w:t>
            </w:r>
            <w:bookmarkEnd w:id="135"/>
            <w:bookmarkEnd w:id="136"/>
            <w:bookmarkEnd w:id="137"/>
            <w:bookmarkEnd w:id="138"/>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39" w:name="_Toc138563194"/>
            <w:bookmarkStart w:id="140" w:name="_Toc139183059"/>
            <w:bookmarkStart w:id="141" w:name="_Toc138516485"/>
            <w:bookmarkStart w:id="142" w:name="_Toc138576800"/>
            <w:r>
              <w:rPr>
                <w:rFonts w:hint="default" w:ascii="Times New Roman" w:hAnsi="Times New Roman" w:eastAsia="宋体" w:cs="Times New Roman"/>
                <w:color w:val="auto"/>
                <w:szCs w:val="21"/>
              </w:rPr>
              <w:t>《地表水环境质量标准》（GB3838-2002）Ⅳ类标准</w:t>
            </w:r>
            <w:bookmarkEnd w:id="139"/>
            <w:bookmarkEnd w:id="140"/>
            <w:bookmarkEnd w:id="141"/>
            <w:bookmarkEnd w:id="142"/>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widowControl/>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pH值</w:t>
            </w:r>
          </w:p>
        </w:tc>
        <w:tc>
          <w:tcPr>
            <w:tcW w:w="1564"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43" w:name="_Toc138516469"/>
            <w:bookmarkStart w:id="144" w:name="_Toc139183043"/>
            <w:bookmarkStart w:id="145" w:name="_Toc138563178"/>
            <w:bookmarkStart w:id="146" w:name="_Toc138576784"/>
            <w:r>
              <w:rPr>
                <w:rFonts w:hint="default" w:ascii="Times New Roman" w:hAnsi="Times New Roman" w:eastAsia="宋体" w:cs="Times New Roman"/>
                <w:color w:val="auto"/>
                <w:szCs w:val="21"/>
              </w:rPr>
              <w:t>无量纲</w:t>
            </w:r>
            <w:bookmarkEnd w:id="143"/>
            <w:bookmarkEnd w:id="144"/>
            <w:bookmarkEnd w:id="145"/>
            <w:bookmarkEnd w:id="146"/>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utoSpaceDE w:val="0"/>
              <w:autoSpaceDN w:val="0"/>
              <w:adjustRightIn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6-9</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溶解氧</w:t>
            </w:r>
          </w:p>
        </w:tc>
        <w:tc>
          <w:tcPr>
            <w:tcW w:w="1564" w:type="dxa"/>
            <w:gridSpan w:val="2"/>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bookmarkStart w:id="147" w:name="_Toc138563196"/>
            <w:bookmarkStart w:id="148" w:name="_Toc139183061"/>
            <w:bookmarkStart w:id="149" w:name="_Toc138516487"/>
            <w:bookmarkStart w:id="150" w:name="_Toc138576802"/>
            <w:r>
              <w:rPr>
                <w:rFonts w:hint="default" w:ascii="Times New Roman" w:hAnsi="Times New Roman" w:eastAsia="宋体" w:cs="Times New Roman"/>
                <w:color w:val="auto"/>
                <w:szCs w:val="21"/>
              </w:rPr>
              <w:t>mg/L</w:t>
            </w:r>
            <w:bookmarkEnd w:id="147"/>
            <w:bookmarkEnd w:id="148"/>
            <w:bookmarkEnd w:id="149"/>
            <w:bookmarkEnd w:id="150"/>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高锰酸盐指数</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生化需氧量</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总氮</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挥发酚</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氰化物</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砷</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汞</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六价铬</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铅</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镉</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石油类</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总磷</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铜</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锌</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氟化物</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硫化物</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粪大肠菌群</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化学需氧量</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氨氮</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地</w:t>
            </w:r>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下</w:t>
            </w:r>
          </w:p>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水</w:t>
            </w:r>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《地下水质量标准》（GB/T14848-93）中的Ⅲ类标准</w:t>
            </w: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pH值</w:t>
            </w:r>
          </w:p>
        </w:tc>
        <w:tc>
          <w:tcPr>
            <w:tcW w:w="1564"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无量纲</w:t>
            </w: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6.5-8.5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氨氮</w:t>
            </w:r>
          </w:p>
        </w:tc>
        <w:tc>
          <w:tcPr>
            <w:tcW w:w="1564" w:type="dxa"/>
            <w:gridSpan w:val="2"/>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mg/L</w:t>
            </w: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挥发性酚</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氟化物</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氰化物</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高锰酸盐指数</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硫酸盐</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≤250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石油类</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≤0.05</w:t>
            </w:r>
            <w:r>
              <w:rPr>
                <w:rFonts w:hint="default" w:ascii="Times New Roman" w:hAnsi="Times New Roman" w:eastAsia="宋体" w:cs="Times New Roman"/>
                <w:b/>
                <w:color w:val="auto"/>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苯</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w:t>
            </w:r>
            <w:r>
              <w:rPr>
                <w:rFonts w:hint="default" w:ascii="Times New Roman" w:hAnsi="Times New Roman" w:eastAsia="宋体" w:cs="Times New Roman"/>
                <w:b/>
                <w:color w:val="auto"/>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甲苯</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0.7</w:t>
            </w:r>
            <w:r>
              <w:rPr>
                <w:rFonts w:hint="default" w:ascii="Times New Roman" w:hAnsi="Times New Roman" w:eastAsia="宋体" w:cs="Times New Roman"/>
                <w:b/>
                <w:color w:val="auto"/>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55" w:hRule="atLeast"/>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二甲苯</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0.5</w:t>
            </w:r>
            <w:r>
              <w:rPr>
                <w:rFonts w:hint="default" w:ascii="Times New Roman" w:hAnsi="Times New Roman" w:eastAsia="宋体" w:cs="Times New Roman"/>
                <w:b/>
                <w:color w:val="auto"/>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土壤</w:t>
            </w:r>
          </w:p>
        </w:tc>
        <w:tc>
          <w:tcPr>
            <w:tcW w:w="2947" w:type="dxa"/>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《土壤环境质量标准》（GB15618-1995）二级标准</w:t>
            </w: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pH</w:t>
            </w:r>
          </w:p>
        </w:tc>
        <w:tc>
          <w:tcPr>
            <w:tcW w:w="1564"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无量纲</w:t>
            </w: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﹤6.5</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6.5～7.5</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镉</w:t>
            </w:r>
          </w:p>
        </w:tc>
        <w:tc>
          <w:tcPr>
            <w:tcW w:w="1564" w:type="dxa"/>
            <w:gridSpan w:val="2"/>
            <w:vMerge w:val="restart"/>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mg/kg</w:t>
            </w: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0.6</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汞</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0.5</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砷</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40</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铜</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50</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铅</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250</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350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铬</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250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锌</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250</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镍</w:t>
            </w:r>
          </w:p>
        </w:tc>
        <w:tc>
          <w:tcPr>
            <w:tcW w:w="1564" w:type="dxa"/>
            <w:gridSpan w:val="2"/>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56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40</w:t>
            </w:r>
          </w:p>
        </w:tc>
        <w:tc>
          <w:tcPr>
            <w:tcW w:w="85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50</w:t>
            </w:r>
          </w:p>
        </w:tc>
        <w:tc>
          <w:tcPr>
            <w:tcW w:w="62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jc w:val="center"/>
        </w:trPr>
        <w:tc>
          <w:tcPr>
            <w:tcW w:w="709" w:type="dxa"/>
            <w:vMerge w:val="continue"/>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p>
        </w:tc>
        <w:tc>
          <w:tcPr>
            <w:tcW w:w="2947"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国家展会用地土壤环境质量标准（HJ350-2007）</w:t>
            </w:r>
          </w:p>
        </w:tc>
        <w:tc>
          <w:tcPr>
            <w:tcW w:w="1271" w:type="dxa"/>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总石油烃</w:t>
            </w:r>
          </w:p>
        </w:tc>
        <w:tc>
          <w:tcPr>
            <w:tcW w:w="1564" w:type="dxa"/>
            <w:gridSpan w:val="2"/>
            <w:tcBorders>
              <w:top w:val="single" w:color="auto" w:sz="4" w:space="0"/>
              <w:left w:val="single" w:color="auto" w:sz="4" w:space="0"/>
              <w:bottom w:val="single" w:color="auto" w:sz="4" w:space="0"/>
              <w:right w:val="single" w:color="auto" w:sz="4" w:space="0"/>
            </w:tcBorders>
            <w:tcMar>
              <w:left w:w="0" w:type="dxa"/>
              <w:right w:w="0" w:type="dxa"/>
            </w:tcMar>
            <w:vAlign w:val="center"/>
          </w:tcPr>
          <w:p>
            <w:pPr>
              <w:tabs>
                <w:tab w:val="left" w:pos="7755"/>
              </w:tabs>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mg/kg</w:t>
            </w:r>
          </w:p>
        </w:tc>
        <w:tc>
          <w:tcPr>
            <w:tcW w:w="2044" w:type="dxa"/>
            <w:gridSpan w:val="3"/>
            <w:tcBorders>
              <w:top w:val="single" w:color="auto" w:sz="4" w:space="0"/>
              <w:left w:val="single" w:color="auto" w:sz="4" w:space="0"/>
              <w:bottom w:val="single" w:color="auto" w:sz="4" w:space="0"/>
              <w:right w:val="single" w:color="auto" w:sz="4" w:space="0"/>
            </w:tcBorders>
            <w:tcMar>
              <w:left w:w="0" w:type="dxa"/>
              <w:right w:w="0" w:type="dxa"/>
            </w:tcMar>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1000</w:t>
            </w:r>
          </w:p>
        </w:tc>
      </w:tr>
    </w:tbl>
    <w:p>
      <w:pPr>
        <w:pStyle w:val="7"/>
        <w:spacing w:line="60" w:lineRule="auto"/>
        <w:ind w:firstLine="479" w:firstLineChars="199"/>
        <w:jc w:val="center"/>
        <w:rPr>
          <w:rFonts w:hint="default" w:ascii="Times New Roman" w:hAnsi="Times New Roman" w:eastAsia="宋体" w:cs="Times New Roman"/>
          <w:b/>
          <w:color w:val="auto"/>
          <w:szCs w:val="21"/>
        </w:rPr>
      </w:pPr>
    </w:p>
    <w:p>
      <w:pPr>
        <w:tabs>
          <w:tab w:val="left" w:pos="7755"/>
        </w:tabs>
        <w:adjustRightInd w:val="0"/>
        <w:snapToGrid w:val="0"/>
        <w:rPr>
          <w:rFonts w:hint="default" w:ascii="Times New Roman" w:hAnsi="Times New Roman" w:eastAsia="宋体" w:cs="Times New Roman"/>
          <w:b w:val="0"/>
          <w:bCs w:val="0"/>
          <w:color w:val="auto"/>
          <w:kern w:val="0"/>
          <w:sz w:val="18"/>
          <w:szCs w:val="18"/>
        </w:rPr>
      </w:pPr>
      <w:r>
        <w:rPr>
          <w:rFonts w:hint="default" w:ascii="Times New Roman" w:hAnsi="Times New Roman" w:eastAsia="宋体" w:cs="Times New Roman"/>
          <w:b w:val="0"/>
          <w:bCs w:val="0"/>
          <w:color w:val="auto"/>
          <w:kern w:val="0"/>
          <w:sz w:val="18"/>
          <w:szCs w:val="18"/>
        </w:rPr>
        <w:t>注：*代表石油类、苯、甲苯、二甲苯的标准值参照《地表水环境质量标准》（GB3838-2002）表1中Ⅲ类和表3中集中式生活饮用水地表水源地特定项目标准限值。</w:t>
      </w:r>
    </w:p>
    <w:p>
      <w:pPr>
        <w:pStyle w:val="2"/>
        <w:spacing w:before="120" w:beforeLines="50" w:after="120" w:afterLines="50" w:line="360" w:lineRule="auto"/>
        <w:jc w:val="left"/>
        <w:outlineLvl w:val="0"/>
        <w:rPr>
          <w:rFonts w:hint="default" w:ascii="Times New Roman" w:hAnsi="Times New Roman" w:eastAsia="宋体" w:cs="Times New Roman"/>
          <w:color w:val="auto"/>
          <w:sz w:val="28"/>
          <w:szCs w:val="28"/>
        </w:rPr>
      </w:pPr>
      <w:bookmarkStart w:id="151" w:name="_Toc457554825"/>
      <w:bookmarkEnd w:id="151"/>
      <w:bookmarkStart w:id="152" w:name="_Toc523580094"/>
      <w:bookmarkStart w:id="153" w:name="_Toc15203"/>
      <w:r>
        <w:rPr>
          <w:rFonts w:hint="default" w:ascii="Times New Roman" w:hAnsi="Times New Roman" w:eastAsia="宋体" w:cs="Times New Roman"/>
          <w:color w:val="auto"/>
          <w:sz w:val="28"/>
          <w:szCs w:val="28"/>
        </w:rPr>
        <w:t>3.2周边环境风险受体情况</w:t>
      </w:r>
      <w:bookmarkEnd w:id="152"/>
      <w:bookmarkEnd w:id="153"/>
    </w:p>
    <w:p>
      <w:pPr>
        <w:pStyle w:val="280"/>
        <w:spacing w:line="360" w:lineRule="auto"/>
        <w:ind w:firstLine="480" w:firstLineChars="200"/>
        <w:rPr>
          <w:rFonts w:hint="default" w:ascii="Times New Roman" w:hAnsi="Times New Roman" w:eastAsia="宋体" w:cs="Times New Roman"/>
          <w:color w:val="auto"/>
          <w:kern w:val="2"/>
          <w:sz w:val="24"/>
          <w:szCs w:val="24"/>
        </w:rPr>
      </w:pPr>
      <w:r>
        <w:rPr>
          <w:rFonts w:hint="default" w:ascii="Times New Roman" w:hAnsi="Times New Roman" w:eastAsia="宋体" w:cs="Times New Roman"/>
          <w:color w:val="auto"/>
          <w:kern w:val="2"/>
          <w:sz w:val="24"/>
          <w:szCs w:val="24"/>
        </w:rPr>
        <w:t>公司位于</w:t>
      </w:r>
      <w:r>
        <w:rPr>
          <w:rFonts w:hint="default" w:ascii="Times New Roman" w:hAnsi="Times New Roman" w:eastAsia="宋体" w:cs="Times New Roman"/>
          <w:color w:val="auto"/>
          <w:sz w:val="24"/>
        </w:rPr>
        <w:t>西咸新区秦汉新城金旭大道1号</w:t>
      </w:r>
      <w:r>
        <w:rPr>
          <w:rFonts w:hint="default" w:ascii="Times New Roman" w:hAnsi="Times New Roman" w:eastAsia="宋体" w:cs="Times New Roman"/>
          <w:color w:val="auto"/>
          <w:kern w:val="2"/>
          <w:sz w:val="24"/>
          <w:szCs w:val="24"/>
        </w:rPr>
        <w:t>，</w:t>
      </w:r>
      <w:r>
        <w:rPr>
          <w:rFonts w:hint="default" w:ascii="Times New Roman" w:hAnsi="Times New Roman" w:eastAsia="宋体" w:cs="Times New Roman"/>
          <w:color w:val="auto"/>
          <w:sz w:val="24"/>
        </w:rPr>
        <w:t>朝阳四路以东，朝阳五路以西，咸铜铁路以南，金旭路以北区。</w:t>
      </w:r>
      <w:r>
        <w:rPr>
          <w:rFonts w:hint="default" w:ascii="Times New Roman" w:hAnsi="Times New Roman" w:eastAsia="宋体" w:cs="Times New Roman"/>
          <w:color w:val="auto"/>
          <w:kern w:val="2"/>
          <w:sz w:val="24"/>
          <w:szCs w:val="24"/>
        </w:rPr>
        <w:t>根据《企业突发环境事件分级方法》（HJ941-2018）中环境风险受体，对公司500m范围内的大气环境风险受体及涉水环境风险受体进行调查统计，结果见表3.2-1。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表3.2</w:t>
      </w:r>
      <w:r>
        <w:rPr>
          <w:rFonts w:hint="default" w:ascii="Times New Roman" w:hAnsi="Times New Roman" w:eastAsia="宋体" w:cs="Times New Roman"/>
          <w:b/>
          <w:color w:val="auto"/>
          <w:kern w:val="0"/>
          <w:sz w:val="21"/>
          <w:szCs w:val="21"/>
        </w:rPr>
        <w:noBreakHyphen/>
      </w:r>
      <w:r>
        <w:rPr>
          <w:rFonts w:hint="default" w:ascii="Times New Roman" w:hAnsi="Times New Roman" w:eastAsia="宋体" w:cs="Times New Roman"/>
          <w:b/>
          <w:color w:val="auto"/>
          <w:kern w:val="0"/>
          <w:sz w:val="21"/>
          <w:szCs w:val="21"/>
        </w:rPr>
        <w:t>1公司环境风险受体情况</w:t>
      </w:r>
    </w:p>
    <w:tbl>
      <w:tblPr>
        <w:tblStyle w:val="75"/>
        <w:tblW w:w="8253"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794"/>
        <w:gridCol w:w="878"/>
        <w:gridCol w:w="1701"/>
        <w:gridCol w:w="961"/>
        <w:gridCol w:w="1552"/>
        <w:gridCol w:w="1216"/>
        <w:gridCol w:w="11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672" w:type="dxa"/>
            <w:gridSpan w:val="2"/>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环境风险受体类型</w:t>
            </w: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保护对象</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方位</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相对厂址距离（km）</w:t>
            </w:r>
          </w:p>
        </w:tc>
        <w:tc>
          <w:tcPr>
            <w:tcW w:w="1216" w:type="dxa"/>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人口（人）</w:t>
            </w:r>
          </w:p>
        </w:tc>
        <w:tc>
          <w:tcPr>
            <w:tcW w:w="1151" w:type="dxa"/>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户数（户）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9" w:hRule="atLeast"/>
          <w:jc w:val="center"/>
        </w:trPr>
        <w:tc>
          <w:tcPr>
            <w:tcW w:w="1672" w:type="dxa"/>
            <w:gridSpan w:val="2"/>
            <w:vMerge w:val="restart"/>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大气环境风险受体</w:t>
            </w: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林场村</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NW</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0.09</w:t>
            </w:r>
          </w:p>
        </w:tc>
        <w:tc>
          <w:tcPr>
            <w:tcW w:w="1216"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197</w:t>
            </w:r>
          </w:p>
        </w:tc>
        <w:tc>
          <w:tcPr>
            <w:tcW w:w="115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58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6" w:hRule="atLeast"/>
          <w:jc w:val="center"/>
        </w:trPr>
        <w:tc>
          <w:tcPr>
            <w:tcW w:w="1672" w:type="dxa"/>
            <w:gridSpan w:val="2"/>
            <w:vMerge w:val="continue"/>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三姓庄</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NW</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0.37</w:t>
            </w:r>
          </w:p>
        </w:tc>
        <w:tc>
          <w:tcPr>
            <w:tcW w:w="1216"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241</w:t>
            </w:r>
          </w:p>
        </w:tc>
        <w:tc>
          <w:tcPr>
            <w:tcW w:w="115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71</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jc w:val="center"/>
        </w:trPr>
        <w:tc>
          <w:tcPr>
            <w:tcW w:w="1672" w:type="dxa"/>
            <w:gridSpan w:val="2"/>
            <w:vMerge w:val="continue"/>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华泰小学</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N</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0.61</w:t>
            </w:r>
          </w:p>
        </w:tc>
        <w:tc>
          <w:tcPr>
            <w:tcW w:w="1216"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340</w:t>
            </w:r>
          </w:p>
        </w:tc>
        <w:tc>
          <w:tcPr>
            <w:tcW w:w="115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3" w:hRule="atLeast"/>
          <w:jc w:val="center"/>
        </w:trPr>
        <w:tc>
          <w:tcPr>
            <w:tcW w:w="1672" w:type="dxa"/>
            <w:gridSpan w:val="2"/>
            <w:vMerge w:val="continue"/>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石桥村</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NE</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0.95</w:t>
            </w:r>
          </w:p>
        </w:tc>
        <w:tc>
          <w:tcPr>
            <w:tcW w:w="1216"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556</w:t>
            </w:r>
          </w:p>
        </w:tc>
        <w:tc>
          <w:tcPr>
            <w:tcW w:w="115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187</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672" w:type="dxa"/>
            <w:gridSpan w:val="2"/>
            <w:vMerge w:val="continue"/>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华北局三普东生活区</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NE</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0.74</w:t>
            </w:r>
          </w:p>
        </w:tc>
        <w:tc>
          <w:tcPr>
            <w:tcW w:w="1216"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2800</w:t>
            </w:r>
          </w:p>
        </w:tc>
        <w:tc>
          <w:tcPr>
            <w:tcW w:w="115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00" w:hRule="atLeast"/>
          <w:jc w:val="center"/>
        </w:trPr>
        <w:tc>
          <w:tcPr>
            <w:tcW w:w="794" w:type="dxa"/>
            <w:vMerge w:val="restart"/>
            <w:tcBorders>
              <w:right w:val="single" w:color="auto" w:sz="4" w:space="0"/>
            </w:tcBorders>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水环境风险受体</w:t>
            </w:r>
          </w:p>
        </w:tc>
        <w:tc>
          <w:tcPr>
            <w:tcW w:w="878" w:type="dxa"/>
            <w:tcBorders>
              <w:left w:val="single" w:color="auto" w:sz="4" w:space="0"/>
            </w:tcBorders>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地表水</w:t>
            </w: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渭河</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S</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1.0</w:t>
            </w:r>
          </w:p>
        </w:tc>
        <w:tc>
          <w:tcPr>
            <w:tcW w:w="2367" w:type="dxa"/>
            <w:gridSpan w:val="2"/>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794" w:type="dxa"/>
            <w:vMerge w:val="continue"/>
            <w:tcBorders>
              <w:right w:val="single" w:color="auto" w:sz="4" w:space="0"/>
            </w:tcBorders>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p>
        </w:tc>
        <w:tc>
          <w:tcPr>
            <w:tcW w:w="878" w:type="dxa"/>
            <w:tcBorders>
              <w:left w:val="single" w:color="auto" w:sz="4" w:space="0"/>
            </w:tcBorders>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地下水</w:t>
            </w:r>
          </w:p>
        </w:tc>
        <w:tc>
          <w:tcPr>
            <w:tcW w:w="170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厂区及附近区域</w:t>
            </w:r>
          </w:p>
        </w:tc>
        <w:tc>
          <w:tcPr>
            <w:tcW w:w="961"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w:t>
            </w:r>
          </w:p>
        </w:tc>
        <w:tc>
          <w:tcPr>
            <w:tcW w:w="1552" w:type="dxa"/>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w:t>
            </w:r>
          </w:p>
        </w:tc>
        <w:tc>
          <w:tcPr>
            <w:tcW w:w="2367" w:type="dxa"/>
            <w:gridSpan w:val="2"/>
            <w:vAlign w:val="center"/>
          </w:tcPr>
          <w:p>
            <w:pPr>
              <w:spacing w:line="240" w:lineRule="atLeast"/>
              <w:ind w:left="-86" w:leftChars="-41" w:right="-147" w:rightChars="-70"/>
              <w:jc w:val="center"/>
              <w:rPr>
                <w:rFonts w:hint="default" w:ascii="Times New Roman" w:hAnsi="Times New Roman" w:eastAsia="宋体" w:cs="Times New Roman"/>
                <w:b w:val="0"/>
                <w:bCs w:val="0"/>
                <w:color w:val="auto"/>
                <w:szCs w:val="21"/>
              </w:rPr>
            </w:pPr>
            <w:r>
              <w:rPr>
                <w:rFonts w:hint="default" w:ascii="Times New Roman" w:hAnsi="Times New Roman" w:eastAsia="宋体" w:cs="Times New Roman"/>
                <w:b w:val="0"/>
                <w:bCs w:val="0"/>
                <w:color w:val="auto"/>
                <w:szCs w:val="21"/>
              </w:rPr>
              <w:t>——</w:t>
            </w:r>
          </w:p>
        </w:tc>
      </w:tr>
      <w:bookmarkEnd w:id="58"/>
      <w:bookmarkEnd w:id="59"/>
      <w:bookmarkEnd w:id="60"/>
    </w:tbl>
    <w:p>
      <w:pPr>
        <w:pStyle w:val="2"/>
        <w:spacing w:before="120" w:beforeLines="50" w:after="120" w:afterLines="50" w:line="360" w:lineRule="auto"/>
        <w:jc w:val="left"/>
        <w:outlineLvl w:val="0"/>
        <w:rPr>
          <w:rFonts w:hint="default" w:ascii="Times New Roman" w:hAnsi="Times New Roman" w:eastAsia="宋体" w:cs="Times New Roman"/>
          <w:color w:val="auto"/>
          <w:sz w:val="28"/>
          <w:szCs w:val="28"/>
        </w:rPr>
      </w:pPr>
      <w:bookmarkStart w:id="154" w:name="_Toc523580095"/>
      <w:bookmarkStart w:id="155" w:name="_Toc15097"/>
      <w:r>
        <w:rPr>
          <w:rFonts w:hint="default" w:ascii="Times New Roman" w:hAnsi="Times New Roman" w:eastAsia="宋体" w:cs="Times New Roman"/>
          <w:color w:val="auto"/>
          <w:sz w:val="28"/>
          <w:szCs w:val="28"/>
        </w:rPr>
        <w:t>3.3涉及环境风险物质情况</w:t>
      </w:r>
      <w:bookmarkEnd w:id="154"/>
      <w:bookmarkEnd w:id="155"/>
    </w:p>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3.3.1主要生产物料</w:t>
      </w:r>
    </w:p>
    <w:p>
      <w:pPr>
        <w:adjustRightInd w:val="0"/>
        <w:snapToGrid w:val="0"/>
        <w:spacing w:line="360" w:lineRule="auto"/>
        <w:ind w:firstLine="480" w:firstLineChars="200"/>
        <w:jc w:val="left"/>
        <w:rPr>
          <w:rFonts w:hint="default" w:ascii="Times New Roman" w:hAnsi="Times New Roman" w:eastAsia="宋体" w:cs="Times New Roman"/>
          <w:color w:val="auto"/>
          <w:kern w:val="2"/>
          <w:sz w:val="24"/>
          <w:szCs w:val="24"/>
          <w:lang w:val="en-US" w:eastAsia="zh-CN" w:bidi="ar-SA"/>
        </w:rPr>
      </w:pPr>
      <w:r>
        <w:rPr>
          <w:rFonts w:hint="default" w:ascii="Times New Roman" w:hAnsi="Times New Roman" w:eastAsia="宋体" w:cs="Times New Roman"/>
          <w:color w:val="auto"/>
          <w:kern w:val="0"/>
          <w:sz w:val="24"/>
        </w:rPr>
        <w:t>主</w:t>
      </w:r>
      <w:r>
        <w:rPr>
          <w:rFonts w:hint="default" w:ascii="Times New Roman" w:hAnsi="Times New Roman" w:eastAsia="宋体" w:cs="Times New Roman"/>
          <w:color w:val="auto"/>
          <w:kern w:val="2"/>
          <w:sz w:val="24"/>
          <w:szCs w:val="24"/>
          <w:lang w:val="en-US" w:eastAsia="zh-CN" w:bidi="ar-SA"/>
        </w:rPr>
        <w:t>要对公司生产装置、贮运系统、公用工程系统、辅助生产设施及环境保护设施等生产系统，涉及的生产原料、燃料、产品、中间产品、副产品、催化剂、辅助生产物料、</w:t>
      </w:r>
      <w:r>
        <w:rPr>
          <w:rFonts w:hint="eastAsia"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三废</w:t>
      </w:r>
      <w:r>
        <w:rPr>
          <w:rFonts w:hint="eastAsia" w:cs="Times New Roman"/>
          <w:color w:val="auto"/>
          <w:kern w:val="2"/>
          <w:sz w:val="24"/>
          <w:szCs w:val="24"/>
          <w:lang w:val="en-US" w:eastAsia="zh-CN" w:bidi="ar-SA"/>
        </w:rPr>
        <w:t>”</w:t>
      </w:r>
      <w:r>
        <w:rPr>
          <w:rFonts w:hint="default" w:ascii="Times New Roman" w:hAnsi="Times New Roman" w:eastAsia="宋体" w:cs="Times New Roman"/>
          <w:color w:val="auto"/>
          <w:kern w:val="2"/>
          <w:sz w:val="24"/>
          <w:szCs w:val="24"/>
          <w:lang w:val="en-US" w:eastAsia="zh-CN" w:bidi="ar-SA"/>
        </w:rPr>
        <w:t>污染物等储存及使用情况进行统计，结果见表3.3-1。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表3.3-1 主要生产物料储存及使用情况进行统计表</w:t>
      </w:r>
    </w:p>
    <w:tbl>
      <w:tblPr>
        <w:tblStyle w:val="7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5"/>
        <w:gridCol w:w="1129"/>
        <w:gridCol w:w="1686"/>
        <w:gridCol w:w="1823"/>
        <w:gridCol w:w="1823"/>
        <w:gridCol w:w="15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tblHeader/>
          <w:jc w:val="center"/>
        </w:trPr>
        <w:tc>
          <w:tcPr>
            <w:tcW w:w="320" w:type="pct"/>
            <w:noWrap w:val="0"/>
            <w:vAlign w:val="center"/>
          </w:tcPr>
          <w:p>
            <w:pPr>
              <w:spacing w:line="240" w:lineRule="atLeast"/>
              <w:ind w:left="-86" w:leftChars="-41" w:right="-147" w:rightChars="-7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序号</w:t>
            </w:r>
          </w:p>
        </w:tc>
        <w:tc>
          <w:tcPr>
            <w:tcW w:w="1651" w:type="pct"/>
            <w:gridSpan w:val="2"/>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名称</w:t>
            </w:r>
          </w:p>
        </w:tc>
        <w:tc>
          <w:tcPr>
            <w:tcW w:w="1069" w:type="pct"/>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数量</w:t>
            </w:r>
          </w:p>
        </w:tc>
        <w:tc>
          <w:tcPr>
            <w:tcW w:w="1069" w:type="pct"/>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来源</w:t>
            </w:r>
          </w:p>
        </w:tc>
        <w:tc>
          <w:tcPr>
            <w:tcW w:w="889" w:type="pct"/>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甲醇10万t/a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原料</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天然气</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63647115Nm</w:t>
            </w:r>
            <w:r>
              <w:rPr>
                <w:rFonts w:hint="default" w:ascii="Times New Roman" w:hAnsi="Times New Roman" w:eastAsia="宋体" w:cs="Times New Roman"/>
                <w:bCs/>
                <w:color w:val="auto"/>
                <w:szCs w:val="21"/>
                <w:vertAlign w:val="superscript"/>
              </w:rPr>
              <w:t>3</w:t>
            </w:r>
            <w:r>
              <w:rPr>
                <w:rFonts w:hint="default" w:ascii="Times New Roman" w:hAnsi="Times New Roman" w:eastAsia="宋体" w:cs="Times New Roman"/>
                <w:bCs/>
                <w:color w:val="auto"/>
                <w:szCs w:val="21"/>
              </w:rPr>
              <w: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天然气管网</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成分：CH</w:t>
            </w:r>
            <w:r>
              <w:rPr>
                <w:rFonts w:hint="default" w:ascii="Times New Roman" w:hAnsi="Times New Roman" w:eastAsia="宋体" w:cs="Times New Roman"/>
                <w:bCs/>
                <w:color w:val="auto"/>
                <w:szCs w:val="21"/>
                <w:vertAlign w:val="subscript"/>
              </w:rPr>
              <w:t>4</w:t>
            </w:r>
            <w:r>
              <w:rPr>
                <w:rFonts w:hint="default" w:ascii="Times New Roman" w:hAnsi="Times New Roman" w:eastAsia="宋体" w:cs="Times New Roman"/>
                <w:bCs/>
                <w:color w:val="auto"/>
                <w:szCs w:val="21"/>
              </w:rPr>
              <w:t>；管道输送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解析气</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22260482Nm</w:t>
            </w:r>
            <w:r>
              <w:rPr>
                <w:rFonts w:hint="default" w:ascii="Times New Roman" w:hAnsi="Times New Roman" w:eastAsia="宋体" w:cs="Times New Roman"/>
                <w:bCs/>
                <w:color w:val="auto"/>
                <w:szCs w:val="21"/>
                <w:vertAlign w:val="superscript"/>
              </w:rPr>
              <w:t>3</w:t>
            </w:r>
            <w:r>
              <w:rPr>
                <w:rFonts w:hint="default" w:ascii="Times New Roman" w:hAnsi="Times New Roman" w:eastAsia="宋体" w:cs="Times New Roman"/>
                <w:bCs/>
                <w:color w:val="auto"/>
                <w:szCs w:val="21"/>
              </w:rPr>
              <w: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长庆石化公司</w:t>
            </w:r>
          </w:p>
        </w:tc>
        <w:tc>
          <w:tcPr>
            <w:tcW w:w="889"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成分：H</w:t>
            </w:r>
            <w:r>
              <w:rPr>
                <w:rFonts w:hint="default" w:ascii="Times New Roman" w:hAnsi="Times New Roman" w:eastAsia="宋体" w:cs="Times New Roman"/>
                <w:bCs/>
                <w:color w:val="auto"/>
                <w:szCs w:val="21"/>
                <w:vertAlign w:val="subscript"/>
              </w:rPr>
              <w:t>2</w:t>
            </w:r>
            <w:r>
              <w:rPr>
                <w:rFonts w:hint="default" w:ascii="Times New Roman" w:hAnsi="Times New Roman" w:eastAsia="宋体" w:cs="Times New Roman"/>
                <w:bCs/>
                <w:color w:val="auto"/>
                <w:szCs w:val="21"/>
              </w:rPr>
              <w:t>、CO、CH</w:t>
            </w:r>
            <w:r>
              <w:rPr>
                <w:rFonts w:hint="default" w:ascii="Times New Roman" w:hAnsi="Times New Roman" w:eastAsia="宋体" w:cs="Times New Roman"/>
                <w:bCs/>
                <w:color w:val="auto"/>
                <w:szCs w:val="21"/>
                <w:vertAlign w:val="subscript"/>
              </w:rPr>
              <w:t>4</w:t>
            </w:r>
            <w:r>
              <w:rPr>
                <w:rFonts w:hint="default" w:ascii="Times New Roman" w:hAnsi="Times New Roman" w:eastAsia="宋体" w:cs="Times New Roman"/>
                <w:bCs/>
                <w:color w:val="auto"/>
                <w:szCs w:val="21"/>
              </w:rPr>
              <w:t>、CO</w:t>
            </w:r>
            <w:r>
              <w:rPr>
                <w:rFonts w:hint="default" w:ascii="Times New Roman" w:hAnsi="Times New Roman" w:eastAsia="宋体" w:cs="Times New Roman"/>
                <w:bCs/>
                <w:color w:val="auto"/>
                <w:szCs w:val="21"/>
                <w:vertAlign w:val="subscript"/>
              </w:rPr>
              <w:t>2</w:t>
            </w:r>
            <w:r>
              <w:rPr>
                <w:rFonts w:hint="default" w:ascii="Times New Roman" w:hAnsi="Times New Roman" w:eastAsia="宋体" w:cs="Times New Roman"/>
                <w:bCs/>
                <w:color w:val="auto"/>
                <w:szCs w:val="21"/>
              </w:rPr>
              <w:t>、N</w:t>
            </w:r>
            <w:r>
              <w:rPr>
                <w:rFonts w:hint="default" w:ascii="Times New Roman" w:hAnsi="Times New Roman" w:eastAsia="宋体" w:cs="Times New Roman"/>
                <w:bCs/>
                <w:color w:val="auto"/>
                <w:szCs w:val="21"/>
                <w:vertAlign w:val="subscript"/>
              </w:rPr>
              <w:t>2</w:t>
            </w:r>
            <w:r>
              <w:rPr>
                <w:rFonts w:hint="default" w:ascii="Times New Roman" w:hAnsi="Times New Roman" w:eastAsia="宋体" w:cs="Times New Roman"/>
                <w:bCs/>
                <w:color w:val="auto"/>
                <w:szCs w:val="21"/>
              </w:rPr>
              <w:t>，管道输送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驰放气</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35706228Nm</w:t>
            </w:r>
            <w:r>
              <w:rPr>
                <w:rFonts w:hint="default" w:ascii="Times New Roman" w:hAnsi="Times New Roman" w:eastAsia="宋体" w:cs="Times New Roman"/>
                <w:bCs/>
                <w:color w:val="auto"/>
                <w:szCs w:val="21"/>
                <w:vertAlign w:val="superscript"/>
              </w:rPr>
              <w:t>3</w:t>
            </w:r>
            <w:r>
              <w:rPr>
                <w:rFonts w:hint="default" w:ascii="Times New Roman" w:hAnsi="Times New Roman" w:eastAsia="宋体" w:cs="Times New Roman"/>
                <w:bCs/>
                <w:color w:val="auto"/>
                <w:szCs w:val="21"/>
              </w:rPr>
              <w: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长庆石化公司</w:t>
            </w:r>
          </w:p>
        </w:tc>
        <w:tc>
          <w:tcPr>
            <w:tcW w:w="889"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氧气</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13936260Nm</w:t>
            </w:r>
            <w:r>
              <w:rPr>
                <w:rFonts w:hint="default" w:ascii="Times New Roman" w:hAnsi="Times New Roman" w:eastAsia="宋体" w:cs="Times New Roman"/>
                <w:bCs/>
                <w:color w:val="auto"/>
                <w:szCs w:val="21"/>
                <w:vertAlign w:val="superscript"/>
              </w:rPr>
              <w:t>3</w:t>
            </w:r>
            <w:r>
              <w:rPr>
                <w:rFonts w:hint="default" w:ascii="Times New Roman" w:hAnsi="Times New Roman" w:eastAsia="宋体" w:cs="Times New Roman"/>
                <w:bCs/>
                <w:color w:val="auto"/>
                <w:szCs w:val="21"/>
              </w:rPr>
              <w: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空分装置自制</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纯度≥99.6%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产品</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10万t/a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罐存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中间产品</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粗甲醇</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罐存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副产品</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废粗甲醇残液/不合格甲醇</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100t/a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入粗甲醇罐回收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催化剂</w:t>
            </w:r>
          </w:p>
        </w:tc>
        <w:tc>
          <w:tcPr>
            <w:tcW w:w="988"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甲醇合成催化剂XNC-98</w:t>
            </w:r>
          </w:p>
        </w:tc>
        <w:tc>
          <w:tcPr>
            <w:tcW w:w="1069"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17t/a</w:t>
            </w:r>
          </w:p>
        </w:tc>
        <w:tc>
          <w:tcPr>
            <w:tcW w:w="1069"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国内采购</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lang w:val="en-US" w:eastAsia="zh-CN"/>
              </w:rPr>
            </w:pPr>
            <w:r>
              <w:rPr>
                <w:rFonts w:hint="eastAsia" w:ascii="Times New Roman" w:hAnsi="Times New Roman" w:eastAsia="宋体" w:cs="Times New Roman"/>
                <w:bCs/>
                <w:color w:val="auto"/>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6</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辅助生产物料</w:t>
            </w:r>
          </w:p>
        </w:tc>
        <w:tc>
          <w:tcPr>
            <w:tcW w:w="988"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新鲜水</w:t>
            </w:r>
          </w:p>
        </w:tc>
        <w:tc>
          <w:tcPr>
            <w:tcW w:w="1069" w:type="pct"/>
            <w:noWrap w:val="0"/>
            <w:vAlign w:val="center"/>
          </w:tcPr>
          <w:p>
            <w:pPr>
              <w:jc w:val="center"/>
              <w:rPr>
                <w:rFonts w:hint="default" w:ascii="Times New Roman" w:hAnsi="Times New Roman" w:eastAsia="宋体" w:cs="Times New Roman"/>
                <w:color w:val="auto"/>
                <w:spacing w:val="-10"/>
                <w:szCs w:val="21"/>
                <w:lang w:val="pt-BR"/>
              </w:rPr>
            </w:pPr>
            <w:r>
              <w:rPr>
                <w:rFonts w:hint="default" w:ascii="Times New Roman" w:hAnsi="Times New Roman" w:eastAsia="宋体" w:cs="Times New Roman"/>
                <w:color w:val="auto"/>
                <w:spacing w:val="-10"/>
                <w:szCs w:val="21"/>
              </w:rPr>
              <w:t>平均</w:t>
            </w:r>
            <w:r>
              <w:rPr>
                <w:rFonts w:hint="default" w:ascii="Times New Roman" w:hAnsi="Times New Roman" w:eastAsia="宋体" w:cs="Times New Roman"/>
                <w:color w:val="auto"/>
                <w:spacing w:val="-10"/>
                <w:szCs w:val="21"/>
                <w:lang w:val="pt-BR"/>
              </w:rPr>
              <w:t>100</w:t>
            </w:r>
            <w:r>
              <w:rPr>
                <w:rFonts w:hint="default" w:ascii="Times New Roman" w:hAnsi="Times New Roman" w:eastAsia="宋体" w:cs="Times New Roman"/>
                <w:color w:val="auto"/>
                <w:spacing w:val="-10"/>
                <w:szCs w:val="21"/>
              </w:rPr>
              <w:t>万</w:t>
            </w:r>
            <w:r>
              <w:rPr>
                <w:rFonts w:hint="default" w:ascii="Times New Roman" w:hAnsi="Times New Roman" w:eastAsia="宋体" w:cs="Times New Roman"/>
                <w:color w:val="auto"/>
                <w:spacing w:val="-10"/>
                <w:szCs w:val="21"/>
                <w:lang w:val="pt-BR"/>
              </w:rPr>
              <w:t>m</w:t>
            </w:r>
            <w:r>
              <w:rPr>
                <w:rFonts w:hint="default" w:ascii="Times New Roman" w:hAnsi="Times New Roman" w:eastAsia="宋体" w:cs="Times New Roman"/>
                <w:color w:val="auto"/>
                <w:spacing w:val="-10"/>
                <w:szCs w:val="21"/>
                <w:vertAlign w:val="superscript"/>
                <w:lang w:val="pt-BR"/>
              </w:rPr>
              <w:t>3</w:t>
            </w:r>
            <w:r>
              <w:rPr>
                <w:rFonts w:hint="default" w:ascii="Times New Roman" w:hAnsi="Times New Roman" w:eastAsia="宋体" w:cs="Times New Roman"/>
                <w:color w:val="auto"/>
                <w:spacing w:val="-10"/>
                <w:szCs w:val="21"/>
                <w:lang w:val="pt-BR"/>
              </w:rPr>
              <w:t>/a</w:t>
            </w:r>
          </w:p>
          <w:p>
            <w:pPr>
              <w:jc w:val="center"/>
              <w:rPr>
                <w:rFonts w:hint="default" w:ascii="Times New Roman" w:hAnsi="Times New Roman" w:eastAsia="宋体" w:cs="Times New Roman"/>
                <w:color w:val="auto"/>
                <w:szCs w:val="21"/>
                <w:lang w:val="pt-BR"/>
              </w:rPr>
            </w:pPr>
            <w:r>
              <w:rPr>
                <w:rFonts w:hint="default" w:ascii="Times New Roman" w:hAnsi="Times New Roman" w:eastAsia="宋体" w:cs="Times New Roman"/>
                <w:color w:val="auto"/>
                <w:spacing w:val="-10"/>
                <w:szCs w:val="21"/>
              </w:rPr>
              <w:t>最大</w:t>
            </w:r>
            <w:r>
              <w:rPr>
                <w:rFonts w:hint="default" w:ascii="Times New Roman" w:hAnsi="Times New Roman" w:eastAsia="宋体" w:cs="Times New Roman"/>
                <w:color w:val="auto"/>
                <w:spacing w:val="-10"/>
                <w:szCs w:val="21"/>
                <w:lang w:val="pt-BR"/>
              </w:rPr>
              <w:t>160</w:t>
            </w:r>
            <w:r>
              <w:rPr>
                <w:rFonts w:hint="default" w:ascii="Times New Roman" w:hAnsi="Times New Roman" w:eastAsia="宋体" w:cs="Times New Roman"/>
                <w:color w:val="auto"/>
                <w:spacing w:val="-10"/>
                <w:szCs w:val="21"/>
              </w:rPr>
              <w:t>万</w:t>
            </w:r>
            <w:r>
              <w:rPr>
                <w:rFonts w:hint="default" w:ascii="Times New Roman" w:hAnsi="Times New Roman" w:eastAsia="宋体" w:cs="Times New Roman"/>
                <w:color w:val="auto"/>
                <w:spacing w:val="-10"/>
                <w:szCs w:val="21"/>
                <w:lang w:val="pt-BR"/>
              </w:rPr>
              <w:t>m</w:t>
            </w:r>
            <w:r>
              <w:rPr>
                <w:rFonts w:hint="default" w:ascii="Times New Roman" w:hAnsi="Times New Roman" w:eastAsia="宋体" w:cs="Times New Roman"/>
                <w:color w:val="auto"/>
                <w:spacing w:val="-10"/>
                <w:szCs w:val="21"/>
                <w:vertAlign w:val="superscript"/>
                <w:lang w:val="pt-BR"/>
              </w:rPr>
              <w:t>3</w:t>
            </w:r>
            <w:r>
              <w:rPr>
                <w:rFonts w:hint="default" w:ascii="Times New Roman" w:hAnsi="Times New Roman" w:eastAsia="宋体" w:cs="Times New Roman"/>
                <w:color w:val="auto"/>
                <w:spacing w:val="-10"/>
                <w:szCs w:val="21"/>
                <w:lang w:val="pt-BR"/>
              </w:rPr>
              <w:t>/a</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咸阳市自来水公司/长庆石化分公司/地下水</w:t>
            </w:r>
          </w:p>
        </w:tc>
        <w:tc>
          <w:tcPr>
            <w:tcW w:w="88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pH 值6 . 5 ~8 . 5</w:t>
            </w:r>
          </w:p>
          <w:p>
            <w:pPr>
              <w:jc w:val="center"/>
              <w:rPr>
                <w:rFonts w:hint="default" w:ascii="Times New Roman" w:hAnsi="Times New Roman" w:eastAsia="宋体" w:cs="Times New Roman"/>
                <w:color w:val="auto"/>
                <w:spacing w:val="-10"/>
                <w:szCs w:val="21"/>
              </w:rPr>
            </w:pPr>
            <w:r>
              <w:rPr>
                <w:rFonts w:hint="default" w:ascii="Times New Roman" w:hAnsi="Times New Roman" w:eastAsia="宋体" w:cs="Times New Roman"/>
                <w:color w:val="auto"/>
                <w:spacing w:val="-10"/>
                <w:szCs w:val="21"/>
              </w:rPr>
              <w:t>总硬度（以Cao 计）≤450mg / 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循环冷却水</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4930m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企业循环水站</w:t>
            </w:r>
          </w:p>
        </w:tc>
        <w:tc>
          <w:tcPr>
            <w:tcW w:w="88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脱盐水</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35.4m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长庆石化分公司脱盐水站</w:t>
            </w:r>
          </w:p>
        </w:tc>
        <w:tc>
          <w:tcPr>
            <w:tcW w:w="889" w:type="pct"/>
            <w:noWrap w:val="0"/>
            <w:vAlign w:val="center"/>
          </w:tcPr>
          <w:p>
            <w:pPr>
              <w:jc w:val="center"/>
              <w:rPr>
                <w:rFonts w:hint="default" w:ascii="Times New Roman" w:hAnsi="Times New Roman" w:eastAsia="宋体" w:cs="Times New Roman"/>
                <w:color w:val="auto"/>
                <w:spacing w:val="-14"/>
                <w:szCs w:val="21"/>
              </w:rPr>
            </w:pPr>
            <w:r>
              <w:rPr>
                <w:rFonts w:hint="default" w:ascii="Times New Roman" w:hAnsi="Times New Roman" w:eastAsia="宋体" w:cs="Times New Roman"/>
                <w:color w:val="auto"/>
                <w:spacing w:val="-14"/>
                <w:szCs w:val="21"/>
              </w:rPr>
              <w:t>电导率（25℃ ) ＜10 μs / cm</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pH 值7~8.5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仪表空气</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380万Nm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/a</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企业空分制氧装置</w:t>
            </w:r>
          </w:p>
        </w:tc>
        <w:tc>
          <w:tcPr>
            <w:tcW w:w="88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无油、无尘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氮气</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pacing w:val="-6"/>
                <w:szCs w:val="21"/>
              </w:rPr>
              <w:t>≤</w:t>
            </w:r>
            <w:r>
              <w:rPr>
                <w:rFonts w:hint="default" w:ascii="Times New Roman" w:hAnsi="Times New Roman" w:eastAsia="宋体" w:cs="Times New Roman"/>
                <w:color w:val="auto"/>
                <w:szCs w:val="21"/>
              </w:rPr>
              <w:t>800Nm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企业空分制氧装置副产</w:t>
            </w:r>
          </w:p>
        </w:tc>
        <w:tc>
          <w:tcPr>
            <w:tcW w:w="88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氮气≥99.99 %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蒸汽</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正常5/h最大10t/h</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长庆石化分公司</w:t>
            </w:r>
          </w:p>
        </w:tc>
        <w:tc>
          <w:tcPr>
            <w:tcW w:w="88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3.85Mpa，430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7</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危险废物</w:t>
            </w:r>
          </w:p>
        </w:tc>
        <w:tc>
          <w:tcPr>
            <w:tcW w:w="988"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废催化剂</w:t>
            </w:r>
          </w:p>
        </w:tc>
        <w:tc>
          <w:tcPr>
            <w:tcW w:w="1069"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Cu、Zn、Al</w:t>
            </w:r>
          </w:p>
        </w:tc>
        <w:tc>
          <w:tcPr>
            <w:tcW w:w="1069"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szCs w:val="21"/>
              </w:rPr>
              <w:t>合成塔</w:t>
            </w:r>
          </w:p>
        </w:tc>
        <w:tc>
          <w:tcPr>
            <w:tcW w:w="889" w:type="pct"/>
            <w:noWrap w:val="0"/>
            <w:vAlign w:val="top"/>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送有资质的危废处置中心</w:t>
            </w:r>
          </w:p>
          <w:p>
            <w:pPr>
              <w:jc w:val="center"/>
              <w:rPr>
                <w:rFonts w:hint="default" w:ascii="Times New Roman" w:hAnsi="Times New Roman" w:eastAsia="宋体" w:cs="Times New Roman"/>
                <w:color w:val="auto"/>
                <w:kern w:val="2"/>
                <w:sz w:val="21"/>
                <w:szCs w:val="24"/>
                <w:lang w:val="en-US" w:eastAsia="zh-CN" w:bidi="ar-SA"/>
              </w:rPr>
            </w:pPr>
            <w:r>
              <w:rPr>
                <w:rFonts w:hint="default" w:ascii="Times New Roman" w:hAnsi="Times New Roman" w:eastAsia="宋体" w:cs="Times New Roman"/>
                <w:color w:val="auto"/>
                <w:szCs w:val="21"/>
              </w:rPr>
              <w:t>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jc w:val="center"/>
              <w:rPr>
                <w:rFonts w:hint="default" w:ascii="Times New Roman" w:hAnsi="Times New Roman" w:eastAsia="宋体" w:cs="Times New Roman"/>
                <w:color w:val="auto"/>
                <w:szCs w:val="21"/>
              </w:rPr>
            </w:pPr>
          </w:p>
        </w:tc>
        <w:tc>
          <w:tcPr>
            <w:tcW w:w="1069" w:type="pct"/>
            <w:noWrap w:val="0"/>
            <w:vAlign w:val="center"/>
          </w:tcPr>
          <w:p>
            <w:pPr>
              <w:jc w:val="center"/>
              <w:rPr>
                <w:rFonts w:hint="default" w:ascii="Times New Roman" w:hAnsi="Times New Roman" w:eastAsia="宋体" w:cs="Times New Roman"/>
                <w:color w:val="auto"/>
                <w:szCs w:val="21"/>
              </w:rPr>
            </w:pPr>
          </w:p>
        </w:tc>
        <w:tc>
          <w:tcPr>
            <w:tcW w:w="1069" w:type="pct"/>
            <w:noWrap w:val="0"/>
            <w:vAlign w:val="center"/>
          </w:tcPr>
          <w:p>
            <w:pPr>
              <w:jc w:val="center"/>
              <w:rPr>
                <w:rFonts w:hint="default" w:ascii="Times New Roman" w:hAnsi="Times New Roman" w:eastAsia="宋体" w:cs="Times New Roman"/>
                <w:color w:val="auto"/>
                <w:szCs w:val="21"/>
              </w:rPr>
            </w:pPr>
          </w:p>
        </w:tc>
        <w:tc>
          <w:tcPr>
            <w:tcW w:w="889" w:type="pct"/>
            <w:noWrap w:val="0"/>
            <w:vAlign w:val="top"/>
          </w:tcPr>
          <w:p>
            <w:pPr>
              <w:jc w:val="center"/>
              <w:rPr>
                <w:rFonts w:hint="default" w:ascii="Times New Roman" w:hAnsi="Times New Roman" w:eastAsia="宋体"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
                <w:bCs/>
                <w:color w:val="auto"/>
                <w:szCs w:val="21"/>
              </w:rPr>
              <w:t>MTBE5万t/a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原料</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混合C4馏分</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9275.0t/a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长庆石化公司</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丙烯、异丁烷、异丁烯、正丁烯、正丁烷、反丁烯-2、顺丁烯-2、C5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5761.7</w:t>
            </w:r>
            <w:r>
              <w:rPr>
                <w:rFonts w:hint="default" w:ascii="Times New Roman" w:hAnsi="Times New Roman" w:eastAsia="宋体" w:cs="Times New Roman"/>
                <w:bCs/>
                <w:color w:val="auto"/>
                <w:szCs w:val="21"/>
                <w:lang w:val="fr-FR"/>
              </w:rPr>
              <w:t>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厂区甲醇罐区</w:t>
            </w:r>
          </w:p>
        </w:tc>
        <w:tc>
          <w:tcPr>
            <w:tcW w:w="889" w:type="pct"/>
            <w:noWrap w:val="0"/>
            <w:vAlign w:val="center"/>
          </w:tcPr>
          <w:p>
            <w:pPr>
              <w:spacing w:line="240" w:lineRule="atLeast"/>
              <w:ind w:right="-36" w:rightChars="-17"/>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工业甲醇，GB-338-2008优级品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产品</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MTBE</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5×10</w:t>
            </w:r>
            <w:r>
              <w:rPr>
                <w:rFonts w:hint="default" w:ascii="Times New Roman" w:hAnsi="Times New Roman" w:eastAsia="宋体" w:cs="Times New Roman"/>
                <w:bCs/>
                <w:color w:val="auto"/>
                <w:szCs w:val="21"/>
                <w:vertAlign w:val="superscript"/>
              </w:rPr>
              <w:t>4</w:t>
            </w:r>
            <w:r>
              <w:rPr>
                <w:rFonts w:hint="default" w:ascii="Times New Roman" w:hAnsi="Times New Roman" w:eastAsia="宋体" w:cs="Times New Roman"/>
                <w:bCs/>
                <w:color w:val="auto"/>
                <w:szCs w:val="21"/>
              </w:rPr>
              <w:t>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ind w:right="-36" w:rightChars="-17"/>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含量≥98（扣除C5）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副产品</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未反应碳四</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24.46×10</w:t>
            </w:r>
            <w:r>
              <w:rPr>
                <w:rFonts w:hint="default" w:ascii="Times New Roman" w:hAnsi="Times New Roman" w:eastAsia="宋体" w:cs="Times New Roman"/>
                <w:bCs/>
                <w:color w:val="auto"/>
                <w:szCs w:val="21"/>
                <w:vertAlign w:val="superscript"/>
              </w:rPr>
              <w:t>4</w:t>
            </w:r>
            <w:r>
              <w:rPr>
                <w:rFonts w:hint="default" w:ascii="Times New Roman" w:hAnsi="Times New Roman" w:eastAsia="宋体" w:cs="Times New Roman"/>
                <w:bCs/>
                <w:color w:val="auto"/>
                <w:szCs w:val="21"/>
              </w:rPr>
              <w:t>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ind w:right="-36" w:rightChars="-17"/>
              <w:jc w:val="center"/>
              <w:rPr>
                <w:rFonts w:hint="default" w:ascii="Times New Roman" w:hAnsi="Times New Roman" w:eastAsia="宋体" w:cs="Times New Roman"/>
                <w:bCs/>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eastAsia" w:ascii="Times New Roman" w:hAnsi="Times New Roman" w:eastAsia="宋体" w:cs="Times New Roman"/>
                <w:bCs/>
                <w:color w:val="auto"/>
                <w:szCs w:val="21"/>
                <w:lang w:eastAsia="zh-CN"/>
              </w:rPr>
            </w:pPr>
            <w:r>
              <w:rPr>
                <w:rFonts w:hint="eastAsia" w:ascii="Times New Roman" w:hAnsi="Times New Roman" w:eastAsia="宋体" w:cs="Times New Roman"/>
                <w:bCs/>
                <w:color w:val="auto"/>
                <w:szCs w:val="21"/>
                <w:lang w:val="en-US" w:eastAsia="zh-CN"/>
              </w:rPr>
              <w:t>4</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“三废”污染物</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废催化剂</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34.39t/a</w:t>
            </w:r>
          </w:p>
        </w:tc>
        <w:tc>
          <w:tcPr>
            <w:tcW w:w="1069" w:type="pct"/>
            <w:noWrap w:val="0"/>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889" w:type="pct"/>
            <w:noWrap w:val="0"/>
            <w:vAlign w:val="center"/>
          </w:tcPr>
          <w:p>
            <w:pPr>
              <w:jc w:val="center"/>
              <w:rPr>
                <w:rFonts w:hint="default" w:ascii="Times New Roman" w:hAnsi="Times New Roman" w:eastAsia="宋体"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
                <w:bCs/>
                <w:color w:val="auto"/>
                <w:szCs w:val="21"/>
              </w:rPr>
              <w:t>30万t/a醚化汽油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原材料</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轻汽油</w:t>
            </w:r>
          </w:p>
        </w:tc>
        <w:tc>
          <w:tcPr>
            <w:tcW w:w="1069" w:type="pct"/>
            <w:noWrap w:val="0"/>
            <w:vAlign w:val="center"/>
          </w:tcPr>
          <w:p>
            <w:pPr>
              <w:pStyle w:val="565"/>
              <w:adjustRightInd/>
              <w:spacing w:line="240" w:lineRule="atLeast"/>
              <w:rPr>
                <w:rFonts w:hint="default" w:ascii="Times New Roman" w:hAnsi="Times New Roman" w:eastAsia="宋体" w:cs="Times New Roman"/>
                <w:bCs/>
                <w:color w:val="auto"/>
                <w:kern w:val="2"/>
                <w:sz w:val="21"/>
                <w:szCs w:val="21"/>
              </w:rPr>
            </w:pPr>
            <w:r>
              <w:rPr>
                <w:rFonts w:hint="default" w:ascii="Times New Roman" w:hAnsi="Times New Roman" w:eastAsia="宋体" w:cs="Times New Roman"/>
                <w:bCs/>
                <w:color w:val="auto"/>
                <w:sz w:val="21"/>
                <w:szCs w:val="21"/>
              </w:rPr>
              <w:t>300041</w:t>
            </w:r>
            <w:r>
              <w:rPr>
                <w:rFonts w:hint="default" w:ascii="Times New Roman" w:hAnsi="Times New Roman" w:eastAsia="宋体" w:cs="Times New Roman"/>
                <w:bCs/>
                <w:color w:val="auto"/>
                <w:sz w:val="21"/>
                <w:szCs w:val="21"/>
                <w:lang w:val="fr-FR"/>
              </w:rPr>
              <w:t>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长庆石化公司</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通过管道输入轻汽油储罐后进入醚化生产装置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w:t>
            </w:r>
          </w:p>
        </w:tc>
        <w:tc>
          <w:tcPr>
            <w:tcW w:w="1069" w:type="pct"/>
            <w:noWrap w:val="0"/>
            <w:vAlign w:val="center"/>
          </w:tcPr>
          <w:p>
            <w:pPr>
              <w:pStyle w:val="565"/>
              <w:adjustRightInd/>
              <w:spacing w:line="240" w:lineRule="atLeast"/>
              <w:rPr>
                <w:rFonts w:hint="default" w:ascii="Times New Roman" w:hAnsi="Times New Roman" w:eastAsia="宋体" w:cs="Times New Roman"/>
                <w:bCs/>
                <w:color w:val="auto"/>
                <w:kern w:val="2"/>
                <w:sz w:val="21"/>
                <w:szCs w:val="21"/>
              </w:rPr>
            </w:pPr>
            <w:r>
              <w:rPr>
                <w:rFonts w:hint="default" w:ascii="Times New Roman" w:hAnsi="Times New Roman" w:eastAsia="宋体" w:cs="Times New Roman"/>
                <w:bCs/>
                <w:color w:val="auto"/>
                <w:sz w:val="21"/>
                <w:szCs w:val="21"/>
              </w:rPr>
              <w:t>24092</w:t>
            </w:r>
            <w:r>
              <w:rPr>
                <w:rFonts w:hint="default" w:ascii="Times New Roman" w:hAnsi="Times New Roman" w:eastAsia="宋体" w:cs="Times New Roman"/>
                <w:bCs/>
                <w:color w:val="auto"/>
                <w:sz w:val="21"/>
                <w:szCs w:val="21"/>
                <w:lang w:val="fr-FR"/>
              </w:rPr>
              <w:t>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厂区甲醇罐区</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通过管道输入醚化生产装置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催化剂</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强酸阳离子交换树脂</w:t>
            </w:r>
          </w:p>
        </w:tc>
        <w:tc>
          <w:tcPr>
            <w:tcW w:w="1069" w:type="pct"/>
            <w:noWrap w:val="0"/>
            <w:vAlign w:val="center"/>
          </w:tcPr>
          <w:p>
            <w:pPr>
              <w:pStyle w:val="565"/>
              <w:adjustRightInd/>
              <w:spacing w:line="240" w:lineRule="atLeast"/>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127.0</w:t>
            </w:r>
            <w:r>
              <w:rPr>
                <w:rFonts w:hint="default" w:ascii="Times New Roman" w:hAnsi="Times New Roman" w:eastAsia="宋体" w:cs="Times New Roman"/>
                <w:bCs/>
                <w:color w:val="auto"/>
                <w:sz w:val="21"/>
                <w:szCs w:val="21"/>
                <w:lang w:val="fr-FR"/>
              </w:rPr>
              <w:t>t/次</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一次装入量，预期寿命2年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产品</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醚化汽油</w:t>
            </w:r>
          </w:p>
        </w:tc>
        <w:tc>
          <w:tcPr>
            <w:tcW w:w="1069" w:type="pct"/>
            <w:noWrap w:val="0"/>
            <w:vAlign w:val="center"/>
          </w:tcPr>
          <w:p>
            <w:pPr>
              <w:pStyle w:val="565"/>
              <w:adjustRightInd/>
              <w:spacing w:line="240" w:lineRule="atLeast"/>
              <w:rPr>
                <w:rFonts w:hint="default" w:ascii="Times New Roman" w:hAnsi="Times New Roman" w:eastAsia="宋体" w:cs="Times New Roman"/>
                <w:bCs/>
                <w:color w:val="auto"/>
                <w:sz w:val="21"/>
                <w:szCs w:val="21"/>
              </w:rPr>
            </w:pPr>
            <w:r>
              <w:rPr>
                <w:rFonts w:hint="default" w:ascii="Times New Roman" w:hAnsi="Times New Roman" w:eastAsia="宋体" w:cs="Times New Roman"/>
                <w:bCs/>
                <w:color w:val="auto"/>
                <w:sz w:val="21"/>
                <w:szCs w:val="21"/>
              </w:rPr>
              <w:t>324080</w:t>
            </w:r>
            <w:r>
              <w:rPr>
                <w:rFonts w:hint="default" w:ascii="Times New Roman" w:hAnsi="Times New Roman" w:eastAsia="宋体" w:cs="Times New Roman"/>
                <w:bCs/>
                <w:color w:val="auto"/>
                <w:sz w:val="21"/>
                <w:szCs w:val="21"/>
                <w:lang w:val="fr-FR"/>
              </w:rPr>
              <w:t>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通过管道输往长庆石化公司</w:t>
            </w:r>
          </w:p>
        </w:tc>
        <w:tc>
          <w:tcPr>
            <w:tcW w:w="889" w:type="pct"/>
            <w:noWrap w:val="0"/>
            <w:vAlign w:val="center"/>
          </w:tcPr>
          <w:p>
            <w:pPr>
              <w:jc w:val="center"/>
              <w:rPr>
                <w:rFonts w:hint="default" w:ascii="Times New Roman" w:hAnsi="Times New Roman" w:eastAsia="宋体"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辅助生产物料</w:t>
            </w:r>
          </w:p>
        </w:tc>
        <w:tc>
          <w:tcPr>
            <w:tcW w:w="988"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氮气</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r>
              <w:rPr>
                <w:rFonts w:hint="default" w:ascii="Times New Roman" w:hAnsi="Times New Roman" w:eastAsia="宋体" w:cs="Times New Roman"/>
                <w:color w:val="auto"/>
                <w:szCs w:val="21"/>
                <w:lang w:val="fr-FR"/>
              </w:rPr>
              <w:t xml:space="preserve"> m</w:t>
            </w:r>
            <w:r>
              <w:rPr>
                <w:rFonts w:hint="default" w:ascii="Times New Roman" w:hAnsi="Times New Roman" w:eastAsia="宋体" w:cs="Times New Roman"/>
                <w:color w:val="auto"/>
                <w:szCs w:val="21"/>
                <w:vertAlign w:val="superscript"/>
                <w:lang w:val="fr-FR"/>
              </w:rPr>
              <w:t>3</w:t>
            </w:r>
            <w:r>
              <w:rPr>
                <w:rFonts w:hint="default" w:ascii="Times New Roman" w:hAnsi="Times New Roman" w:eastAsia="宋体" w:cs="Times New Roman"/>
                <w:color w:val="auto"/>
                <w:szCs w:val="21"/>
              </w:rPr>
              <w:t>/h</w:t>
            </w:r>
          </w:p>
        </w:tc>
        <w:tc>
          <w:tcPr>
            <w:tcW w:w="1069" w:type="pct"/>
            <w:noWrap w:val="0"/>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color w:val="auto"/>
                <w:szCs w:val="21"/>
              </w:rPr>
              <w:t>企业现有的空分装置</w:t>
            </w:r>
          </w:p>
        </w:tc>
        <w:tc>
          <w:tcPr>
            <w:tcW w:w="889" w:type="pct"/>
            <w:noWrap w:val="0"/>
            <w:vAlign w:val="center"/>
          </w:tcPr>
          <w:p>
            <w:pPr>
              <w:jc w:val="center"/>
              <w:rPr>
                <w:rFonts w:hint="default" w:ascii="Times New Roman" w:hAnsi="Times New Roman" w:eastAsia="宋体"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非净化压缩空气</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13.33</w:t>
            </w:r>
            <w:r>
              <w:rPr>
                <w:rFonts w:hint="default" w:ascii="Times New Roman" w:hAnsi="Times New Roman" w:eastAsia="宋体" w:cs="Times New Roman"/>
                <w:color w:val="auto"/>
                <w:szCs w:val="21"/>
                <w:lang w:val="fr-FR"/>
              </w:rPr>
              <w:t xml:space="preserve"> m</w:t>
            </w:r>
            <w:r>
              <w:rPr>
                <w:rFonts w:hint="default" w:ascii="Times New Roman" w:hAnsi="Times New Roman" w:eastAsia="宋体" w:cs="Times New Roman"/>
                <w:color w:val="auto"/>
                <w:szCs w:val="21"/>
                <w:vertAlign w:val="superscript"/>
                <w:lang w:val="fr-FR"/>
              </w:rPr>
              <w:t>3</w:t>
            </w:r>
            <w:r>
              <w:rPr>
                <w:rFonts w:hint="default" w:ascii="Times New Roman" w:hAnsi="Times New Roman" w:eastAsia="宋体" w:cs="Times New Roman"/>
                <w:color w:val="auto"/>
                <w:szCs w:val="21"/>
              </w:rPr>
              <w:t>/min</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企业现有的供氮系统</w:t>
            </w:r>
          </w:p>
        </w:tc>
        <w:tc>
          <w:tcPr>
            <w:tcW w:w="889" w:type="pct"/>
            <w:noWrap w:val="0"/>
            <w:vAlign w:val="center"/>
          </w:tcPr>
          <w:p>
            <w:pPr>
              <w:jc w:val="center"/>
              <w:rPr>
                <w:rFonts w:hint="default" w:ascii="Times New Roman" w:hAnsi="Times New Roman" w:eastAsia="宋体" w:cs="Times New Roman"/>
                <w:color w:val="aut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noWrap w:val="0"/>
            <w:vAlign w:val="center"/>
          </w:tcPr>
          <w:p>
            <w:pPr>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20万t/a工业异辛烷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原料</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highlight w:val="yellow"/>
              </w:rPr>
            </w:pPr>
            <w:r>
              <w:rPr>
                <w:rFonts w:hint="default" w:ascii="Times New Roman" w:hAnsi="Times New Roman" w:eastAsia="宋体" w:cs="Times New Roman"/>
                <w:color w:val="auto"/>
                <w:szCs w:val="21"/>
              </w:rPr>
              <w:t>混合C4</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2</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催化剂</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highlight w:val="yellow"/>
              </w:rPr>
            </w:pPr>
            <w:r>
              <w:rPr>
                <w:rFonts w:hint="default" w:ascii="Times New Roman" w:hAnsi="Times New Roman" w:eastAsia="宋体" w:cs="Times New Roman"/>
                <w:bCs/>
                <w:color w:val="auto"/>
                <w:szCs w:val="21"/>
              </w:rPr>
              <w:t>硫酸</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1.0869</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外购</w:t>
            </w:r>
          </w:p>
        </w:tc>
        <w:tc>
          <w:tcPr>
            <w:tcW w:w="889"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98%浓硫酸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noWrap w:val="0"/>
            <w:vAlign w:val="center"/>
          </w:tcPr>
          <w:p>
            <w:pPr>
              <w:spacing w:line="240" w:lineRule="atLeast"/>
              <w:jc w:val="center"/>
              <w:rPr>
                <w:rFonts w:hint="default" w:ascii="Times New Roman" w:hAnsi="Times New Roman" w:eastAsia="宋体" w:cs="Times New Roman"/>
                <w:bCs/>
                <w:color w:val="auto"/>
                <w:kern w:val="2"/>
                <w:sz w:val="21"/>
                <w:szCs w:val="21"/>
                <w:lang w:val="en-US" w:eastAsia="zh-CN" w:bidi="ar-SA"/>
              </w:rPr>
            </w:pPr>
            <w:r>
              <w:rPr>
                <w:rFonts w:hint="eastAsia" w:ascii="Times New Roman" w:hAnsi="Times New Roman" w:eastAsia="宋体" w:cs="Times New Roman"/>
                <w:bCs/>
                <w:color w:val="auto"/>
                <w:szCs w:val="21"/>
                <w:lang w:eastAsia="zh-CN"/>
              </w:rPr>
              <w:t>催化剂</w:t>
            </w:r>
          </w:p>
        </w:tc>
        <w:tc>
          <w:tcPr>
            <w:tcW w:w="988" w:type="pct"/>
            <w:noWrap w:val="0"/>
            <w:vAlign w:val="center"/>
          </w:tcPr>
          <w:p>
            <w:pPr>
              <w:widowControl/>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Cs/>
                <w:color w:val="auto"/>
                <w:szCs w:val="21"/>
              </w:rPr>
              <w:t>硫酸</w:t>
            </w:r>
          </w:p>
        </w:tc>
        <w:tc>
          <w:tcPr>
            <w:tcW w:w="1069" w:type="pct"/>
            <w:noWrap w:val="0"/>
            <w:vAlign w:val="center"/>
          </w:tcPr>
          <w:p>
            <w:pPr>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1.2209</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exact"/>
              <w:jc w:val="center"/>
              <w:rPr>
                <w:rFonts w:hint="default" w:ascii="Times New Roman" w:hAnsi="Times New Roman" w:eastAsia="宋体" w:cs="Times New Roman"/>
                <w:bCs/>
                <w:color w:val="auto"/>
                <w:kern w:val="2"/>
                <w:sz w:val="21"/>
                <w:szCs w:val="21"/>
                <w:lang w:val="en-US" w:eastAsia="zh-CN" w:bidi="ar-SA"/>
              </w:rPr>
            </w:pPr>
            <w:r>
              <w:rPr>
                <w:rFonts w:hint="default" w:ascii="Times New Roman" w:hAnsi="Times New Roman" w:eastAsia="宋体" w:cs="Times New Roman"/>
                <w:bCs/>
                <w:color w:val="auto"/>
                <w:szCs w:val="21"/>
              </w:rPr>
              <w:t>--</w:t>
            </w:r>
          </w:p>
        </w:tc>
        <w:tc>
          <w:tcPr>
            <w:tcW w:w="889" w:type="pct"/>
            <w:noWrap w:val="0"/>
            <w:vAlign w:val="center"/>
          </w:tcPr>
          <w:p>
            <w:pPr>
              <w:spacing w:line="240" w:lineRule="exact"/>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bCs/>
                <w:color w:val="auto"/>
                <w:szCs w:val="21"/>
              </w:rPr>
              <w:t>9</w:t>
            </w:r>
            <w:r>
              <w:rPr>
                <w:rFonts w:hint="eastAsia" w:ascii="Times New Roman" w:hAnsi="Times New Roman" w:eastAsia="宋体" w:cs="Times New Roman"/>
                <w:bCs/>
                <w:color w:val="auto"/>
                <w:szCs w:val="21"/>
                <w:lang w:val="en-US" w:eastAsia="zh-CN"/>
              </w:rPr>
              <w:t>0</w:t>
            </w:r>
            <w:r>
              <w:rPr>
                <w:rFonts w:hint="default" w:ascii="Times New Roman" w:hAnsi="Times New Roman" w:eastAsia="宋体" w:cs="Times New Roman"/>
                <w:bCs/>
                <w:color w:val="auto"/>
                <w:szCs w:val="21"/>
              </w:rPr>
              <w:t>%浓硫酸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3</w:t>
            </w:r>
          </w:p>
        </w:tc>
        <w:tc>
          <w:tcPr>
            <w:tcW w:w="662" w:type="pc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辅助生产物料</w:t>
            </w:r>
          </w:p>
        </w:tc>
        <w:tc>
          <w:tcPr>
            <w:tcW w:w="988" w:type="pct"/>
            <w:noWrap w:val="0"/>
            <w:vAlign w:val="center"/>
          </w:tcPr>
          <w:p>
            <w:pPr>
              <w:spacing w:line="240" w:lineRule="atLeast"/>
              <w:jc w:val="center"/>
              <w:rPr>
                <w:rFonts w:hint="default" w:ascii="Times New Roman" w:hAnsi="Times New Roman" w:eastAsia="宋体" w:cs="Times New Roman"/>
                <w:bCs/>
                <w:color w:val="auto"/>
                <w:szCs w:val="21"/>
                <w:highlight w:val="yellow"/>
              </w:rPr>
            </w:pPr>
            <w:r>
              <w:rPr>
                <w:rFonts w:hint="default" w:ascii="Times New Roman" w:hAnsi="Times New Roman" w:eastAsia="宋体" w:cs="Times New Roman"/>
                <w:color w:val="auto"/>
                <w:szCs w:val="21"/>
              </w:rPr>
              <w:t>片碱</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0.2</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外购</w:t>
            </w:r>
          </w:p>
        </w:tc>
        <w:tc>
          <w:tcPr>
            <w:tcW w:w="889" w:type="pct"/>
            <w:noWrap w:val="0"/>
            <w:vAlign w:val="center"/>
          </w:tcPr>
          <w:p>
            <w:pPr>
              <w:spacing w:line="240" w:lineRule="exact"/>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4</w:t>
            </w:r>
          </w:p>
        </w:tc>
        <w:tc>
          <w:tcPr>
            <w:tcW w:w="662" w:type="pct"/>
            <w:vMerge w:val="restart"/>
            <w:noWrap w:val="0"/>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产品</w:t>
            </w:r>
          </w:p>
        </w:tc>
        <w:tc>
          <w:tcPr>
            <w:tcW w:w="988" w:type="pct"/>
            <w:noWrap w:val="0"/>
            <w:vAlign w:val="center"/>
          </w:tcPr>
          <w:p>
            <w:pPr>
              <w:widowControl/>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工业异辛烷</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17.16</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exact"/>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widowControl/>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正丁烷</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2.25</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exact"/>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20"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662" w:type="pct"/>
            <w:vMerge w:val="continue"/>
            <w:noWrap w:val="0"/>
            <w:vAlign w:val="center"/>
          </w:tcPr>
          <w:p>
            <w:pPr>
              <w:spacing w:line="240" w:lineRule="atLeast"/>
              <w:jc w:val="center"/>
              <w:rPr>
                <w:rFonts w:hint="default" w:ascii="Times New Roman" w:hAnsi="Times New Roman" w:eastAsia="宋体" w:cs="Times New Roman"/>
                <w:bCs/>
                <w:color w:val="auto"/>
                <w:szCs w:val="21"/>
              </w:rPr>
            </w:pPr>
          </w:p>
        </w:tc>
        <w:tc>
          <w:tcPr>
            <w:tcW w:w="988" w:type="pct"/>
            <w:noWrap w:val="0"/>
            <w:vAlign w:val="center"/>
          </w:tcPr>
          <w:p>
            <w:pPr>
              <w:widowControl/>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异丁烷</w:t>
            </w:r>
          </w:p>
        </w:tc>
        <w:tc>
          <w:tcPr>
            <w:tcW w:w="1069" w:type="pct"/>
            <w:noWrap w:val="0"/>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0.44</w:t>
            </w:r>
            <w:r>
              <w:rPr>
                <w:rFonts w:hint="default" w:ascii="Times New Roman" w:hAnsi="Times New Roman" w:eastAsia="宋体" w:cs="Times New Roman"/>
                <w:bCs/>
                <w:color w:val="auto"/>
                <w:szCs w:val="21"/>
                <w:lang w:val="fr-FR"/>
              </w:rPr>
              <w:t>万t/a</w:t>
            </w:r>
          </w:p>
        </w:tc>
        <w:tc>
          <w:tcPr>
            <w:tcW w:w="1069" w:type="pct"/>
            <w:noWrap w:val="0"/>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w:t>
            </w:r>
          </w:p>
        </w:tc>
        <w:tc>
          <w:tcPr>
            <w:tcW w:w="889" w:type="pct"/>
            <w:noWrap w:val="0"/>
            <w:vAlign w:val="center"/>
          </w:tcPr>
          <w:p>
            <w:pPr>
              <w:spacing w:line="240" w:lineRule="exact"/>
              <w:jc w:val="center"/>
              <w:rPr>
                <w:rFonts w:hint="default" w:ascii="Times New Roman" w:hAnsi="Times New Roman" w:eastAsia="宋体" w:cs="Times New Roman"/>
                <w:color w:val="auto"/>
                <w:szCs w:val="21"/>
              </w:rPr>
            </w:pPr>
          </w:p>
        </w:tc>
      </w:tr>
    </w:tbl>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3.3.2“三废”污染物产生及治理情况</w:t>
      </w:r>
    </w:p>
    <w:p>
      <w:pPr>
        <w:adjustRightInd w:val="0"/>
        <w:snapToGrid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根据对工艺流程产生污染物环节及公用工程的分析</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废水、废气及危险废物等污染治理情况按照生产单元分述表3.3-2、3.3-3、3.3-4。</w:t>
      </w:r>
    </w:p>
    <w:p>
      <w:pPr>
        <w:adjustRightInd w:val="0"/>
        <w:snapToGrid w:val="0"/>
        <w:spacing w:line="360" w:lineRule="auto"/>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（1）废气污染物产生及治理情况</w:t>
      </w:r>
    </w:p>
    <w:p>
      <w:pPr>
        <w:adjustRightInd w:val="0"/>
        <w:snapToGrid w:val="0"/>
        <w:spacing w:line="360" w:lineRule="auto"/>
        <w:ind w:firstLine="480" w:firstLineChars="200"/>
        <w:jc w:val="left"/>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废气为有组织废气和无组织废气两类，废气污染物排放情况见表3.3-2。</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表3.3-2  废气污染物排放情况</w:t>
      </w:r>
    </w:p>
    <w:tbl>
      <w:tblPr>
        <w:tblStyle w:val="7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9"/>
        <w:gridCol w:w="1391"/>
        <w:gridCol w:w="1263"/>
        <w:gridCol w:w="2166"/>
        <w:gridCol w:w="1296"/>
        <w:gridCol w:w="1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356" w:type="pct"/>
            <w:shd w:val="clear" w:color="auto" w:fill="auto"/>
            <w:vAlign w:val="center"/>
          </w:tcPr>
          <w:p>
            <w:pPr>
              <w:adjustRightInd w:val="0"/>
              <w:snapToGrid w:val="0"/>
              <w:spacing w:line="360" w:lineRule="auto"/>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序号</w:t>
            </w:r>
          </w:p>
        </w:tc>
        <w:tc>
          <w:tcPr>
            <w:tcW w:w="832" w:type="pct"/>
            <w:shd w:val="clear" w:color="auto" w:fill="auto"/>
            <w:vAlign w:val="center"/>
          </w:tcPr>
          <w:p>
            <w:pPr>
              <w:adjustRightInd w:val="0"/>
              <w:snapToGrid w:val="0"/>
              <w:spacing w:line="360" w:lineRule="auto"/>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废气来源</w:t>
            </w:r>
          </w:p>
        </w:tc>
        <w:tc>
          <w:tcPr>
            <w:tcW w:w="757" w:type="pct"/>
            <w:shd w:val="clear" w:color="auto" w:fill="auto"/>
            <w:vAlign w:val="center"/>
          </w:tcPr>
          <w:p>
            <w:pPr>
              <w:adjustRightInd w:val="0"/>
              <w:snapToGrid w:val="0"/>
              <w:spacing w:line="360" w:lineRule="auto"/>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排放源</w:t>
            </w:r>
          </w:p>
        </w:tc>
        <w:tc>
          <w:tcPr>
            <w:tcW w:w="1286" w:type="pct"/>
            <w:shd w:val="clear" w:color="auto" w:fill="auto"/>
            <w:vAlign w:val="center"/>
          </w:tcPr>
          <w:p>
            <w:pPr>
              <w:adjustRightInd w:val="0"/>
              <w:snapToGrid w:val="0"/>
              <w:spacing w:line="360" w:lineRule="auto"/>
              <w:ind w:firstLine="422" w:firstLineChars="200"/>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污染物种类及数量</w:t>
            </w:r>
          </w:p>
        </w:tc>
        <w:tc>
          <w:tcPr>
            <w:tcW w:w="680" w:type="pct"/>
            <w:vAlign w:val="center"/>
          </w:tcPr>
          <w:p>
            <w:pPr>
              <w:adjustRightInd w:val="0"/>
              <w:snapToGrid w:val="0"/>
              <w:spacing w:line="360" w:lineRule="auto"/>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color w:val="auto"/>
                <w:szCs w:val="21"/>
              </w:rPr>
              <w:t>排放数量</w:t>
            </w:r>
          </w:p>
        </w:tc>
        <w:tc>
          <w:tcPr>
            <w:tcW w:w="1086" w:type="pct"/>
            <w:shd w:val="clear" w:color="auto" w:fill="auto"/>
            <w:vAlign w:val="center"/>
          </w:tcPr>
          <w:p>
            <w:pPr>
              <w:adjustRightInd w:val="0"/>
              <w:snapToGrid w:val="0"/>
              <w:spacing w:line="360" w:lineRule="auto"/>
              <w:ind w:firstLine="422" w:firstLineChars="200"/>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5000" w:type="pct"/>
            <w:gridSpan w:val="6"/>
            <w:shd w:val="clear" w:color="auto" w:fill="auto"/>
            <w:vAlign w:val="center"/>
          </w:tcPr>
          <w:p>
            <w:pPr>
              <w:adjustRightInd w:val="0"/>
              <w:snapToGrid w:val="0"/>
              <w:spacing w:line="360" w:lineRule="auto"/>
              <w:ind w:firstLine="422" w:firstLineChars="200"/>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甲醇10万t/a生产装置区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w:t>
            </w:r>
          </w:p>
        </w:tc>
        <w:tc>
          <w:tcPr>
            <w:tcW w:w="832"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一段转化炉</w:t>
            </w:r>
          </w:p>
        </w:tc>
        <w:tc>
          <w:tcPr>
            <w:tcW w:w="757"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炉烟气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N</w:t>
            </w:r>
            <w:r>
              <w:rPr>
                <w:rFonts w:hint="default" w:ascii="Times New Roman" w:hAnsi="Times New Roman" w:eastAsia="宋体" w:cs="Times New Roman"/>
                <w:color w:val="auto"/>
                <w:szCs w:val="21"/>
                <w:vertAlign w:val="subscript"/>
              </w:rPr>
              <w:t xml:space="preserve">2 </w:t>
            </w:r>
            <w:r>
              <w:rPr>
                <w:rFonts w:hint="default" w:ascii="Times New Roman" w:hAnsi="Times New Roman" w:eastAsia="宋体" w:cs="Times New Roman"/>
                <w:color w:val="auto"/>
                <w:szCs w:val="21"/>
              </w:rPr>
              <w:t>87％、O</w:t>
            </w:r>
            <w:r>
              <w:rPr>
                <w:rFonts w:hint="default" w:ascii="Times New Roman" w:hAnsi="Times New Roman" w:eastAsia="宋体" w:cs="Times New Roman"/>
                <w:color w:val="auto"/>
                <w:szCs w:val="21"/>
                <w:vertAlign w:val="subscript"/>
              </w:rPr>
              <w:t xml:space="preserve">2 </w:t>
            </w:r>
            <w:r>
              <w:rPr>
                <w:rFonts w:hint="default" w:ascii="Times New Roman" w:hAnsi="Times New Roman" w:eastAsia="宋体" w:cs="Times New Roman"/>
                <w:color w:val="auto"/>
                <w:szCs w:val="21"/>
              </w:rPr>
              <w:t>3.0%、H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O 8.0%、CO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≤2.0%</w:t>
            </w:r>
          </w:p>
        </w:tc>
        <w:tc>
          <w:tcPr>
            <w:tcW w:w="680"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color w:val="auto"/>
                <w:szCs w:val="21"/>
              </w:rPr>
              <w:t>23000Nm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用25米高的排气筒排入大气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w:t>
            </w:r>
          </w:p>
        </w:tc>
        <w:tc>
          <w:tcPr>
            <w:tcW w:w="832"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甲醇分离器</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弛放气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73.8%、CH</w:t>
            </w:r>
            <w:r>
              <w:rPr>
                <w:rFonts w:hint="default" w:ascii="Times New Roman" w:hAnsi="Times New Roman" w:eastAsia="宋体" w:cs="Times New Roman"/>
                <w:color w:val="auto"/>
                <w:szCs w:val="21"/>
                <w:vertAlign w:val="subscript"/>
              </w:rPr>
              <w:t>4</w:t>
            </w:r>
            <w:r>
              <w:rPr>
                <w:rFonts w:hint="default" w:ascii="Times New Roman" w:hAnsi="Times New Roman" w:eastAsia="宋体" w:cs="Times New Roman"/>
                <w:color w:val="auto"/>
                <w:szCs w:val="21"/>
              </w:rPr>
              <w:t>2%、CO4.9%、CO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16.3%、N</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2.4%和微量甲醇等</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~9200Nm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氢气与富CO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气返回生产装置作原料，尾气送造气一段炉作燃料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3</w:t>
            </w:r>
          </w:p>
        </w:tc>
        <w:tc>
          <w:tcPr>
            <w:tcW w:w="832"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闪蒸槽</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闪蒸气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含H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 xml:space="preserve">4 </w:t>
            </w:r>
            <w:r>
              <w:rPr>
                <w:rFonts w:hint="default" w:ascii="Times New Roman" w:hAnsi="Times New Roman" w:eastAsia="宋体" w:cs="Times New Roman"/>
                <w:color w:val="auto"/>
                <w:szCs w:val="21"/>
              </w:rPr>
              <w:t>、CO、CO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甲醇和微量乙醇等</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送造气一段炉作</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4</w:t>
            </w:r>
          </w:p>
        </w:tc>
        <w:tc>
          <w:tcPr>
            <w:tcW w:w="832"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冷凝器</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含H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、CO、甲醇及微量二甲醚、甲醛、甲酯等</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送造气一段炉作</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vAlign w:val="center"/>
          </w:tcPr>
          <w:p>
            <w:pPr>
              <w:adjustRightInd w:val="0"/>
              <w:snapToGrid w:val="0"/>
              <w:spacing w:line="360" w:lineRule="auto"/>
              <w:ind w:firstLine="422" w:firstLineChars="200"/>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MTBE5万t/a生产装置区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w:t>
            </w:r>
          </w:p>
        </w:tc>
        <w:tc>
          <w:tcPr>
            <w:tcW w:w="832"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C4闪蒸罐</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闪蒸气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非甲烷总烃2.224 mg/m</w:t>
            </w:r>
            <w:r>
              <w:rPr>
                <w:rFonts w:hint="default" w:ascii="Times New Roman" w:hAnsi="Times New Roman" w:eastAsia="宋体" w:cs="Times New Roman"/>
                <w:color w:val="auto"/>
                <w:szCs w:val="21"/>
                <w:vertAlign w:val="superscript"/>
              </w:rPr>
              <w:t>3</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27.8kg/h</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送至长庆石化分公司火炬系统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w:t>
            </w:r>
          </w:p>
        </w:tc>
        <w:tc>
          <w:tcPr>
            <w:tcW w:w="832"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水洗罐</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不凝气</w:t>
            </w:r>
          </w:p>
        </w:tc>
        <w:tc>
          <w:tcPr>
            <w:tcW w:w="1286" w:type="pct"/>
            <w:vAlign w:val="center"/>
          </w:tcPr>
          <w:p>
            <w:pPr>
              <w:ind w:left="-29" w:leftChars="-14"/>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甲醇0.186 mg/m</w:t>
            </w:r>
            <w:r>
              <w:rPr>
                <w:rFonts w:hint="default" w:ascii="Times New Roman" w:hAnsi="Times New Roman" w:eastAsia="宋体" w:cs="Times New Roman"/>
                <w:color w:val="auto"/>
                <w:szCs w:val="21"/>
                <w:vertAlign w:val="superscript"/>
              </w:rPr>
              <w:t>3</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2.325kg/h</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送至长庆石化分公司火炬系统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bCs/>
                <w:color w:val="auto"/>
                <w:szCs w:val="21"/>
              </w:rPr>
              <w:t>30万t/a醚化汽油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甲醇缓冲罐</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吹扫气体</w:t>
            </w:r>
          </w:p>
        </w:tc>
        <w:tc>
          <w:tcPr>
            <w:tcW w:w="1286" w:type="pct"/>
            <w:vAlign w:val="center"/>
          </w:tcPr>
          <w:p>
            <w:pPr>
              <w:ind w:left="-29" w:leftChars="-14"/>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30%甲醇、70%N</w:t>
            </w:r>
            <w:r>
              <w:rPr>
                <w:rFonts w:hint="default" w:ascii="Times New Roman" w:hAnsi="Times New Roman" w:eastAsia="宋体" w:cs="Times New Roman"/>
                <w:color w:val="auto"/>
                <w:szCs w:val="21"/>
                <w:vertAlign w:val="subscript"/>
              </w:rPr>
              <w:t>2</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828Nm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Merge w:val="restar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废气通过燃料气回收管网送往长庆石化公司火炬系统燃烧后排放。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轻汽油缓冲罐</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吹扫气体</w:t>
            </w:r>
          </w:p>
        </w:tc>
        <w:tc>
          <w:tcPr>
            <w:tcW w:w="1286" w:type="pct"/>
            <w:vAlign w:val="center"/>
          </w:tcPr>
          <w:p>
            <w:pPr>
              <w:ind w:left="-29" w:leftChars="-14"/>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34.99%NMHC、65.01%N</w:t>
            </w:r>
            <w:r>
              <w:rPr>
                <w:rFonts w:hint="default" w:ascii="Times New Roman" w:hAnsi="Times New Roman" w:eastAsia="宋体" w:cs="Times New Roman"/>
                <w:color w:val="auto"/>
                <w:szCs w:val="21"/>
                <w:vertAlign w:val="subscript"/>
              </w:rPr>
              <w:t>2</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892Nm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3</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醚化塔回流罐</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吹扫气体</w:t>
            </w:r>
          </w:p>
        </w:tc>
        <w:tc>
          <w:tcPr>
            <w:tcW w:w="1286" w:type="pct"/>
            <w:vAlign w:val="center"/>
          </w:tcPr>
          <w:p>
            <w:pPr>
              <w:ind w:left="-29" w:leftChars="-14"/>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23.99%NMHC、11.00%甲醇、65.01%N</w:t>
            </w:r>
            <w:r>
              <w:rPr>
                <w:rFonts w:hint="default" w:ascii="Times New Roman" w:hAnsi="Times New Roman" w:eastAsia="宋体" w:cs="Times New Roman"/>
                <w:color w:val="auto"/>
                <w:szCs w:val="21"/>
                <w:vertAlign w:val="subscript"/>
              </w:rPr>
              <w:t>2</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1749Nm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4</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甲醇回收塔顶回流罐</w:t>
            </w:r>
          </w:p>
        </w:tc>
        <w:tc>
          <w:tcPr>
            <w:tcW w:w="75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泄压气体</w:t>
            </w:r>
          </w:p>
        </w:tc>
        <w:tc>
          <w:tcPr>
            <w:tcW w:w="1286" w:type="pct"/>
            <w:vAlign w:val="center"/>
          </w:tcPr>
          <w:p>
            <w:pPr>
              <w:ind w:left="-29" w:leftChars="-14"/>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30.00%甲醇、70.00%N</w:t>
            </w:r>
            <w:r>
              <w:rPr>
                <w:rFonts w:hint="default" w:ascii="Times New Roman" w:hAnsi="Times New Roman" w:eastAsia="宋体" w:cs="Times New Roman"/>
                <w:color w:val="auto"/>
                <w:szCs w:val="21"/>
                <w:vertAlign w:val="subscript"/>
              </w:rPr>
              <w:t>2</w:t>
            </w:r>
          </w:p>
        </w:tc>
        <w:tc>
          <w:tcPr>
            <w:tcW w:w="680" w:type="pc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426Nm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/h</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bCs/>
                <w:color w:val="auto"/>
                <w:szCs w:val="21"/>
              </w:rPr>
              <w:t>20万t/a工业异辛烷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馏出物碱洗罐</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restar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收集后送长庆石化火炬系统燃烧后</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馏出物水洗罐</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3</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外甩冷剂</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碱洗罐</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4</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脱异丁烷塔顶</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5</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脱异丁烷塔</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回流罐</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6</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脱正丁烷塔顶</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7</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脱正丁烷塔</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回流罐</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8</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含酸气碱洗塔</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工艺不凝气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非甲烷总烃</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Merge w:val="continue"/>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356" w:type="pct"/>
            <w:vAlign w:val="center"/>
          </w:tcPr>
          <w:p>
            <w:pPr>
              <w:adjustRightInd w:val="0"/>
              <w:snapToGrid w:val="0"/>
              <w:spacing w:line="360" w:lineRule="auto"/>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9</w:t>
            </w:r>
          </w:p>
        </w:tc>
        <w:tc>
          <w:tcPr>
            <w:tcW w:w="832" w:type="pct"/>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煅烧炉</w:t>
            </w:r>
          </w:p>
        </w:tc>
        <w:tc>
          <w:tcPr>
            <w:tcW w:w="757" w:type="pct"/>
            <w:vAlign w:val="center"/>
          </w:tcPr>
          <w:p>
            <w:pPr>
              <w:tabs>
                <w:tab w:val="left" w:pos="600"/>
              </w:tabs>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煅烧炉烟气</w:t>
            </w:r>
          </w:p>
        </w:tc>
        <w:tc>
          <w:tcPr>
            <w:tcW w:w="12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SO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、NOx、颗粒物</w:t>
            </w:r>
          </w:p>
        </w:tc>
        <w:tc>
          <w:tcPr>
            <w:tcW w:w="680" w:type="pct"/>
            <w:vAlign w:val="center"/>
          </w:tcPr>
          <w:p>
            <w:pPr>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w:t>
            </w:r>
          </w:p>
        </w:tc>
        <w:tc>
          <w:tcPr>
            <w:tcW w:w="1086"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通过旋风除尘、脱硫塔脱硫后经22m高排气筒排放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0" w:hRule="atLeast"/>
          <w:jc w:val="center"/>
        </w:trPr>
        <w:tc>
          <w:tcPr>
            <w:tcW w:w="5000" w:type="pct"/>
            <w:gridSpan w:val="6"/>
            <w:vAlign w:val="center"/>
          </w:tcPr>
          <w:p>
            <w:pPr>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注：长庆石化分公司厂区内存在火炬回收系统，该系统是由一座5000 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湿式气柜，以及水封罐和火炬构成。用于回收多余的轻烃，将生产装置过剩瓦斯气体收集及储存，作为加热炉的燃料使用。公司有组织排放的废气排放量少，依托火炬系统可行。</w:t>
            </w:r>
          </w:p>
        </w:tc>
      </w:tr>
    </w:tbl>
    <w:p>
      <w:pPr>
        <w:adjustRightInd w:val="0"/>
        <w:snapToGrid w:val="0"/>
        <w:spacing w:before="120" w:beforeLines="50" w:after="120" w:afterLines="50" w:line="360" w:lineRule="auto"/>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（2）废水污染物产生及治理情况</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公司生产废水处理依托送入长庆石化公司污水处理厂，所有生产废水及生活污水全部送入长庆石化公司污水处理站处理达标后排入渭河。废水污染物排放情况见表3.3-3。</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表3.3-3 废水污染物排放情况</w:t>
      </w:r>
    </w:p>
    <w:tbl>
      <w:tblPr>
        <w:tblStyle w:val="75"/>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22"/>
        <w:gridCol w:w="1264"/>
        <w:gridCol w:w="1189"/>
        <w:gridCol w:w="2516"/>
        <w:gridCol w:w="1193"/>
        <w:gridCol w:w="1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restart"/>
            <w:tcMar>
              <w:left w:w="28" w:type="dxa"/>
              <w:right w:w="28" w:type="dxa"/>
            </w:tcMar>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工序</w:t>
            </w:r>
          </w:p>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名称</w:t>
            </w:r>
          </w:p>
        </w:tc>
        <w:tc>
          <w:tcPr>
            <w:tcW w:w="755" w:type="pct"/>
            <w:vMerge w:val="restart"/>
            <w:tcMar>
              <w:left w:w="28" w:type="dxa"/>
              <w:right w:w="28" w:type="dxa"/>
            </w:tcMar>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废水来源</w:t>
            </w:r>
          </w:p>
        </w:tc>
        <w:tc>
          <w:tcPr>
            <w:tcW w:w="711" w:type="pct"/>
            <w:vMerge w:val="restart"/>
            <w:tcMar>
              <w:left w:w="28" w:type="dxa"/>
              <w:right w:w="28" w:type="dxa"/>
            </w:tcMar>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废水名称</w:t>
            </w:r>
          </w:p>
        </w:tc>
        <w:tc>
          <w:tcPr>
            <w:tcW w:w="1504" w:type="pct"/>
            <w:vMerge w:val="restart"/>
            <w:tcMar>
              <w:left w:w="28" w:type="dxa"/>
              <w:right w:w="28" w:type="dxa"/>
            </w:tcMar>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污染物种类</w:t>
            </w:r>
          </w:p>
        </w:tc>
        <w:tc>
          <w:tcPr>
            <w:tcW w:w="713" w:type="pct"/>
            <w:vMerge w:val="restart"/>
            <w:tcMar>
              <w:left w:w="28" w:type="dxa"/>
              <w:right w:w="28" w:type="dxa"/>
            </w:tcMar>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处理方法</w:t>
            </w:r>
          </w:p>
        </w:tc>
        <w:tc>
          <w:tcPr>
            <w:tcW w:w="703" w:type="pct"/>
            <w:vMerge w:val="restart"/>
            <w:tcMar>
              <w:left w:w="28" w:type="dxa"/>
              <w:right w:w="28" w:type="dxa"/>
            </w:tcMar>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排放数量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55"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11"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1504"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03"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6"/>
            <w:tcMar>
              <w:left w:w="28" w:type="dxa"/>
              <w:right w:w="28" w:type="dxa"/>
            </w:tcMar>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bCs/>
                <w:color w:val="auto"/>
                <w:kern w:val="0"/>
                <w:szCs w:val="21"/>
              </w:rPr>
              <w:t>甲醇10万t/a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造气</w:t>
            </w:r>
          </w:p>
        </w:tc>
        <w:tc>
          <w:tcPr>
            <w:tcW w:w="755"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转化废锅汽包</w:t>
            </w:r>
          </w:p>
        </w:tc>
        <w:tc>
          <w:tcPr>
            <w:tcW w:w="7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汽包排污水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总溶固体＜600ppm、微量Na</w:t>
            </w:r>
            <w:r>
              <w:rPr>
                <w:rFonts w:hint="default" w:ascii="Times New Roman" w:hAnsi="Times New Roman" w:eastAsia="宋体" w:cs="Times New Roman"/>
                <w:color w:val="auto"/>
                <w:kern w:val="0"/>
                <w:szCs w:val="21"/>
                <w:vertAlign w:val="subscript"/>
              </w:rPr>
              <w:t>3</w:t>
            </w:r>
            <w:r>
              <w:rPr>
                <w:rFonts w:hint="default" w:ascii="Times New Roman" w:hAnsi="Times New Roman" w:eastAsia="宋体" w:cs="Times New Roman"/>
                <w:color w:val="auto"/>
                <w:kern w:val="0"/>
                <w:szCs w:val="21"/>
              </w:rPr>
              <w:t>PO</w:t>
            </w:r>
            <w:r>
              <w:rPr>
                <w:rFonts w:hint="default" w:ascii="Times New Roman" w:hAnsi="Times New Roman" w:eastAsia="宋体" w:cs="Times New Roman"/>
                <w:color w:val="auto"/>
                <w:kern w:val="0"/>
                <w:szCs w:val="21"/>
                <w:vertAlign w:val="subscript"/>
              </w:rPr>
              <w:t>4、</w:t>
            </w:r>
            <w:r>
              <w:rPr>
                <w:rFonts w:hint="default" w:ascii="Times New Roman" w:hAnsi="Times New Roman" w:eastAsia="宋体" w:cs="Times New Roman"/>
                <w:color w:val="auto"/>
                <w:kern w:val="0"/>
                <w:szCs w:val="21"/>
              </w:rPr>
              <w:t>pH 8〜10</w:t>
            </w:r>
          </w:p>
        </w:tc>
        <w:tc>
          <w:tcPr>
            <w:tcW w:w="713" w:type="pct"/>
            <w:tcMar>
              <w:left w:w="28" w:type="dxa"/>
              <w:right w:w="28" w:type="dxa"/>
            </w:tcMar>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长庆石化公司污水</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处理厂</w:t>
            </w:r>
          </w:p>
        </w:tc>
        <w:tc>
          <w:tcPr>
            <w:tcW w:w="703"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〜2.5 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合成</w:t>
            </w:r>
          </w:p>
        </w:tc>
        <w:tc>
          <w:tcPr>
            <w:tcW w:w="755"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合成汽包</w:t>
            </w:r>
          </w:p>
        </w:tc>
        <w:tc>
          <w:tcPr>
            <w:tcW w:w="7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汽包排污水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总溶固体&lt;600pp、微量Na</w:t>
            </w:r>
            <w:r>
              <w:rPr>
                <w:rFonts w:hint="default" w:ascii="Times New Roman" w:hAnsi="Times New Roman" w:eastAsia="宋体" w:cs="Times New Roman"/>
                <w:color w:val="auto"/>
                <w:kern w:val="0"/>
                <w:szCs w:val="21"/>
                <w:vertAlign w:val="subscript"/>
              </w:rPr>
              <w:t>3</w:t>
            </w:r>
            <w:r>
              <w:rPr>
                <w:rFonts w:hint="default" w:ascii="Times New Roman" w:hAnsi="Times New Roman" w:eastAsia="宋体" w:cs="Times New Roman"/>
                <w:color w:val="auto"/>
                <w:kern w:val="0"/>
                <w:szCs w:val="21"/>
              </w:rPr>
              <w:t>PO</w:t>
            </w:r>
            <w:r>
              <w:rPr>
                <w:rFonts w:hint="default" w:ascii="Times New Roman" w:hAnsi="Times New Roman" w:eastAsia="宋体" w:cs="Times New Roman"/>
                <w:color w:val="auto"/>
                <w:kern w:val="0"/>
                <w:szCs w:val="21"/>
                <w:vertAlign w:val="subscript"/>
              </w:rPr>
              <w:t>4、</w:t>
            </w:r>
            <w:r>
              <w:rPr>
                <w:rFonts w:hint="default" w:ascii="Times New Roman" w:hAnsi="Times New Roman" w:eastAsia="宋体" w:cs="Times New Roman"/>
                <w:color w:val="auto"/>
                <w:kern w:val="0"/>
                <w:szCs w:val="21"/>
              </w:rPr>
              <w:t>pH 8〜10</w:t>
            </w:r>
          </w:p>
        </w:tc>
        <w:tc>
          <w:tcPr>
            <w:tcW w:w="713" w:type="pct"/>
            <w:tcMar>
              <w:left w:w="28" w:type="dxa"/>
              <w:right w:w="28" w:type="dxa"/>
            </w:tcMar>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长庆石化公司污水</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处理厂</w:t>
            </w:r>
          </w:p>
        </w:tc>
        <w:tc>
          <w:tcPr>
            <w:tcW w:w="703"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〜1.5 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restar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精馏</w:t>
            </w:r>
          </w:p>
        </w:tc>
        <w:tc>
          <w:tcPr>
            <w:tcW w:w="755"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主精馏塔</w:t>
            </w:r>
          </w:p>
        </w:tc>
        <w:tc>
          <w:tcPr>
            <w:tcW w:w="7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釜液（含醇废水）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H</w:t>
            </w:r>
            <w:r>
              <w:rPr>
                <w:rFonts w:hint="default" w:ascii="Times New Roman" w:hAnsi="Times New Roman" w:eastAsia="宋体" w:cs="Times New Roman"/>
                <w:color w:val="auto"/>
                <w:kern w:val="0"/>
                <w:szCs w:val="21"/>
                <w:vertAlign w:val="subscript"/>
              </w:rPr>
              <w:t>2</w:t>
            </w:r>
            <w:r>
              <w:rPr>
                <w:rFonts w:hint="default" w:ascii="Times New Roman" w:hAnsi="Times New Roman" w:eastAsia="宋体" w:cs="Times New Roman"/>
                <w:color w:val="auto"/>
                <w:kern w:val="0"/>
                <w:szCs w:val="21"/>
              </w:rPr>
              <w:t>O 99.98％、甲醇200~250 mg/L、乙醚〜9mg/L</w:t>
            </w:r>
          </w:p>
        </w:tc>
        <w:tc>
          <w:tcPr>
            <w:tcW w:w="713" w:type="pct"/>
            <w:tcMar>
              <w:left w:w="28" w:type="dxa"/>
              <w:right w:w="28" w:type="dxa"/>
            </w:tcMar>
            <w:vAlign w:val="center"/>
          </w:tcPr>
          <w:p>
            <w:pP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送造气工序汽提塔汽提处理</w:t>
            </w:r>
          </w:p>
        </w:tc>
        <w:tc>
          <w:tcPr>
            <w:tcW w:w="703"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〜3.2 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55"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主精馏塔</w:t>
            </w:r>
          </w:p>
        </w:tc>
        <w:tc>
          <w:tcPr>
            <w:tcW w:w="7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杂醇油</w:t>
            </w:r>
          </w:p>
        </w:tc>
        <w:tc>
          <w:tcPr>
            <w:tcW w:w="1504" w:type="pct"/>
            <w:tcMar>
              <w:left w:w="28" w:type="dxa"/>
              <w:right w:w="28" w:type="dxa"/>
            </w:tcMar>
            <w:vAlign w:val="center"/>
          </w:tcPr>
          <w:p>
            <w:pP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主要为甲醇，其次为水及少量乙醚、乙醇等</w:t>
            </w:r>
          </w:p>
        </w:tc>
        <w:tc>
          <w:tcPr>
            <w:tcW w:w="713"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回收装桶</w:t>
            </w:r>
          </w:p>
        </w:tc>
        <w:tc>
          <w:tcPr>
            <w:tcW w:w="703"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〜0.4 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6"/>
            <w:tcMar>
              <w:left w:w="28" w:type="dxa"/>
              <w:right w:w="28" w:type="dxa"/>
            </w:tcMar>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b/>
                <w:bCs/>
                <w:color w:val="auto"/>
                <w:szCs w:val="21"/>
              </w:rPr>
              <w:t>MTBE5万t/a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7" w:type="pct"/>
            <w:gridSpan w:val="2"/>
            <w:vMerge w:val="restar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MTBE生产装置</w:t>
            </w:r>
          </w:p>
        </w:tc>
        <w:tc>
          <w:tcPr>
            <w:tcW w:w="711" w:type="pct"/>
            <w:tcMar>
              <w:left w:w="28" w:type="dxa"/>
              <w:right w:w="28" w:type="dxa"/>
            </w:tcMar>
            <w:vAlign w:val="center"/>
          </w:tcPr>
          <w:p>
            <w:pPr>
              <w:snapToGrid w:val="0"/>
              <w:ind w:left="13" w:leftChars="-35" w:hanging="86" w:hangingChars="41"/>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含醇废水</w:t>
            </w:r>
          </w:p>
        </w:tc>
        <w:tc>
          <w:tcPr>
            <w:tcW w:w="1504" w:type="pct"/>
            <w:tcMar>
              <w:left w:w="28" w:type="dxa"/>
              <w:right w:w="28" w:type="dxa"/>
            </w:tcMar>
            <w:vAlign w:val="center"/>
          </w:tcPr>
          <w:p>
            <w:pP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甲醇100</w:t>
            </w:r>
            <w:r>
              <w:rPr>
                <w:rFonts w:hint="default" w:ascii="Times New Roman" w:hAnsi="Times New Roman" w:eastAsia="宋体" w:cs="Times New Roman"/>
                <w:bCs/>
                <w:color w:val="auto"/>
                <w:kern w:val="0"/>
                <w:szCs w:val="21"/>
              </w:rPr>
              <w:t>mg/L</w:t>
            </w:r>
          </w:p>
        </w:tc>
        <w:tc>
          <w:tcPr>
            <w:tcW w:w="713" w:type="pct"/>
            <w:vMerge w:val="restart"/>
            <w:tcMar>
              <w:left w:w="28" w:type="dxa"/>
              <w:right w:w="28" w:type="dxa"/>
            </w:tcMar>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经原厂区污水收集系统收集后送</w:t>
            </w:r>
            <w:r>
              <w:rPr>
                <w:rFonts w:hint="default" w:ascii="Times New Roman" w:hAnsi="Times New Roman" w:eastAsia="宋体" w:cs="Times New Roman"/>
                <w:color w:val="auto"/>
                <w:szCs w:val="21"/>
              </w:rPr>
              <w:t>长庆石化公司污水处理厂</w:t>
            </w:r>
            <w:r>
              <w:rPr>
                <w:rFonts w:hint="default" w:ascii="Times New Roman" w:hAnsi="Times New Roman" w:eastAsia="宋体" w:cs="Times New Roman"/>
                <w:color w:val="auto"/>
                <w:kern w:val="0"/>
                <w:szCs w:val="21"/>
              </w:rPr>
              <w:t>。</w:t>
            </w:r>
          </w:p>
        </w:tc>
        <w:tc>
          <w:tcPr>
            <w:tcW w:w="703" w:type="pc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12×10</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 xml:space="preserve"> 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1367" w:type="pct"/>
            <w:gridSpan w:val="2"/>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11" w:type="pc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含油废水</w:t>
            </w:r>
          </w:p>
        </w:tc>
        <w:tc>
          <w:tcPr>
            <w:tcW w:w="1504" w:type="pct"/>
            <w:tcMar>
              <w:left w:w="28" w:type="dxa"/>
              <w:right w:w="28" w:type="dxa"/>
            </w:tcMar>
            <w:vAlign w:val="center"/>
          </w:tcPr>
          <w:p>
            <w:pP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COD300</w:t>
            </w:r>
            <w:r>
              <w:rPr>
                <w:rFonts w:hint="default" w:ascii="Times New Roman" w:hAnsi="Times New Roman" w:eastAsia="宋体" w:cs="Times New Roman"/>
                <w:bCs/>
                <w:color w:val="auto"/>
                <w:kern w:val="0"/>
                <w:szCs w:val="21"/>
              </w:rPr>
              <w:t xml:space="preserve"> mg/L、石油类100 mg/L</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 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6"/>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bCs/>
                <w:color w:val="auto"/>
                <w:szCs w:val="21"/>
              </w:rPr>
              <w:t>20万t/a工业异辛烷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restart"/>
            <w:tcMar>
              <w:left w:w="28" w:type="dxa"/>
              <w:right w:w="28" w:type="dxa"/>
            </w:tcMar>
            <w:vAlign w:val="center"/>
          </w:tcPr>
          <w:p>
            <w:pPr>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烷基化</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装置</w:t>
            </w:r>
          </w:p>
        </w:tc>
        <w:tc>
          <w:tcPr>
            <w:tcW w:w="755" w:type="pct"/>
            <w:vMerge w:val="restart"/>
            <w:tcMar>
              <w:left w:w="28" w:type="dxa"/>
              <w:right w:w="28" w:type="dxa"/>
            </w:tcMar>
            <w:vAlign w:val="center"/>
          </w:tcPr>
          <w:p>
            <w:pPr>
              <w:autoSpaceDE w:val="0"/>
              <w:autoSpaceDN w:val="0"/>
              <w:adjustRightInd w:val="0"/>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工艺废水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原料聚结器脱水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COD、石油类</w:t>
            </w:r>
          </w:p>
        </w:tc>
        <w:tc>
          <w:tcPr>
            <w:tcW w:w="713" w:type="pct"/>
            <w:vMerge w:val="restart"/>
            <w:tcMar>
              <w:left w:w="28" w:type="dxa"/>
              <w:right w:w="28" w:type="dxa"/>
            </w:tcMar>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经厂区中和池处理后送长庆石化公司污水</w:t>
            </w:r>
          </w:p>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处理厂</w:t>
            </w: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vMerge w:val="continue"/>
            <w:tcMar>
              <w:left w:w="28" w:type="dxa"/>
              <w:right w:w="28" w:type="dxa"/>
            </w:tcMar>
            <w:vAlign w:val="center"/>
          </w:tcPr>
          <w:p>
            <w:pPr>
              <w:autoSpaceDE w:val="0"/>
              <w:autoSpaceDN w:val="0"/>
              <w:adjustRightInd w:val="0"/>
              <w:jc w:val="center"/>
              <w:rPr>
                <w:rFonts w:hint="default" w:ascii="Times New Roman" w:hAnsi="Times New Roman" w:eastAsia="宋体" w:cs="Times New Roman"/>
                <w:bCs/>
                <w:color w:val="auto"/>
                <w:szCs w:val="21"/>
              </w:rPr>
            </w:pP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原料脱水器脱水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vMerge w:val="continue"/>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馏出物</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碱洗罐</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vMerge w:val="continue"/>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馏出物</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水洗罐</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vMerge w:val="continue"/>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外甩冷剂</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碱洗罐</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vMerge w:val="continue"/>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含酸气</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碱洗塔</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SS、COD、石油类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脱硫塔循环水定期排水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循环水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pH、SS</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地坪冲洗废水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冲洗废水</w:t>
            </w:r>
          </w:p>
        </w:tc>
        <w:tc>
          <w:tcPr>
            <w:tcW w:w="1504" w:type="pct"/>
            <w:tcMar>
              <w:left w:w="28" w:type="dxa"/>
              <w:right w:w="28" w:type="dxa"/>
            </w:tcMar>
            <w:vAlign w:val="center"/>
          </w:tcPr>
          <w:p>
            <w:pPr>
              <w:jc w:val="center"/>
              <w:rPr>
                <w:rFonts w:hint="default" w:ascii="Times New Roman" w:hAnsi="Times New Roman" w:eastAsia="宋体" w:cs="Times New Roman"/>
                <w:b/>
                <w:color w:val="auto"/>
                <w:szCs w:val="21"/>
              </w:rPr>
            </w:pPr>
            <w:r>
              <w:rPr>
                <w:rFonts w:hint="default" w:ascii="Times New Roman" w:hAnsi="Times New Roman" w:eastAsia="宋体" w:cs="Times New Roman"/>
                <w:color w:val="auto"/>
                <w:szCs w:val="21"/>
              </w:rPr>
              <w:t>SS、COD、石油类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机泵冷却水含油废水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冷却水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SS、COD、石油类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设备检修废水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检修废水</w:t>
            </w:r>
          </w:p>
        </w:tc>
        <w:tc>
          <w:tcPr>
            <w:tcW w:w="1504"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SS、COD、石油类</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kern w:val="0"/>
                <w:szCs w:val="21"/>
              </w:rPr>
            </w:pPr>
          </w:p>
        </w:tc>
        <w:tc>
          <w:tcPr>
            <w:tcW w:w="703" w:type="pct"/>
            <w:tcMar>
              <w:left w:w="28" w:type="dxa"/>
              <w:right w:w="28" w:type="dxa"/>
            </w:tcMa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vMerge w:val="continue"/>
            <w:tcMar>
              <w:left w:w="28" w:type="dxa"/>
              <w:right w:w="28" w:type="dxa"/>
            </w:tcMar>
          </w:tcPr>
          <w:p>
            <w:pPr>
              <w:rPr>
                <w:rFonts w:hint="default" w:ascii="Times New Roman" w:hAnsi="Times New Roman" w:eastAsia="宋体" w:cs="Times New Roman"/>
                <w:color w:val="auto"/>
              </w:rPr>
            </w:pPr>
          </w:p>
        </w:tc>
        <w:tc>
          <w:tcPr>
            <w:tcW w:w="755" w:type="pct"/>
            <w:tcMar>
              <w:left w:w="28" w:type="dxa"/>
              <w:right w:w="28" w:type="dxa"/>
            </w:tcMar>
            <w:vAlign w:val="center"/>
          </w:tcPr>
          <w:p>
            <w:pPr>
              <w:autoSpaceDE w:val="0"/>
              <w:autoSpaceDN w:val="0"/>
              <w:adjustRightIn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异辛烷装置循环冷却水排水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循环冷却水排水</w:t>
            </w:r>
          </w:p>
        </w:tc>
        <w:tc>
          <w:tcPr>
            <w:tcW w:w="1504" w:type="pc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13" w:type="pc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排入市政清下水管网</w:t>
            </w:r>
          </w:p>
        </w:tc>
        <w:tc>
          <w:tcPr>
            <w:tcW w:w="703" w:type="pct"/>
            <w:tcMar>
              <w:left w:w="28" w:type="dxa"/>
              <w:right w:w="28" w:type="dxa"/>
            </w:tcMa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000" w:type="pct"/>
            <w:gridSpan w:val="6"/>
            <w:tcMar>
              <w:left w:w="28" w:type="dxa"/>
              <w:right w:w="28" w:type="dxa"/>
            </w:tcMa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
                <w:color w:val="auto"/>
                <w:szCs w:val="21"/>
              </w:rPr>
              <w:t>醚化30</w:t>
            </w:r>
            <w:r>
              <w:rPr>
                <w:rFonts w:hint="default" w:ascii="Times New Roman" w:hAnsi="Times New Roman" w:eastAsia="宋体" w:cs="Times New Roman"/>
                <w:b/>
                <w:bCs/>
                <w:color w:val="auto"/>
                <w:szCs w:val="21"/>
              </w:rPr>
              <w:t>万t/a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w:t>
            </w:r>
          </w:p>
        </w:tc>
        <w:tc>
          <w:tcPr>
            <w:tcW w:w="755"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甲醇萃取塔</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甲醇萃取塔</w:t>
            </w:r>
          </w:p>
        </w:tc>
        <w:tc>
          <w:tcPr>
            <w:tcW w:w="1504" w:type="pct"/>
            <w:tcMar>
              <w:left w:w="28" w:type="dxa"/>
              <w:right w:w="28" w:type="dxa"/>
            </w:tcMar>
            <w:vAlign w:val="center"/>
          </w:tcPr>
          <w:p>
            <w:pP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石油类300mg/L、COD600 mg/L、甲醇100mg/L、</w:t>
            </w:r>
          </w:p>
        </w:tc>
        <w:tc>
          <w:tcPr>
            <w:tcW w:w="713" w:type="pct"/>
            <w:vMerge w:val="restar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长庆石化公司污水处理厂</w:t>
            </w:r>
          </w:p>
        </w:tc>
        <w:tc>
          <w:tcPr>
            <w:tcW w:w="703" w:type="pct"/>
            <w:tcMar>
              <w:left w:w="28" w:type="dxa"/>
              <w:right w:w="28" w:type="dxa"/>
            </w:tcMar>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8000m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w:t>
            </w:r>
          </w:p>
        </w:tc>
        <w:tc>
          <w:tcPr>
            <w:tcW w:w="755"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轻汽油水洗塔</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w:t>
            </w:r>
          </w:p>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水洗塔</w:t>
            </w:r>
          </w:p>
        </w:tc>
        <w:tc>
          <w:tcPr>
            <w:tcW w:w="1504" w:type="pct"/>
            <w:tcMar>
              <w:left w:w="28" w:type="dxa"/>
              <w:right w:w="28" w:type="dxa"/>
            </w:tcMar>
            <w:vAlign w:val="center"/>
          </w:tcPr>
          <w:p>
            <w:pP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石油类300mg/L、COD600 mg/L、甲醇100mg/L</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40000m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w:t>
            </w:r>
          </w:p>
        </w:tc>
        <w:tc>
          <w:tcPr>
            <w:tcW w:w="755"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机泵</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机泵</w:t>
            </w:r>
          </w:p>
        </w:tc>
        <w:tc>
          <w:tcPr>
            <w:tcW w:w="1504" w:type="pct"/>
            <w:tcMar>
              <w:left w:w="28" w:type="dxa"/>
              <w:right w:w="28" w:type="dxa"/>
            </w:tcMar>
            <w:vAlign w:val="center"/>
          </w:tcPr>
          <w:p>
            <w:pP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石油类150mg/L、COD300 mg/L</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8000m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11" w:type="pct"/>
            <w:tcMar>
              <w:left w:w="28" w:type="dxa"/>
              <w:right w:w="28" w:type="dxa"/>
            </w:tcMar>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w:t>
            </w:r>
          </w:p>
        </w:tc>
        <w:tc>
          <w:tcPr>
            <w:tcW w:w="755"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设备冲洗水</w:t>
            </w:r>
          </w:p>
        </w:tc>
        <w:tc>
          <w:tcPr>
            <w:tcW w:w="711"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设备冲洗水</w:t>
            </w:r>
          </w:p>
        </w:tc>
        <w:tc>
          <w:tcPr>
            <w:tcW w:w="1504" w:type="pct"/>
            <w:tcMar>
              <w:left w:w="28" w:type="dxa"/>
              <w:right w:w="28" w:type="dxa"/>
            </w:tcMar>
            <w:vAlign w:val="center"/>
          </w:tcPr>
          <w:p>
            <w:pP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石油类120mg/L、COD300 mg/L、甲醇100mg/L</w:t>
            </w:r>
          </w:p>
        </w:tc>
        <w:tc>
          <w:tcPr>
            <w:tcW w:w="713" w:type="pct"/>
            <w:vMerge w:val="continue"/>
            <w:tcMar>
              <w:left w:w="28" w:type="dxa"/>
              <w:right w:w="28" w:type="dxa"/>
            </w:tcMar>
            <w:vAlign w:val="center"/>
          </w:tcPr>
          <w:p>
            <w:pPr>
              <w:jc w:val="center"/>
              <w:rPr>
                <w:rFonts w:hint="default" w:ascii="Times New Roman" w:hAnsi="Times New Roman" w:eastAsia="宋体" w:cs="Times New Roman"/>
                <w:color w:val="auto"/>
                <w:szCs w:val="21"/>
              </w:rPr>
            </w:pPr>
          </w:p>
        </w:tc>
        <w:tc>
          <w:tcPr>
            <w:tcW w:w="703" w:type="pct"/>
            <w:tcMar>
              <w:left w:w="28" w:type="dxa"/>
              <w:right w:w="28" w:type="dxa"/>
            </w:tcMar>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41.6m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/a</w:t>
            </w:r>
          </w:p>
        </w:tc>
      </w:tr>
    </w:tbl>
    <w:p>
      <w:pPr>
        <w:adjustRightInd w:val="0"/>
        <w:snapToGrid w:val="0"/>
        <w:spacing w:before="120" w:beforeLines="50" w:after="120" w:afterLines="50" w:line="360" w:lineRule="auto"/>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（3）危险废物产生及处置情况</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公司危险废物主要为废脱硫剂和废催化剂，危险废物产生及处置情况见表3.3-4。</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表3.3-4  危险废物产生及处置情况</w:t>
      </w:r>
    </w:p>
    <w:tbl>
      <w:tblPr>
        <w:tblStyle w:val="75"/>
        <w:tblW w:w="8568"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199"/>
        <w:gridCol w:w="1886"/>
        <w:gridCol w:w="1863"/>
        <w:gridCol w:w="1676"/>
        <w:gridCol w:w="194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tcBorders>
              <w:left w:val="single" w:color="auto" w:sz="4" w:space="0"/>
            </w:tcBorders>
            <w:shd w:val="clear" w:color="auto" w:fill="auto"/>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名称</w:t>
            </w:r>
          </w:p>
        </w:tc>
        <w:tc>
          <w:tcPr>
            <w:tcW w:w="1886" w:type="dxa"/>
            <w:shd w:val="clear" w:color="auto" w:fill="auto"/>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废物来源</w:t>
            </w:r>
          </w:p>
        </w:tc>
        <w:tc>
          <w:tcPr>
            <w:tcW w:w="1863" w:type="dxa"/>
            <w:shd w:val="clear" w:color="auto" w:fill="auto"/>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主要成分</w:t>
            </w:r>
          </w:p>
        </w:tc>
        <w:tc>
          <w:tcPr>
            <w:tcW w:w="1676" w:type="dxa"/>
            <w:shd w:val="clear" w:color="auto" w:fill="auto"/>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排放规律</w:t>
            </w:r>
          </w:p>
        </w:tc>
        <w:tc>
          <w:tcPr>
            <w:tcW w:w="1944" w:type="dxa"/>
            <w:shd w:val="clear" w:color="auto" w:fill="auto"/>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治理措施及去向</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restart"/>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废脱硫剂</w:t>
            </w: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铁锰脱硫槽</w:t>
            </w:r>
          </w:p>
        </w:tc>
        <w:tc>
          <w:tcPr>
            <w:tcW w:w="1863"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MnS</w:t>
            </w:r>
            <w:r>
              <w:rPr>
                <w:rFonts w:hint="default" w:ascii="Times New Roman" w:hAnsi="Times New Roman" w:eastAsia="宋体" w:cs="Times New Roman"/>
                <w:bCs/>
                <w:color w:val="auto"/>
                <w:szCs w:val="21"/>
                <w:vertAlign w:val="subscript"/>
              </w:rPr>
              <w:t>2</w:t>
            </w:r>
            <w:r>
              <w:rPr>
                <w:rFonts w:hint="default" w:ascii="Times New Roman" w:hAnsi="Times New Roman" w:eastAsia="宋体" w:cs="Times New Roman"/>
                <w:bCs/>
                <w:color w:val="auto"/>
                <w:szCs w:val="21"/>
              </w:rPr>
              <w:t>、FeS</w:t>
            </w:r>
            <w:r>
              <w:rPr>
                <w:rFonts w:hint="default" w:ascii="Times New Roman" w:hAnsi="Times New Roman" w:eastAsia="宋体" w:cs="Times New Roman"/>
                <w:bCs/>
                <w:color w:val="auto"/>
                <w:szCs w:val="21"/>
                <w:vertAlign w:val="subscript"/>
              </w:rPr>
              <w:t>2</w:t>
            </w:r>
          </w:p>
        </w:tc>
        <w:tc>
          <w:tcPr>
            <w:tcW w:w="167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1次/2年</w:t>
            </w:r>
          </w:p>
        </w:tc>
        <w:tc>
          <w:tcPr>
            <w:tcW w:w="1944" w:type="dxa"/>
            <w:vMerge w:val="restart"/>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交有资质单位处理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ZnO脱硫槽</w:t>
            </w:r>
          </w:p>
        </w:tc>
        <w:tc>
          <w:tcPr>
            <w:tcW w:w="1863"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ZnS</w:t>
            </w:r>
          </w:p>
        </w:tc>
        <w:tc>
          <w:tcPr>
            <w:tcW w:w="1676" w:type="dxa"/>
            <w:vMerge w:val="restart"/>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1次/5年</w:t>
            </w: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restart"/>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废催化剂</w:t>
            </w: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一段转化炉</w:t>
            </w:r>
          </w:p>
        </w:tc>
        <w:tc>
          <w:tcPr>
            <w:tcW w:w="1863" w:type="dxa"/>
            <w:vMerge w:val="restart"/>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NiO、SiO</w:t>
            </w:r>
            <w:r>
              <w:rPr>
                <w:rFonts w:hint="default" w:ascii="Times New Roman" w:hAnsi="Times New Roman" w:eastAsia="宋体" w:cs="Times New Roman"/>
                <w:bCs/>
                <w:color w:val="auto"/>
                <w:szCs w:val="21"/>
                <w:vertAlign w:val="subscript"/>
              </w:rPr>
              <w:t>2</w:t>
            </w:r>
            <w:r>
              <w:rPr>
                <w:rFonts w:hint="default" w:ascii="Times New Roman" w:hAnsi="Times New Roman" w:eastAsia="宋体" w:cs="Times New Roman"/>
                <w:bCs/>
                <w:color w:val="auto"/>
                <w:szCs w:val="21"/>
              </w:rPr>
              <w:t>、K</w:t>
            </w:r>
            <w:r>
              <w:rPr>
                <w:rFonts w:hint="default" w:ascii="Times New Roman" w:hAnsi="Times New Roman" w:eastAsia="宋体" w:cs="Times New Roman"/>
                <w:bCs/>
                <w:color w:val="auto"/>
                <w:szCs w:val="21"/>
                <w:vertAlign w:val="subscript"/>
              </w:rPr>
              <w:t>2</w:t>
            </w:r>
            <w:r>
              <w:rPr>
                <w:rFonts w:hint="default" w:ascii="Times New Roman" w:hAnsi="Times New Roman" w:eastAsia="宋体" w:cs="Times New Roman"/>
                <w:bCs/>
                <w:color w:val="auto"/>
                <w:szCs w:val="21"/>
              </w:rPr>
              <w:t>O等</w:t>
            </w:r>
          </w:p>
        </w:tc>
        <w:tc>
          <w:tcPr>
            <w:tcW w:w="1676"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restart"/>
            <w:vAlign w:val="center"/>
          </w:tcPr>
          <w:p>
            <w:pPr>
              <w:spacing w:line="360" w:lineRule="auto"/>
              <w:rPr>
                <w:rFonts w:hint="default" w:ascii="Times New Roman" w:hAnsi="Times New Roman" w:eastAsia="宋体" w:cs="Times New Roman"/>
                <w:bCs/>
                <w:color w:val="auto"/>
                <w:szCs w:val="21"/>
              </w:rPr>
            </w:pPr>
            <w:r>
              <w:rPr>
                <w:rFonts w:hint="default" w:ascii="Times New Roman" w:hAnsi="Times New Roman" w:eastAsia="宋体" w:cs="Times New Roman"/>
                <w:color w:val="auto"/>
                <w:szCs w:val="21"/>
              </w:rPr>
              <w:t>交有资质单位处理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换热式转化炉</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二段转化炉</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合成塔</w:t>
            </w:r>
          </w:p>
        </w:tc>
        <w:tc>
          <w:tcPr>
            <w:tcW w:w="1863"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Cu、Zn、Al</w:t>
            </w:r>
          </w:p>
        </w:tc>
        <w:tc>
          <w:tcPr>
            <w:tcW w:w="1676" w:type="dxa"/>
            <w:vMerge w:val="continue"/>
            <w:tcBorders>
              <w:bottom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原料净化器</w:t>
            </w:r>
          </w:p>
        </w:tc>
        <w:tc>
          <w:tcPr>
            <w:tcW w:w="1863" w:type="dxa"/>
            <w:vMerge w:val="restart"/>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QSE-01氢型阳离子交换树脂</w:t>
            </w:r>
          </w:p>
        </w:tc>
        <w:tc>
          <w:tcPr>
            <w:tcW w:w="1676" w:type="dxa"/>
            <w:vMerge w:val="restart"/>
            <w:tcBorders>
              <w:top w:val="single" w:color="auto" w:sz="4" w:space="0"/>
            </w:tcBorders>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1次/3年</w:t>
            </w: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甲醇净化器</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膨胀床反应器</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催化蒸馏塔</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restart"/>
            <w:tcBorders>
              <w:left w:val="single" w:color="auto" w:sz="4" w:space="0"/>
            </w:tcBorders>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阳离子交换树脂</w:t>
            </w:r>
          </w:p>
        </w:tc>
        <w:tc>
          <w:tcPr>
            <w:tcW w:w="1886" w:type="dxa"/>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醚化主反应器</w:t>
            </w:r>
          </w:p>
        </w:tc>
        <w:tc>
          <w:tcPr>
            <w:tcW w:w="1863" w:type="dxa"/>
            <w:vMerge w:val="restart"/>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color w:val="auto"/>
                <w:szCs w:val="21"/>
              </w:rPr>
              <w:t>阳离子交换树脂</w:t>
            </w:r>
          </w:p>
        </w:tc>
        <w:tc>
          <w:tcPr>
            <w:tcW w:w="1676" w:type="dxa"/>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42.3 t/次</w:t>
            </w:r>
          </w:p>
        </w:tc>
        <w:tc>
          <w:tcPr>
            <w:tcW w:w="1944" w:type="dxa"/>
            <w:vMerge w:val="restart"/>
            <w:vAlign w:val="center"/>
          </w:tcPr>
          <w:p>
            <w:pPr>
              <w:spacing w:line="360" w:lineRule="auto"/>
              <w:jc w:val="center"/>
              <w:rPr>
                <w:rFonts w:hint="default" w:ascii="Times New Roman" w:hAnsi="Times New Roman" w:eastAsia="宋体" w:cs="Times New Roman"/>
                <w:bCs/>
                <w:color w:val="auto"/>
                <w:szCs w:val="21"/>
              </w:rPr>
            </w:pPr>
            <w:r>
              <w:rPr>
                <w:rFonts w:hint="default" w:ascii="Times New Roman" w:hAnsi="Times New Roman" w:eastAsia="宋体" w:cs="Times New Roman"/>
                <w:color w:val="auto"/>
                <w:szCs w:val="21"/>
              </w:rPr>
              <w:t>交有资质单位处理</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醚化保护反应器</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42.3 t/次</w:t>
            </w: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375" w:hRule="atLeast"/>
          <w:jc w:val="center"/>
        </w:trPr>
        <w:tc>
          <w:tcPr>
            <w:tcW w:w="1199"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bCs/>
                <w:color w:val="auto"/>
                <w:szCs w:val="21"/>
              </w:rPr>
            </w:pPr>
          </w:p>
        </w:tc>
        <w:tc>
          <w:tcPr>
            <w:tcW w:w="1886" w:type="dxa"/>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醚化补充反应器</w:t>
            </w:r>
          </w:p>
        </w:tc>
        <w:tc>
          <w:tcPr>
            <w:tcW w:w="1863" w:type="dxa"/>
            <w:vMerge w:val="continue"/>
            <w:vAlign w:val="center"/>
          </w:tcPr>
          <w:p>
            <w:pPr>
              <w:spacing w:line="360" w:lineRule="auto"/>
              <w:jc w:val="center"/>
              <w:rPr>
                <w:rFonts w:hint="default" w:ascii="Times New Roman" w:hAnsi="Times New Roman" w:eastAsia="宋体" w:cs="Times New Roman"/>
                <w:bCs/>
                <w:color w:val="auto"/>
                <w:szCs w:val="21"/>
              </w:rPr>
            </w:pPr>
          </w:p>
        </w:tc>
        <w:tc>
          <w:tcPr>
            <w:tcW w:w="1676" w:type="dxa"/>
            <w:vAlign w:val="center"/>
          </w:tcPr>
          <w:p>
            <w:pPr>
              <w:autoSpaceDE w:val="0"/>
              <w:autoSpaceDN w:val="0"/>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42.3 t/次</w:t>
            </w:r>
          </w:p>
        </w:tc>
        <w:tc>
          <w:tcPr>
            <w:tcW w:w="1944" w:type="dxa"/>
            <w:vMerge w:val="continue"/>
            <w:vAlign w:val="center"/>
          </w:tcPr>
          <w:p>
            <w:pPr>
              <w:spacing w:line="360" w:lineRule="auto"/>
              <w:jc w:val="center"/>
              <w:rPr>
                <w:rFonts w:hint="default" w:ascii="Times New Roman" w:hAnsi="Times New Roman" w:eastAsia="宋体" w:cs="Times New Roman"/>
                <w:bCs/>
                <w:color w:val="auto"/>
                <w:szCs w:val="21"/>
              </w:rPr>
            </w:pPr>
          </w:p>
        </w:tc>
      </w:tr>
    </w:tbl>
    <w:p>
      <w:pPr>
        <w:spacing w:line="360" w:lineRule="auto"/>
        <w:ind w:firstLine="601"/>
        <w:rPr>
          <w:rFonts w:hint="default" w:ascii="Times New Roman" w:hAnsi="Times New Roman" w:eastAsia="宋体" w:cs="Times New Roman"/>
          <w:color w:val="auto"/>
          <w:sz w:val="24"/>
        </w:rPr>
      </w:pPr>
      <w:r>
        <w:rPr>
          <w:rFonts w:hint="default" w:ascii="Times New Roman" w:hAnsi="Times New Roman" w:eastAsia="宋体" w:cs="Times New Roman"/>
          <w:bCs/>
          <w:color w:val="auto"/>
          <w:sz w:val="24"/>
        </w:rPr>
        <w:t>废催化剂存储于临时存放处，设在公司厂区东北界墙边位置，建筑面积88</w:t>
      </w:r>
      <w:r>
        <w:rPr>
          <w:rFonts w:hint="eastAsia" w:cs="Times New Roman"/>
          <w:bCs/>
          <w:color w:val="auto"/>
          <w:sz w:val="24"/>
          <w:lang w:val="en-US" w:eastAsia="zh-CN"/>
        </w:rPr>
        <w:t>m</w:t>
      </w:r>
      <w:r>
        <w:rPr>
          <w:rFonts w:hint="eastAsia" w:cs="Times New Roman"/>
          <w:bCs/>
          <w:color w:val="auto"/>
          <w:sz w:val="24"/>
          <w:vertAlign w:val="superscript"/>
          <w:lang w:val="en-US" w:eastAsia="zh-CN"/>
        </w:rPr>
        <w:t>2</w:t>
      </w:r>
      <w:r>
        <w:rPr>
          <w:rFonts w:hint="default" w:ascii="Times New Roman" w:hAnsi="Times New Roman" w:eastAsia="宋体" w:cs="Times New Roman"/>
          <w:bCs/>
          <w:color w:val="auto"/>
          <w:sz w:val="24"/>
        </w:rPr>
        <w:t>，依照</w:t>
      </w:r>
      <w:r>
        <w:rPr>
          <w:rFonts w:hint="default" w:ascii="Times New Roman" w:hAnsi="Times New Roman" w:eastAsia="宋体" w:cs="Times New Roman"/>
          <w:color w:val="auto"/>
          <w:sz w:val="24"/>
        </w:rPr>
        <w:t>GB18599-12001《一般工业固体废物贮存、处置场污染控制标准》及GB 18597-2001《危险废物贮存污染控制标准》相关要求</w:t>
      </w:r>
      <w:r>
        <w:rPr>
          <w:rFonts w:hint="default" w:ascii="Times New Roman" w:hAnsi="Times New Roman" w:eastAsia="宋体" w:cs="Times New Roman"/>
          <w:bCs/>
          <w:color w:val="auto"/>
          <w:sz w:val="24"/>
        </w:rPr>
        <w:t>“三防”处理</w:t>
      </w:r>
      <w:r>
        <w:rPr>
          <w:rFonts w:hint="default" w:ascii="Times New Roman" w:hAnsi="Times New Roman" w:eastAsia="宋体" w:cs="Times New Roman"/>
          <w:color w:val="auto"/>
          <w:sz w:val="24"/>
        </w:rPr>
        <w:t>。</w:t>
      </w:r>
      <w:r>
        <w:rPr>
          <w:rFonts w:hint="default" w:ascii="Times New Roman" w:hAnsi="Times New Roman" w:eastAsia="宋体" w:cs="Times New Roman"/>
          <w:bCs/>
          <w:color w:val="auto"/>
          <w:sz w:val="24"/>
        </w:rPr>
        <w:t>明确了标识牌。</w:t>
      </w:r>
    </w:p>
    <w:p>
      <w:pPr>
        <w:spacing w:line="360" w:lineRule="auto"/>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3.3.3环境风险单元及风险物质识别</w:t>
      </w:r>
    </w:p>
    <w:p>
      <w:pPr>
        <w:spacing w:line="360" w:lineRule="auto"/>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3.3.3.1环境风险单元划分</w:t>
      </w:r>
    </w:p>
    <w:p>
      <w:pPr>
        <w:adjustRightInd w:val="0"/>
        <w:snapToGrid w:val="0"/>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据分析，公司多个生产装置及辅助装置涉及的原料及产品、中间产品多数属于环境风险物质。按照一个（套）生产装置、设施或场所</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为一个环境风险单元的原则，对公司长期或临时生产、加工、使用或储存环境风险物质进行环境风险单元划分如表3.3-5。</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表3.3-5涉及主要的环境风险物质单元</w:t>
      </w:r>
    </w:p>
    <w:tbl>
      <w:tblPr>
        <w:tblStyle w:val="75"/>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7"/>
        <w:gridCol w:w="1853"/>
        <w:gridCol w:w="1997"/>
        <w:gridCol w:w="39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序号</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装置名称</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环境风险物质</w:t>
            </w:r>
          </w:p>
        </w:tc>
        <w:tc>
          <w:tcPr>
            <w:tcW w:w="234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涉及环境风险物质的生产设施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bCs/>
                <w:color w:val="auto"/>
                <w:sz w:val="21"/>
                <w:szCs w:val="21"/>
              </w:rPr>
              <w:t>10万t/a甲醇装置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原料气预处理</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天然气</w:t>
            </w:r>
          </w:p>
        </w:tc>
        <w:tc>
          <w:tcPr>
            <w:tcW w:w="2344" w:type="pct"/>
            <w:vAlign w:val="center"/>
          </w:tcPr>
          <w:p>
            <w:pPr>
              <w:spacing w:line="240" w:lineRule="atLeast"/>
              <w:ind w:left="-105" w:leftChars="-50" w:right="-105" w:rightChars="-50"/>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压缩机、变压吸附脱碳装置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造气装置</w:t>
            </w:r>
          </w:p>
        </w:tc>
        <w:tc>
          <w:tcPr>
            <w:tcW w:w="1171" w:type="pct"/>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CO、CO</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w:t>
            </w:r>
          </w:p>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天然气</w:t>
            </w:r>
          </w:p>
        </w:tc>
        <w:tc>
          <w:tcPr>
            <w:tcW w:w="2344" w:type="pct"/>
            <w:vAlign w:val="center"/>
          </w:tcPr>
          <w:p>
            <w:pPr>
              <w:spacing w:line="240" w:lineRule="atLeast"/>
              <w:ind w:firstLine="420" w:firstLineChars="200"/>
              <w:jc w:val="left"/>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精脱硫塔、一、二段转化炉装置、空分装置、蒸汽转化装置、换热式转化炉、气合成气压缩。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3</w:t>
            </w:r>
          </w:p>
        </w:tc>
        <w:tc>
          <w:tcPr>
            <w:tcW w:w="1087" w:type="pct"/>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甲醇合成工段</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甲醇、净化煤气、变换气(CO、</w:t>
            </w:r>
            <w:r>
              <w:rPr>
                <w:rFonts w:hint="default" w:ascii="Times New Roman" w:hAnsi="Times New Roman" w:eastAsia="宋体" w:cs="Times New Roman"/>
                <w:bCs/>
                <w:color w:val="auto"/>
                <w:sz w:val="21"/>
                <w:szCs w:val="21"/>
              </w:rPr>
              <w:t>H</w:t>
            </w:r>
            <w:r>
              <w:rPr>
                <w:rFonts w:hint="default" w:ascii="Times New Roman" w:hAnsi="Times New Roman" w:eastAsia="宋体" w:cs="Times New Roman"/>
                <w:bCs/>
                <w:color w:val="auto"/>
                <w:sz w:val="21"/>
                <w:szCs w:val="21"/>
                <w:vertAlign w:val="subscript"/>
              </w:rPr>
              <w:t>2</w:t>
            </w:r>
            <w:r>
              <w:rPr>
                <w:rFonts w:hint="default" w:ascii="Times New Roman" w:hAnsi="Times New Roman" w:eastAsia="宋体" w:cs="Times New Roman"/>
                <w:color w:val="auto"/>
                <w:sz w:val="21"/>
                <w:szCs w:val="21"/>
              </w:rPr>
              <w:t>)</w:t>
            </w:r>
          </w:p>
        </w:tc>
        <w:tc>
          <w:tcPr>
            <w:tcW w:w="2344" w:type="pct"/>
            <w:vAlign w:val="center"/>
          </w:tcPr>
          <w:p>
            <w:pPr>
              <w:spacing w:line="240" w:lineRule="atLeast"/>
              <w:ind w:firstLine="420" w:firstLineChars="200"/>
              <w:jc w:val="left"/>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入塔气预热气、甲醇分离器和甲醇合成塔等。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4</w:t>
            </w:r>
          </w:p>
        </w:tc>
        <w:tc>
          <w:tcPr>
            <w:tcW w:w="1087" w:type="pct"/>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甲醇精馏工段</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甲醇</w:t>
            </w:r>
          </w:p>
        </w:tc>
        <w:tc>
          <w:tcPr>
            <w:tcW w:w="2344" w:type="pct"/>
            <w:vAlign w:val="center"/>
          </w:tcPr>
          <w:p>
            <w:pPr>
              <w:spacing w:line="240" w:lineRule="atLeast"/>
              <w:ind w:firstLine="420" w:firstLineChars="200"/>
              <w:jc w:val="left"/>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加压塔冷却器/再沸器、冷凝器、常压精馏塔、甲醇回收塔、常压塔回流槽、回收塔回流槽。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spacing w:line="240" w:lineRule="atLeast"/>
              <w:ind w:left="-105" w:leftChars="-50" w:right="-105" w:rightChars="-50"/>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5万t/aMTBE装置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5</w:t>
            </w:r>
          </w:p>
        </w:tc>
        <w:tc>
          <w:tcPr>
            <w:tcW w:w="1087" w:type="pct"/>
            <w:vAlign w:val="center"/>
          </w:tcPr>
          <w:p>
            <w:pPr>
              <w:spacing w:line="24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MTBE装置</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bCs/>
                <w:color w:val="auto"/>
                <w:sz w:val="21"/>
                <w:szCs w:val="21"/>
                <w:highlight w:val="yellow"/>
              </w:rPr>
            </w:pPr>
            <w:r>
              <w:rPr>
                <w:rFonts w:hint="default" w:ascii="Times New Roman" w:hAnsi="Times New Roman" w:eastAsia="宋体" w:cs="Times New Roman"/>
                <w:bCs/>
                <w:color w:val="auto"/>
                <w:sz w:val="21"/>
                <w:szCs w:val="21"/>
              </w:rPr>
              <w:t>混合C4、甲醇、MTBE</w:t>
            </w:r>
          </w:p>
        </w:tc>
        <w:tc>
          <w:tcPr>
            <w:tcW w:w="2344" w:type="pct"/>
            <w:vAlign w:val="center"/>
          </w:tcPr>
          <w:p>
            <w:pPr>
              <w:spacing w:line="240" w:lineRule="atLeast"/>
              <w:ind w:firstLine="420" w:firstLineChars="200"/>
              <w:jc w:val="left"/>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膨胀床反应器、催化蒸馏塔、萃取塔、甲醇塔、C4原料罐、甲醇原料罐、未反应C4原料罐、催化蒸馏塔顶回流罐、甲醇塔顶回流罐、开停工回收罐、不凝气水洗罐。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spacing w:line="240" w:lineRule="atLeast"/>
              <w:ind w:left="-105" w:leftChars="-50" w:right="-105" w:rightChars="-50"/>
              <w:jc w:val="center"/>
              <w:rPr>
                <w:rFonts w:hint="default" w:ascii="Times New Roman" w:hAnsi="Times New Roman" w:eastAsia="宋体" w:cs="Times New Roman"/>
                <w:bCs/>
                <w:color w:val="auto"/>
                <w:szCs w:val="21"/>
              </w:rPr>
            </w:pPr>
            <w:r>
              <w:rPr>
                <w:rFonts w:hint="default" w:ascii="Times New Roman" w:hAnsi="Times New Roman" w:eastAsia="宋体" w:cs="Times New Roman"/>
                <w:b/>
                <w:color w:val="auto"/>
                <w:szCs w:val="21"/>
              </w:rPr>
              <w:t>20万吨/年异辛烷</w:t>
            </w:r>
            <w:r>
              <w:rPr>
                <w:rFonts w:hint="default" w:ascii="Times New Roman" w:hAnsi="Times New Roman" w:eastAsia="宋体" w:cs="Times New Roman"/>
                <w:b/>
                <w:bCs/>
                <w:color w:val="auto"/>
                <w:szCs w:val="21"/>
              </w:rPr>
              <w:t>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6</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反应系统</w:t>
            </w:r>
          </w:p>
        </w:tc>
        <w:tc>
          <w:tcPr>
            <w:tcW w:w="1171" w:type="pct"/>
            <w:vAlign w:val="center"/>
          </w:tcPr>
          <w:p>
            <w:pPr>
              <w:pStyle w:val="550"/>
              <w:spacing w:line="240" w:lineRule="atLeast"/>
              <w:ind w:firstLine="0" w:firstLineChars="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混合C4、浓硫酸、异辛烷</w:t>
            </w:r>
          </w:p>
        </w:tc>
        <w:tc>
          <w:tcPr>
            <w:tcW w:w="2344" w:type="pct"/>
            <w:vAlign w:val="center"/>
          </w:tcPr>
          <w:p>
            <w:pPr>
              <w:pStyle w:val="550"/>
              <w:spacing w:line="240" w:lineRule="atLeast"/>
              <w:ind w:firstLine="42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原料聚结器、原料脱水器、工业异辛烷反应器、酸沉降罐、换热器。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7</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bCs/>
                <w:color w:val="auto"/>
                <w:sz w:val="21"/>
                <w:szCs w:val="21"/>
              </w:rPr>
            </w:pPr>
            <w:r>
              <w:rPr>
                <w:rFonts w:hint="default" w:ascii="Times New Roman" w:hAnsi="Times New Roman" w:eastAsia="宋体" w:cs="Times New Roman"/>
                <w:color w:val="auto"/>
                <w:sz w:val="21"/>
                <w:szCs w:val="21"/>
              </w:rPr>
              <w:t>制冷系统</w:t>
            </w:r>
          </w:p>
        </w:tc>
        <w:tc>
          <w:tcPr>
            <w:tcW w:w="1171" w:type="pct"/>
            <w:vAlign w:val="center"/>
          </w:tcPr>
          <w:p>
            <w:pPr>
              <w:pStyle w:val="550"/>
              <w:spacing w:line="240" w:lineRule="atLeast"/>
              <w:ind w:firstLine="0" w:firstLineChars="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浓硫酸</w:t>
            </w:r>
          </w:p>
        </w:tc>
        <w:tc>
          <w:tcPr>
            <w:tcW w:w="2344" w:type="pct"/>
            <w:vAlign w:val="center"/>
          </w:tcPr>
          <w:p>
            <w:pPr>
              <w:pStyle w:val="550"/>
              <w:spacing w:line="240" w:lineRule="atLeast"/>
              <w:ind w:firstLine="42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制冷压缩机、冷剂空冷器、冷剂罐、压缩机入口分液罐、吸入闪蒸罐等。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8</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精制及分馏</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异辛烷、异丁烷、正丁烷、浓硫酸等</w:t>
            </w:r>
          </w:p>
        </w:tc>
        <w:tc>
          <w:tcPr>
            <w:tcW w:w="2344" w:type="pct"/>
            <w:vAlign w:val="center"/>
          </w:tcPr>
          <w:p>
            <w:pPr>
              <w:pStyle w:val="550"/>
              <w:spacing w:line="240" w:lineRule="atLeast"/>
              <w:ind w:firstLine="42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酸洗罐、流出物碱洗混合器、流出物碱洗罐、流出物水洗罐、脱异丁烷塔、脱正丁烷塔、脱正丁烷塔再沸器、脱异丁烷塔顶空冷器。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9</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化学处理系统</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浓硫酸、氢氧化钠</w:t>
            </w:r>
          </w:p>
        </w:tc>
        <w:tc>
          <w:tcPr>
            <w:tcW w:w="2344" w:type="pct"/>
            <w:vAlign w:val="center"/>
          </w:tcPr>
          <w:p>
            <w:pPr>
              <w:pStyle w:val="550"/>
              <w:spacing w:line="240" w:lineRule="atLeast"/>
              <w:ind w:firstLine="42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新酸储罐、排酸罐、含酸气碱洗塔、废水中和池等。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10</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废酸处理装置</w:t>
            </w:r>
          </w:p>
        </w:tc>
        <w:tc>
          <w:tcPr>
            <w:tcW w:w="1171" w:type="pct"/>
            <w:vAlign w:val="center"/>
          </w:tcPr>
          <w:p>
            <w:pPr>
              <w:pStyle w:val="550"/>
              <w:spacing w:line="240" w:lineRule="atLeast"/>
              <w:ind w:firstLine="42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硫酸</w:t>
            </w:r>
          </w:p>
        </w:tc>
        <w:tc>
          <w:tcPr>
            <w:tcW w:w="2344" w:type="pct"/>
            <w:vAlign w:val="center"/>
          </w:tcPr>
          <w:p>
            <w:pPr>
              <w:pStyle w:val="550"/>
              <w:spacing w:line="240" w:lineRule="atLeast"/>
              <w:ind w:firstLine="420"/>
              <w:rPr>
                <w:rFonts w:hint="default" w:ascii="Times New Roman" w:hAnsi="Times New Roman" w:eastAsia="宋体" w:cs="Times New Roman"/>
                <w:color w:val="auto"/>
                <w:kern w:val="0"/>
                <w:sz w:val="21"/>
                <w:szCs w:val="21"/>
              </w:rPr>
            </w:pPr>
            <w:r>
              <w:rPr>
                <w:rFonts w:hint="default" w:ascii="Times New Roman" w:hAnsi="Times New Roman" w:eastAsia="宋体" w:cs="Times New Roman"/>
                <w:color w:val="auto"/>
                <w:sz w:val="21"/>
                <w:szCs w:val="21"/>
              </w:rPr>
              <w:t>浓硫酸储罐、废酸储罐、计量罐、反应器、高温煅烧炉、余热回收器、物料冷却器、旋风除尘器、布袋除尘器、脱硫塔等(2座</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00m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的浓硫酸储罐，2座</w:t>
            </w:r>
            <w:r>
              <w:rPr>
                <w:rFonts w:hint="eastAsia" w:cs="Times New Roman"/>
                <w:color w:val="auto"/>
                <w:sz w:val="21"/>
                <w:szCs w:val="21"/>
                <w:lang w:val="en-US" w:eastAsia="zh-CN"/>
              </w:rPr>
              <w:t>1</w:t>
            </w:r>
            <w:r>
              <w:rPr>
                <w:rFonts w:hint="default" w:ascii="Times New Roman" w:hAnsi="Times New Roman" w:eastAsia="宋体" w:cs="Times New Roman"/>
                <w:color w:val="auto"/>
                <w:sz w:val="21"/>
                <w:szCs w:val="21"/>
              </w:rPr>
              <w:t>00m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的废酸储罐，均为拱顶罐)。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bCs/>
                <w:color w:val="auto"/>
                <w:sz w:val="21"/>
                <w:szCs w:val="21"/>
              </w:rPr>
              <w:t>30万t/a</w:t>
            </w:r>
            <w:r>
              <w:rPr>
                <w:rFonts w:hint="default" w:ascii="Times New Roman" w:hAnsi="Times New Roman" w:eastAsia="宋体" w:cs="Times New Roman"/>
                <w:b/>
                <w:color w:val="auto"/>
                <w:sz w:val="21"/>
                <w:szCs w:val="21"/>
              </w:rPr>
              <w:t>醚化汽油</w:t>
            </w:r>
            <w:r>
              <w:rPr>
                <w:rFonts w:hint="default" w:ascii="Times New Roman" w:hAnsi="Times New Roman" w:eastAsia="宋体" w:cs="Times New Roman"/>
                <w:b/>
                <w:bCs/>
                <w:color w:val="auto"/>
                <w:sz w:val="21"/>
                <w:szCs w:val="21"/>
              </w:rPr>
              <w:t>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bCs/>
                <w:color w:val="auto"/>
                <w:sz w:val="21"/>
                <w:szCs w:val="21"/>
              </w:rPr>
              <w:t>醚化汽油装置</w:t>
            </w:r>
          </w:p>
        </w:tc>
        <w:tc>
          <w:tcPr>
            <w:tcW w:w="1171" w:type="pct"/>
            <w:vAlign w:val="center"/>
          </w:tcPr>
          <w:p>
            <w:pPr>
              <w:pStyle w:val="550"/>
              <w:spacing w:line="240" w:lineRule="atLeast"/>
              <w:ind w:firstLine="42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轻汽油、醚化汽油、液化石油气、甲醇、N</w:t>
            </w:r>
            <w:r>
              <w:rPr>
                <w:rFonts w:hint="default" w:ascii="Times New Roman" w:hAnsi="Times New Roman" w:eastAsia="宋体" w:cs="Times New Roman"/>
                <w:color w:val="auto"/>
                <w:sz w:val="21"/>
                <w:szCs w:val="21"/>
                <w:vertAlign w:val="subscript"/>
              </w:rPr>
              <w:t>2</w:t>
            </w:r>
            <w:r>
              <w:rPr>
                <w:rFonts w:hint="default" w:ascii="Times New Roman" w:hAnsi="Times New Roman" w:eastAsia="宋体" w:cs="Times New Roman"/>
                <w:color w:val="auto"/>
                <w:sz w:val="21"/>
                <w:szCs w:val="21"/>
              </w:rPr>
              <w:t>、</w:t>
            </w:r>
          </w:p>
          <w:p>
            <w:pPr>
              <w:pStyle w:val="550"/>
              <w:spacing w:line="240" w:lineRule="atLeast"/>
              <w:ind w:firstLine="42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非甲烷总烃</w:t>
            </w:r>
          </w:p>
        </w:tc>
        <w:tc>
          <w:tcPr>
            <w:tcW w:w="2344" w:type="pct"/>
            <w:vAlign w:val="center"/>
          </w:tcPr>
          <w:p>
            <w:pPr>
              <w:pStyle w:val="550"/>
              <w:spacing w:line="240" w:lineRule="atLeast"/>
              <w:ind w:firstLine="420"/>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甲醇缓冲罐、轻汽油缓冲罐、醚化塔回流罐、甲醇回收塔顶回流罐、轻汽油水洗塔、醚化主反应器、醚化保护反应器、醚化分馏塔、醚化补充反应器、甲醇萃取塔、甲醇回收塔。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3" w:hRule="atLeast"/>
        </w:trPr>
        <w:tc>
          <w:tcPr>
            <w:tcW w:w="5000" w:type="pct"/>
            <w:gridSpan w:val="4"/>
            <w:vAlign w:val="center"/>
          </w:tcPr>
          <w:p>
            <w:pPr>
              <w:spacing w:line="460" w:lineRule="exac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甲醇罐区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w:t>
            </w:r>
          </w:p>
        </w:tc>
        <w:tc>
          <w:tcPr>
            <w:tcW w:w="108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精甲醇贮罐</w:t>
            </w:r>
          </w:p>
        </w:tc>
        <w:tc>
          <w:tcPr>
            <w:tcW w:w="1171"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甲醇</w:t>
            </w:r>
          </w:p>
        </w:tc>
        <w:tc>
          <w:tcPr>
            <w:tcW w:w="2344"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2×200m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、2×2500m</w:t>
            </w:r>
            <w:r>
              <w:rPr>
                <w:rFonts w:hint="default" w:ascii="Times New Roman" w:hAnsi="Times New Roman" w:eastAsia="宋体" w:cs="Times New Roman"/>
                <w:color w:val="auto"/>
                <w:sz w:val="21"/>
                <w:szCs w:val="21"/>
                <w:vertAlign w:val="superscript"/>
              </w:rPr>
              <w:t>3</w:t>
            </w:r>
            <w:r>
              <w:rPr>
                <w:rFonts w:hint="default" w:ascii="Times New Roman" w:hAnsi="Times New Roman" w:eastAsia="宋体" w:cs="Times New Roman"/>
                <w:color w:val="auto"/>
                <w:sz w:val="21"/>
                <w:szCs w:val="21"/>
              </w:rPr>
              <w:t>、2×500m</w:t>
            </w:r>
            <w:r>
              <w:rPr>
                <w:rFonts w:hint="default" w:ascii="Times New Roman" w:hAnsi="Times New Roman" w:eastAsia="宋体" w:cs="Times New Roman"/>
                <w:color w:val="auto"/>
                <w:sz w:val="2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rPr>
            </w:pPr>
            <w:r>
              <w:rPr>
                <w:rFonts w:hint="default" w:ascii="Times New Roman" w:hAnsi="Times New Roman" w:eastAsia="宋体" w:cs="Times New Roman"/>
                <w:b/>
                <w:color w:val="auto"/>
                <w:sz w:val="21"/>
                <w:szCs w:val="21"/>
              </w:rPr>
              <w:t>轻烃罐区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13</w:t>
            </w:r>
          </w:p>
        </w:tc>
        <w:tc>
          <w:tcPr>
            <w:tcW w:w="108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轻汽油储罐</w:t>
            </w:r>
          </w:p>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（内浮顶）</w:t>
            </w:r>
          </w:p>
        </w:tc>
        <w:tc>
          <w:tcPr>
            <w:tcW w:w="1171" w:type="pct"/>
            <w:vAlign w:val="center"/>
          </w:tcPr>
          <w:p>
            <w:pPr>
              <w:spacing w:line="360" w:lineRule="auto"/>
              <w:ind w:firstLine="10" w:firstLineChars="5"/>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w:t>
            </w:r>
          </w:p>
        </w:tc>
        <w:tc>
          <w:tcPr>
            <w:tcW w:w="2344" w:type="pct"/>
            <w:vAlign w:val="center"/>
          </w:tcPr>
          <w:p>
            <w:pPr>
              <w:spacing w:line="360" w:lineRule="auto"/>
              <w:jc w:val="center"/>
              <w:rPr>
                <w:rFonts w:hint="default" w:ascii="Times New Roman" w:hAnsi="Times New Roman" w:eastAsia="宋体" w:cs="Times New Roman"/>
                <w:color w:val="auto"/>
                <w:szCs w:val="21"/>
              </w:rPr>
            </w:pPr>
            <w:r>
              <w:rPr>
                <w:rFonts w:hint="eastAsia" w:cs="Times New Roman"/>
                <w:color w:val="auto"/>
                <w:szCs w:val="21"/>
                <w:lang w:val="en-US" w:eastAsia="zh-CN"/>
              </w:rPr>
              <w:t>3</w:t>
            </w:r>
            <w:r>
              <w:rPr>
                <w:rFonts w:hint="default" w:ascii="Times New Roman" w:hAnsi="Times New Roman" w:eastAsia="宋体" w:cs="Times New Roman"/>
                <w:color w:val="auto"/>
                <w:szCs w:val="21"/>
              </w:rPr>
              <w:t>×</w:t>
            </w:r>
            <w:r>
              <w:rPr>
                <w:rFonts w:hint="eastAsia" w:cs="Times New Roman"/>
                <w:color w:val="auto"/>
                <w:szCs w:val="21"/>
                <w:lang w:val="en-US" w:eastAsia="zh-CN"/>
              </w:rPr>
              <w:t>1</w:t>
            </w:r>
            <w:r>
              <w:rPr>
                <w:rFonts w:hint="default" w:ascii="Times New Roman" w:hAnsi="Times New Roman" w:eastAsia="宋体" w:cs="Times New Roman"/>
                <w:color w:val="auto"/>
                <w:szCs w:val="21"/>
              </w:rPr>
              <w:t>000m</w:t>
            </w:r>
            <w:r>
              <w:rPr>
                <w:rFonts w:hint="default" w:ascii="Times New Roman" w:hAnsi="Times New Roman" w:eastAsia="宋体" w:cs="Times New Roman"/>
                <w:color w:val="auto"/>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Cs w:val="21"/>
              </w:rPr>
            </w:pPr>
            <w:r>
              <w:rPr>
                <w:rFonts w:hint="default" w:ascii="Times New Roman" w:hAnsi="Times New Roman" w:eastAsia="宋体" w:cs="Times New Roman"/>
                <w:b/>
                <w:color w:val="auto"/>
                <w:sz w:val="21"/>
                <w:szCs w:val="21"/>
              </w:rPr>
              <w:t>液化气球罐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14</w:t>
            </w:r>
          </w:p>
        </w:tc>
        <w:tc>
          <w:tcPr>
            <w:tcW w:w="1087"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液化气球罐</w:t>
            </w:r>
          </w:p>
        </w:tc>
        <w:tc>
          <w:tcPr>
            <w:tcW w:w="1171" w:type="pct"/>
            <w:vAlign w:val="center"/>
          </w:tcPr>
          <w:p>
            <w:pPr>
              <w:spacing w:line="360" w:lineRule="auto"/>
              <w:ind w:firstLine="10" w:firstLineChars="5"/>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液化气</w:t>
            </w:r>
          </w:p>
        </w:tc>
        <w:tc>
          <w:tcPr>
            <w:tcW w:w="2344" w:type="pct"/>
            <w:vAlign w:val="center"/>
          </w:tcPr>
          <w:p>
            <w:pPr>
              <w:spacing w:line="360" w:lineRule="auto"/>
              <w:jc w:val="center"/>
              <w:rPr>
                <w:rFonts w:hint="default" w:ascii="Times New Roman" w:hAnsi="Times New Roman" w:eastAsia="宋体" w:cs="Times New Roman"/>
                <w:color w:val="auto"/>
                <w:szCs w:val="21"/>
              </w:rPr>
            </w:pPr>
            <w:r>
              <w:rPr>
                <w:rFonts w:hint="eastAsia" w:cs="Times New Roman"/>
                <w:color w:val="auto"/>
                <w:szCs w:val="21"/>
                <w:lang w:val="en-US" w:eastAsia="zh-CN"/>
              </w:rPr>
              <w:t>2</w:t>
            </w:r>
            <w:r>
              <w:rPr>
                <w:rFonts w:hint="default" w:ascii="Times New Roman" w:hAnsi="Times New Roman" w:eastAsia="宋体" w:cs="Times New Roman"/>
                <w:color w:val="auto"/>
                <w:szCs w:val="21"/>
              </w:rPr>
              <w:t>×</w:t>
            </w:r>
            <w:r>
              <w:rPr>
                <w:rFonts w:hint="eastAsia" w:cs="Times New Roman"/>
                <w:color w:val="auto"/>
                <w:szCs w:val="21"/>
                <w:lang w:val="en-US" w:eastAsia="zh-CN"/>
              </w:rPr>
              <w:t>2</w:t>
            </w:r>
            <w:r>
              <w:rPr>
                <w:rFonts w:hint="default" w:ascii="Times New Roman" w:hAnsi="Times New Roman" w:eastAsia="宋体" w:cs="Times New Roman"/>
                <w:color w:val="auto"/>
                <w:szCs w:val="21"/>
              </w:rPr>
              <w:t>000m</w:t>
            </w:r>
            <w:r>
              <w:rPr>
                <w:rFonts w:hint="default" w:ascii="Times New Roman" w:hAnsi="Times New Roman" w:eastAsia="宋体" w:cs="Times New Roman"/>
                <w:color w:val="auto"/>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5000" w:type="pct"/>
            <w:gridSpan w:val="4"/>
            <w:vAlign w:val="center"/>
          </w:tcPr>
          <w:p>
            <w:pPr>
              <w:spacing w:line="360" w:lineRule="auto"/>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b/>
                <w:color w:val="auto"/>
                <w:kern w:val="2"/>
                <w:sz w:val="21"/>
                <w:szCs w:val="21"/>
                <w:lang w:val="en-US" w:eastAsia="zh-CN" w:bidi="ar-SA"/>
              </w:rPr>
              <w:t>硫酸储罐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ascii="Times New Roman" w:hAnsi="Times New Roman" w:eastAsia="宋体" w:cs="Times New Roman"/>
                <w:color w:val="auto"/>
                <w:sz w:val="21"/>
                <w:szCs w:val="21"/>
                <w:lang w:val="en-US" w:eastAsia="zh-CN"/>
              </w:rPr>
            </w:pPr>
            <w:r>
              <w:rPr>
                <w:rFonts w:hint="eastAsia" w:cs="Times New Roman"/>
                <w:color w:val="auto"/>
                <w:sz w:val="21"/>
                <w:szCs w:val="21"/>
                <w:lang w:val="en-US" w:eastAsia="zh-CN"/>
              </w:rPr>
              <w:t>15</w:t>
            </w:r>
          </w:p>
        </w:tc>
        <w:tc>
          <w:tcPr>
            <w:tcW w:w="1087" w:type="pct"/>
            <w:vAlign w:val="center"/>
          </w:tcPr>
          <w:p>
            <w:pPr>
              <w:jc w:val="center"/>
              <w:rPr>
                <w:rFonts w:hint="default" w:ascii="Times New Roman" w:hAnsi="Times New Roman" w:eastAsia="宋体" w:cs="Times New Roman"/>
                <w:color w:val="auto"/>
                <w:szCs w:val="21"/>
                <w:lang w:val="en-US" w:eastAsia="zh-CN"/>
              </w:rPr>
            </w:pPr>
            <w:r>
              <w:rPr>
                <w:rFonts w:hint="eastAsia" w:cs="Times New Roman"/>
                <w:color w:val="auto"/>
                <w:szCs w:val="21"/>
                <w:lang w:val="en-US" w:eastAsia="zh-CN"/>
              </w:rPr>
              <w:t>浓硫酸储罐</w:t>
            </w:r>
          </w:p>
        </w:tc>
        <w:tc>
          <w:tcPr>
            <w:tcW w:w="1171" w:type="pct"/>
            <w:vAlign w:val="center"/>
          </w:tcPr>
          <w:p>
            <w:pPr>
              <w:spacing w:line="360" w:lineRule="auto"/>
              <w:ind w:firstLine="10" w:firstLineChars="5"/>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浓硫酸</w:t>
            </w:r>
          </w:p>
        </w:tc>
        <w:tc>
          <w:tcPr>
            <w:tcW w:w="2344" w:type="pct"/>
            <w:vAlign w:val="center"/>
          </w:tcPr>
          <w:p>
            <w:pPr>
              <w:spacing w:line="360" w:lineRule="auto"/>
              <w:jc w:val="center"/>
              <w:rPr>
                <w:rFonts w:hint="eastAsia" w:ascii="Times New Roman" w:hAnsi="Times New Roman" w:eastAsia="宋体" w:cs="Times New Roman"/>
                <w:color w:val="auto"/>
                <w:szCs w:val="21"/>
                <w:lang w:val="en-US" w:eastAsia="zh-CN"/>
              </w:rPr>
            </w:pPr>
            <w:r>
              <w:rPr>
                <w:rFonts w:hint="eastAsia" w:cs="Times New Roman"/>
                <w:color w:val="auto"/>
                <w:szCs w:val="21"/>
                <w:lang w:val="en-US" w:eastAsia="zh-CN"/>
              </w:rPr>
              <w:t>2</w:t>
            </w:r>
            <w:r>
              <w:rPr>
                <w:rFonts w:hint="default" w:ascii="Times New Roman" w:hAnsi="Times New Roman" w:eastAsia="宋体" w:cs="Times New Roman"/>
                <w:color w:val="auto"/>
                <w:szCs w:val="21"/>
              </w:rPr>
              <w:t>×</w:t>
            </w:r>
            <w:r>
              <w:rPr>
                <w:rFonts w:hint="eastAsia" w:cs="Times New Roman"/>
                <w:color w:val="auto"/>
                <w:szCs w:val="21"/>
                <w:lang w:val="en-US" w:eastAsia="zh-CN"/>
              </w:rPr>
              <w:t>1</w:t>
            </w:r>
            <w:r>
              <w:rPr>
                <w:rFonts w:hint="default" w:ascii="Times New Roman" w:hAnsi="Times New Roman" w:eastAsia="宋体" w:cs="Times New Roman"/>
                <w:color w:val="auto"/>
                <w:szCs w:val="21"/>
              </w:rPr>
              <w:t>00m</w:t>
            </w:r>
            <w:r>
              <w:rPr>
                <w:rFonts w:hint="default" w:ascii="Times New Roman" w:hAnsi="Times New Roman" w:eastAsia="宋体" w:cs="Times New Roman"/>
                <w:color w:val="auto"/>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4" w:hRule="atLeast"/>
        </w:trPr>
        <w:tc>
          <w:tcPr>
            <w:tcW w:w="397" w:type="pct"/>
            <w:vAlign w:val="center"/>
          </w:tcPr>
          <w:p>
            <w:pPr>
              <w:pStyle w:val="550"/>
              <w:adjustRightInd/>
              <w:snapToGrid/>
              <w:spacing w:line="240" w:lineRule="atLeast"/>
              <w:ind w:firstLine="0" w:firstLineChars="0"/>
              <w:jc w:val="center"/>
              <w:rPr>
                <w:rFonts w:hint="default" w:cs="Times New Roman"/>
                <w:color w:val="auto"/>
                <w:sz w:val="21"/>
                <w:szCs w:val="21"/>
                <w:lang w:val="en-US" w:eastAsia="zh-CN"/>
              </w:rPr>
            </w:pPr>
            <w:r>
              <w:rPr>
                <w:rFonts w:hint="eastAsia" w:cs="Times New Roman"/>
                <w:color w:val="auto"/>
                <w:sz w:val="21"/>
                <w:szCs w:val="21"/>
                <w:lang w:val="en-US" w:eastAsia="zh-CN"/>
              </w:rPr>
              <w:t>16</w:t>
            </w:r>
          </w:p>
        </w:tc>
        <w:tc>
          <w:tcPr>
            <w:tcW w:w="1087" w:type="pct"/>
            <w:vAlign w:val="center"/>
          </w:tcPr>
          <w:p>
            <w:pPr>
              <w:jc w:val="center"/>
              <w:rPr>
                <w:rFonts w:hint="default" w:cs="Times New Roman"/>
                <w:color w:val="auto"/>
                <w:szCs w:val="21"/>
                <w:lang w:val="en-US" w:eastAsia="zh-CN"/>
              </w:rPr>
            </w:pPr>
            <w:r>
              <w:rPr>
                <w:rFonts w:hint="eastAsia" w:cs="Times New Roman"/>
                <w:color w:val="auto"/>
                <w:szCs w:val="21"/>
                <w:lang w:val="en-US" w:eastAsia="zh-CN"/>
              </w:rPr>
              <w:t>废酸储罐</w:t>
            </w:r>
          </w:p>
        </w:tc>
        <w:tc>
          <w:tcPr>
            <w:tcW w:w="1171" w:type="pct"/>
            <w:vAlign w:val="center"/>
          </w:tcPr>
          <w:p>
            <w:pPr>
              <w:spacing w:line="360" w:lineRule="auto"/>
              <w:ind w:firstLine="10" w:firstLineChars="5"/>
              <w:jc w:val="center"/>
              <w:rPr>
                <w:rFonts w:hint="default" w:cs="Times New Roman"/>
                <w:color w:val="auto"/>
                <w:szCs w:val="21"/>
                <w:lang w:val="en-US" w:eastAsia="zh-CN"/>
              </w:rPr>
            </w:pPr>
            <w:r>
              <w:rPr>
                <w:rFonts w:hint="eastAsia" w:cs="Times New Roman"/>
                <w:color w:val="auto"/>
                <w:szCs w:val="21"/>
                <w:lang w:val="en-US" w:eastAsia="zh-CN"/>
              </w:rPr>
              <w:t>废酸</w:t>
            </w:r>
          </w:p>
        </w:tc>
        <w:tc>
          <w:tcPr>
            <w:tcW w:w="2344" w:type="pct"/>
            <w:vAlign w:val="center"/>
          </w:tcPr>
          <w:p>
            <w:pPr>
              <w:spacing w:line="360" w:lineRule="auto"/>
              <w:jc w:val="center"/>
              <w:rPr>
                <w:rFonts w:hint="eastAsia" w:cs="Times New Roman"/>
                <w:color w:val="auto"/>
                <w:szCs w:val="21"/>
                <w:lang w:val="en-US" w:eastAsia="zh-CN"/>
              </w:rPr>
            </w:pPr>
            <w:r>
              <w:rPr>
                <w:rFonts w:hint="eastAsia" w:cs="Times New Roman"/>
                <w:color w:val="auto"/>
                <w:szCs w:val="21"/>
                <w:lang w:val="en-US" w:eastAsia="zh-CN"/>
              </w:rPr>
              <w:t>2</w:t>
            </w:r>
            <w:r>
              <w:rPr>
                <w:rFonts w:hint="default" w:ascii="Times New Roman" w:hAnsi="Times New Roman" w:eastAsia="宋体" w:cs="Times New Roman"/>
                <w:color w:val="auto"/>
                <w:szCs w:val="21"/>
              </w:rPr>
              <w:t>×</w:t>
            </w:r>
            <w:r>
              <w:rPr>
                <w:rFonts w:hint="eastAsia" w:cs="Times New Roman"/>
                <w:color w:val="auto"/>
                <w:szCs w:val="21"/>
                <w:lang w:val="en-US" w:eastAsia="zh-CN"/>
              </w:rPr>
              <w:t>1</w:t>
            </w:r>
            <w:r>
              <w:rPr>
                <w:rFonts w:hint="default" w:ascii="Times New Roman" w:hAnsi="Times New Roman" w:eastAsia="宋体" w:cs="Times New Roman"/>
                <w:color w:val="auto"/>
                <w:szCs w:val="21"/>
              </w:rPr>
              <w:t>00m</w:t>
            </w:r>
            <w:r>
              <w:rPr>
                <w:rFonts w:hint="default" w:ascii="Times New Roman" w:hAnsi="Times New Roman" w:eastAsia="宋体" w:cs="Times New Roman"/>
                <w:color w:val="auto"/>
                <w:szCs w:val="21"/>
                <w:vertAlign w:val="superscript"/>
              </w:rPr>
              <w:t>3</w:t>
            </w:r>
          </w:p>
        </w:tc>
      </w:tr>
    </w:tbl>
    <w:p>
      <w:pPr>
        <w:adjustRightInd w:val="0"/>
        <w:snapToGrid w:val="0"/>
        <w:spacing w:before="120" w:beforeLines="50" w:after="120" w:afterLines="50" w:line="360" w:lineRule="auto"/>
        <w:jc w:val="left"/>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3.3.3.2风险物质识别</w:t>
      </w:r>
    </w:p>
    <w:p>
      <w:pPr>
        <w:adjustRightInd w:val="0"/>
        <w:snapToGrid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依据《企业突发环境事件风险分级方法》（HJ 941-2018）有关规定，分涉气类和涉水类环境风险物质分别进行识别</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统计生产装置区目前储罐的容积和可能存在的最大数量，结果见表3.3-6、3.3-7。</w:t>
      </w:r>
    </w:p>
    <w:p>
      <w:pPr>
        <w:pStyle w:val="280"/>
        <w:spacing w:line="360" w:lineRule="auto"/>
        <w:ind w:firstLine="422" w:firstLineChars="200"/>
        <w:jc w:val="center"/>
        <w:rPr>
          <w:rFonts w:hint="default" w:ascii="Times New Roman" w:hAnsi="Times New Roman" w:eastAsia="宋体" w:cs="Times New Roman"/>
          <w:b/>
          <w:color w:val="auto"/>
          <w:kern w:val="0"/>
          <w:sz w:val="21"/>
          <w:szCs w:val="21"/>
          <w:vertAlign w:val="baseline"/>
        </w:rPr>
      </w:pPr>
      <w:r>
        <w:rPr>
          <w:rFonts w:hint="default" w:ascii="Times New Roman" w:hAnsi="Times New Roman" w:eastAsia="宋体" w:cs="Times New Roman"/>
          <w:b/>
          <w:color w:val="auto"/>
          <w:kern w:val="0"/>
          <w:sz w:val="21"/>
          <w:szCs w:val="21"/>
        </w:rPr>
        <w:t>表3.3-6涉气风险物质识别表</w:t>
      </w:r>
    </w:p>
    <w:tbl>
      <w:tblPr>
        <w:tblStyle w:val="7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036"/>
        <w:gridCol w:w="1705"/>
        <w:gridCol w:w="1705"/>
        <w:gridCol w:w="1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单元划分</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装置、罐区名称</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化学品名称</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最大物质量qi（吨）</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临界量Qi</w:t>
            </w:r>
          </w:p>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生产单位1</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甲醇装置</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甲烷</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一氧化碳</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1.348</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氢气</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0.186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3.612</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生产单元2</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MTBE装置</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混合C4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83.6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20.8</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液化石油气</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19.8</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28.7</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生产单元3</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工业异辛烷装置</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液化气</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正、异丁烷</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0.4124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生产单元4</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醚化装置</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26.2</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生产单元4</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轻汽油、醚化汽油</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107.4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储存单元1</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甲醇罐区</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5062.4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储存单元2</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醚化汽油储罐区</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2220</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储存单元3</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轻烃罐区</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连续芳构化汽油</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2960</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r>
    </w:tbl>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表3.3-7涉水风险物质识别表</w:t>
      </w:r>
    </w:p>
    <w:tbl>
      <w:tblPr>
        <w:tblStyle w:val="76"/>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3"/>
        <w:gridCol w:w="2036"/>
        <w:gridCol w:w="1705"/>
        <w:gridCol w:w="1705"/>
        <w:gridCol w:w="1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单元划分</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装置、罐区名称</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化学品名称</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最大物质量qi（吨）</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临界量Qi</w:t>
            </w:r>
          </w:p>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生产单位1</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甲醇装置</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甲烷</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一氧化碳</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1.348</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氢气</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0.186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3.612</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生产单元2</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MTBE装置</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混合C4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83.6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20.8</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液化石油气</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19.8</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28.7</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生产单元3</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工业异辛烷装置</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液化气</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2.06</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正、异丁烷</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0.4124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生产单元4</w:t>
            </w:r>
          </w:p>
        </w:tc>
        <w:tc>
          <w:tcPr>
            <w:tcW w:w="1194" w:type="pct"/>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醚化装置</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26.2</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生产单元4</w:t>
            </w:r>
          </w:p>
        </w:tc>
        <w:tc>
          <w:tcPr>
            <w:tcW w:w="1194" w:type="pct"/>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轻汽油、醚化汽油</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107.4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储存单元1</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甲醇罐区</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5062.4</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储存单元2</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醚化汽油储罐区</w:t>
            </w:r>
          </w:p>
        </w:tc>
        <w:tc>
          <w:tcPr>
            <w:tcW w:w="1000" w:type="pct"/>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2220</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储存单元3</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轻烃罐区</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连续芳构化汽油</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2960</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05"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储存单元4</w:t>
            </w:r>
          </w:p>
        </w:tc>
        <w:tc>
          <w:tcPr>
            <w:tcW w:w="1194"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硫酸储罐</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硫酸</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360</w:t>
            </w:r>
          </w:p>
        </w:tc>
        <w:tc>
          <w:tcPr>
            <w:tcW w:w="1000" w:type="pc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r>
    </w:tbl>
    <w:p>
      <w:pPr>
        <w:adjustRightInd w:val="0"/>
        <w:snapToGrid w:val="0"/>
        <w:spacing w:before="120" w:beforeLines="50" w:after="120" w:afterLines="50" w:line="360" w:lineRule="auto"/>
        <w:jc w:val="left"/>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3.3.3.3风险物质特性</w:t>
      </w:r>
    </w:p>
    <w:p>
      <w:pPr>
        <w:adjustRightInd w:val="0"/>
        <w:snapToGrid w:val="0"/>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不同环境风险物质在正常使用和事故状态下的物理、化学性质、毒理学特性、对人体和环境的急性和慢性危害、伴生/次生物质、基本应急处置方法等见附件1。</w:t>
      </w:r>
    </w:p>
    <w:p>
      <w:pPr>
        <w:pStyle w:val="280"/>
        <w:spacing w:before="120" w:beforeLines="50" w:after="120" w:afterLines="50" w:line="360" w:lineRule="auto"/>
        <w:jc w:val="left"/>
        <w:outlineLvl w:val="2"/>
        <w:rPr>
          <w:rFonts w:hint="default" w:ascii="Times New Roman" w:hAnsi="Times New Roman" w:eastAsia="宋体" w:cs="Times New Roman"/>
          <w:b/>
          <w:bCs/>
          <w:color w:val="auto"/>
          <w:sz w:val="24"/>
          <w:szCs w:val="24"/>
        </w:rPr>
      </w:pPr>
      <w:r>
        <w:rPr>
          <w:rFonts w:hint="default" w:ascii="Times New Roman" w:hAnsi="Times New Roman" w:eastAsia="宋体" w:cs="Times New Roman"/>
          <w:b/>
          <w:bCs/>
          <w:color w:val="auto"/>
          <w:sz w:val="24"/>
          <w:szCs w:val="24"/>
        </w:rPr>
        <w:t>3.3.4计算涉气风险物质数量与临界量比值（Q）</w:t>
      </w:r>
    </w:p>
    <w:p>
      <w:pPr>
        <w:pStyle w:val="280"/>
        <w:spacing w:line="360" w:lineRule="auto"/>
        <w:ind w:firstLine="480" w:firstLineChars="200"/>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rPr>
        <w:t>经对公司涉气的各类化学物质种类和数量进行风险物质识别。依据《企业突发环境事件风险分级方法》（HJ941-2018）突发环境事件风险物质及临界量的规定，计算涉气风险物质在厂界内的存在量（如存在量呈动态变化，则按年度内最大存在量计算）与其在临界量的比值Q，由于公司存在多种风险物质，则按式（1）计算，结果见表3.3-8。</w:t>
      </w:r>
    </w:p>
    <w:p>
      <w:pPr>
        <w:spacing w:before="120" w:beforeLines="50" w:after="120" w:afterLines="50" w:line="360" w:lineRule="auto"/>
        <w:jc w:val="center"/>
        <w:rPr>
          <w:rFonts w:hint="default" w:ascii="Times New Roman" w:hAnsi="Times New Roman" w:eastAsia="宋体" w:cs="Times New Roman"/>
          <w:bCs/>
          <w:color w:val="auto"/>
          <w:kern w:val="0"/>
          <w:sz w:val="24"/>
        </w:rPr>
      </w:pPr>
      <w:r>
        <w:rPr>
          <w:rFonts w:hint="eastAsia" w:cs="Times New Roman"/>
          <w:bCs/>
          <w:color w:val="auto"/>
          <w:kern w:val="0"/>
          <w:sz w:val="24"/>
          <w:lang w:val="en-US" w:eastAsia="zh-CN"/>
        </w:rPr>
        <w:t xml:space="preserve">            </w:t>
      </w:r>
      <w:r>
        <w:rPr>
          <w:rFonts w:hint="default" w:ascii="Times New Roman" w:hAnsi="Times New Roman" w:eastAsia="宋体" w:cs="Times New Roman"/>
          <w:bCs/>
          <w:color w:val="auto"/>
          <w:kern w:val="0"/>
          <w:sz w:val="24"/>
        </w:rPr>
        <w:drawing>
          <wp:inline distT="0" distB="0" distL="0" distR="0">
            <wp:extent cx="3350260" cy="559435"/>
            <wp:effectExtent l="0" t="0" r="2540" b="1206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noChangeArrowheads="1"/>
                    </pic:cNvPicPr>
                  </pic:nvPicPr>
                  <pic:blipFill>
                    <a:blip r:embed="rId11">
                      <a:extLst>
                        <a:ext uri="{28A0092B-C50C-407E-A947-70E740481C1C}">
                          <a14:useLocalDpi xmlns:a14="http://schemas.microsoft.com/office/drawing/2010/main" val="0"/>
                        </a:ext>
                      </a:extLst>
                    </a:blip>
                    <a:srcRect r="9812" b="-1264"/>
                    <a:stretch>
                      <a:fillRect/>
                    </a:stretch>
                  </pic:blipFill>
                  <pic:spPr>
                    <a:xfrm>
                      <a:off x="0" y="0"/>
                      <a:ext cx="3350260" cy="559435"/>
                    </a:xfrm>
                    <a:prstGeom prst="rect">
                      <a:avLst/>
                    </a:prstGeom>
                    <a:noFill/>
                    <a:ln>
                      <a:noFill/>
                    </a:ln>
                  </pic:spPr>
                </pic:pic>
              </a:graphicData>
            </a:graphic>
          </wp:inline>
        </w:drawing>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式中：w1</w:t>
      </w:r>
      <w:r>
        <w:rPr>
          <w:rFonts w:hint="eastAsia" w:cs="Times New Roman"/>
          <w:bCs/>
          <w:color w:val="auto"/>
          <w:sz w:val="24"/>
          <w:lang w:eastAsia="zh-CN"/>
        </w:rPr>
        <w:t>，</w:t>
      </w:r>
      <w:r>
        <w:rPr>
          <w:rFonts w:hint="default" w:ascii="Times New Roman" w:hAnsi="Times New Roman" w:eastAsia="宋体" w:cs="Times New Roman"/>
          <w:bCs/>
          <w:color w:val="auto"/>
          <w:sz w:val="24"/>
        </w:rPr>
        <w:t>w2</w:t>
      </w:r>
      <w:r>
        <w:rPr>
          <w:rFonts w:hint="eastAsia" w:cs="Times New Roman"/>
          <w:bCs/>
          <w:color w:val="auto"/>
          <w:sz w:val="24"/>
          <w:lang w:eastAsia="zh-CN"/>
        </w:rPr>
        <w:t>，</w:t>
      </w:r>
      <w:r>
        <w:rPr>
          <w:rFonts w:hint="default" w:ascii="Times New Roman" w:hAnsi="Times New Roman" w:eastAsia="宋体" w:cs="Times New Roman"/>
          <w:bCs/>
          <w:color w:val="auto"/>
          <w:sz w:val="24"/>
        </w:rPr>
        <w:t>...</w:t>
      </w:r>
      <w:r>
        <w:rPr>
          <w:rFonts w:hint="eastAsia" w:cs="Times New Roman"/>
          <w:bCs/>
          <w:color w:val="auto"/>
          <w:sz w:val="24"/>
          <w:lang w:eastAsia="zh-CN"/>
        </w:rPr>
        <w:t>，</w:t>
      </w:r>
      <w:r>
        <w:rPr>
          <w:rFonts w:hint="default" w:ascii="Times New Roman" w:hAnsi="Times New Roman" w:eastAsia="宋体" w:cs="Times New Roman"/>
          <w:bCs/>
          <w:color w:val="auto"/>
          <w:sz w:val="24"/>
        </w:rPr>
        <w:t>wn——每种风险物质的存在量，t；</w:t>
      </w:r>
    </w:p>
    <w:p>
      <w:pPr>
        <w:spacing w:line="360" w:lineRule="auto"/>
        <w:ind w:firstLine="1200" w:firstLineChars="5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W1</w:t>
      </w:r>
      <w:r>
        <w:rPr>
          <w:rFonts w:hint="eastAsia" w:cs="Times New Roman"/>
          <w:bCs/>
          <w:color w:val="auto"/>
          <w:sz w:val="24"/>
          <w:lang w:eastAsia="zh-CN"/>
        </w:rPr>
        <w:t>，</w:t>
      </w:r>
      <w:r>
        <w:rPr>
          <w:rFonts w:hint="default" w:ascii="Times New Roman" w:hAnsi="Times New Roman" w:eastAsia="宋体" w:cs="Times New Roman"/>
          <w:bCs/>
          <w:color w:val="auto"/>
          <w:sz w:val="24"/>
        </w:rPr>
        <w:t>W2</w:t>
      </w:r>
      <w:r>
        <w:rPr>
          <w:rFonts w:hint="eastAsia" w:cs="Times New Roman"/>
          <w:bCs/>
          <w:color w:val="auto"/>
          <w:sz w:val="24"/>
          <w:lang w:eastAsia="zh-CN"/>
        </w:rPr>
        <w:t>，</w:t>
      </w:r>
      <w:r>
        <w:rPr>
          <w:rFonts w:hint="default" w:ascii="Times New Roman" w:hAnsi="Times New Roman" w:eastAsia="宋体" w:cs="Times New Roman"/>
          <w:bCs/>
          <w:color w:val="auto"/>
          <w:sz w:val="24"/>
        </w:rPr>
        <w:t>...</w:t>
      </w:r>
      <w:r>
        <w:rPr>
          <w:rFonts w:hint="eastAsia" w:cs="Times New Roman"/>
          <w:bCs/>
          <w:color w:val="auto"/>
          <w:sz w:val="24"/>
          <w:lang w:eastAsia="zh-CN"/>
        </w:rPr>
        <w:t>，</w:t>
      </w:r>
      <w:r>
        <w:rPr>
          <w:rFonts w:hint="default" w:ascii="Times New Roman" w:hAnsi="Times New Roman" w:eastAsia="宋体" w:cs="Times New Roman"/>
          <w:bCs/>
          <w:color w:val="auto"/>
          <w:sz w:val="24"/>
        </w:rPr>
        <w:t>Wn——每种风险物质的临界量，t。</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表3.3-8涉气风险物质数量与临界量比值（Q）</w:t>
      </w:r>
    </w:p>
    <w:tbl>
      <w:tblPr>
        <w:tblStyle w:val="7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1697"/>
        <w:gridCol w:w="1421"/>
        <w:gridCol w:w="1421"/>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单元划分</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装置、罐区名称</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化学品名称</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最大物质量qi（吨）</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临界量Qi</w:t>
            </w:r>
          </w:p>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（吨）</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存在量与其在临界量的比值 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生产单位1</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甲醇装置</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甲烷</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一氧化碳</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1.348</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7.5</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0.1797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氢气</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0.186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0.0186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3.612</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0.3612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生产单元2</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MTBE装置</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混合C4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83.6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20.8</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液化石油气</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19.8</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28.7</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生产单元3</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工业异辛烷装置</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液化气</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正、异丁烷</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0.4124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0.4124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生产单元4</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醚化装置</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26.2</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生产单元4</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轻汽油、醚化汽油</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107.4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0.0429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储存单元1</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甲醇罐区</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5062.4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506.24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储存单元2</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醚化汽油储罐区</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2220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0.888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储存单元3</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轻烃罐区</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连续芳构化汽油</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2960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4" w:type="dxa"/>
            <w:gridSpan w:val="5"/>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合计</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527.8274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5" w:type="dxa"/>
            <w:gridSpan w:val="6"/>
            <w:vAlign w:val="center"/>
          </w:tcPr>
          <w:p>
            <w:pPr>
              <w:adjustRightInd w:val="0"/>
              <w:snapToGrid w:val="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注：①各类储罐最大储存量=各类储罐的容积×充装系数η×生产物料的密度ρ×浓度；②充装系数η按罐体容积的80%取值；③浓硫酸密度ρ</w:t>
            </w:r>
            <w:r>
              <w:rPr>
                <w:rFonts w:hint="default" w:ascii="Times New Roman" w:hAnsi="Times New Roman" w:eastAsia="宋体" w:cs="Times New Roman"/>
                <w:color w:val="auto"/>
                <w:kern w:val="0"/>
                <w:szCs w:val="21"/>
                <w:vertAlign w:val="subscript"/>
              </w:rPr>
              <w:t>硫酸</w:t>
            </w:r>
            <w:r>
              <w:rPr>
                <w:rFonts w:hint="default" w:ascii="Times New Roman" w:hAnsi="Times New Roman" w:eastAsia="宋体" w:cs="Times New Roman"/>
                <w:color w:val="auto"/>
                <w:kern w:val="0"/>
                <w:szCs w:val="21"/>
              </w:rPr>
              <w:t>=1.83t/m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；④</w:t>
            </w:r>
            <w:r>
              <w:rPr>
                <w:rFonts w:hint="default" w:ascii="Times New Roman" w:hAnsi="Times New Roman" w:eastAsia="宋体" w:cs="Times New Roman"/>
                <w:color w:val="auto"/>
                <w:szCs w:val="21"/>
              </w:rPr>
              <w:t>醚化汽油密度ρ</w:t>
            </w:r>
            <w:r>
              <w:rPr>
                <w:rFonts w:hint="default" w:ascii="Times New Roman" w:hAnsi="Times New Roman" w:eastAsia="宋体" w:cs="Times New Roman"/>
                <w:color w:val="auto"/>
                <w:szCs w:val="21"/>
                <w:vertAlign w:val="subscript"/>
              </w:rPr>
              <w:t>醚</w:t>
            </w:r>
            <w:r>
              <w:rPr>
                <w:rFonts w:hint="default" w:ascii="Times New Roman" w:hAnsi="Times New Roman" w:eastAsia="宋体" w:cs="Times New Roman"/>
                <w:color w:val="auto"/>
                <w:szCs w:val="21"/>
              </w:rPr>
              <w:t>=0.658t/m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，充装系数为η</w:t>
            </w:r>
            <w:r>
              <w:rPr>
                <w:rFonts w:hint="default" w:ascii="Times New Roman" w:hAnsi="Times New Roman" w:eastAsia="宋体" w:cs="Times New Roman"/>
                <w:color w:val="auto"/>
                <w:szCs w:val="21"/>
                <w:vertAlign w:val="subscript"/>
              </w:rPr>
              <w:t>醚</w:t>
            </w:r>
            <w:r>
              <w:rPr>
                <w:rFonts w:hint="default" w:ascii="Times New Roman" w:hAnsi="Times New Roman" w:eastAsia="宋体" w:cs="Times New Roman"/>
                <w:color w:val="auto"/>
                <w:szCs w:val="21"/>
              </w:rPr>
              <w:t>=0.9；</w:t>
            </w:r>
            <w:r>
              <w:rPr>
                <w:rFonts w:hint="default" w:ascii="Times New Roman" w:hAnsi="Times New Roman" w:eastAsia="宋体" w:cs="Times New Roman"/>
                <w:color w:val="auto"/>
                <w:kern w:val="0"/>
                <w:szCs w:val="21"/>
              </w:rPr>
              <w:t>⑤</w:t>
            </w:r>
            <w:r>
              <w:rPr>
                <w:rFonts w:hint="default" w:ascii="Times New Roman" w:hAnsi="Times New Roman" w:eastAsia="宋体" w:cs="Times New Roman"/>
                <w:color w:val="auto"/>
                <w:szCs w:val="21"/>
              </w:rPr>
              <w:t>液化石油气的密度ρ</w:t>
            </w:r>
            <w:r>
              <w:rPr>
                <w:rFonts w:hint="default" w:ascii="Times New Roman" w:hAnsi="Times New Roman" w:eastAsia="宋体" w:cs="Times New Roman"/>
                <w:color w:val="auto"/>
                <w:szCs w:val="21"/>
                <w:vertAlign w:val="subscript"/>
              </w:rPr>
              <w:t>LPG</w:t>
            </w:r>
            <w:r>
              <w:rPr>
                <w:rFonts w:hint="default" w:ascii="Times New Roman" w:hAnsi="Times New Roman" w:eastAsia="宋体" w:cs="Times New Roman"/>
                <w:color w:val="auto"/>
                <w:szCs w:val="21"/>
              </w:rPr>
              <w:t>=0.58t/m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kern w:val="0"/>
                <w:szCs w:val="21"/>
              </w:rPr>
              <w:t>%；⑥轻汽油、醚化汽油性质类似于汽油；⑦甲醇密度ρ</w:t>
            </w:r>
            <w:r>
              <w:rPr>
                <w:rFonts w:hint="default" w:ascii="Times New Roman" w:hAnsi="Times New Roman" w:eastAsia="宋体" w:cs="Times New Roman"/>
                <w:color w:val="auto"/>
                <w:kern w:val="0"/>
                <w:szCs w:val="21"/>
                <w:vertAlign w:val="subscript"/>
              </w:rPr>
              <w:t>甲醇</w:t>
            </w:r>
            <w:r>
              <w:rPr>
                <w:rFonts w:hint="default" w:ascii="Times New Roman" w:hAnsi="Times New Roman" w:eastAsia="宋体" w:cs="Times New Roman"/>
                <w:color w:val="auto"/>
                <w:kern w:val="0"/>
                <w:szCs w:val="21"/>
              </w:rPr>
              <w:t>=0.79t/m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，充装系数为η=80%；⑧MTBE密度</w:t>
            </w:r>
            <w:r>
              <w:rPr>
                <w:rFonts w:hint="default" w:ascii="Times New Roman" w:hAnsi="Times New Roman" w:eastAsia="宋体" w:cs="Times New Roman"/>
                <w:color w:val="auto"/>
                <w:szCs w:val="21"/>
              </w:rPr>
              <w:t>ρ</w:t>
            </w:r>
            <w:r>
              <w:rPr>
                <w:rFonts w:hint="default" w:ascii="Times New Roman" w:hAnsi="Times New Roman" w:eastAsia="宋体" w:cs="Times New Roman"/>
                <w:color w:val="auto"/>
                <w:szCs w:val="21"/>
                <w:vertAlign w:val="subscript"/>
              </w:rPr>
              <w:t>甲</w:t>
            </w:r>
            <w:r>
              <w:rPr>
                <w:rFonts w:hint="default" w:ascii="Times New Roman" w:hAnsi="Times New Roman" w:eastAsia="宋体" w:cs="Times New Roman"/>
                <w:color w:val="auto"/>
                <w:szCs w:val="21"/>
              </w:rPr>
              <w:t>=0.76t/m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kern w:val="0"/>
                <w:szCs w:val="21"/>
              </w:rPr>
              <w:t>；</w:t>
            </w:r>
          </w:p>
          <w:p>
            <w:pPr>
              <w:pStyle w:val="550"/>
              <w:adjustRightInd/>
              <w:snapToGrid/>
              <w:spacing w:line="240" w:lineRule="atLeast"/>
              <w:ind w:firstLine="0" w:firstLineChars="0"/>
              <w:jc w:val="left"/>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⑨氢氧化钠密度ρ甲=2.13t/m3；⑩甲醇混合物密度按照甲醇计算。</w:t>
            </w:r>
          </w:p>
        </w:tc>
      </w:tr>
    </w:tbl>
    <w:p>
      <w:pPr>
        <w:jc w:val="left"/>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由上表计算结果可知，Q=</w:t>
      </w:r>
      <w:r>
        <w:rPr>
          <w:rFonts w:hint="default" w:ascii="Times New Roman" w:hAnsi="Times New Roman" w:eastAsia="宋体" w:cs="Times New Roman"/>
          <w:bCs/>
          <w:color w:val="auto"/>
          <w:sz w:val="24"/>
          <w:lang w:val="en-US" w:eastAsia="zh-CN"/>
        </w:rPr>
        <w:t>527.8274</w:t>
      </w:r>
      <w:r>
        <w:rPr>
          <w:rFonts w:hint="default" w:ascii="Times New Roman" w:hAnsi="Times New Roman" w:eastAsia="宋体" w:cs="Times New Roman"/>
          <w:bCs/>
          <w:color w:val="auto"/>
          <w:sz w:val="24"/>
        </w:rPr>
        <w:t>，Q≥100，以Q3表示。</w:t>
      </w:r>
    </w:p>
    <w:p>
      <w:pPr>
        <w:spacing w:before="120" w:beforeLines="50" w:after="120" w:afterLines="50" w:line="360" w:lineRule="auto"/>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3.3.5计算涉水风险物质数量与临界量比值（Q）</w:t>
      </w:r>
    </w:p>
    <w:p>
      <w:pPr>
        <w:pStyle w:val="280"/>
        <w:spacing w:line="360" w:lineRule="auto"/>
        <w:ind w:firstLine="480" w:firstLineChars="200"/>
        <w:jc w:val="left"/>
        <w:rPr>
          <w:rFonts w:hint="default" w:ascii="Times New Roman" w:hAnsi="Times New Roman" w:eastAsia="宋体" w:cs="Times New Roman"/>
          <w:bCs/>
          <w:color w:val="auto"/>
          <w:sz w:val="24"/>
          <w:szCs w:val="24"/>
        </w:rPr>
      </w:pPr>
      <w:r>
        <w:rPr>
          <w:rFonts w:hint="default" w:ascii="Times New Roman" w:hAnsi="Times New Roman" w:eastAsia="宋体" w:cs="Times New Roman"/>
          <w:bCs/>
          <w:color w:val="auto"/>
          <w:sz w:val="24"/>
          <w:szCs w:val="24"/>
        </w:rPr>
        <w:t>按3.4.4规定方法及其中式（1）计算，结果见表3.3-9。</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表3.3-9涉水风险物质数量与临界量比值（Q）</w:t>
      </w:r>
    </w:p>
    <w:tbl>
      <w:tblPr>
        <w:tblStyle w:val="7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4"/>
        <w:gridCol w:w="1697"/>
        <w:gridCol w:w="1421"/>
        <w:gridCol w:w="1421"/>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单元划分</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装置、罐区名称</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化学品名称</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最大物质量qi（吨）</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临界量Qi</w:t>
            </w:r>
          </w:p>
          <w:p>
            <w:pPr>
              <w:pStyle w:val="550"/>
              <w:adjustRightInd/>
              <w:snapToGrid/>
              <w:spacing w:line="240" w:lineRule="atLeast"/>
              <w:ind w:firstLine="0" w:firstLineChars="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（吨）</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存在量与其在临界量的比值 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生产单位1</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甲醇装置</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甲烷</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0.1346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一氧化碳</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1.348</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7.5</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0.1797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氢气</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0.186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0.0186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生产单位1</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3.612</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0.3612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生产单元2</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MTBE装置</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混合C4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83.6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8.36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MTBE</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20.8</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液化石油气</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19.8</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生产单元2</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28.7</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生产单元3</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工业异辛烷装置</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液化气</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工业异辛烷</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2.06</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0.206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生产单元3</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正、异丁烷</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0.4124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0.4124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生产单元4</w:t>
            </w:r>
          </w:p>
        </w:tc>
        <w:tc>
          <w:tcPr>
            <w:tcW w:w="1697" w:type="dxa"/>
            <w:vMerge w:val="restart"/>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醚化装置</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26.2</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生产单元4</w:t>
            </w:r>
          </w:p>
        </w:tc>
        <w:tc>
          <w:tcPr>
            <w:tcW w:w="1697" w:type="dxa"/>
            <w:vMerge w:val="continue"/>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轻汽油、醚化汽油</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107.4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0.0429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储存单元1</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甲醇罐区</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甲醇</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5062.4</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506.24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储存单元2</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醚化汽油储罐区</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醚化汽油</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2220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0.888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rPr>
            </w:pPr>
            <w:r>
              <w:rPr>
                <w:rFonts w:hint="eastAsia" w:ascii="Times New Roman" w:hAnsi="Times New Roman" w:eastAsia="宋体" w:cs="Times New Roman"/>
                <w:b w:val="0"/>
                <w:bCs/>
                <w:color w:val="auto"/>
                <w:sz w:val="21"/>
                <w:szCs w:val="21"/>
                <w:lang w:val="en-US" w:eastAsia="zh-CN"/>
              </w:rPr>
              <w:t>储存单元3</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轻烃罐区</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连续芳构化汽油</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2960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2500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1.184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4"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储存单元4</w:t>
            </w:r>
          </w:p>
        </w:tc>
        <w:tc>
          <w:tcPr>
            <w:tcW w:w="1697"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硫酸储罐</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硫酸</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10</w:t>
            </w:r>
          </w:p>
        </w:tc>
        <w:tc>
          <w:tcPr>
            <w:tcW w:w="1421" w:type="dxa"/>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04" w:type="dxa"/>
            <w:gridSpan w:val="5"/>
            <w:vAlign w:val="center"/>
          </w:tcPr>
          <w:p>
            <w:pPr>
              <w:pStyle w:val="550"/>
              <w:adjustRightInd/>
              <w:snapToGrid/>
              <w:spacing w:line="240" w:lineRule="atLeast"/>
              <w:ind w:firstLine="0" w:firstLineChars="0"/>
              <w:jc w:val="center"/>
              <w:rPr>
                <w:rFonts w:hint="default"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合计</w:t>
            </w:r>
          </w:p>
        </w:tc>
        <w:tc>
          <w:tcPr>
            <w:tcW w:w="1421" w:type="dxa"/>
            <w:vAlign w:val="center"/>
          </w:tcPr>
          <w:p>
            <w:pPr>
              <w:pStyle w:val="550"/>
              <w:adjustRightInd/>
              <w:snapToGrid/>
              <w:spacing w:line="240" w:lineRule="atLeast"/>
              <w:ind w:firstLine="0" w:firstLineChars="0"/>
              <w:jc w:val="center"/>
              <w:rPr>
                <w:rFonts w:hint="eastAsia" w:ascii="Times New Roman" w:hAnsi="Times New Roman" w:eastAsia="宋体" w:cs="Times New Roman"/>
                <w:b w:val="0"/>
                <w:bCs/>
                <w:color w:val="auto"/>
                <w:sz w:val="21"/>
                <w:szCs w:val="21"/>
                <w:lang w:val="en-US" w:eastAsia="zh-CN"/>
              </w:rPr>
            </w:pPr>
            <w:r>
              <w:rPr>
                <w:rFonts w:hint="eastAsia" w:ascii="Times New Roman" w:hAnsi="Times New Roman" w:eastAsia="宋体" w:cs="Times New Roman"/>
                <w:b w:val="0"/>
                <w:bCs/>
                <w:color w:val="auto"/>
                <w:sz w:val="21"/>
                <w:szCs w:val="21"/>
                <w:lang w:val="en-US" w:eastAsia="zh-CN"/>
              </w:rPr>
              <w:t>563.8274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5" w:type="dxa"/>
            <w:gridSpan w:val="6"/>
            <w:vAlign w:val="center"/>
          </w:tcPr>
          <w:p>
            <w:pPr>
              <w:adjustRightInd w:val="0"/>
              <w:snapToGrid w:val="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注：①各类储罐最大储存量=各类储罐的容积×充装系数η×生产物料的密度ρ×浓度；②充装系数η按罐体容积的80%取值；③浓硫酸密度ρ</w:t>
            </w:r>
            <w:r>
              <w:rPr>
                <w:rFonts w:hint="default" w:ascii="Times New Roman" w:hAnsi="Times New Roman" w:eastAsia="宋体" w:cs="Times New Roman"/>
                <w:color w:val="auto"/>
                <w:kern w:val="0"/>
                <w:szCs w:val="21"/>
                <w:vertAlign w:val="subscript"/>
              </w:rPr>
              <w:t>硫酸</w:t>
            </w:r>
            <w:r>
              <w:rPr>
                <w:rFonts w:hint="default" w:ascii="Times New Roman" w:hAnsi="Times New Roman" w:eastAsia="宋体" w:cs="Times New Roman"/>
                <w:color w:val="auto"/>
                <w:kern w:val="0"/>
                <w:szCs w:val="21"/>
              </w:rPr>
              <w:t>=1.83t/m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；④</w:t>
            </w:r>
            <w:r>
              <w:rPr>
                <w:rFonts w:hint="default" w:ascii="Times New Roman" w:hAnsi="Times New Roman" w:eastAsia="宋体" w:cs="Times New Roman"/>
                <w:color w:val="auto"/>
                <w:szCs w:val="21"/>
              </w:rPr>
              <w:t>醚化汽油密度ρ</w:t>
            </w:r>
            <w:r>
              <w:rPr>
                <w:rFonts w:hint="default" w:ascii="Times New Roman" w:hAnsi="Times New Roman" w:eastAsia="宋体" w:cs="Times New Roman"/>
                <w:color w:val="auto"/>
                <w:szCs w:val="21"/>
                <w:vertAlign w:val="subscript"/>
              </w:rPr>
              <w:t>醚</w:t>
            </w:r>
            <w:r>
              <w:rPr>
                <w:rFonts w:hint="default" w:ascii="Times New Roman" w:hAnsi="Times New Roman" w:eastAsia="宋体" w:cs="Times New Roman"/>
                <w:color w:val="auto"/>
                <w:szCs w:val="21"/>
              </w:rPr>
              <w:t>=0.658t/m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，充装系数为η</w:t>
            </w:r>
            <w:r>
              <w:rPr>
                <w:rFonts w:hint="default" w:ascii="Times New Roman" w:hAnsi="Times New Roman" w:eastAsia="宋体" w:cs="Times New Roman"/>
                <w:color w:val="auto"/>
                <w:szCs w:val="21"/>
                <w:vertAlign w:val="subscript"/>
              </w:rPr>
              <w:t>醚</w:t>
            </w:r>
            <w:r>
              <w:rPr>
                <w:rFonts w:hint="default" w:ascii="Times New Roman" w:hAnsi="Times New Roman" w:eastAsia="宋体" w:cs="Times New Roman"/>
                <w:color w:val="auto"/>
                <w:szCs w:val="21"/>
              </w:rPr>
              <w:t>=0.9；</w:t>
            </w:r>
            <w:r>
              <w:rPr>
                <w:rFonts w:hint="default" w:ascii="Times New Roman" w:hAnsi="Times New Roman" w:eastAsia="宋体" w:cs="Times New Roman"/>
                <w:color w:val="auto"/>
                <w:kern w:val="0"/>
                <w:szCs w:val="21"/>
              </w:rPr>
              <w:t>⑤</w:t>
            </w:r>
            <w:r>
              <w:rPr>
                <w:rFonts w:hint="default" w:ascii="Times New Roman" w:hAnsi="Times New Roman" w:eastAsia="宋体" w:cs="Times New Roman"/>
                <w:color w:val="auto"/>
                <w:szCs w:val="21"/>
              </w:rPr>
              <w:t>液化石油气的密度ρ</w:t>
            </w:r>
            <w:r>
              <w:rPr>
                <w:rFonts w:hint="default" w:ascii="Times New Roman" w:hAnsi="Times New Roman" w:eastAsia="宋体" w:cs="Times New Roman"/>
                <w:color w:val="auto"/>
                <w:szCs w:val="21"/>
                <w:vertAlign w:val="subscript"/>
              </w:rPr>
              <w:t>LPG</w:t>
            </w:r>
            <w:r>
              <w:rPr>
                <w:rFonts w:hint="default" w:ascii="Times New Roman" w:hAnsi="Times New Roman" w:eastAsia="宋体" w:cs="Times New Roman"/>
                <w:color w:val="auto"/>
                <w:szCs w:val="21"/>
              </w:rPr>
              <w:t>=0.58t/m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kern w:val="0"/>
                <w:szCs w:val="21"/>
              </w:rPr>
              <w:t>%；⑥轻汽油、醚化汽油性质类似于汽油；⑦甲醇密度ρ</w:t>
            </w:r>
            <w:r>
              <w:rPr>
                <w:rFonts w:hint="default" w:ascii="Times New Roman" w:hAnsi="Times New Roman" w:eastAsia="宋体" w:cs="Times New Roman"/>
                <w:color w:val="auto"/>
                <w:kern w:val="0"/>
                <w:szCs w:val="21"/>
                <w:vertAlign w:val="subscript"/>
              </w:rPr>
              <w:t>甲醇</w:t>
            </w:r>
            <w:r>
              <w:rPr>
                <w:rFonts w:hint="default" w:ascii="Times New Roman" w:hAnsi="Times New Roman" w:eastAsia="宋体" w:cs="Times New Roman"/>
                <w:color w:val="auto"/>
                <w:kern w:val="0"/>
                <w:szCs w:val="21"/>
              </w:rPr>
              <w:t>=0.79t/m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，充装系数为η=80%；⑧MTBE密度</w:t>
            </w:r>
            <w:r>
              <w:rPr>
                <w:rFonts w:hint="default" w:ascii="Times New Roman" w:hAnsi="Times New Roman" w:eastAsia="宋体" w:cs="Times New Roman"/>
                <w:color w:val="auto"/>
                <w:szCs w:val="21"/>
              </w:rPr>
              <w:t>ρ</w:t>
            </w:r>
            <w:r>
              <w:rPr>
                <w:rFonts w:hint="default" w:ascii="Times New Roman" w:hAnsi="Times New Roman" w:eastAsia="宋体" w:cs="Times New Roman"/>
                <w:color w:val="auto"/>
                <w:szCs w:val="21"/>
                <w:vertAlign w:val="subscript"/>
              </w:rPr>
              <w:t>甲</w:t>
            </w:r>
            <w:r>
              <w:rPr>
                <w:rFonts w:hint="default" w:ascii="Times New Roman" w:hAnsi="Times New Roman" w:eastAsia="宋体" w:cs="Times New Roman"/>
                <w:color w:val="auto"/>
                <w:szCs w:val="21"/>
              </w:rPr>
              <w:t>=0.76t/m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kern w:val="0"/>
                <w:szCs w:val="21"/>
              </w:rPr>
              <w:t>；</w:t>
            </w:r>
          </w:p>
          <w:p>
            <w:pPr>
              <w:pStyle w:val="550"/>
              <w:adjustRightInd/>
              <w:snapToGrid/>
              <w:spacing w:line="240" w:lineRule="atLeast"/>
              <w:ind w:firstLine="0" w:firstLineChars="0"/>
              <w:jc w:val="left"/>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⑨氢氧化钠密度ρ甲=2.13t/m3；⑩甲醇混合物密度按照甲醇计算。</w:t>
            </w:r>
          </w:p>
        </w:tc>
      </w:tr>
    </w:tbl>
    <w:p>
      <w:pPr>
        <w:spacing w:line="360" w:lineRule="auto"/>
        <w:jc w:val="left"/>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由上表计算结果可知，Q=</w:t>
      </w:r>
      <w:r>
        <w:rPr>
          <w:rFonts w:hint="eastAsia" w:ascii="Times New Roman" w:hAnsi="Times New Roman" w:eastAsia="宋体" w:cs="Times New Roman"/>
          <w:b w:val="0"/>
          <w:bCs/>
          <w:color w:val="auto"/>
          <w:sz w:val="21"/>
          <w:szCs w:val="21"/>
          <w:lang w:val="en-US" w:eastAsia="zh-CN"/>
        </w:rPr>
        <w:t>563.8274</w:t>
      </w:r>
      <w:r>
        <w:rPr>
          <w:rFonts w:hint="default" w:ascii="Times New Roman" w:hAnsi="Times New Roman" w:eastAsia="宋体" w:cs="Times New Roman"/>
          <w:color w:val="auto"/>
        </w:rPr>
        <w:t>，</w:t>
      </w:r>
      <w:r>
        <w:rPr>
          <w:rFonts w:hint="default" w:ascii="Times New Roman" w:hAnsi="Times New Roman" w:eastAsia="宋体" w:cs="Times New Roman"/>
          <w:bCs/>
          <w:color w:val="auto"/>
          <w:sz w:val="24"/>
        </w:rPr>
        <w:t>Q≥100，以Q3表示。</w:t>
      </w:r>
    </w:p>
    <w:p>
      <w:pPr>
        <w:spacing w:before="120" w:beforeLines="50" w:after="120" w:afterLines="50" w:line="360" w:lineRule="auto"/>
        <w:jc w:val="left"/>
        <w:outlineLvl w:val="0"/>
        <w:rPr>
          <w:rFonts w:hint="default" w:ascii="Times New Roman" w:hAnsi="Times New Roman" w:eastAsia="宋体" w:cs="Times New Roman"/>
          <w:b/>
          <w:bCs/>
          <w:color w:val="auto"/>
          <w:sz w:val="28"/>
          <w:szCs w:val="28"/>
        </w:rPr>
      </w:pPr>
      <w:bookmarkStart w:id="156" w:name="_Toc523580096"/>
      <w:bookmarkStart w:id="157" w:name="_Toc19248"/>
      <w:r>
        <w:rPr>
          <w:rFonts w:hint="default" w:ascii="Times New Roman" w:hAnsi="Times New Roman" w:eastAsia="宋体" w:cs="Times New Roman"/>
          <w:b/>
          <w:bCs/>
          <w:color w:val="auto"/>
          <w:sz w:val="28"/>
          <w:szCs w:val="28"/>
        </w:rPr>
        <w:t>3.4生产工艺过程</w:t>
      </w:r>
      <w:bookmarkEnd w:id="156"/>
      <w:bookmarkEnd w:id="157"/>
    </w:p>
    <w:p>
      <w:pPr>
        <w:spacing w:line="360" w:lineRule="auto"/>
        <w:ind w:firstLine="480" w:firstLineChars="200"/>
        <w:rPr>
          <w:rFonts w:hint="default" w:ascii="Times New Roman" w:hAnsi="Times New Roman" w:eastAsia="宋体" w:cs="Times New Roman"/>
          <w:bCs/>
          <w:color w:val="auto"/>
          <w:sz w:val="24"/>
        </w:rPr>
      </w:pPr>
      <w:bookmarkStart w:id="158" w:name="_Toc312333970"/>
      <w:r>
        <w:rPr>
          <w:rFonts w:hint="default" w:ascii="Times New Roman" w:hAnsi="Times New Roman" w:eastAsia="宋体" w:cs="Times New Roman"/>
          <w:bCs/>
          <w:color w:val="auto"/>
          <w:sz w:val="24"/>
        </w:rPr>
        <w:t>公司现有甲醇生产装置、MTBE生产装置、异辛烷生产装置和醚化汽油生产装置各一套。</w:t>
      </w:r>
    </w:p>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3.4.1甲醇生产工艺及产污环节图</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color w:val="auto"/>
          <w:sz w:val="24"/>
        </w:rPr>
        <w:t>来自厂外的天然气含无机硫20mg/Nm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，有机硫小于62mg/Nm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，总硫（以硫计）＜270mg/Nm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。经常温氧化铁脱硫槽粗脱硫后，其无机硫含量为≤40ppm，有机硫含量3.8ppm，压力为0.6MP a（G）。利用换热式并联一段转化串纯氧二段转化技术，在催化剂的作用下，采用5.3MPa（G）低压法合成工艺。整体生产工艺流程包括原料气预处理、造气装置、工艺气体压缩装置、甲醇合成装置和粗甲醇精馏装置。</w:t>
      </w:r>
      <w:r>
        <w:rPr>
          <w:rFonts w:hint="default" w:ascii="Times New Roman" w:hAnsi="Times New Roman" w:eastAsia="宋体" w:cs="Times New Roman"/>
          <w:bCs/>
          <w:color w:val="auto"/>
          <w:sz w:val="24"/>
        </w:rPr>
        <w:t>甲醇生产工艺及产污环节图分别见图3.4-1、3.4-2。</w:t>
      </w:r>
    </w:p>
    <w:p>
      <w:pPr>
        <w:spacing w:line="360" w:lineRule="auto"/>
        <w:ind w:firstLine="482"/>
        <w:rPr>
          <w:rFonts w:hint="default" w:ascii="Times New Roman" w:hAnsi="Times New Roman" w:eastAsia="宋体" w:cs="Times New Roman"/>
          <w:color w:val="auto"/>
          <w:sz w:val="24"/>
        </w:rPr>
        <w:sectPr>
          <w:footerReference r:id="rId4" w:type="default"/>
          <w:pgSz w:w="11906" w:h="16838"/>
          <w:pgMar w:top="1440" w:right="1797" w:bottom="1440" w:left="1797" w:header="851" w:footer="992" w:gutter="0"/>
          <w:pgNumType w:fmt="decimal" w:start="1"/>
          <w:cols w:space="720" w:num="1"/>
          <w:docGrid w:linePitch="312" w:charSpace="0"/>
        </w:sectPr>
      </w:pPr>
    </w:p>
    <w:p>
      <w:pPr>
        <w:jc w:val="center"/>
        <w:rPr>
          <w:rFonts w:hint="default" w:ascii="Times New Roman" w:hAnsi="Times New Roman" w:eastAsia="宋体" w:cs="Times New Roman"/>
          <w:b/>
          <w:color w:val="auto"/>
          <w:sz w:val="24"/>
        </w:rPr>
      </w:pPr>
    </w:p>
    <w:p>
      <w:pPr>
        <w:spacing w:line="360" w:lineRule="auto"/>
        <w:ind w:firstLine="482"/>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drawing>
          <wp:inline distT="0" distB="0" distL="0" distR="0">
            <wp:extent cx="8409305" cy="4069715"/>
            <wp:effectExtent l="19050" t="0" r="0" b="0"/>
            <wp:docPr id="4" name="图片 3" descr="QQ截图201808210556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QQ截图20180821055648.png"/>
                    <pic:cNvPicPr>
                      <a:picLocks noChangeAspect="1"/>
                    </pic:cNvPicPr>
                  </pic:nvPicPr>
                  <pic:blipFill>
                    <a:blip r:embed="rId12"/>
                    <a:stretch>
                      <a:fillRect/>
                    </a:stretch>
                  </pic:blipFill>
                  <pic:spPr>
                    <a:xfrm>
                      <a:off x="0" y="0"/>
                      <a:ext cx="8421164" cy="4075890"/>
                    </a:xfrm>
                    <a:prstGeom prst="rect">
                      <a:avLst/>
                    </a:prstGeom>
                  </pic:spPr>
                </pic:pic>
              </a:graphicData>
            </a:graphic>
          </wp:inline>
        </w:drawing>
      </w:r>
    </w:p>
    <w:p>
      <w:pPr>
        <w:spacing w:line="360" w:lineRule="auto"/>
        <w:ind w:firstLine="482"/>
        <w:jc w:val="center"/>
        <w:rPr>
          <w:rFonts w:hint="default" w:ascii="Times New Roman" w:hAnsi="Times New Roman" w:eastAsia="宋体" w:cs="Times New Roman"/>
          <w:color w:val="auto"/>
          <w:sz w:val="24"/>
        </w:rPr>
      </w:pPr>
      <w:r>
        <w:rPr>
          <w:rFonts w:hint="default" w:ascii="Times New Roman" w:hAnsi="Times New Roman" w:eastAsia="宋体" w:cs="Times New Roman"/>
          <w:b/>
          <w:color w:val="auto"/>
          <w:sz w:val="24"/>
        </w:rPr>
        <w:t>图3.4-1  转化、CO</w:t>
      </w:r>
      <w:r>
        <w:rPr>
          <w:rFonts w:hint="default" w:ascii="Times New Roman" w:hAnsi="Times New Roman" w:eastAsia="宋体" w:cs="Times New Roman"/>
          <w:b/>
          <w:color w:val="auto"/>
          <w:sz w:val="24"/>
          <w:vertAlign w:val="subscript"/>
        </w:rPr>
        <w:t>2</w:t>
      </w:r>
      <w:r>
        <w:rPr>
          <w:rFonts w:hint="default" w:ascii="Times New Roman" w:hAnsi="Times New Roman" w:eastAsia="宋体" w:cs="Times New Roman"/>
          <w:b/>
          <w:color w:val="auto"/>
          <w:sz w:val="24"/>
        </w:rPr>
        <w:t>回收工序工艺流程及污染源分布图</w:t>
      </w:r>
    </w:p>
    <w:p>
      <w:pPr>
        <w:spacing w:line="360" w:lineRule="auto"/>
        <w:rPr>
          <w:rFonts w:hint="default" w:ascii="Times New Roman" w:hAnsi="Times New Roman" w:eastAsia="宋体" w:cs="Times New Roman"/>
          <w:color w:val="auto"/>
          <w:sz w:val="24"/>
        </w:rPr>
      </w:pPr>
    </w:p>
    <w:p>
      <w:pPr>
        <w:spacing w:line="360" w:lineRule="auto"/>
        <w:ind w:firstLine="482"/>
        <w:rPr>
          <w:rFonts w:hint="default" w:ascii="Times New Roman" w:hAnsi="Times New Roman" w:eastAsia="宋体" w:cs="Times New Roman"/>
          <w:color w:val="auto"/>
          <w:sz w:val="24"/>
        </w:rPr>
        <w:sectPr>
          <w:pgSz w:w="16838" w:h="11906" w:orient="landscape"/>
          <w:pgMar w:top="1797" w:right="1440" w:bottom="1797" w:left="1440" w:header="851" w:footer="992" w:gutter="0"/>
          <w:pgNumType w:fmt="decimal"/>
          <w:cols w:space="720" w:num="1"/>
          <w:docGrid w:linePitch="312" w:charSpace="0"/>
        </w:sectPr>
      </w:pPr>
    </w:p>
    <w:p>
      <w:pPr>
        <w:spacing w:line="360" w:lineRule="auto"/>
        <w:ind w:firstLine="482"/>
        <w:jc w:val="center"/>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drawing>
          <wp:inline distT="0" distB="0" distL="0" distR="0">
            <wp:extent cx="8862060" cy="3895725"/>
            <wp:effectExtent l="0" t="0" r="0" b="0"/>
            <wp:docPr id="8" name="图片 4" descr="QQ截图20180821060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QQ截图20180821060010.png"/>
                    <pic:cNvPicPr>
                      <a:picLocks noChangeAspect="1"/>
                    </pic:cNvPicPr>
                  </pic:nvPicPr>
                  <pic:blipFill>
                    <a:blip r:embed="rId13"/>
                    <a:stretch>
                      <a:fillRect/>
                    </a:stretch>
                  </pic:blipFill>
                  <pic:spPr>
                    <a:xfrm>
                      <a:off x="0" y="0"/>
                      <a:ext cx="8863330" cy="3896480"/>
                    </a:xfrm>
                    <a:prstGeom prst="rect">
                      <a:avLst/>
                    </a:prstGeom>
                  </pic:spPr>
                </pic:pic>
              </a:graphicData>
            </a:graphic>
          </wp:inline>
        </w:drawing>
      </w:r>
      <w:r>
        <w:rPr>
          <w:rFonts w:hint="default" w:ascii="Times New Roman" w:hAnsi="Times New Roman" w:eastAsia="宋体" w:cs="Times New Roman"/>
          <w:b/>
          <w:color w:val="auto"/>
          <w:sz w:val="24"/>
        </w:rPr>
        <w:t>图3.4-2 合成、精馏工序工艺及污染源分布图</w:t>
      </w:r>
    </w:p>
    <w:p>
      <w:pPr>
        <w:spacing w:line="360" w:lineRule="auto"/>
        <w:ind w:firstLine="482"/>
        <w:jc w:val="center"/>
        <w:rPr>
          <w:rFonts w:hint="default" w:ascii="Times New Roman" w:hAnsi="Times New Roman" w:eastAsia="宋体" w:cs="Times New Roman"/>
          <w:b/>
          <w:color w:val="auto"/>
          <w:sz w:val="24"/>
        </w:rPr>
      </w:pPr>
    </w:p>
    <w:p>
      <w:pPr>
        <w:spacing w:line="360" w:lineRule="auto"/>
        <w:ind w:firstLine="482"/>
        <w:jc w:val="center"/>
        <w:rPr>
          <w:rFonts w:hint="default" w:ascii="Times New Roman" w:hAnsi="Times New Roman" w:eastAsia="宋体" w:cs="Times New Roman"/>
          <w:b/>
          <w:color w:val="auto"/>
          <w:sz w:val="24"/>
        </w:rPr>
      </w:pPr>
    </w:p>
    <w:p>
      <w:pPr>
        <w:spacing w:line="360" w:lineRule="auto"/>
        <w:ind w:firstLine="482"/>
        <w:jc w:val="center"/>
        <w:rPr>
          <w:rFonts w:hint="default" w:ascii="Times New Roman" w:hAnsi="Times New Roman" w:eastAsia="宋体" w:cs="Times New Roman"/>
          <w:b/>
          <w:color w:val="auto"/>
          <w:sz w:val="24"/>
        </w:rPr>
      </w:pPr>
    </w:p>
    <w:p>
      <w:pPr>
        <w:spacing w:line="360" w:lineRule="auto"/>
        <w:ind w:firstLine="482"/>
        <w:jc w:val="center"/>
        <w:rPr>
          <w:rFonts w:hint="default" w:ascii="Times New Roman" w:hAnsi="Times New Roman" w:eastAsia="宋体" w:cs="Times New Roman"/>
          <w:color w:val="auto"/>
          <w:sz w:val="24"/>
        </w:rPr>
        <w:sectPr>
          <w:pgSz w:w="16838" w:h="11906" w:orient="landscape"/>
          <w:pgMar w:top="1797" w:right="1440" w:bottom="1797" w:left="1440" w:header="851" w:footer="992" w:gutter="0"/>
          <w:pgNumType w:fmt="decimal"/>
          <w:cols w:space="720" w:num="1"/>
          <w:docGrid w:linePitch="312" w:charSpace="0"/>
        </w:sectPr>
      </w:pPr>
    </w:p>
    <w:p>
      <w:pPr>
        <w:spacing w:before="120" w:beforeLines="50" w:after="120" w:afterLines="50" w:line="360" w:lineRule="auto"/>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3.4.2 MTBE生产工艺</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以C4馏分及甲醇为原料经醚化反应、催化蒸馏、甲醇萃取和回收等工艺过程，产出的主要产品为MTBE、未反应C4馏分。</w:t>
      </w:r>
    </w:p>
    <w:p>
      <w:pPr>
        <w:autoSpaceDE w:val="0"/>
        <w:autoSpaceDN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sz w:val="24"/>
        </w:rPr>
        <w:t>本项目采用普通型混相膨胀床+催化蒸馏工艺生产MTBE产品。</w:t>
      </w:r>
    </w:p>
    <w:p>
      <w:pPr>
        <w:autoSpaceDE w:val="0"/>
        <w:autoSpaceDN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混相反应法是C4馏分中的异丁烯和工业甲醇，以大孔强酸性离子交换树脂为催化剂，在温度35～75℃，压力0.65～0.85MPa操作条件下合成甲基叔丁基醚(简称MTBE)；催化蒸馏法是将催化反应与蒸馏过程在同一设备中同时进行的工艺技术。在混相反应后，残余的异丁烯在催化蒸馏塔的反应段继续反应，生成的MTBE随时不断被分离，从而使合成MTBE的反应持续向深度进行。因此，催化蒸馏可以实现异丁烯的深度转化。主反应方程如下：</w:t>
      </w:r>
    </w:p>
    <w:p>
      <w:pPr>
        <w:autoSpaceDE w:val="0"/>
        <w:autoSpaceDN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drawing>
          <wp:anchor distT="0" distB="0" distL="114300" distR="114300" simplePos="0" relativeHeight="251661312" behindDoc="0" locked="0" layoutInCell="1" allowOverlap="1">
            <wp:simplePos x="0" y="0"/>
            <wp:positionH relativeFrom="column">
              <wp:posOffset>1241425</wp:posOffset>
            </wp:positionH>
            <wp:positionV relativeFrom="paragraph">
              <wp:posOffset>47625</wp:posOffset>
            </wp:positionV>
            <wp:extent cx="3158490" cy="556260"/>
            <wp:effectExtent l="19050" t="0" r="3810" b="0"/>
            <wp:wrapSquare wrapText="bothSides"/>
            <wp:docPr id="7" name="图片 38" descr="图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8" descr="图形1"/>
                    <pic:cNvPicPr>
                      <a:picLocks noChangeAspect="1" noChangeArrowheads="1"/>
                    </pic:cNvPicPr>
                  </pic:nvPicPr>
                  <pic:blipFill>
                    <a:blip r:embed="rId14"/>
                    <a:srcRect/>
                    <a:stretch>
                      <a:fillRect/>
                    </a:stretch>
                  </pic:blipFill>
                  <pic:spPr>
                    <a:xfrm>
                      <a:off x="0" y="0"/>
                      <a:ext cx="3158490" cy="556260"/>
                    </a:xfrm>
                    <a:prstGeom prst="rect">
                      <a:avLst/>
                    </a:prstGeom>
                    <a:noFill/>
                    <a:ln w="9525">
                      <a:noFill/>
                      <a:miter lim="800000"/>
                      <a:headEnd/>
                      <a:tailEnd/>
                    </a:ln>
                  </pic:spPr>
                </pic:pic>
              </a:graphicData>
            </a:graphic>
          </wp:anchor>
        </w:drawing>
      </w:r>
    </w:p>
    <w:p>
      <w:pPr>
        <w:autoSpaceDE w:val="0"/>
        <w:autoSpaceDN w:val="0"/>
        <w:spacing w:line="360" w:lineRule="auto"/>
        <w:ind w:firstLine="480" w:firstLineChars="200"/>
        <w:rPr>
          <w:rFonts w:hint="default" w:ascii="Times New Roman" w:hAnsi="Times New Roman" w:eastAsia="宋体" w:cs="Times New Roman"/>
          <w:color w:val="auto"/>
          <w:kern w:val="0"/>
          <w:sz w:val="24"/>
        </w:rPr>
      </w:pPr>
    </w:p>
    <w:p>
      <w:pPr>
        <w:autoSpaceDE w:val="0"/>
        <w:autoSpaceDN w:val="0"/>
        <w:spacing w:line="360" w:lineRule="auto"/>
        <w:ind w:firstLine="480" w:firstLineChars="200"/>
        <w:jc w:val="center"/>
        <w:rPr>
          <w:rFonts w:hint="default" w:ascii="Times New Roman" w:hAnsi="Times New Roman" w:eastAsia="宋体" w:cs="Times New Roman"/>
          <w:color w:val="auto"/>
          <w:kern w:val="0"/>
          <w:sz w:val="24"/>
        </w:rPr>
      </w:pPr>
    </w:p>
    <w:p>
      <w:pPr>
        <w:autoSpaceDE w:val="0"/>
        <w:autoSpaceDN w:val="0"/>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除上述主反应外，在反应条件下尚存在下述副反应：</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color w:val="auto"/>
          <w:kern w:val="0"/>
          <w:sz w:val="24"/>
        </w:rPr>
        <w:t>原料中所含水分与异丁烯反应，生成叔丁醇(TBA)；异丁烯自聚生成低聚物(DIB)；正丁烯与甲醇生成甲基仲丁基醚（MSBE)。</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MTBE装置工艺流程见图3.4-3。</w:t>
      </w:r>
    </w:p>
    <w:p>
      <w:pPr>
        <w:spacing w:line="360" w:lineRule="auto"/>
        <w:jc w:val="center"/>
        <w:rPr>
          <w:rFonts w:hint="default" w:ascii="Times New Roman" w:hAnsi="Times New Roman" w:eastAsia="宋体" w:cs="Times New Roman"/>
          <w:color w:val="auto"/>
        </w:rPr>
        <w:sectPr>
          <w:pgSz w:w="11906" w:h="16838"/>
          <w:pgMar w:top="1440" w:right="1797" w:bottom="1440" w:left="1797" w:header="851" w:footer="992" w:gutter="0"/>
          <w:pgNumType w:fmt="decimal"/>
          <w:cols w:space="720" w:num="1"/>
          <w:docGrid w:linePitch="312" w:charSpace="0"/>
        </w:sectPr>
      </w:pPr>
    </w:p>
    <w:p>
      <w:pPr>
        <w:spacing w:line="360" w:lineRule="auto"/>
        <w:jc w:val="center"/>
        <w:rPr>
          <w:rFonts w:hint="default" w:ascii="Times New Roman" w:hAnsi="Times New Roman" w:eastAsia="宋体" w:cs="Times New Roman"/>
          <w:b/>
          <w:color w:val="auto"/>
        </w:rPr>
      </w:pPr>
      <w:r>
        <w:rPr>
          <w:rFonts w:hint="default" w:ascii="Times New Roman" w:hAnsi="Times New Roman" w:eastAsia="宋体" w:cs="Times New Roman"/>
          <w:color w:val="auto"/>
        </w:rPr>
        <w:object>
          <v:shape id="_x0000_i1025" o:spt="75" type="#_x0000_t75" style="height:315pt;width:699.75pt;" o:ole="t" filled="f" o:preferrelative="t" stroked="f" coordsize="21600,21600">
            <v:path/>
            <v:fill on="f" focussize="0,0"/>
            <v:stroke on="f" joinstyle="miter"/>
            <v:imagedata r:id="rId16" o:title=""/>
            <o:lock v:ext="edit" aspectratio="t"/>
            <w10:wrap type="none"/>
            <w10:anchorlock/>
          </v:shape>
          <o:OLEObject Type="Embed" ProgID="Visio.Drawing.11" ShapeID="_x0000_i1025" DrawAspect="Content" ObjectID="_1468075725" r:id="rId15">
            <o:LockedField>false</o:LockedField>
          </o:OLEObject>
        </w:object>
      </w:r>
      <w:r>
        <w:rPr>
          <w:rFonts w:hint="default" w:ascii="Times New Roman" w:hAnsi="Times New Roman" w:eastAsia="宋体" w:cs="Times New Roman"/>
          <w:b/>
          <w:bCs/>
          <w:color w:val="auto"/>
          <w:sz w:val="24"/>
        </w:rPr>
        <w:t>图3.4-3   MTBE装置工艺流程及产污环节图</w:t>
      </w:r>
    </w:p>
    <w:p>
      <w:pPr>
        <w:spacing w:line="360" w:lineRule="auto"/>
        <w:rPr>
          <w:rFonts w:hint="default" w:ascii="Times New Roman" w:hAnsi="Times New Roman" w:eastAsia="宋体" w:cs="Times New Roman"/>
          <w:color w:val="auto"/>
        </w:rPr>
        <w:sectPr>
          <w:pgSz w:w="16838" w:h="11906" w:orient="landscape"/>
          <w:pgMar w:top="1797" w:right="1440" w:bottom="1797" w:left="1440" w:header="851" w:footer="992" w:gutter="0"/>
          <w:pgNumType w:fmt="decimal"/>
          <w:cols w:space="720" w:num="1"/>
          <w:docGrid w:linePitch="312" w:charSpace="0"/>
        </w:sectPr>
      </w:pPr>
    </w:p>
    <w:p>
      <w:pPr>
        <w:spacing w:line="360" w:lineRule="auto"/>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3.4.3 30万吨/年醚化汽油项目生产工艺及产污环节</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采用两级反应一级分馏的传统醚化流程。轻汽油经水洗后与甲醇按比例混合，预热进入醚化反应器反应，再经催化蒸馏塔与补充甲醇反应生成醚化产品。工艺流程及产污环节见图3.4-4。</w:t>
      </w:r>
    </w:p>
    <w:p>
      <w:pPr>
        <w:spacing w:line="360" w:lineRule="auto"/>
        <w:rPr>
          <w:rFonts w:hint="default" w:ascii="Times New Roman" w:hAnsi="Times New Roman" w:eastAsia="宋体" w:cs="Times New Roman"/>
          <w:b/>
          <w:bCs/>
          <w:color w:val="auto"/>
          <w:sz w:val="24"/>
        </w:rPr>
      </w:pPr>
    </w:p>
    <w:p>
      <w:pPr>
        <w:spacing w:line="360" w:lineRule="auto"/>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drawing>
          <wp:inline distT="0" distB="0" distL="114300" distR="114300">
            <wp:extent cx="5621020" cy="2449195"/>
            <wp:effectExtent l="0" t="0" r="17780" b="8255"/>
            <wp:docPr id="17" name="图片 7" descr="微博图片醚化流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微博图片醚化流程"/>
                    <pic:cNvPicPr>
                      <a:picLocks noChangeAspect="1"/>
                    </pic:cNvPicPr>
                  </pic:nvPicPr>
                  <pic:blipFill>
                    <a:blip r:embed="rId17"/>
                    <a:srcRect l="5711" r="8383"/>
                    <a:stretch>
                      <a:fillRect/>
                    </a:stretch>
                  </pic:blipFill>
                  <pic:spPr>
                    <a:xfrm>
                      <a:off x="0" y="0"/>
                      <a:ext cx="5621020" cy="2449195"/>
                    </a:xfrm>
                    <a:prstGeom prst="rect">
                      <a:avLst/>
                    </a:prstGeom>
                    <a:noFill/>
                    <a:ln w="9525">
                      <a:noFill/>
                    </a:ln>
                  </pic:spPr>
                </pic:pic>
              </a:graphicData>
            </a:graphic>
          </wp:inline>
        </w:drawing>
      </w:r>
    </w:p>
    <w:p>
      <w:pPr>
        <w:spacing w:line="360" w:lineRule="auto"/>
        <w:jc w:val="center"/>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图3.4-4  工艺流程及产污环节图</w:t>
      </w:r>
    </w:p>
    <w:p>
      <w:pPr>
        <w:spacing w:line="360" w:lineRule="auto"/>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3.4.4工业异辛烷装置区工艺流程</w:t>
      </w:r>
    </w:p>
    <w:p>
      <w:pPr>
        <w:spacing w:line="360" w:lineRule="auto"/>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3.4.4.1工业异辛烷装置工艺流程</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color w:val="auto"/>
          <w:sz w:val="24"/>
        </w:rPr>
        <w:t>工业异辛烷装置由反应、制冷压缩、精制分馏和化学处理等部分组成，产出的主要产品为工业异辛烷、正丁烷、异丁烷等。工艺流程及产污环节</w:t>
      </w:r>
      <w:r>
        <w:rPr>
          <w:rFonts w:hint="default" w:ascii="Times New Roman" w:hAnsi="Times New Roman" w:eastAsia="宋体" w:cs="Times New Roman"/>
          <w:bCs/>
          <w:color w:val="auto"/>
          <w:sz w:val="24"/>
        </w:rPr>
        <w:t>见图3.4-5。</w:t>
      </w:r>
    </w:p>
    <w:p>
      <w:pPr>
        <w:spacing w:line="360" w:lineRule="auto"/>
        <w:ind w:firstLine="480" w:firstLineChars="200"/>
        <w:rPr>
          <w:rFonts w:hint="default" w:ascii="Times New Roman" w:hAnsi="Times New Roman" w:eastAsia="宋体" w:cs="Times New Roman"/>
          <w:bCs/>
          <w:color w:val="auto"/>
          <w:sz w:val="24"/>
        </w:rPr>
      </w:pPr>
    </w:p>
    <w:p>
      <w:pPr>
        <w:rPr>
          <w:rFonts w:hint="default" w:ascii="Times New Roman" w:hAnsi="Times New Roman" w:eastAsia="宋体" w:cs="Times New Roman"/>
          <w:b/>
          <w:bCs/>
          <w:color w:val="auto"/>
          <w:szCs w:val="21"/>
        </w:rPr>
      </w:pPr>
      <w:r>
        <w:rPr>
          <w:rFonts w:hint="default" w:ascii="Times New Roman" w:hAnsi="Times New Roman" w:eastAsia="宋体" w:cs="Times New Roman"/>
          <w:color w:val="auto"/>
        </w:rPr>
        <w:object>
          <v:shape id="_x0000_i1026" o:spt="75" type="#_x0000_t75" style="height:321.75pt;width:447.75pt;" o:ole="t" filled="f" o:preferrelative="t" stroked="f" coordsize="21600,21600">
            <v:path/>
            <v:fill on="f" focussize="0,0"/>
            <v:stroke on="f" joinstyle="miter"/>
            <v:imagedata r:id="rId19" o:title=""/>
            <o:lock v:ext="edit" aspectratio="t"/>
            <w10:wrap type="none"/>
            <w10:anchorlock/>
          </v:shape>
          <o:OLEObject Type="Embed" ProgID="Visio.Drawing.11" ShapeID="_x0000_i1026" DrawAspect="Content" ObjectID="_1468075726" r:id="rId18">
            <o:LockedField>false</o:LockedField>
          </o:OLEObject>
        </w:object>
      </w:r>
    </w:p>
    <w:p>
      <w:pPr>
        <w:spacing w:line="360" w:lineRule="auto"/>
        <w:ind w:firstLine="482" w:firstLineChars="200"/>
        <w:jc w:val="center"/>
        <w:rPr>
          <w:rFonts w:hint="default" w:ascii="Times New Roman" w:hAnsi="Times New Roman" w:eastAsia="宋体" w:cs="Times New Roman"/>
          <w:b/>
          <w:color w:val="auto"/>
          <w:sz w:val="24"/>
        </w:rPr>
      </w:pPr>
      <w:r>
        <w:rPr>
          <w:rFonts w:hint="default" w:ascii="Times New Roman" w:hAnsi="Times New Roman" w:eastAsia="宋体" w:cs="Times New Roman"/>
          <w:b/>
          <w:bCs/>
          <w:color w:val="auto"/>
          <w:sz w:val="24"/>
        </w:rPr>
        <w:t>图3.4-5工业异辛烷装置</w:t>
      </w:r>
      <w:r>
        <w:rPr>
          <w:rFonts w:hint="default" w:ascii="Times New Roman" w:hAnsi="Times New Roman" w:eastAsia="宋体" w:cs="Times New Roman"/>
          <w:b/>
          <w:color w:val="auto"/>
          <w:sz w:val="24"/>
        </w:rPr>
        <w:t>工艺流程</w:t>
      </w:r>
      <w:r>
        <w:rPr>
          <w:rFonts w:hint="default" w:ascii="Times New Roman" w:hAnsi="Times New Roman" w:eastAsia="宋体" w:cs="Times New Roman"/>
          <w:b/>
          <w:bCs/>
          <w:color w:val="auto"/>
          <w:sz w:val="24"/>
        </w:rPr>
        <w:t>图</w:t>
      </w:r>
    </w:p>
    <w:p>
      <w:pPr>
        <w:spacing w:before="120" w:beforeLines="50" w:after="120" w:afterLines="50" w:line="360" w:lineRule="auto"/>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3.4.4.2废酸处理装置工艺流程</w:t>
      </w:r>
    </w:p>
    <w:p>
      <w:pPr>
        <w:spacing w:line="360" w:lineRule="auto"/>
        <w:ind w:firstLine="480" w:firstLineChars="200"/>
        <w:jc w:val="left"/>
        <w:rPr>
          <w:rFonts w:hint="default" w:ascii="Times New Roman" w:hAnsi="Times New Roman" w:eastAsia="宋体" w:cs="Times New Roman"/>
          <w:bCs/>
          <w:color w:val="auto"/>
          <w:sz w:val="24"/>
        </w:rPr>
      </w:pPr>
      <w:r>
        <w:rPr>
          <w:rFonts w:hint="default" w:ascii="Times New Roman" w:hAnsi="Times New Roman" w:eastAsia="宋体" w:cs="Times New Roman"/>
          <w:color w:val="auto"/>
          <w:sz w:val="24"/>
        </w:rPr>
        <w:t>废酸处理装置由预处理、反应、高温氧化、包装等步骤组成，产物为一水硫酸镁。其工艺流程及产污环节见图</w:t>
      </w:r>
      <w:r>
        <w:rPr>
          <w:rFonts w:hint="default" w:ascii="Times New Roman" w:hAnsi="Times New Roman" w:eastAsia="宋体" w:cs="Times New Roman"/>
          <w:bCs/>
          <w:color w:val="auto"/>
          <w:sz w:val="24"/>
        </w:rPr>
        <w:t>3.4-6。</w:t>
      </w:r>
    </w:p>
    <w:p>
      <w:pPr>
        <w:spacing w:line="360" w:lineRule="auto"/>
        <w:ind w:firstLine="480" w:firstLineChars="200"/>
        <w:jc w:val="left"/>
        <w:rPr>
          <w:rFonts w:hint="default" w:ascii="Times New Roman" w:hAnsi="Times New Roman" w:eastAsia="宋体" w:cs="Times New Roman"/>
          <w:bCs/>
          <w:color w:val="auto"/>
          <w:sz w:val="24"/>
        </w:rPr>
      </w:pPr>
    </w:p>
    <w:p>
      <w:pPr>
        <w:spacing w:line="360" w:lineRule="auto"/>
        <w:jc w:val="left"/>
        <w:rPr>
          <w:rFonts w:hint="default" w:ascii="Times New Roman" w:hAnsi="Times New Roman" w:eastAsia="宋体" w:cs="Times New Roman"/>
          <w:bCs/>
          <w:color w:val="auto"/>
          <w:sz w:val="24"/>
        </w:rPr>
      </w:pPr>
    </w:p>
    <w:p>
      <w:pPr>
        <w:spacing w:line="360" w:lineRule="auto"/>
        <w:jc w:val="left"/>
        <w:rPr>
          <w:rFonts w:hint="default" w:ascii="Times New Roman" w:hAnsi="Times New Roman" w:eastAsia="宋体" w:cs="Times New Roman"/>
          <w:bCs/>
          <w:color w:val="auto"/>
          <w:sz w:val="24"/>
        </w:rPr>
      </w:pPr>
    </w:p>
    <w:p>
      <w:pPr>
        <w:spacing w:line="360" w:lineRule="auto"/>
        <w:jc w:val="center"/>
        <w:rPr>
          <w:rFonts w:hint="default" w:ascii="Times New Roman" w:hAnsi="Times New Roman" w:eastAsia="宋体" w:cs="Times New Roman"/>
          <w:color w:val="auto"/>
        </w:rPr>
      </w:pPr>
      <w:r>
        <w:rPr>
          <w:rFonts w:hint="default" w:ascii="Times New Roman" w:hAnsi="Times New Roman" w:eastAsia="宋体" w:cs="Times New Roman"/>
          <w:color w:val="auto"/>
        </w:rPr>
        <w:object>
          <v:shape id="_x0000_i1027" o:spt="75" type="#_x0000_t75" style="height:373.5pt;width:408pt;" o:ole="t" filled="f" o:preferrelative="t" stroked="f" coordsize="21600,21600">
            <v:path/>
            <v:fill on="f" focussize="0,0"/>
            <v:stroke on="f" joinstyle="miter"/>
            <v:imagedata r:id="rId21" o:title=""/>
            <o:lock v:ext="edit" aspectratio="t"/>
            <w10:wrap type="none"/>
            <w10:anchorlock/>
          </v:shape>
          <o:OLEObject Type="Embed" ProgID="Visio.Drawing.11" ShapeID="_x0000_i1027" DrawAspect="Content" ObjectID="_1468075727" r:id="rId20">
            <o:LockedField>false</o:LockedField>
          </o:OLEObject>
        </w:object>
      </w:r>
    </w:p>
    <w:p>
      <w:pPr>
        <w:spacing w:line="360" w:lineRule="auto"/>
        <w:jc w:val="center"/>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图3.4-6废酸处理装置工艺流程及产污环节图</w:t>
      </w:r>
    </w:p>
    <w:p>
      <w:pPr>
        <w:pStyle w:val="2"/>
        <w:spacing w:before="120" w:beforeLines="50" w:after="120" w:afterLines="50" w:line="360" w:lineRule="auto"/>
        <w:jc w:val="left"/>
        <w:outlineLvl w:val="0"/>
        <w:rPr>
          <w:rFonts w:hint="default" w:ascii="Times New Roman" w:hAnsi="Times New Roman" w:eastAsia="宋体" w:cs="Times New Roman"/>
          <w:color w:val="auto"/>
          <w:sz w:val="28"/>
          <w:szCs w:val="28"/>
        </w:rPr>
      </w:pPr>
      <w:bookmarkStart w:id="159" w:name="_Toc523580097"/>
      <w:bookmarkStart w:id="160" w:name="_Toc17875"/>
      <w:r>
        <w:rPr>
          <w:rFonts w:hint="default" w:ascii="Times New Roman" w:hAnsi="Times New Roman" w:eastAsia="宋体" w:cs="Times New Roman"/>
          <w:color w:val="auto"/>
          <w:sz w:val="28"/>
          <w:szCs w:val="28"/>
        </w:rPr>
        <w:t>3.5大气环境风险控制水平（M）评估</w:t>
      </w:r>
      <w:bookmarkEnd w:id="159"/>
      <w:bookmarkEnd w:id="160"/>
    </w:p>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3.5.1生产工艺过程含有风险工艺和设备情况</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公司设1套加氢工艺装置，聚合工艺；装置涉及高温（≥300℃）、涉及易燃易爆（煤气）等物质的工艺过程。对工艺单元评分并求和，结果见表3.5-1。</w:t>
      </w:r>
    </w:p>
    <w:p>
      <w:pPr>
        <w:spacing w:before="120" w:beforeLines="50" w:line="240" w:lineRule="atLeast"/>
        <w:jc w:val="center"/>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表 3.5-1企业生产工艺过程和设备情况评估</w:t>
      </w:r>
    </w:p>
    <w:tbl>
      <w:tblPr>
        <w:tblStyle w:val="75"/>
        <w:tblW w:w="8330" w:type="dxa"/>
        <w:jc w:val="center"/>
        <w:tblLayout w:type="fixed"/>
        <w:tblCellMar>
          <w:top w:w="0" w:type="dxa"/>
          <w:left w:w="108" w:type="dxa"/>
          <w:bottom w:w="0" w:type="dxa"/>
          <w:right w:w="108" w:type="dxa"/>
        </w:tblCellMar>
      </w:tblPr>
      <w:tblGrid>
        <w:gridCol w:w="5353"/>
        <w:gridCol w:w="1559"/>
        <w:gridCol w:w="1418"/>
      </w:tblGrid>
      <w:tr>
        <w:tblPrEx>
          <w:tblCellMar>
            <w:top w:w="0" w:type="dxa"/>
            <w:left w:w="108" w:type="dxa"/>
            <w:bottom w:w="0" w:type="dxa"/>
            <w:right w:w="108" w:type="dxa"/>
          </w:tblCellMar>
        </w:tblPrEx>
        <w:trPr>
          <w:trHeight w:val="436" w:hRule="atLeast"/>
          <w:jc w:val="center"/>
        </w:trPr>
        <w:tc>
          <w:tcPr>
            <w:tcW w:w="5353"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指标项目</w:t>
            </w:r>
          </w:p>
        </w:tc>
        <w:tc>
          <w:tcPr>
            <w:tcW w:w="155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分值</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bCs/>
                <w:color w:val="auto"/>
                <w:szCs w:val="21"/>
              </w:rPr>
              <w:t>得分</w:t>
            </w:r>
          </w:p>
        </w:tc>
      </w:tr>
      <w:tr>
        <w:tblPrEx>
          <w:tblCellMar>
            <w:top w:w="0" w:type="dxa"/>
            <w:left w:w="108" w:type="dxa"/>
            <w:bottom w:w="0" w:type="dxa"/>
            <w:right w:w="108" w:type="dxa"/>
          </w:tblCellMar>
        </w:tblPrEx>
        <w:trPr>
          <w:trHeight w:val="564" w:hRule="atLeast"/>
          <w:jc w:val="center"/>
        </w:trPr>
        <w:tc>
          <w:tcPr>
            <w:tcW w:w="5353"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其他高温或高压、涉及易燃易爆等物质的工艺过程4套</w:t>
            </w:r>
          </w:p>
        </w:tc>
        <w:tc>
          <w:tcPr>
            <w:tcW w:w="155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5/每套</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20分</w:t>
            </w:r>
          </w:p>
        </w:tc>
      </w:tr>
      <w:tr>
        <w:tblPrEx>
          <w:tblCellMar>
            <w:top w:w="0" w:type="dxa"/>
            <w:left w:w="108" w:type="dxa"/>
            <w:bottom w:w="0" w:type="dxa"/>
            <w:right w:w="108" w:type="dxa"/>
          </w:tblCellMar>
        </w:tblPrEx>
        <w:trPr>
          <w:trHeight w:val="417" w:hRule="atLeast"/>
          <w:jc w:val="center"/>
        </w:trPr>
        <w:tc>
          <w:tcPr>
            <w:tcW w:w="6912" w:type="dxa"/>
            <w:gridSpan w:val="2"/>
            <w:tcBorders>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合计</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20分</w:t>
            </w:r>
          </w:p>
        </w:tc>
      </w:tr>
    </w:tbl>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3.5.2大气环境风险防控措施</w:t>
      </w:r>
    </w:p>
    <w:p>
      <w:pPr>
        <w:spacing w:before="120" w:beforeLines="50" w:after="120" w:afterLines="50" w:line="360" w:lineRule="auto"/>
        <w:jc w:val="left"/>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3.5.2.1可燃气体泄漏监控预警措施</w:t>
      </w:r>
    </w:p>
    <w:p>
      <w:pPr>
        <w:spacing w:line="360" w:lineRule="auto"/>
        <w:ind w:firstLine="480" w:firstLineChars="200"/>
        <w:jc w:val="left"/>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（1）设可燃气体检测报警设施</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fldChar w:fldCharType="begin"/>
      </w:r>
      <w:r>
        <w:rPr>
          <w:rFonts w:hint="default" w:ascii="Times New Roman" w:hAnsi="Times New Roman" w:eastAsia="宋体" w:cs="Times New Roman"/>
          <w:bCs/>
          <w:color w:val="auto"/>
          <w:sz w:val="24"/>
        </w:rPr>
        <w:instrText xml:space="preserve">= 1 \* GB3</w:instrText>
      </w:r>
      <w:r>
        <w:rPr>
          <w:rFonts w:hint="default" w:ascii="Times New Roman" w:hAnsi="Times New Roman" w:eastAsia="宋体" w:cs="Times New Roman"/>
          <w:bCs/>
          <w:color w:val="auto"/>
          <w:sz w:val="24"/>
        </w:rPr>
        <w:fldChar w:fldCharType="separate"/>
      </w:r>
      <w:r>
        <w:rPr>
          <w:rFonts w:hint="default" w:ascii="Times New Roman" w:hAnsi="Times New Roman" w:eastAsia="宋体" w:cs="Times New Roman"/>
          <w:bCs/>
          <w:color w:val="auto"/>
          <w:sz w:val="24"/>
        </w:rPr>
        <w:t>①</w:t>
      </w:r>
      <w:r>
        <w:rPr>
          <w:rFonts w:hint="default" w:ascii="Times New Roman" w:hAnsi="Times New Roman" w:eastAsia="宋体" w:cs="Times New Roman"/>
          <w:bCs/>
          <w:color w:val="auto"/>
          <w:sz w:val="24"/>
        </w:rPr>
        <w:fldChar w:fldCharType="end"/>
      </w:r>
      <w:r>
        <w:rPr>
          <w:rFonts w:hint="default" w:ascii="Times New Roman" w:hAnsi="Times New Roman" w:eastAsia="宋体" w:cs="Times New Roman"/>
          <w:bCs/>
          <w:color w:val="auto"/>
          <w:sz w:val="24"/>
        </w:rPr>
        <w:t>甲醇、MTBE、汽油醚化、工业异辛烷生产装置及罐区设可燃气体报警器109个；烟感火灾报警器104个。</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fldChar w:fldCharType="begin"/>
      </w:r>
      <w:r>
        <w:rPr>
          <w:rFonts w:hint="default" w:ascii="Times New Roman" w:hAnsi="Times New Roman" w:eastAsia="宋体" w:cs="Times New Roman"/>
          <w:bCs/>
          <w:color w:val="auto"/>
          <w:sz w:val="24"/>
        </w:rPr>
        <w:instrText xml:space="preserve">= 2 \* GB3</w:instrText>
      </w:r>
      <w:r>
        <w:rPr>
          <w:rFonts w:hint="default" w:ascii="Times New Roman" w:hAnsi="Times New Roman" w:eastAsia="宋体" w:cs="Times New Roman"/>
          <w:bCs/>
          <w:color w:val="auto"/>
          <w:sz w:val="24"/>
        </w:rPr>
        <w:fldChar w:fldCharType="separate"/>
      </w:r>
      <w:r>
        <w:rPr>
          <w:rFonts w:hint="default" w:ascii="Times New Roman" w:hAnsi="Times New Roman" w:eastAsia="宋体" w:cs="Times New Roman"/>
          <w:bCs/>
          <w:color w:val="auto"/>
          <w:sz w:val="24"/>
        </w:rPr>
        <w:t>②</w:t>
      </w:r>
      <w:r>
        <w:rPr>
          <w:rFonts w:hint="default" w:ascii="Times New Roman" w:hAnsi="Times New Roman" w:eastAsia="宋体" w:cs="Times New Roman"/>
          <w:bCs/>
          <w:color w:val="auto"/>
          <w:sz w:val="24"/>
        </w:rPr>
        <w:fldChar w:fldCharType="end"/>
      </w:r>
      <w:r>
        <w:rPr>
          <w:rFonts w:hint="default" w:ascii="Times New Roman" w:hAnsi="Times New Roman" w:eastAsia="宋体" w:cs="Times New Roman"/>
          <w:bCs/>
          <w:color w:val="auto"/>
          <w:sz w:val="24"/>
        </w:rPr>
        <w:t>甲醇、MTBE、汽油醚化、工业异辛烷生产装置及罐区设置进料压力、流量报警及紧急切断联锁，反应温度、压力报警和联锁，缓冲罐高位报警。</w:t>
      </w:r>
    </w:p>
    <w:p>
      <w:pPr>
        <w:spacing w:line="360" w:lineRule="auto"/>
        <w:ind w:firstLine="480" w:firstLineChars="200"/>
        <w:jc w:val="left"/>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（2）泄压和止逆设施</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所有压力容器、压力管道按要求设置安全阀；所有工艺管道均设置有防止物料倒流的止逆阀；工艺系统设事故火炬和常量火炬系统各一套。</w:t>
      </w:r>
    </w:p>
    <w:p>
      <w:pPr>
        <w:spacing w:line="360" w:lineRule="auto"/>
        <w:ind w:firstLine="480" w:firstLineChars="200"/>
        <w:jc w:val="left"/>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（3）紧急处理设施</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DCS控制系统设有UPS不间断电源。工艺管道均设有紧急切断阀，紧急切断阀可实现中央控制系统的远传控制。工艺系统设有放空火炬系统，可实现紧急情况下的物料安全排放。生产现场配有氮气管道，可用于管道、设备的置换及异常情况下系统加入氮气的的惰性保护。</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（4）风向标、逃生方向标设置：</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1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①</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球罐TK101；</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2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②</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轻烃罐；</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3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③</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空分分馏塔；</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4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④</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工业异辛烷装置；</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5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⑤</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醚化装置反应器各设风向标1个。</w:t>
      </w:r>
    </w:p>
    <w:p>
      <w:pPr>
        <w:spacing w:before="120" w:beforeLines="50" w:after="120" w:afterLines="50" w:line="360" w:lineRule="auto"/>
        <w:jc w:val="left"/>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3.5.2.2符合防护距离情况</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该项目环评测算卫生防护距离确定为200m。目前，卫生防护距离范围内无居民居住、生活区及企事业单位等。</w:t>
      </w:r>
    </w:p>
    <w:p>
      <w:pPr>
        <w:spacing w:before="120" w:beforeLines="50" w:after="120" w:afterLines="50" w:line="360" w:lineRule="auto"/>
        <w:jc w:val="left"/>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3.5.2.3突发大气环境事件发生情况</w:t>
      </w:r>
    </w:p>
    <w:p>
      <w:pPr>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据统计，公司近3年内未发生突发大气环境事件。</w:t>
      </w:r>
    </w:p>
    <w:p>
      <w:pPr>
        <w:spacing w:before="120" w:beforeLines="50" w:after="120" w:afterLines="50" w:line="360" w:lineRule="auto"/>
        <w:jc w:val="left"/>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3.5.3企业大气环境风险防控措施与突发大气环境事件发生情况评估</w:t>
      </w:r>
    </w:p>
    <w:p>
      <w:pPr>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color w:val="auto"/>
          <w:sz w:val="24"/>
        </w:rPr>
        <w:t>综合总结3.5.2.1~3.5.2.3大气环境风险防控措施，公司突发大气环境事件</w:t>
      </w:r>
      <w:r>
        <w:rPr>
          <w:rFonts w:hint="default" w:ascii="Times New Roman" w:hAnsi="Times New Roman" w:eastAsia="宋体" w:cs="Times New Roman"/>
          <w:bCs/>
          <w:color w:val="auto"/>
          <w:sz w:val="24"/>
        </w:rPr>
        <w:t>发生情况符合要求。</w:t>
      </w:r>
    </w:p>
    <w:p>
      <w:pPr>
        <w:spacing w:before="120" w:beforeLines="50" w:after="120" w:afterLines="50" w:line="360" w:lineRule="auto"/>
        <w:jc w:val="left"/>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3.5.4生产工艺过程与大气环境风险控制水平</w:t>
      </w:r>
    </w:p>
    <w:p>
      <w:pPr>
        <w:spacing w:line="360" w:lineRule="auto"/>
        <w:ind w:firstLine="480" w:firstLineChars="200"/>
        <w:rPr>
          <w:rFonts w:hint="default" w:ascii="Times New Roman" w:hAnsi="Times New Roman" w:eastAsia="宋体" w:cs="Times New Roman"/>
          <w:b/>
          <w:color w:val="auto"/>
          <w:kern w:val="0"/>
          <w:sz w:val="24"/>
        </w:rPr>
      </w:pPr>
      <w:r>
        <w:rPr>
          <w:rFonts w:hint="default" w:ascii="Times New Roman" w:hAnsi="Times New Roman" w:eastAsia="宋体" w:cs="Times New Roman"/>
          <w:bCs/>
          <w:color w:val="auto"/>
          <w:sz w:val="24"/>
        </w:rPr>
        <w:t>采用评分法对公司生产工艺过程、大气环境风险防控措施及突发大气环境事件发生情况进行评估，将各项指标分值累加为M=20分，M≤25，确定公司生产工艺过程与大气环境风险控制水平M1，详见表</w:t>
      </w:r>
      <w:r>
        <w:rPr>
          <w:rFonts w:hint="default" w:ascii="Times New Roman" w:hAnsi="Times New Roman" w:eastAsia="宋体" w:cs="Times New Roman"/>
          <w:bCs/>
          <w:color w:val="auto"/>
          <w:kern w:val="0"/>
          <w:sz w:val="24"/>
        </w:rPr>
        <w:t>3.5-4</w:t>
      </w:r>
      <w:r>
        <w:rPr>
          <w:rFonts w:hint="default" w:ascii="Times New Roman" w:hAnsi="Times New Roman" w:eastAsia="宋体" w:cs="Times New Roman"/>
          <w:bCs/>
          <w:color w:val="auto"/>
          <w:sz w:val="24"/>
        </w:rPr>
        <w:t>。</w:t>
      </w:r>
    </w:p>
    <w:p>
      <w:pPr>
        <w:spacing w:before="120" w:beforeLines="50" w:line="240" w:lineRule="atLeast"/>
        <w:jc w:val="center"/>
        <w:rPr>
          <w:rFonts w:hint="default" w:ascii="Times New Roman" w:hAnsi="Times New Roman" w:eastAsia="宋体" w:cs="Times New Roman"/>
          <w:b/>
          <w:color w:val="auto"/>
          <w:kern w:val="0"/>
          <w:sz w:val="24"/>
        </w:rPr>
      </w:pPr>
    </w:p>
    <w:p>
      <w:pPr>
        <w:spacing w:before="120" w:beforeLines="50" w:line="240" w:lineRule="atLeast"/>
        <w:jc w:val="center"/>
        <w:rPr>
          <w:rFonts w:hint="default" w:ascii="Times New Roman" w:hAnsi="Times New Roman" w:eastAsia="宋体" w:cs="Times New Roman"/>
          <w:b/>
          <w:color w:val="auto"/>
          <w:kern w:val="0"/>
          <w:sz w:val="24"/>
        </w:rPr>
      </w:pP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表3.5-4生产工艺过程与环境风险控制水平类型划分</w:t>
      </w:r>
    </w:p>
    <w:tbl>
      <w:tblPr>
        <w:tblStyle w:val="75"/>
        <w:tblW w:w="8330" w:type="dxa"/>
        <w:tblInd w:w="0" w:type="dxa"/>
        <w:tblLayout w:type="fixed"/>
        <w:tblCellMar>
          <w:top w:w="0" w:type="dxa"/>
          <w:left w:w="108" w:type="dxa"/>
          <w:bottom w:w="0" w:type="dxa"/>
          <w:right w:w="108" w:type="dxa"/>
        </w:tblCellMar>
      </w:tblPr>
      <w:tblGrid>
        <w:gridCol w:w="4077"/>
        <w:gridCol w:w="4253"/>
      </w:tblGrid>
      <w:tr>
        <w:tblPrEx>
          <w:tblCellMar>
            <w:top w:w="0" w:type="dxa"/>
            <w:left w:w="108" w:type="dxa"/>
            <w:bottom w:w="0" w:type="dxa"/>
            <w:right w:w="108" w:type="dxa"/>
          </w:tblCellMar>
        </w:tblPrEx>
        <w:trPr>
          <w:trHeight w:val="676" w:hRule="atLeast"/>
        </w:trPr>
        <w:tc>
          <w:tcPr>
            <w:tcW w:w="4077"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生产工艺过程与环境风险控制水平值</w:t>
            </w:r>
          </w:p>
        </w:tc>
        <w:tc>
          <w:tcPr>
            <w:tcW w:w="4253"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生产工艺过程与环境风险控制水平类型</w:t>
            </w:r>
          </w:p>
        </w:tc>
      </w:tr>
      <w:tr>
        <w:tblPrEx>
          <w:tblCellMar>
            <w:top w:w="0" w:type="dxa"/>
            <w:left w:w="108" w:type="dxa"/>
            <w:bottom w:w="0" w:type="dxa"/>
            <w:right w:w="108" w:type="dxa"/>
          </w:tblCellMar>
        </w:tblPrEx>
        <w:trPr>
          <w:trHeight w:val="50" w:hRule="atLeast"/>
        </w:trPr>
        <w:tc>
          <w:tcPr>
            <w:tcW w:w="4077" w:type="dxa"/>
            <w:tcBorders>
              <w:top w:val="single" w:color="auto" w:sz="4" w:space="0"/>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M＜25</w:t>
            </w:r>
          </w:p>
        </w:tc>
        <w:tc>
          <w:tcPr>
            <w:tcW w:w="4253"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M1</w:t>
            </w:r>
          </w:p>
        </w:tc>
      </w:tr>
      <w:tr>
        <w:tblPrEx>
          <w:tblCellMar>
            <w:top w:w="0" w:type="dxa"/>
            <w:left w:w="108" w:type="dxa"/>
            <w:bottom w:w="0" w:type="dxa"/>
            <w:right w:w="108" w:type="dxa"/>
          </w:tblCellMar>
        </w:tblPrEx>
        <w:trPr>
          <w:trHeight w:val="50" w:hRule="atLeast"/>
        </w:trPr>
        <w:tc>
          <w:tcPr>
            <w:tcW w:w="4077" w:type="dxa"/>
            <w:tcBorders>
              <w:top w:val="single" w:color="auto" w:sz="4" w:space="0"/>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25≤M＜45</w:t>
            </w:r>
          </w:p>
        </w:tc>
        <w:tc>
          <w:tcPr>
            <w:tcW w:w="4253"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M2</w:t>
            </w:r>
          </w:p>
        </w:tc>
      </w:tr>
      <w:tr>
        <w:tblPrEx>
          <w:tblCellMar>
            <w:top w:w="0" w:type="dxa"/>
            <w:left w:w="108" w:type="dxa"/>
            <w:bottom w:w="0" w:type="dxa"/>
            <w:right w:w="108" w:type="dxa"/>
          </w:tblCellMar>
        </w:tblPrEx>
        <w:tc>
          <w:tcPr>
            <w:tcW w:w="4077" w:type="dxa"/>
            <w:tcBorders>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45≤M＜65</w:t>
            </w:r>
          </w:p>
        </w:tc>
        <w:tc>
          <w:tcPr>
            <w:tcW w:w="4253"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M3</w:t>
            </w:r>
          </w:p>
        </w:tc>
      </w:tr>
      <w:tr>
        <w:tblPrEx>
          <w:tblCellMar>
            <w:top w:w="0" w:type="dxa"/>
            <w:left w:w="108" w:type="dxa"/>
            <w:bottom w:w="0" w:type="dxa"/>
            <w:right w:w="108" w:type="dxa"/>
          </w:tblCellMar>
        </w:tblPrEx>
        <w:tc>
          <w:tcPr>
            <w:tcW w:w="4077" w:type="dxa"/>
            <w:tcBorders>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M≥65</w:t>
            </w:r>
          </w:p>
        </w:tc>
        <w:tc>
          <w:tcPr>
            <w:tcW w:w="4253"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M4</w:t>
            </w:r>
          </w:p>
        </w:tc>
      </w:tr>
    </w:tbl>
    <w:p>
      <w:pPr>
        <w:spacing w:before="120" w:beforeLines="50" w:after="120" w:afterLines="50" w:line="360" w:lineRule="auto"/>
        <w:jc w:val="left"/>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3.5.5大气环境风险受体敏感程度（E）评估</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公司位于</w:t>
      </w:r>
      <w:r>
        <w:rPr>
          <w:rFonts w:hint="default" w:ascii="Times New Roman" w:hAnsi="Times New Roman" w:eastAsia="宋体" w:cs="Times New Roman"/>
          <w:bCs/>
          <w:color w:val="auto"/>
          <w:spacing w:val="6"/>
          <w:sz w:val="24"/>
        </w:rPr>
        <w:t>咸阳金旭大道一号</w:t>
      </w:r>
      <w:r>
        <w:rPr>
          <w:rFonts w:hint="default" w:ascii="Times New Roman" w:hAnsi="Times New Roman" w:eastAsia="宋体" w:cs="Times New Roman"/>
          <w:color w:val="auto"/>
          <w:kern w:val="0"/>
          <w:sz w:val="24"/>
        </w:rPr>
        <w:t>。北侧紧靠林场村、三姓庄、林家沟、华泰小学。厂址500m范围有林场村、三姓庄等，居住人口不足500人，故受体类型为E3。大气环境风险受体敏感程度类型按照企业周边人口数进行划分，见表</w:t>
      </w:r>
      <w:r>
        <w:rPr>
          <w:rFonts w:hint="default" w:ascii="Times New Roman" w:hAnsi="Times New Roman" w:eastAsia="宋体" w:cs="Times New Roman"/>
          <w:bCs/>
          <w:color w:val="auto"/>
          <w:kern w:val="0"/>
          <w:sz w:val="24"/>
        </w:rPr>
        <w:t>3.5-5</w:t>
      </w:r>
      <w:r>
        <w:rPr>
          <w:rFonts w:hint="default" w:ascii="Times New Roman" w:hAnsi="Times New Roman" w:eastAsia="宋体" w:cs="Times New Roman"/>
          <w:color w:val="auto"/>
          <w:kern w:val="0"/>
          <w:sz w:val="24"/>
        </w:rPr>
        <w:t>。</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表3.5-5大气环境风险受体敏感程度类型</w:t>
      </w:r>
    </w:p>
    <w:tbl>
      <w:tblPr>
        <w:tblStyle w:val="75"/>
        <w:tblW w:w="8505" w:type="dxa"/>
        <w:tblInd w:w="0" w:type="dxa"/>
        <w:tblLayout w:type="fixed"/>
        <w:tblCellMar>
          <w:top w:w="0" w:type="dxa"/>
          <w:left w:w="11" w:type="dxa"/>
          <w:bottom w:w="0" w:type="dxa"/>
          <w:right w:w="11" w:type="dxa"/>
        </w:tblCellMar>
      </w:tblPr>
      <w:tblGrid>
        <w:gridCol w:w="1560"/>
        <w:gridCol w:w="5670"/>
        <w:gridCol w:w="1275"/>
      </w:tblGrid>
      <w:tr>
        <w:tblPrEx>
          <w:tblCellMar>
            <w:top w:w="0" w:type="dxa"/>
            <w:left w:w="11" w:type="dxa"/>
            <w:bottom w:w="0" w:type="dxa"/>
            <w:right w:w="11" w:type="dxa"/>
          </w:tblCellMar>
        </w:tblPrEx>
        <w:trPr>
          <w:trHeight w:val="478" w:hRule="atLeast"/>
          <w:tblHeader/>
        </w:trPr>
        <w:tc>
          <w:tcPr>
            <w:tcW w:w="1560"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color w:val="auto"/>
                <w:kern w:val="0"/>
                <w:szCs w:val="21"/>
              </w:rPr>
            </w:pPr>
            <w:bookmarkStart w:id="161" w:name="_Toc513218515"/>
            <w:bookmarkStart w:id="162" w:name="_Toc513976755"/>
            <w:bookmarkStart w:id="163" w:name="_Toc513283369"/>
            <w:bookmarkStart w:id="164" w:name="_Toc513283272"/>
            <w:bookmarkStart w:id="165" w:name="_Toc513219928"/>
            <w:bookmarkStart w:id="166" w:name="_Toc513220739"/>
            <w:bookmarkStart w:id="167" w:name="_Toc513283432"/>
            <w:r>
              <w:rPr>
                <w:rFonts w:hint="default" w:ascii="Times New Roman" w:hAnsi="Times New Roman" w:eastAsia="宋体" w:cs="Times New Roman"/>
                <w:b/>
                <w:color w:val="auto"/>
                <w:kern w:val="0"/>
                <w:szCs w:val="21"/>
              </w:rPr>
              <w:t>敏感程度类型</w:t>
            </w:r>
            <w:bookmarkEnd w:id="161"/>
            <w:bookmarkEnd w:id="162"/>
            <w:bookmarkEnd w:id="163"/>
            <w:bookmarkEnd w:id="164"/>
            <w:bookmarkEnd w:id="165"/>
            <w:bookmarkEnd w:id="166"/>
            <w:bookmarkEnd w:id="167"/>
          </w:p>
        </w:tc>
        <w:tc>
          <w:tcPr>
            <w:tcW w:w="5670"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b/>
                <w:color w:val="auto"/>
                <w:kern w:val="0"/>
                <w:szCs w:val="21"/>
              </w:rPr>
            </w:pPr>
            <w:bookmarkStart w:id="168" w:name="_Toc513283370"/>
            <w:bookmarkStart w:id="169" w:name="_Toc513218516"/>
            <w:bookmarkStart w:id="170" w:name="_Toc513976756"/>
            <w:bookmarkStart w:id="171" w:name="_Toc513220740"/>
            <w:bookmarkStart w:id="172" w:name="_Toc513283273"/>
            <w:bookmarkStart w:id="173" w:name="_Toc513283433"/>
            <w:bookmarkStart w:id="174" w:name="_Toc513219929"/>
            <w:r>
              <w:rPr>
                <w:rFonts w:hint="default" w:ascii="Times New Roman" w:hAnsi="Times New Roman" w:eastAsia="宋体" w:cs="Times New Roman"/>
                <w:b/>
                <w:color w:val="auto"/>
                <w:kern w:val="0"/>
                <w:szCs w:val="21"/>
              </w:rPr>
              <w:t>大气环境风险受体</w:t>
            </w:r>
            <w:bookmarkEnd w:id="168"/>
            <w:bookmarkEnd w:id="169"/>
            <w:bookmarkEnd w:id="170"/>
            <w:bookmarkEnd w:id="171"/>
            <w:bookmarkEnd w:id="172"/>
            <w:bookmarkEnd w:id="173"/>
            <w:bookmarkEnd w:id="174"/>
          </w:p>
        </w:tc>
        <w:tc>
          <w:tcPr>
            <w:tcW w:w="1275" w:type="dxa"/>
            <w:tcBorders>
              <w:top w:val="single" w:color="000000" w:sz="4" w:space="0"/>
              <w:left w:val="single" w:color="auto"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color w:val="auto"/>
                <w:kern w:val="0"/>
                <w:szCs w:val="21"/>
              </w:rPr>
            </w:pPr>
            <w:bookmarkStart w:id="175" w:name="_Toc513283274"/>
            <w:bookmarkStart w:id="176" w:name="_Toc513218517"/>
            <w:bookmarkStart w:id="177" w:name="_Toc513283434"/>
            <w:bookmarkStart w:id="178" w:name="_Toc513283371"/>
            <w:bookmarkStart w:id="179" w:name="_Toc513219930"/>
            <w:bookmarkStart w:id="180" w:name="_Toc513976757"/>
            <w:bookmarkStart w:id="181" w:name="_Toc513220741"/>
            <w:r>
              <w:rPr>
                <w:rFonts w:hint="default" w:ascii="Times New Roman" w:hAnsi="Times New Roman" w:eastAsia="宋体" w:cs="Times New Roman"/>
                <w:b/>
                <w:color w:val="auto"/>
                <w:kern w:val="0"/>
                <w:szCs w:val="21"/>
              </w:rPr>
              <w:t>受体类型</w:t>
            </w:r>
            <w:bookmarkEnd w:id="175"/>
            <w:bookmarkEnd w:id="176"/>
            <w:bookmarkEnd w:id="177"/>
            <w:bookmarkEnd w:id="178"/>
            <w:bookmarkEnd w:id="179"/>
            <w:bookmarkEnd w:id="180"/>
            <w:bookmarkEnd w:id="181"/>
          </w:p>
        </w:tc>
      </w:tr>
      <w:tr>
        <w:tblPrEx>
          <w:tblCellMar>
            <w:top w:w="0" w:type="dxa"/>
            <w:left w:w="11" w:type="dxa"/>
            <w:bottom w:w="0" w:type="dxa"/>
            <w:right w:w="11" w:type="dxa"/>
          </w:tblCellMar>
        </w:tblPrEx>
        <w:trPr>
          <w:trHeight w:val="1486" w:hRule="atLeast"/>
        </w:trPr>
        <w:tc>
          <w:tcPr>
            <w:tcW w:w="1560"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bookmarkStart w:id="182" w:name="_Toc513219931"/>
            <w:bookmarkStart w:id="183" w:name="_Toc513283275"/>
            <w:bookmarkStart w:id="184" w:name="_Toc513220742"/>
            <w:bookmarkStart w:id="185" w:name="_Toc513283372"/>
            <w:bookmarkStart w:id="186" w:name="_Toc513218518"/>
            <w:bookmarkStart w:id="187" w:name="_Toc513283435"/>
            <w:bookmarkStart w:id="188" w:name="_Toc513976758"/>
            <w:r>
              <w:rPr>
                <w:rFonts w:hint="default" w:ascii="Times New Roman" w:hAnsi="Times New Roman" w:eastAsia="宋体" w:cs="Times New Roman"/>
                <w:color w:val="auto"/>
                <w:kern w:val="0"/>
                <w:szCs w:val="21"/>
              </w:rPr>
              <w:t>类型3（E3）</w:t>
            </w:r>
            <w:bookmarkEnd w:id="182"/>
            <w:bookmarkEnd w:id="183"/>
            <w:bookmarkEnd w:id="184"/>
            <w:bookmarkEnd w:id="185"/>
            <w:bookmarkEnd w:id="186"/>
            <w:bookmarkEnd w:id="187"/>
            <w:bookmarkEnd w:id="188"/>
          </w:p>
        </w:tc>
        <w:tc>
          <w:tcPr>
            <w:tcW w:w="5670" w:type="dxa"/>
            <w:tcBorders>
              <w:top w:val="single" w:color="000000" w:sz="4" w:space="0"/>
              <w:left w:val="single" w:color="000000" w:sz="4" w:space="0"/>
              <w:bottom w:val="single" w:color="auto" w:sz="4" w:space="0"/>
              <w:right w:val="single" w:color="auto" w:sz="4" w:space="0"/>
            </w:tcBorders>
            <w:vAlign w:val="center"/>
          </w:tcPr>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企业周边5公里范围内居住区、医疗卫生机构、文化教育机构、科研单位、行政机关、企事业单位、商场、公园等人口总数1万人以下，且企业周边500米范围内人口总数500人以下。</w:t>
            </w:r>
          </w:p>
        </w:tc>
        <w:tc>
          <w:tcPr>
            <w:tcW w:w="1275" w:type="dxa"/>
            <w:tcBorders>
              <w:top w:val="single" w:color="000000" w:sz="4" w:space="0"/>
              <w:left w:val="single" w:color="auto" w:sz="4" w:space="0"/>
              <w:bottom w:val="single" w:color="auto"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bookmarkStart w:id="189" w:name="_Toc513220744"/>
            <w:bookmarkStart w:id="190" w:name="_Toc513219933"/>
            <w:bookmarkStart w:id="191" w:name="_Toc513283437"/>
            <w:bookmarkStart w:id="192" w:name="_Toc513218520"/>
            <w:bookmarkStart w:id="193" w:name="_Toc513283374"/>
            <w:bookmarkStart w:id="194" w:name="_Toc513283277"/>
            <w:bookmarkStart w:id="195" w:name="_Toc513976760"/>
            <w:r>
              <w:rPr>
                <w:rFonts w:hint="default" w:ascii="Times New Roman" w:hAnsi="Times New Roman" w:eastAsia="宋体" w:cs="Times New Roman"/>
                <w:color w:val="auto"/>
                <w:kern w:val="0"/>
                <w:szCs w:val="21"/>
              </w:rPr>
              <w:t>E</w:t>
            </w:r>
            <w:bookmarkEnd w:id="189"/>
            <w:bookmarkEnd w:id="190"/>
            <w:bookmarkEnd w:id="191"/>
            <w:bookmarkEnd w:id="192"/>
            <w:bookmarkEnd w:id="193"/>
            <w:bookmarkEnd w:id="194"/>
            <w:bookmarkEnd w:id="195"/>
            <w:r>
              <w:rPr>
                <w:rFonts w:hint="default" w:ascii="Times New Roman" w:hAnsi="Times New Roman" w:eastAsia="宋体" w:cs="Times New Roman"/>
                <w:color w:val="auto"/>
                <w:kern w:val="0"/>
                <w:szCs w:val="21"/>
              </w:rPr>
              <w:t>3</w:t>
            </w:r>
          </w:p>
        </w:tc>
      </w:tr>
    </w:tbl>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3.5.6突发大气环境事件风险等级确定</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按照公司周边大气环境风险受体敏感程度为（E3）、涉气风险物质数量与临界量比值（Q3）和生产工艺过程与大气环境风险控制水平（M1），按照表</w:t>
      </w:r>
      <w:r>
        <w:rPr>
          <w:rFonts w:hint="default" w:ascii="Times New Roman" w:hAnsi="Times New Roman" w:eastAsia="宋体" w:cs="Times New Roman"/>
          <w:bCs/>
          <w:color w:val="auto"/>
          <w:kern w:val="0"/>
          <w:sz w:val="24"/>
        </w:rPr>
        <w:t>3.5-6</w:t>
      </w:r>
      <w:r>
        <w:rPr>
          <w:rFonts w:hint="default" w:ascii="Times New Roman" w:hAnsi="Times New Roman" w:eastAsia="宋体" w:cs="Times New Roman"/>
          <w:color w:val="auto"/>
          <w:kern w:val="0"/>
          <w:sz w:val="24"/>
        </w:rPr>
        <w:t>确定公司突发大气环境事件风险等级为“较大”。</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表3.5-6突发环境事件风险分级矩阵表</w:t>
      </w:r>
    </w:p>
    <w:tbl>
      <w:tblPr>
        <w:tblStyle w:val="75"/>
        <w:tblW w:w="861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1843"/>
        <w:gridCol w:w="1276"/>
        <w:gridCol w:w="1417"/>
        <w:gridCol w:w="1418"/>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1384" w:type="dxa"/>
            <w:vMerge w:val="restart"/>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环境风险受体敏感程度（E）</w:t>
            </w:r>
          </w:p>
        </w:tc>
        <w:tc>
          <w:tcPr>
            <w:tcW w:w="1843" w:type="dxa"/>
            <w:vMerge w:val="restart"/>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风险物质数量与临界量比值（Q）</w:t>
            </w:r>
          </w:p>
        </w:tc>
        <w:tc>
          <w:tcPr>
            <w:tcW w:w="5386" w:type="dxa"/>
            <w:gridSpan w:val="4"/>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生产工艺过程与环境风险控制水平（M）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384" w:type="dxa"/>
            <w:vMerge w:val="continue"/>
            <w:vAlign w:val="center"/>
          </w:tcPr>
          <w:p>
            <w:pPr>
              <w:spacing w:line="240" w:lineRule="atLeast"/>
              <w:jc w:val="center"/>
              <w:rPr>
                <w:rFonts w:hint="default" w:ascii="Times New Roman" w:hAnsi="Times New Roman" w:eastAsia="宋体" w:cs="Times New Roman"/>
                <w:b/>
                <w:color w:val="auto"/>
                <w:kern w:val="0"/>
                <w:szCs w:val="21"/>
              </w:rPr>
            </w:pPr>
          </w:p>
        </w:tc>
        <w:tc>
          <w:tcPr>
            <w:tcW w:w="1843" w:type="dxa"/>
            <w:vMerge w:val="continue"/>
            <w:vAlign w:val="center"/>
          </w:tcPr>
          <w:p>
            <w:pPr>
              <w:spacing w:line="240" w:lineRule="atLeast"/>
              <w:jc w:val="center"/>
              <w:rPr>
                <w:rFonts w:hint="default" w:ascii="Times New Roman" w:hAnsi="Times New Roman" w:eastAsia="宋体" w:cs="Times New Roman"/>
                <w:b/>
                <w:color w:val="auto"/>
                <w:kern w:val="0"/>
                <w:szCs w:val="21"/>
              </w:rPr>
            </w:pPr>
          </w:p>
        </w:tc>
        <w:tc>
          <w:tcPr>
            <w:tcW w:w="127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M1 类水平</w:t>
            </w:r>
          </w:p>
        </w:tc>
        <w:tc>
          <w:tcPr>
            <w:tcW w:w="1417"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M2 类水平</w:t>
            </w:r>
          </w:p>
        </w:tc>
        <w:tc>
          <w:tcPr>
            <w:tcW w:w="1418"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M3 类水平</w:t>
            </w:r>
          </w:p>
        </w:tc>
        <w:tc>
          <w:tcPr>
            <w:tcW w:w="1275"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M4 类水平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restart"/>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类型3</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（E3）</w:t>
            </w:r>
          </w:p>
        </w:tc>
        <w:tc>
          <w:tcPr>
            <w:tcW w:w="1843" w:type="dxa"/>
          </w:tcPr>
          <w:p>
            <w:pPr>
              <w:spacing w:line="360" w:lineRule="auto"/>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 Q＜10（Q1）</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一般</w:t>
            </w:r>
          </w:p>
        </w:tc>
        <w:tc>
          <w:tcPr>
            <w:tcW w:w="1417"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一般</w:t>
            </w:r>
          </w:p>
        </w:tc>
        <w:tc>
          <w:tcPr>
            <w:tcW w:w="141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275"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pPr>
              <w:spacing w:line="240" w:lineRule="atLeast"/>
              <w:rPr>
                <w:rFonts w:hint="default" w:ascii="Times New Roman" w:hAnsi="Times New Roman" w:eastAsia="宋体" w:cs="Times New Roman"/>
                <w:color w:val="auto"/>
                <w:kern w:val="0"/>
                <w:szCs w:val="21"/>
              </w:rPr>
            </w:pPr>
          </w:p>
        </w:tc>
        <w:tc>
          <w:tcPr>
            <w:tcW w:w="1843" w:type="dxa"/>
          </w:tcPr>
          <w:p>
            <w:pPr>
              <w:spacing w:line="360" w:lineRule="auto"/>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10≤Q＜100（Q2）</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一般</w:t>
            </w:r>
          </w:p>
        </w:tc>
        <w:tc>
          <w:tcPr>
            <w:tcW w:w="1417"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41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275" w:type="dxa"/>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Merge w:val="continue"/>
          </w:tcPr>
          <w:p>
            <w:pPr>
              <w:spacing w:line="240" w:lineRule="atLeast"/>
              <w:rPr>
                <w:rFonts w:hint="default" w:ascii="Times New Roman" w:hAnsi="Times New Roman" w:eastAsia="宋体" w:cs="Times New Roman"/>
                <w:color w:val="auto"/>
                <w:kern w:val="0"/>
                <w:szCs w:val="21"/>
              </w:rPr>
            </w:pPr>
          </w:p>
        </w:tc>
        <w:tc>
          <w:tcPr>
            <w:tcW w:w="1843" w:type="dxa"/>
          </w:tcPr>
          <w:p>
            <w:pPr>
              <w:spacing w:line="360" w:lineRule="auto"/>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Q≥ 100（Q3）</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417"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41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重大</w:t>
            </w:r>
          </w:p>
        </w:tc>
        <w:tc>
          <w:tcPr>
            <w:tcW w:w="1275" w:type="dxa"/>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重大</w:t>
            </w:r>
          </w:p>
        </w:tc>
      </w:tr>
    </w:tbl>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3.5.7突发大气环境事件风险等级表征</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按照3.5.6判定结果，公司突发大气环境事件风险等级表征为：“较大-大气（Q3-M1-E3）”。</w:t>
      </w:r>
    </w:p>
    <w:p>
      <w:pPr>
        <w:spacing w:before="120" w:beforeLines="50" w:after="120" w:afterLines="50" w:line="360" w:lineRule="auto"/>
        <w:jc w:val="left"/>
        <w:outlineLvl w:val="0"/>
        <w:rPr>
          <w:rFonts w:hint="default" w:ascii="Times New Roman" w:hAnsi="Times New Roman" w:eastAsia="宋体" w:cs="Times New Roman"/>
          <w:b/>
          <w:bCs/>
          <w:color w:val="auto"/>
          <w:sz w:val="28"/>
          <w:szCs w:val="28"/>
        </w:rPr>
      </w:pPr>
      <w:bookmarkStart w:id="196" w:name="_Toc523580098"/>
      <w:bookmarkStart w:id="197" w:name="_Toc2948"/>
      <w:r>
        <w:rPr>
          <w:rFonts w:hint="default" w:ascii="Times New Roman" w:hAnsi="Times New Roman" w:eastAsia="宋体" w:cs="Times New Roman"/>
          <w:b/>
          <w:bCs/>
          <w:color w:val="auto"/>
          <w:sz w:val="28"/>
          <w:szCs w:val="28"/>
        </w:rPr>
        <w:t>3.6生产工艺过程与水环境风险控制水平（M）评估</w:t>
      </w:r>
      <w:bookmarkEnd w:id="196"/>
      <w:bookmarkEnd w:id="197"/>
    </w:p>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3.6.1现有水环境风险防控措施</w:t>
      </w:r>
    </w:p>
    <w:p>
      <w:pPr>
        <w:spacing w:line="360" w:lineRule="auto"/>
        <w:ind w:firstLine="480" w:firstLineChars="200"/>
        <w:jc w:val="left"/>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公司各涉水环境风险单元均设环境风险防控措施，具体建设情况见表3.6-1。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表3.6-1  企业水环境风险防控措施相关说明(1)</w:t>
      </w:r>
    </w:p>
    <w:tbl>
      <w:tblPr>
        <w:tblStyle w:val="75"/>
        <w:tblW w:w="8897" w:type="dxa"/>
        <w:tblInd w:w="0" w:type="dxa"/>
        <w:tblLayout w:type="fixed"/>
        <w:tblCellMar>
          <w:top w:w="0" w:type="dxa"/>
          <w:left w:w="108" w:type="dxa"/>
          <w:bottom w:w="0" w:type="dxa"/>
          <w:right w:w="108" w:type="dxa"/>
        </w:tblCellMar>
      </w:tblPr>
      <w:tblGrid>
        <w:gridCol w:w="1101"/>
        <w:gridCol w:w="992"/>
        <w:gridCol w:w="142"/>
        <w:gridCol w:w="567"/>
        <w:gridCol w:w="141"/>
        <w:gridCol w:w="142"/>
        <w:gridCol w:w="709"/>
        <w:gridCol w:w="709"/>
        <w:gridCol w:w="992"/>
        <w:gridCol w:w="850"/>
        <w:gridCol w:w="142"/>
        <w:gridCol w:w="1134"/>
        <w:gridCol w:w="1276"/>
      </w:tblGrid>
      <w:tr>
        <w:tblPrEx>
          <w:tblCellMar>
            <w:top w:w="0" w:type="dxa"/>
            <w:left w:w="108" w:type="dxa"/>
            <w:bottom w:w="0" w:type="dxa"/>
            <w:right w:w="108" w:type="dxa"/>
          </w:tblCellMar>
        </w:tblPrEx>
        <w:trPr>
          <w:trHeight w:val="334" w:hRule="atLeast"/>
        </w:trPr>
        <w:tc>
          <w:tcPr>
            <w:tcW w:w="1101" w:type="dxa"/>
            <w:vMerge w:val="restart"/>
            <w:tcBorders>
              <w:top w:val="single" w:color="000000" w:sz="4" w:space="0"/>
              <w:left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生产装置或场所</w:t>
            </w:r>
          </w:p>
        </w:tc>
        <w:tc>
          <w:tcPr>
            <w:tcW w:w="992" w:type="dxa"/>
            <w:vMerge w:val="restart"/>
            <w:tcBorders>
              <w:top w:val="single" w:color="000000" w:sz="4" w:space="0"/>
              <w:left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color w:val="auto"/>
                <w:szCs w:val="21"/>
              </w:rPr>
              <w:t>单罐最大储存量</w:t>
            </w:r>
          </w:p>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（t）</w:t>
            </w:r>
          </w:p>
        </w:tc>
        <w:tc>
          <w:tcPr>
            <w:tcW w:w="6804" w:type="dxa"/>
            <w:gridSpan w:val="11"/>
            <w:tcBorders>
              <w:top w:val="single" w:color="000000" w:sz="4" w:space="0"/>
              <w:left w:val="single" w:color="000000" w:sz="4" w:space="0"/>
              <w:right w:val="single" w:color="auto"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截流措施</w:t>
            </w:r>
          </w:p>
        </w:tc>
      </w:tr>
      <w:tr>
        <w:tblPrEx>
          <w:tblCellMar>
            <w:top w:w="0" w:type="dxa"/>
            <w:left w:w="108" w:type="dxa"/>
            <w:bottom w:w="0" w:type="dxa"/>
            <w:right w:w="108" w:type="dxa"/>
          </w:tblCellMar>
        </w:tblPrEx>
        <w:trPr>
          <w:trHeight w:val="450" w:hRule="atLeast"/>
        </w:trPr>
        <w:tc>
          <w:tcPr>
            <w:tcW w:w="1101" w:type="dxa"/>
            <w:vMerge w:val="continue"/>
            <w:tcBorders>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p>
        </w:tc>
        <w:tc>
          <w:tcPr>
            <w:tcW w:w="992" w:type="dxa"/>
            <w:vMerge w:val="continue"/>
            <w:tcBorders>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p>
        </w:tc>
        <w:tc>
          <w:tcPr>
            <w:tcW w:w="709"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是否防渗漏</w:t>
            </w:r>
          </w:p>
        </w:tc>
        <w:tc>
          <w:tcPr>
            <w:tcW w:w="992" w:type="dxa"/>
            <w:gridSpan w:val="3"/>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是否防腐蚀</w:t>
            </w:r>
          </w:p>
        </w:tc>
        <w:tc>
          <w:tcPr>
            <w:tcW w:w="709"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是否防淋溶</w:t>
            </w:r>
          </w:p>
        </w:tc>
        <w:tc>
          <w:tcPr>
            <w:tcW w:w="992"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防流失措施（围堰容积m</w:t>
            </w:r>
            <w:r>
              <w:rPr>
                <w:rFonts w:hint="default" w:ascii="Times New Roman" w:hAnsi="Times New Roman" w:eastAsia="宋体" w:cs="Times New Roman"/>
                <w:b/>
                <w:color w:val="auto"/>
                <w:kern w:val="0"/>
                <w:szCs w:val="21"/>
                <w:vertAlign w:val="superscript"/>
              </w:rPr>
              <w:t>3</w:t>
            </w:r>
            <w:r>
              <w:rPr>
                <w:rFonts w:hint="default" w:ascii="Times New Roman" w:hAnsi="Times New Roman" w:eastAsia="宋体" w:cs="Times New Roman"/>
                <w:b/>
                <w:color w:val="auto"/>
                <w:kern w:val="0"/>
                <w:szCs w:val="21"/>
              </w:rPr>
              <w:t>）</w:t>
            </w:r>
          </w:p>
        </w:tc>
        <w:tc>
          <w:tcPr>
            <w:tcW w:w="850"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是否设排水切换阀</w:t>
            </w:r>
          </w:p>
        </w:tc>
        <w:tc>
          <w:tcPr>
            <w:tcW w:w="1276"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是否有专人负责阀门切换或设置自动切换设施</w:t>
            </w:r>
          </w:p>
        </w:tc>
        <w:tc>
          <w:tcPr>
            <w:tcW w:w="1276" w:type="dxa"/>
            <w:tcBorders>
              <w:top w:val="single" w:color="auto" w:sz="4" w:space="0"/>
              <w:left w:val="single" w:color="000000" w:sz="4" w:space="0"/>
              <w:bottom w:val="single" w:color="000000" w:sz="4" w:space="0"/>
              <w:right w:val="single" w:color="auto"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应急事故水池容积或排放去向</w:t>
            </w:r>
          </w:p>
        </w:tc>
      </w:tr>
      <w:tr>
        <w:tblPrEx>
          <w:tblCellMar>
            <w:top w:w="0" w:type="dxa"/>
            <w:left w:w="108" w:type="dxa"/>
            <w:bottom w:w="0" w:type="dxa"/>
            <w:right w:w="108" w:type="dxa"/>
          </w:tblCellMar>
        </w:tblPrEx>
        <w:tc>
          <w:tcPr>
            <w:tcW w:w="8897" w:type="dxa"/>
            <w:gridSpan w:val="13"/>
            <w:tcBorders>
              <w:top w:val="single" w:color="000000" w:sz="4" w:space="0"/>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10万t/a甲醇装置</w:t>
            </w:r>
          </w:p>
        </w:tc>
      </w:tr>
      <w:tr>
        <w:tblPrEx>
          <w:tblCellMar>
            <w:top w:w="0" w:type="dxa"/>
            <w:left w:w="108" w:type="dxa"/>
            <w:bottom w:w="0" w:type="dxa"/>
            <w:right w:w="108" w:type="dxa"/>
          </w:tblCellMar>
        </w:tblPrEx>
        <w:tc>
          <w:tcPr>
            <w:tcW w:w="1101"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w:t>
            </w:r>
          </w:p>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分离器</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10</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restart"/>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长庆石化公司污水处理厂</w:t>
            </w:r>
          </w:p>
        </w:tc>
      </w:tr>
      <w:tr>
        <w:tc>
          <w:tcPr>
            <w:tcW w:w="1101"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rPr>
              <w:t>闪蒸槽</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1101"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w:t>
            </w:r>
          </w:p>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合成塔</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50</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1101"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rPr>
              <w:t>预精馏塔</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73</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rPr>
              <w:t>主精馏塔</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51</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110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常压</w:t>
            </w:r>
          </w:p>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精馏塔</w:t>
            </w:r>
          </w:p>
        </w:tc>
        <w:tc>
          <w:tcPr>
            <w:tcW w:w="992" w:type="dxa"/>
            <w:tcBorders>
              <w:top w:val="single" w:color="000000" w:sz="4" w:space="0"/>
              <w:left w:val="single" w:color="auto"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156</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甲醇</w:t>
            </w:r>
          </w:p>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回收塔</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常压塔</w:t>
            </w:r>
          </w:p>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回流槽</w:t>
            </w:r>
          </w:p>
        </w:tc>
        <w:tc>
          <w:tcPr>
            <w:tcW w:w="992"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bottom w:val="single" w:color="000000" w:sz="4" w:space="0"/>
              <w:right w:val="single" w:color="000000" w:sz="4" w:space="0"/>
            </w:tcBorders>
          </w:tcPr>
          <w:p>
            <w:pPr>
              <w:spacing w:line="240" w:lineRule="atLeast"/>
              <w:rPr>
                <w:rFonts w:hint="default" w:ascii="Times New Roman" w:hAnsi="Times New Roman" w:eastAsia="宋体" w:cs="Times New Roman"/>
                <w:color w:val="auto"/>
              </w:rPr>
            </w:pPr>
          </w:p>
        </w:tc>
      </w:tr>
      <w:tr>
        <w:tblPrEx>
          <w:tblCellMar>
            <w:top w:w="0" w:type="dxa"/>
            <w:left w:w="108" w:type="dxa"/>
            <w:bottom w:w="0" w:type="dxa"/>
            <w:right w:w="108" w:type="dxa"/>
          </w:tblCellMar>
        </w:tblPrEx>
        <w:tc>
          <w:tcPr>
            <w:tcW w:w="8897" w:type="dxa"/>
            <w:gridSpan w:val="1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5万t/aMTBE装置</w:t>
            </w: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膨胀床</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19.3</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restart"/>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长庆石化公司污水处理厂</w:t>
            </w: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膨胀床</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18.5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催化</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蒸馏塔</w:t>
            </w:r>
          </w:p>
        </w:tc>
        <w:tc>
          <w:tcPr>
            <w:tcW w:w="992" w:type="dxa"/>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45.6</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催化</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蒸馏塔</w:t>
            </w:r>
          </w:p>
        </w:tc>
        <w:tc>
          <w:tcPr>
            <w:tcW w:w="992" w:type="dxa"/>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16.8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萃取塔</w:t>
            </w:r>
          </w:p>
        </w:tc>
        <w:tc>
          <w:tcPr>
            <w:tcW w:w="992" w:type="dxa"/>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8.4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甲醇塔</w:t>
            </w:r>
          </w:p>
        </w:tc>
        <w:tc>
          <w:tcPr>
            <w:tcW w:w="992" w:type="dxa"/>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净化器</w:t>
            </w:r>
          </w:p>
        </w:tc>
        <w:tc>
          <w:tcPr>
            <w:tcW w:w="992" w:type="dxa"/>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2.3</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原料</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净化器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4.0</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原料罐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11.8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催化蒸馏塔顶</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催化蒸馏塔顶</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甲醇回收塔顶</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甲醇</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原料罐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11</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催化蒸馏塔回流罐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甲醇塔回流罐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不凝气水洗罐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开停工</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回收罐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9</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1101" w:type="dxa"/>
            <w:tcBorders>
              <w:top w:val="single" w:color="000000" w:sz="4" w:space="0"/>
              <w:left w:val="single" w:color="000000" w:sz="4" w:space="0"/>
              <w:bottom w:val="single" w:color="auto" w:sz="4" w:space="0"/>
              <w:right w:val="single" w:color="000000" w:sz="4" w:space="0"/>
            </w:tcBorders>
            <w:vAlign w:val="center"/>
          </w:tcPr>
          <w:p>
            <w:pPr>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甲醇</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净化罐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2</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rPr>
          <w:trHeight w:val="455" w:hRule="atLeast"/>
        </w:trPr>
        <w:tc>
          <w:tcPr>
            <w:tcW w:w="1101" w:type="dxa"/>
            <w:tcBorders>
              <w:top w:val="single" w:color="000000" w:sz="4" w:space="0"/>
              <w:left w:val="single" w:color="000000" w:sz="4" w:space="0"/>
              <w:bottom w:val="single" w:color="auto" w:sz="4" w:space="0"/>
              <w:right w:val="single" w:color="000000" w:sz="4" w:space="0"/>
            </w:tcBorders>
            <w:vAlign w:val="center"/>
          </w:tcPr>
          <w:p>
            <w:pPr>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原料</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净化罐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1"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850" w:type="dxa"/>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gridSpan w:val="2"/>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rPr>
          <w:trHeight w:val="319" w:hRule="atLeast"/>
        </w:trPr>
        <w:tc>
          <w:tcPr>
            <w:tcW w:w="8897" w:type="dxa"/>
            <w:gridSpan w:val="13"/>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30万吨/年轻汽油醚化装置</w:t>
            </w:r>
          </w:p>
        </w:tc>
      </w:tr>
      <w:tr>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醚化保护反应器</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297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restart"/>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长庆石化公司污水处理厂</w:t>
            </w: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醚化主</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反应器</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297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醚化补充反应器</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297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轻汽油</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水洗塔</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分馏塔</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147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萃取塔</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72</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回收塔</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54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新鲜甲醇缓冲罐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16</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醚化分馏塔顶</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回流罐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甲醇回收塔顶</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回流罐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地下</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轻汽油</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缓冲罐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放空罐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9</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地下</w:t>
            </w:r>
          </w:p>
          <w:p>
            <w:pPr>
              <w:widowControl/>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污油罐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8897" w:type="dxa"/>
            <w:gridSpan w:val="13"/>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20万吨/年工业异辛烷</w:t>
            </w:r>
          </w:p>
        </w:tc>
      </w:tr>
      <w:tr>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异辛烷</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反应器</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115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restart"/>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长庆石化公司污水处理厂</w:t>
            </w: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含酸气</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碱洗塔</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30</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酸沉降罐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100.5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流出物</w:t>
            </w:r>
          </w:p>
          <w:p>
            <w:pPr>
              <w:autoSpaceDE w:val="0"/>
              <w:autoSpaceDN w:val="0"/>
              <w:adjustRightIn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酸洗罐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32</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流出物</w:t>
            </w:r>
          </w:p>
          <w:p>
            <w:pPr>
              <w:autoSpaceDE w:val="0"/>
              <w:autoSpaceDN w:val="0"/>
              <w:adjustRightIn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碱洗罐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流出物</w:t>
            </w:r>
          </w:p>
          <w:p>
            <w:pPr>
              <w:autoSpaceDE w:val="0"/>
              <w:autoSpaceDN w:val="0"/>
              <w:adjustRightIn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水洗罐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17</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外甩冷剂碱洗罐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排酸罐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75</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新酸罐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799</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vMerge w:val="restart"/>
            <w:tcBorders>
              <w:top w:val="single" w:color="auto" w:sz="4" w:space="0"/>
              <w:left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围堰：</w:t>
            </w:r>
            <w:r>
              <w:rPr>
                <w:rFonts w:hint="default" w:ascii="Times New Roman" w:hAnsi="Times New Roman" w:eastAsia="宋体" w:cs="Times New Roman"/>
                <w:bCs/>
                <w:color w:val="auto"/>
                <w:szCs w:val="21"/>
              </w:rPr>
              <w:t xml:space="preserve"> 1000m</w:t>
            </w:r>
            <w:r>
              <w:rPr>
                <w:rFonts w:hint="default" w:ascii="Times New Roman" w:hAnsi="Times New Roman" w:eastAsia="宋体" w:cs="Times New Roman"/>
                <w:bCs/>
                <w:color w:val="auto"/>
                <w:szCs w:val="21"/>
                <w:vertAlign w:val="superscript"/>
              </w:rPr>
              <w:t>3</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废酸罐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734</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vMerge w:val="continue"/>
            <w:tcBorders>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新碱罐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49</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地下</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污油罐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硫酸卧罐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12</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计量罐</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2</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反应器</w:t>
            </w:r>
          </w:p>
        </w:tc>
        <w:tc>
          <w:tcPr>
            <w:tcW w:w="1134" w:type="dxa"/>
            <w:gridSpan w:val="2"/>
            <w:tcBorders>
              <w:top w:val="single" w:color="000000" w:sz="4" w:space="0"/>
              <w:left w:val="single" w:color="000000" w:sz="4" w:space="0"/>
              <w:bottom w:val="single" w:color="000000" w:sz="4" w:space="0"/>
              <w:right w:val="single" w:color="000000" w:sz="4" w:space="0"/>
            </w:tcBorders>
            <w:vAlign w:val="bottom"/>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8</w:t>
            </w:r>
          </w:p>
        </w:tc>
        <w:tc>
          <w:tcPr>
            <w:tcW w:w="850" w:type="dxa"/>
            <w:gridSpan w:val="3"/>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000000" w:sz="4" w:space="0"/>
              <w:left w:val="single" w:color="000000" w:sz="4" w:space="0"/>
              <w:bottom w:val="single" w:color="000000"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gridSpan w:val="2"/>
            <w:tcBorders>
              <w:top w:val="single" w:color="000000" w:sz="4" w:space="0"/>
              <w:left w:val="single" w:color="auto"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c>
          <w:tcPr>
            <w:tcW w:w="8897" w:type="dxa"/>
            <w:gridSpan w:val="13"/>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甲醇罐区</w:t>
            </w:r>
          </w:p>
        </w:tc>
      </w:tr>
      <w:tr>
        <w:tblPrEx>
          <w:tblCellMar>
            <w:top w:w="0" w:type="dxa"/>
            <w:left w:w="108" w:type="dxa"/>
            <w:bottom w:w="0" w:type="dxa"/>
            <w:right w:w="108" w:type="dxa"/>
          </w:tblCellMar>
        </w:tblPrEx>
        <w:tc>
          <w:tcPr>
            <w:tcW w:w="1101" w:type="dxa"/>
            <w:tcBorders>
              <w:top w:val="single" w:color="auto" w:sz="4" w:space="0"/>
              <w:left w:val="single" w:color="000000" w:sz="4" w:space="0"/>
              <w:bottom w:val="single" w:color="auto" w:sz="4" w:space="0"/>
              <w:right w:val="single" w:color="000000" w:sz="4" w:space="0"/>
            </w:tcBorders>
            <w:vAlign w:val="center"/>
          </w:tcPr>
          <w:p>
            <w:pPr>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精甲醇</w:t>
            </w:r>
          </w:p>
        </w:tc>
        <w:tc>
          <w:tcPr>
            <w:tcW w:w="1134" w:type="dxa"/>
            <w:gridSpan w:val="2"/>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1580</w:t>
            </w:r>
          </w:p>
        </w:tc>
        <w:tc>
          <w:tcPr>
            <w:tcW w:w="850" w:type="dxa"/>
            <w:gridSpan w:val="3"/>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vMerge w:val="restart"/>
            <w:tcBorders>
              <w:top w:val="single" w:color="auto" w:sz="4" w:space="0"/>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围堰：</w:t>
            </w:r>
            <w:r>
              <w:rPr>
                <w:rFonts w:hint="default" w:ascii="Times New Roman" w:hAnsi="Times New Roman" w:eastAsia="宋体" w:cs="Times New Roman"/>
                <w:bCs/>
                <w:color w:val="auto"/>
                <w:szCs w:val="21"/>
              </w:rPr>
              <w:t xml:space="preserve"> 3618m</w:t>
            </w:r>
            <w:r>
              <w:rPr>
                <w:rFonts w:hint="default" w:ascii="Times New Roman" w:hAnsi="Times New Roman" w:eastAsia="宋体" w:cs="Times New Roman"/>
                <w:bCs/>
                <w:color w:val="auto"/>
                <w:szCs w:val="21"/>
                <w:vertAlign w:val="superscript"/>
              </w:rPr>
              <w:t>3</w:t>
            </w:r>
          </w:p>
        </w:tc>
        <w:tc>
          <w:tcPr>
            <w:tcW w:w="992" w:type="dxa"/>
            <w:gridSpan w:val="2"/>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restart"/>
            <w:tcBorders>
              <w:top w:val="single" w:color="auto"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长庆石化公司污水处理厂</w:t>
            </w:r>
          </w:p>
        </w:tc>
      </w:tr>
      <w:tr>
        <w:tblPrEx>
          <w:tblCellMar>
            <w:top w:w="0" w:type="dxa"/>
            <w:left w:w="108" w:type="dxa"/>
            <w:bottom w:w="0" w:type="dxa"/>
            <w:right w:w="108" w:type="dxa"/>
          </w:tblCellMar>
        </w:tblPrEx>
        <w:trPr>
          <w:trHeight w:val="361" w:hRule="atLeast"/>
        </w:trPr>
        <w:tc>
          <w:tcPr>
            <w:tcW w:w="1101" w:type="dxa"/>
            <w:tcBorders>
              <w:top w:val="single" w:color="auto" w:sz="4" w:space="0"/>
              <w:left w:val="single" w:color="000000" w:sz="4" w:space="0"/>
              <w:bottom w:val="single" w:color="auto" w:sz="4" w:space="0"/>
              <w:right w:val="single" w:color="000000" w:sz="4" w:space="0"/>
            </w:tcBorders>
            <w:vAlign w:val="center"/>
          </w:tcPr>
          <w:p>
            <w:pPr>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精甲醇</w:t>
            </w:r>
          </w:p>
        </w:tc>
        <w:tc>
          <w:tcPr>
            <w:tcW w:w="1134" w:type="dxa"/>
            <w:gridSpan w:val="2"/>
            <w:tcBorders>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126.5</w:t>
            </w:r>
          </w:p>
        </w:tc>
        <w:tc>
          <w:tcPr>
            <w:tcW w:w="850" w:type="dxa"/>
            <w:gridSpan w:val="3"/>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c>
          <w:tcPr>
            <w:tcW w:w="992" w:type="dxa"/>
            <w:gridSpan w:val="2"/>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rPr>
          <w:trHeight w:val="361" w:hRule="atLeast"/>
        </w:trPr>
        <w:tc>
          <w:tcPr>
            <w:tcW w:w="1101" w:type="dxa"/>
            <w:tcBorders>
              <w:top w:val="single" w:color="auto" w:sz="4" w:space="0"/>
              <w:left w:val="single" w:color="000000" w:sz="4" w:space="0"/>
              <w:bottom w:val="single" w:color="auto" w:sz="4" w:space="0"/>
              <w:right w:val="single" w:color="000000" w:sz="4" w:space="0"/>
            </w:tcBorders>
            <w:vAlign w:val="center"/>
          </w:tcPr>
          <w:p>
            <w:pPr>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粗甲醇</w:t>
            </w:r>
          </w:p>
        </w:tc>
        <w:tc>
          <w:tcPr>
            <w:tcW w:w="1134" w:type="dxa"/>
            <w:gridSpan w:val="2"/>
            <w:tcBorders>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316</w:t>
            </w:r>
          </w:p>
        </w:tc>
        <w:tc>
          <w:tcPr>
            <w:tcW w:w="850" w:type="dxa"/>
            <w:gridSpan w:val="3"/>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c>
          <w:tcPr>
            <w:tcW w:w="992" w:type="dxa"/>
            <w:gridSpan w:val="2"/>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vMerge w:val="continue"/>
            <w:tcBorders>
              <w:left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p>
        </w:tc>
      </w:tr>
      <w:tr>
        <w:tblPrEx>
          <w:tblCellMar>
            <w:top w:w="0" w:type="dxa"/>
            <w:left w:w="108" w:type="dxa"/>
            <w:bottom w:w="0" w:type="dxa"/>
            <w:right w:w="108" w:type="dxa"/>
          </w:tblCellMar>
        </w:tblPrEx>
        <w:trPr>
          <w:trHeight w:val="361" w:hRule="atLeast"/>
        </w:trPr>
        <w:tc>
          <w:tcPr>
            <w:tcW w:w="8897" w:type="dxa"/>
            <w:gridSpan w:val="13"/>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color w:val="auto"/>
                <w:szCs w:val="21"/>
              </w:rPr>
              <w:t>轻烃罐区</w:t>
            </w:r>
          </w:p>
        </w:tc>
      </w:tr>
      <w:tr>
        <w:tblPrEx>
          <w:tblCellMar>
            <w:top w:w="0" w:type="dxa"/>
            <w:left w:w="108" w:type="dxa"/>
            <w:bottom w:w="0" w:type="dxa"/>
            <w:right w:w="108" w:type="dxa"/>
          </w:tblCellMar>
        </w:tblPrEx>
        <w:trPr>
          <w:trHeight w:val="361" w:hRule="atLeast"/>
        </w:trPr>
        <w:tc>
          <w:tcPr>
            <w:tcW w:w="1101" w:type="dxa"/>
            <w:tcBorders>
              <w:top w:val="single" w:color="auto" w:sz="4" w:space="0"/>
              <w:left w:val="single" w:color="000000" w:sz="4" w:space="0"/>
              <w:bottom w:val="single" w:color="auto" w:sz="4" w:space="0"/>
              <w:right w:val="single" w:color="000000" w:sz="4" w:space="0"/>
            </w:tcBorders>
            <w:vAlign w:val="center"/>
          </w:tcPr>
          <w:p>
            <w:pPr>
              <w:spacing w:line="240" w:lineRule="atLeast"/>
              <w:ind w:firstLine="10" w:firstLineChars="5"/>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轻汽油</w:t>
            </w:r>
          </w:p>
        </w:tc>
        <w:tc>
          <w:tcPr>
            <w:tcW w:w="1134" w:type="dxa"/>
            <w:gridSpan w:val="2"/>
            <w:tcBorders>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1296</w:t>
            </w:r>
          </w:p>
        </w:tc>
        <w:tc>
          <w:tcPr>
            <w:tcW w:w="850" w:type="dxa"/>
            <w:gridSpan w:val="3"/>
            <w:tcBorders>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709" w:type="dxa"/>
            <w:tcBorders>
              <w:left w:val="single" w:color="000000"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围堰：</w:t>
            </w:r>
            <w:r>
              <w:rPr>
                <w:rFonts w:hint="default" w:ascii="Times New Roman" w:hAnsi="Times New Roman" w:eastAsia="宋体" w:cs="Times New Roman"/>
                <w:bCs/>
                <w:color w:val="auto"/>
                <w:szCs w:val="21"/>
              </w:rPr>
              <w:t xml:space="preserve"> 2300m</w:t>
            </w:r>
            <w:r>
              <w:rPr>
                <w:rFonts w:hint="default" w:ascii="Times New Roman" w:hAnsi="Times New Roman" w:eastAsia="宋体" w:cs="Times New Roman"/>
                <w:bCs/>
                <w:color w:val="auto"/>
                <w:szCs w:val="21"/>
                <w:vertAlign w:val="superscript"/>
              </w:rPr>
              <w:t>3</w:t>
            </w:r>
          </w:p>
        </w:tc>
        <w:tc>
          <w:tcPr>
            <w:tcW w:w="992" w:type="dxa"/>
            <w:gridSpan w:val="2"/>
            <w:tcBorders>
              <w:left w:val="single" w:color="auto"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7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长庆石化公司污水处理厂</w:t>
            </w:r>
          </w:p>
        </w:tc>
      </w:tr>
    </w:tbl>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表3.6-2企业水环境风险防控措施相关说明(2)</w:t>
      </w:r>
    </w:p>
    <w:tbl>
      <w:tblPr>
        <w:tblStyle w:val="75"/>
        <w:tblW w:w="8897" w:type="dxa"/>
        <w:tblInd w:w="0" w:type="dxa"/>
        <w:tblLayout w:type="fixed"/>
        <w:tblCellMar>
          <w:top w:w="0" w:type="dxa"/>
          <w:left w:w="108" w:type="dxa"/>
          <w:bottom w:w="0" w:type="dxa"/>
          <w:right w:w="108" w:type="dxa"/>
        </w:tblCellMar>
      </w:tblPr>
      <w:tblGrid>
        <w:gridCol w:w="1526"/>
        <w:gridCol w:w="992"/>
        <w:gridCol w:w="992"/>
        <w:gridCol w:w="1134"/>
        <w:gridCol w:w="1134"/>
        <w:gridCol w:w="1418"/>
        <w:gridCol w:w="1701"/>
      </w:tblGrid>
      <w:tr>
        <w:tblPrEx>
          <w:tblCellMar>
            <w:top w:w="0" w:type="dxa"/>
            <w:left w:w="108" w:type="dxa"/>
            <w:bottom w:w="0" w:type="dxa"/>
            <w:right w:w="108" w:type="dxa"/>
          </w:tblCellMar>
        </w:tblPrEx>
        <w:trPr>
          <w:trHeight w:val="866" w:hRule="atLeast"/>
        </w:trPr>
        <w:tc>
          <w:tcPr>
            <w:tcW w:w="1526" w:type="dxa"/>
            <w:vMerge w:val="restart"/>
            <w:tcBorders>
              <w:top w:val="single" w:color="000000" w:sz="4" w:space="0"/>
              <w:left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生产装置或场所</w:t>
            </w:r>
          </w:p>
        </w:tc>
        <w:tc>
          <w:tcPr>
            <w:tcW w:w="992" w:type="dxa"/>
            <w:vMerge w:val="restart"/>
            <w:tcBorders>
              <w:top w:val="single" w:color="000000" w:sz="4" w:space="0"/>
              <w:left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color w:val="auto"/>
                <w:szCs w:val="21"/>
              </w:rPr>
              <w:t>单罐最大储存量</w:t>
            </w:r>
          </w:p>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（t）</w:t>
            </w:r>
          </w:p>
        </w:tc>
        <w:tc>
          <w:tcPr>
            <w:tcW w:w="6379" w:type="dxa"/>
            <w:gridSpan w:val="5"/>
            <w:tcBorders>
              <w:top w:val="single" w:color="000000" w:sz="4" w:space="0"/>
              <w:left w:val="single" w:color="000000" w:sz="4" w:space="0"/>
              <w:right w:val="single" w:color="auto" w:sz="4" w:space="0"/>
            </w:tcBorders>
            <w:shd w:val="clear" w:color="auto" w:fill="FFFFFF"/>
            <w:vAlign w:val="center"/>
          </w:tcPr>
          <w:p>
            <w:pPr>
              <w:adjustRightInd w:val="0"/>
              <w:snapToGrid w:val="0"/>
              <w:spacing w:before="120" w:beforeLines="50" w:line="240" w:lineRule="atLeast"/>
              <w:ind w:firstLine="1687" w:firstLineChars="800"/>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事故废水收集措施</w:t>
            </w:r>
          </w:p>
        </w:tc>
      </w:tr>
      <w:tr>
        <w:tblPrEx>
          <w:tblCellMar>
            <w:top w:w="0" w:type="dxa"/>
            <w:left w:w="108" w:type="dxa"/>
            <w:bottom w:w="0" w:type="dxa"/>
            <w:right w:w="108" w:type="dxa"/>
          </w:tblCellMar>
        </w:tblPrEx>
        <w:trPr>
          <w:trHeight w:val="450" w:hRule="atLeast"/>
        </w:trPr>
        <w:tc>
          <w:tcPr>
            <w:tcW w:w="1526" w:type="dxa"/>
            <w:vMerge w:val="continue"/>
            <w:tcBorders>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p>
        </w:tc>
        <w:tc>
          <w:tcPr>
            <w:tcW w:w="992" w:type="dxa"/>
            <w:vMerge w:val="continue"/>
            <w:tcBorders>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p>
        </w:tc>
        <w:tc>
          <w:tcPr>
            <w:tcW w:w="992"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是否设事故排水收集设施</w:t>
            </w:r>
          </w:p>
        </w:tc>
        <w:tc>
          <w:tcPr>
            <w:tcW w:w="1134"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是否满足极端天气收集的要求</w:t>
            </w:r>
          </w:p>
        </w:tc>
        <w:tc>
          <w:tcPr>
            <w:tcW w:w="1134"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kern w:val="0"/>
                <w:szCs w:val="21"/>
              </w:rPr>
              <w:t>能否顺利收集泄漏物和消防水</w:t>
            </w:r>
          </w:p>
        </w:tc>
        <w:tc>
          <w:tcPr>
            <w:tcW w:w="1418"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日常能否保持足够的事故排水缓冲容量</w:t>
            </w:r>
          </w:p>
        </w:tc>
        <w:tc>
          <w:tcPr>
            <w:tcW w:w="1701" w:type="dxa"/>
            <w:tcBorders>
              <w:top w:val="single" w:color="auto" w:sz="4" w:space="0"/>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能将所收集废水送至厂区内污水处理设施处理</w:t>
            </w:r>
          </w:p>
        </w:tc>
      </w:tr>
      <w:tr>
        <w:tblPrEx>
          <w:tblCellMar>
            <w:top w:w="0" w:type="dxa"/>
            <w:left w:w="108" w:type="dxa"/>
            <w:bottom w:w="0" w:type="dxa"/>
            <w:right w:w="108" w:type="dxa"/>
          </w:tblCellMar>
        </w:tblPrEx>
        <w:trPr>
          <w:trHeight w:val="450" w:hRule="atLeast"/>
        </w:trPr>
        <w:tc>
          <w:tcPr>
            <w:tcW w:w="8897" w:type="dxa"/>
            <w:gridSpan w:val="7"/>
            <w:tcBorders>
              <w:left w:val="single" w:color="000000" w:sz="4" w:space="0"/>
              <w:bottom w:val="single" w:color="000000" w:sz="4" w:space="0"/>
              <w:right w:val="single" w:color="000000" w:sz="4" w:space="0"/>
            </w:tcBorders>
            <w:shd w:val="clear" w:color="auto" w:fill="FFFFFF"/>
            <w:vAlign w:val="center"/>
          </w:tcPr>
          <w:p>
            <w:pPr>
              <w:adjustRightInd w:val="0"/>
              <w:snapToGrid w:val="0"/>
              <w:spacing w:before="120" w:beforeLines="50"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bCs/>
                <w:color w:val="auto"/>
                <w:szCs w:val="21"/>
              </w:rPr>
              <w:t>10万t/a甲醇装置</w:t>
            </w:r>
          </w:p>
        </w:tc>
      </w:tr>
      <w:tr>
        <w:tblPrEx>
          <w:tblCellMar>
            <w:top w:w="0" w:type="dxa"/>
            <w:left w:w="108" w:type="dxa"/>
            <w:bottom w:w="0" w:type="dxa"/>
            <w:right w:w="108" w:type="dxa"/>
          </w:tblCellMar>
        </w:tblPrEx>
        <w:tc>
          <w:tcPr>
            <w:tcW w:w="1526"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甲醇分离器</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10</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rPr>
              <w:t>闪蒸槽</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甲醇合成塔</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50</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rPr>
              <w:t>预精馏塔</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73</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rPr>
              <w:t>主精馏塔</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51</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left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常压精馏塔</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156</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甲醇回收塔</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szCs w:val="21"/>
              </w:rPr>
              <w:t>常压塔回流槽</w:t>
            </w:r>
          </w:p>
        </w:tc>
        <w:tc>
          <w:tcPr>
            <w:tcW w:w="992" w:type="dxa"/>
            <w:tcBorders>
              <w:top w:val="single" w:color="000000" w:sz="4" w:space="0"/>
              <w:left w:val="single" w:color="000000" w:sz="4" w:space="0"/>
              <w:bottom w:val="single" w:color="000000" w:sz="4" w:space="0"/>
              <w:right w:val="single" w:color="000000" w:sz="4" w:space="0"/>
            </w:tcBorders>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8897" w:type="dxa"/>
            <w:gridSpan w:val="7"/>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5万t/aMTBE装置</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膨胀床反应器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19.3</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膨胀床反应器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18.5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催化蒸馏塔</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45.6</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催化蒸馏塔</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16.8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萃取塔</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8.4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甲醇塔</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甲醇净化器</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2.3</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原料净化器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4.0</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甲醇原料罐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11.8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催化蒸馏塔顶回流罐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催化蒸馏塔顶回流罐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甲醇回收塔顶回流罐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甲醇原料罐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11</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szCs w:val="21"/>
                <w:lang w:val="zh-CN"/>
              </w:rPr>
            </w:pPr>
            <w:r>
              <w:rPr>
                <w:rFonts w:hint="default" w:ascii="Times New Roman" w:hAnsi="Times New Roman" w:eastAsia="宋体" w:cs="Times New Roman"/>
                <w:color w:val="auto"/>
                <w:szCs w:val="21"/>
                <w:lang w:val="zh-CN"/>
              </w:rPr>
              <w:t>催化蒸馏塔</w:t>
            </w:r>
          </w:p>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甲醇塔回流罐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不凝气水洗罐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开停工回收罐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9</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000000" w:sz="4" w:space="0"/>
              <w:left w:val="single" w:color="000000" w:sz="4" w:space="0"/>
              <w:bottom w:val="single" w:color="auto" w:sz="4" w:space="0"/>
              <w:right w:val="single" w:color="000000" w:sz="4" w:space="0"/>
            </w:tcBorders>
            <w:vAlign w:val="center"/>
          </w:tcPr>
          <w:p>
            <w:pPr>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甲醇净化罐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2</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rPr>
          <w:trHeight w:val="455" w:hRule="atLeast"/>
        </w:trPr>
        <w:tc>
          <w:tcPr>
            <w:tcW w:w="1526" w:type="dxa"/>
            <w:tcBorders>
              <w:top w:val="single" w:color="000000" w:sz="4" w:space="0"/>
              <w:left w:val="single" w:color="000000" w:sz="4" w:space="0"/>
              <w:bottom w:val="single" w:color="auto" w:sz="4" w:space="0"/>
              <w:right w:val="single" w:color="000000" w:sz="4" w:space="0"/>
            </w:tcBorders>
            <w:vAlign w:val="center"/>
          </w:tcPr>
          <w:p>
            <w:pPr>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lang w:val="zh-CN"/>
              </w:rPr>
              <w:t>原料净化罐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rPr>
          <w:trHeight w:val="455" w:hRule="atLeast"/>
        </w:trPr>
        <w:tc>
          <w:tcPr>
            <w:tcW w:w="8897" w:type="dxa"/>
            <w:gridSpan w:val="7"/>
            <w:tcBorders>
              <w:top w:val="single" w:color="000000"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30万吨/年轻汽油醚化装置</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醚化保护</w:t>
            </w:r>
          </w:p>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297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醚化主反应器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297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auto"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auto"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醚化补充</w:t>
            </w:r>
          </w:p>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297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轻汽油水洗塔</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醚化分馏塔</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147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甲醇萃取塔</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72</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甲醇回收塔</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54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新鲜甲醇</w:t>
            </w:r>
          </w:p>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缓冲罐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16</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醚化分馏塔顶回流罐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27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甲醇回收塔顶回流罐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地下甲醇罐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轻汽油缓冲罐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放空罐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9</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widowControl/>
              <w:spacing w:line="24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地下污油罐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8897" w:type="dxa"/>
            <w:gridSpan w:val="7"/>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bCs/>
                <w:color w:val="auto"/>
                <w:szCs w:val="21"/>
              </w:rPr>
              <w:t>20万吨/年工业异辛烷</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异辛烷反应器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115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含酸气碱洗塔</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30</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32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酸沉降罐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100.5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32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流出物酸洗罐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32</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32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流出物碱洗罐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32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流出物水洗罐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17</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spacing w:line="320" w:lineRule="exac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外甩冷剂</w:t>
            </w:r>
          </w:p>
          <w:p>
            <w:pPr>
              <w:autoSpaceDE w:val="0"/>
              <w:autoSpaceDN w:val="0"/>
              <w:adjustRightInd w:val="0"/>
              <w:spacing w:line="320" w:lineRule="exac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碱洗罐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排酸罐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75</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新酸罐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799</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废酸罐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734</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新碱罐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49</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地下污油罐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硫酸卧罐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12</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计量罐</w:t>
            </w:r>
          </w:p>
        </w:tc>
        <w:tc>
          <w:tcPr>
            <w:tcW w:w="992" w:type="dxa"/>
            <w:tcBorders>
              <w:top w:val="single" w:color="000000" w:sz="4" w:space="0"/>
              <w:left w:val="single" w:color="000000" w:sz="4" w:space="0"/>
              <w:bottom w:val="single" w:color="000000" w:sz="4" w:space="0"/>
              <w:right w:val="single" w:color="000000" w:sz="4" w:space="0"/>
            </w:tcBorders>
            <w:vAlign w:val="bottom"/>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2</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反应器</w:t>
            </w:r>
          </w:p>
        </w:tc>
        <w:tc>
          <w:tcPr>
            <w:tcW w:w="992" w:type="dxa"/>
            <w:tcBorders>
              <w:top w:val="single" w:color="000000" w:sz="4" w:space="0"/>
              <w:left w:val="single" w:color="000000" w:sz="4" w:space="0"/>
              <w:bottom w:val="single" w:color="000000" w:sz="4" w:space="0"/>
              <w:right w:val="single" w:color="000000" w:sz="4" w:space="0"/>
            </w:tcBorders>
            <w:vAlign w:val="bottom"/>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8</w:t>
            </w:r>
          </w:p>
        </w:tc>
        <w:tc>
          <w:tcPr>
            <w:tcW w:w="992"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000000" w:sz="4" w:space="0"/>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c>
          <w:tcPr>
            <w:tcW w:w="8897" w:type="dxa"/>
            <w:gridSpan w:val="7"/>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szCs w:val="21"/>
              </w:rPr>
              <w:t>甲醇罐区</w:t>
            </w:r>
          </w:p>
        </w:tc>
      </w:tr>
      <w:tr>
        <w:tblPrEx>
          <w:tblCellMar>
            <w:top w:w="0" w:type="dxa"/>
            <w:left w:w="108" w:type="dxa"/>
            <w:bottom w:w="0" w:type="dxa"/>
            <w:right w:w="108" w:type="dxa"/>
          </w:tblCellMar>
        </w:tblPrEx>
        <w:tc>
          <w:tcPr>
            <w:tcW w:w="1526" w:type="dxa"/>
            <w:tcBorders>
              <w:top w:val="single" w:color="auto" w:sz="4" w:space="0"/>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精甲醇</w:t>
            </w:r>
          </w:p>
        </w:tc>
        <w:tc>
          <w:tcPr>
            <w:tcW w:w="992"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szCs w:val="21"/>
              </w:rPr>
              <w:t>1580</w:t>
            </w:r>
          </w:p>
        </w:tc>
        <w:tc>
          <w:tcPr>
            <w:tcW w:w="992"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rPr>
          <w:trHeight w:val="361" w:hRule="atLeast"/>
        </w:trPr>
        <w:tc>
          <w:tcPr>
            <w:tcW w:w="1526" w:type="dxa"/>
            <w:tcBorders>
              <w:top w:val="single" w:color="auto" w:sz="4" w:space="0"/>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精甲醇</w:t>
            </w:r>
          </w:p>
        </w:tc>
        <w:tc>
          <w:tcPr>
            <w:tcW w:w="992" w:type="dxa"/>
            <w:tcBorders>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126.5</w:t>
            </w:r>
          </w:p>
        </w:tc>
        <w:tc>
          <w:tcPr>
            <w:tcW w:w="992"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rPr>
          <w:trHeight w:val="361" w:hRule="atLeast"/>
        </w:trPr>
        <w:tc>
          <w:tcPr>
            <w:tcW w:w="1526" w:type="dxa"/>
            <w:tcBorders>
              <w:top w:val="single" w:color="auto" w:sz="4" w:space="0"/>
              <w:left w:val="single" w:color="000000" w:sz="4" w:space="0"/>
              <w:bottom w:val="single" w:color="auto" w:sz="4" w:space="0"/>
              <w:right w:val="single" w:color="000000"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粗甲醇</w:t>
            </w:r>
          </w:p>
        </w:tc>
        <w:tc>
          <w:tcPr>
            <w:tcW w:w="992" w:type="dxa"/>
            <w:tcBorders>
              <w:left w:val="single" w:color="000000" w:sz="4" w:space="0"/>
              <w:bottom w:val="single" w:color="000000" w:sz="4" w:space="0"/>
              <w:right w:val="single" w:color="000000"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316</w:t>
            </w:r>
          </w:p>
        </w:tc>
        <w:tc>
          <w:tcPr>
            <w:tcW w:w="992"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left w:val="single" w:color="000000" w:sz="4" w:space="0"/>
              <w:bottom w:val="single" w:color="000000"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CellMar>
            <w:top w:w="0" w:type="dxa"/>
            <w:left w:w="108" w:type="dxa"/>
            <w:bottom w:w="0" w:type="dxa"/>
            <w:right w:w="108" w:type="dxa"/>
          </w:tblCellMar>
        </w:tblPrEx>
        <w:trPr>
          <w:trHeight w:val="361" w:hRule="atLeast"/>
        </w:trPr>
        <w:tc>
          <w:tcPr>
            <w:tcW w:w="8897" w:type="dxa"/>
            <w:gridSpan w:val="7"/>
            <w:tcBorders>
              <w:top w:val="single" w:color="auto" w:sz="4" w:space="0"/>
              <w:left w:val="single" w:color="000000" w:sz="4" w:space="0"/>
              <w:bottom w:val="single" w:color="auto" w:sz="4" w:space="0"/>
              <w:right w:val="single" w:color="000000"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
                <w:color w:val="auto"/>
                <w:szCs w:val="21"/>
              </w:rPr>
              <w:t>轻烃罐区</w:t>
            </w:r>
          </w:p>
        </w:tc>
      </w:tr>
      <w:tr>
        <w:tblPrEx>
          <w:tblCellMar>
            <w:top w:w="0" w:type="dxa"/>
            <w:left w:w="108" w:type="dxa"/>
            <w:bottom w:w="0" w:type="dxa"/>
            <w:right w:w="108" w:type="dxa"/>
          </w:tblCellMar>
        </w:tblPrEx>
        <w:trPr>
          <w:trHeight w:val="361" w:hRule="atLeast"/>
        </w:trPr>
        <w:tc>
          <w:tcPr>
            <w:tcW w:w="1526" w:type="dxa"/>
            <w:tcBorders>
              <w:top w:val="single" w:color="auto" w:sz="4" w:space="0"/>
              <w:left w:val="single" w:color="auto" w:sz="4" w:space="0"/>
              <w:bottom w:val="single" w:color="auto" w:sz="4" w:space="0"/>
              <w:right w:val="single" w:color="auto" w:sz="4" w:space="0"/>
            </w:tcBorders>
            <w:vAlign w:val="center"/>
          </w:tcPr>
          <w:p>
            <w:pPr>
              <w:spacing w:line="360" w:lineRule="auto"/>
              <w:ind w:firstLine="10" w:firstLineChars="5"/>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轻汽油</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szCs w:val="21"/>
              </w:rPr>
              <w:t>1296</w:t>
            </w:r>
          </w:p>
        </w:tc>
        <w:tc>
          <w:tcPr>
            <w:tcW w:w="992"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34"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418"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01"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before="120" w:beforeLines="50"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bl>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表3.6-3企业水环境其他风险防控措施相关说明(3)</w:t>
      </w:r>
    </w:p>
    <w:tbl>
      <w:tblPr>
        <w:tblStyle w:val="75"/>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7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8" w:hRule="atLeast"/>
        </w:trPr>
        <w:tc>
          <w:tcPr>
            <w:tcW w:w="1101"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生产装置</w:t>
            </w:r>
          </w:p>
        </w:tc>
        <w:tc>
          <w:tcPr>
            <w:tcW w:w="779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清净废水系统风险防控措施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9" w:hRule="atLeast"/>
        </w:trPr>
        <w:tc>
          <w:tcPr>
            <w:tcW w:w="1101" w:type="dxa"/>
            <w:vMerge w:val="restart"/>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公司区域所有装置区</w:t>
            </w:r>
          </w:p>
        </w:tc>
        <w:tc>
          <w:tcPr>
            <w:tcW w:w="7796"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厂区内不涉及清净废水外排系统，装置区所有清净下水均收集至</w:t>
            </w:r>
            <w:r>
              <w:rPr>
                <w:rFonts w:hint="default" w:ascii="Times New Roman" w:hAnsi="Times New Roman" w:eastAsia="宋体" w:cs="Times New Roman"/>
                <w:color w:val="auto"/>
              </w:rPr>
              <w:t>长庆石化公司污水处理厂处理</w:t>
            </w:r>
            <w:r>
              <w:rPr>
                <w:rFonts w:hint="default" w:ascii="Times New Roman" w:hAnsi="Times New Roman" w:eastAsia="宋体" w:cs="Times New Roman"/>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雨水排水系统风险防控措施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7"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①设初期雨水的收集池，容积为</w:t>
            </w:r>
            <w:r>
              <w:rPr>
                <w:rFonts w:hint="default" w:ascii="Times New Roman" w:hAnsi="Times New Roman" w:eastAsia="宋体" w:cs="Times New Roman"/>
                <w:bCs/>
                <w:color w:val="auto"/>
                <w:szCs w:val="21"/>
              </w:rPr>
              <w:t>8500</w:t>
            </w:r>
            <w:r>
              <w:rPr>
                <w:rFonts w:hint="default" w:ascii="Times New Roman" w:hAnsi="Times New Roman" w:eastAsia="宋体" w:cs="Times New Roman"/>
                <w:color w:val="auto"/>
                <w:kern w:val="0"/>
                <w:szCs w:val="21"/>
              </w:rPr>
              <w: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；池出水管上设置切断阀，正常情况下阀门关闭，防止受污染的雨水外排；池内设有提升设施或通过自流，能将所收集物送至</w:t>
            </w:r>
            <w:r>
              <w:rPr>
                <w:rFonts w:hint="default" w:ascii="Times New Roman" w:hAnsi="Times New Roman" w:eastAsia="宋体" w:cs="Times New Roman"/>
                <w:color w:val="auto"/>
              </w:rPr>
              <w:t>长庆石化公司污水处理厂处理</w:t>
            </w:r>
            <w:r>
              <w:rPr>
                <w:rFonts w:hint="default" w:ascii="Times New Roman" w:hAnsi="Times New Roman" w:eastAsia="宋体" w:cs="Times New Roman"/>
                <w:color w:val="auto"/>
                <w:kern w:val="0"/>
                <w:szCs w:val="21"/>
              </w:rPr>
              <w:t>；②具有雨水系统总排口关闭设施，在紧急情况下有专人负责关闭雨水系统总排口，防止雨水、消防水和泄漏物进入外环境。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2"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生产废水处理系统风险防控措施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6"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①装置区事故废水及污染雨水、消防水等收集到围堰内，排入</w:t>
            </w:r>
            <w:r>
              <w:rPr>
                <w:rFonts w:hint="default" w:ascii="Times New Roman" w:hAnsi="Times New Roman" w:eastAsia="宋体" w:cs="Times New Roman"/>
                <w:color w:val="auto"/>
              </w:rPr>
              <w:t>长庆石化公司污水</w:t>
            </w:r>
            <w:r>
              <w:rPr>
                <w:rFonts w:hint="default" w:ascii="Times New Roman" w:hAnsi="Times New Roman" w:eastAsia="宋体" w:cs="Times New Roman"/>
                <w:color w:val="auto"/>
                <w:szCs w:val="21"/>
              </w:rPr>
              <w:t>处理厂处理</w:t>
            </w:r>
            <w:r>
              <w:rPr>
                <w:rFonts w:hint="default" w:ascii="Times New Roman" w:hAnsi="Times New Roman" w:eastAsia="宋体" w:cs="Times New Roman"/>
                <w:color w:val="auto"/>
                <w:kern w:val="0"/>
                <w:szCs w:val="21"/>
              </w:rPr>
              <w:t>；②生产废水系统废水，能够全部送</w:t>
            </w:r>
            <w:r>
              <w:rPr>
                <w:rFonts w:hint="default" w:ascii="Times New Roman" w:hAnsi="Times New Roman" w:eastAsia="宋体" w:cs="Times New Roman"/>
                <w:color w:val="auto"/>
                <w:szCs w:val="21"/>
              </w:rPr>
              <w:t>长庆石化公司污水处理厂处理</w:t>
            </w:r>
            <w:r>
              <w:rPr>
                <w:rFonts w:hint="default" w:ascii="Times New Roman" w:hAnsi="Times New Roman" w:eastAsia="宋体" w:cs="Times New Roman"/>
                <w:color w:val="auto"/>
                <w:kern w:val="0"/>
                <w:szCs w:val="21"/>
              </w:rPr>
              <w:t>；③设置</w:t>
            </w:r>
            <w:r>
              <w:rPr>
                <w:rFonts w:hint="default" w:ascii="Times New Roman" w:hAnsi="Times New Roman" w:eastAsia="宋体" w:cs="Times New Roman"/>
                <w:bCs/>
                <w:color w:val="auto"/>
                <w:szCs w:val="21"/>
              </w:rPr>
              <w:t>8500</w:t>
            </w:r>
            <w:r>
              <w:rPr>
                <w:rFonts w:hint="default" w:ascii="Times New Roman" w:hAnsi="Times New Roman" w:eastAsia="宋体" w:cs="Times New Roman"/>
                <w:color w:val="auto"/>
                <w:kern w:val="0"/>
                <w:szCs w:val="21"/>
              </w:rPr>
              <w: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事故废水收集池，可收集罐区及各生产装置区泄漏物及事故洗消废水；</w:t>
            </w:r>
            <w:r>
              <w:rPr>
                <w:rFonts w:hint="default" w:ascii="Times New Roman" w:hAnsi="Times New Roman" w:eastAsia="宋体" w:cs="Times New Roman"/>
                <w:color w:val="auto"/>
                <w:kern w:val="0"/>
                <w:szCs w:val="21"/>
              </w:rPr>
              <w:fldChar w:fldCharType="begin"/>
            </w:r>
            <w:r>
              <w:rPr>
                <w:rFonts w:hint="default" w:ascii="Times New Roman" w:hAnsi="Times New Roman" w:eastAsia="宋体" w:cs="Times New Roman"/>
                <w:color w:val="auto"/>
                <w:kern w:val="0"/>
                <w:szCs w:val="21"/>
              </w:rPr>
              <w:instrText xml:space="preserve">= 4 \* GB3</w:instrText>
            </w:r>
            <w:r>
              <w:rPr>
                <w:rFonts w:hint="default" w:ascii="Times New Roman" w:hAnsi="Times New Roman" w:eastAsia="宋体" w:cs="Times New Roman"/>
                <w:color w:val="auto"/>
                <w:kern w:val="0"/>
                <w:szCs w:val="21"/>
              </w:rPr>
              <w:fldChar w:fldCharType="separate"/>
            </w:r>
            <w:r>
              <w:rPr>
                <w:rFonts w:hint="default" w:ascii="Times New Roman" w:hAnsi="Times New Roman" w:eastAsia="宋体" w:cs="Times New Roman"/>
                <w:color w:val="auto"/>
                <w:kern w:val="0"/>
                <w:szCs w:val="21"/>
              </w:rPr>
              <w:t>④</w:t>
            </w:r>
            <w:r>
              <w:rPr>
                <w:rFonts w:hint="default" w:ascii="Times New Roman" w:hAnsi="Times New Roman" w:eastAsia="宋体" w:cs="Times New Roman"/>
                <w:color w:val="auto"/>
                <w:kern w:val="0"/>
                <w:szCs w:val="21"/>
              </w:rPr>
              <w:fldChar w:fldCharType="end"/>
            </w:r>
            <w:r>
              <w:rPr>
                <w:rFonts w:hint="default" w:ascii="Times New Roman" w:hAnsi="Times New Roman" w:eastAsia="宋体" w:cs="Times New Roman"/>
                <w:color w:val="auto"/>
                <w:kern w:val="0"/>
                <w:szCs w:val="21"/>
              </w:rPr>
              <w:t>生产废水经</w:t>
            </w:r>
            <w:r>
              <w:rPr>
                <w:rFonts w:hint="default" w:ascii="Times New Roman" w:hAnsi="Times New Roman" w:eastAsia="宋体" w:cs="Times New Roman"/>
                <w:color w:val="auto"/>
              </w:rPr>
              <w:t>长庆石化公司污水处理厂处理</w:t>
            </w:r>
            <w:r>
              <w:rPr>
                <w:rFonts w:hint="default" w:ascii="Times New Roman" w:hAnsi="Times New Roman" w:eastAsia="宋体" w:cs="Times New Roman"/>
                <w:color w:val="auto"/>
                <w:kern w:val="0"/>
                <w:szCs w:val="21"/>
              </w:rPr>
              <w:t>后，达标排放。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废水排放去向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ind w:firstLine="420" w:firstLineChars="20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废水排放进入</w:t>
            </w:r>
            <w:r>
              <w:rPr>
                <w:rFonts w:hint="default" w:ascii="Times New Roman" w:hAnsi="Times New Roman" w:eastAsia="宋体" w:cs="Times New Roman"/>
                <w:color w:val="auto"/>
              </w:rPr>
              <w:t>长庆石化公司污水处理厂处理。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厂内危险废物环境管理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针对危险废物分区贮存、运输、利用、处置具有完善的专业设施和风险防控措施，</w:t>
            </w:r>
            <w:r>
              <w:rPr>
                <w:rFonts w:hint="default" w:ascii="Times New Roman" w:hAnsi="Times New Roman" w:eastAsia="宋体" w:cs="Times New Roman"/>
                <w:color w:val="auto"/>
              </w:rPr>
              <w:t>交有资质单位处理</w:t>
            </w:r>
            <w:r>
              <w:rPr>
                <w:rFonts w:hint="default" w:ascii="Times New Roman" w:hAnsi="Times New Roman" w:eastAsia="宋体" w:cs="Times New Roman"/>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0"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近3年内突发水环境事件发生情况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3" w:hRule="atLeast"/>
        </w:trPr>
        <w:tc>
          <w:tcPr>
            <w:tcW w:w="1101" w:type="dxa"/>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7796" w:type="dxa"/>
            <w:vAlign w:val="center"/>
          </w:tcPr>
          <w:p>
            <w:pPr>
              <w:spacing w:line="240" w:lineRule="atLeast"/>
              <w:ind w:firstLine="420" w:firstLineChars="20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未发生突发水环境事件的</w:t>
            </w:r>
          </w:p>
        </w:tc>
      </w:tr>
    </w:tbl>
    <w:p>
      <w:pPr>
        <w:spacing w:before="120" w:beforeLines="50" w:after="120" w:afterLines="50" w:line="360" w:lineRule="auto"/>
        <w:jc w:val="left"/>
        <w:outlineLvl w:val="2"/>
        <w:rPr>
          <w:rFonts w:hint="default" w:ascii="Times New Roman" w:hAnsi="Times New Roman" w:eastAsia="宋体" w:cs="Times New Roman"/>
          <w:b/>
          <w:color w:val="auto"/>
          <w:kern w:val="0"/>
          <w:sz w:val="24"/>
        </w:rPr>
      </w:pPr>
      <w:r>
        <w:rPr>
          <w:rFonts w:hint="default" w:ascii="Times New Roman" w:hAnsi="Times New Roman" w:eastAsia="宋体" w:cs="Times New Roman"/>
          <w:b/>
          <w:bCs/>
          <w:color w:val="auto"/>
          <w:kern w:val="0"/>
          <w:sz w:val="24"/>
        </w:rPr>
        <w:t>3.6.2现有</w:t>
      </w:r>
      <w:r>
        <w:rPr>
          <w:rFonts w:hint="default" w:ascii="Times New Roman" w:hAnsi="Times New Roman" w:eastAsia="宋体" w:cs="Times New Roman"/>
          <w:b/>
          <w:color w:val="auto"/>
          <w:kern w:val="0"/>
          <w:sz w:val="24"/>
        </w:rPr>
        <w:t>水环境风险防控措施评估</w:t>
      </w:r>
    </w:p>
    <w:p>
      <w:pPr>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依据公司现有环境风险防控措施分析结果，评估其环境风险防控措施见表3.6-4。</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附表 3.6-4企业水环境风险防控措施及突发水环境事件发生情况评估</w:t>
      </w:r>
    </w:p>
    <w:tbl>
      <w:tblPr>
        <w:tblStyle w:val="75"/>
        <w:tblW w:w="88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5387"/>
        <w:gridCol w:w="850"/>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rPr>
        <w:tc>
          <w:tcPr>
            <w:tcW w:w="1384"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评估指标</w:t>
            </w:r>
          </w:p>
        </w:tc>
        <w:tc>
          <w:tcPr>
            <w:tcW w:w="5387"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bCs/>
                <w:color w:val="auto"/>
                <w:kern w:val="0"/>
                <w:szCs w:val="21"/>
              </w:rPr>
              <w:t>相关说明</w:t>
            </w:r>
          </w:p>
        </w:tc>
        <w:tc>
          <w:tcPr>
            <w:tcW w:w="850"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指标</w:t>
            </w:r>
          </w:p>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分值</w:t>
            </w:r>
          </w:p>
        </w:tc>
        <w:tc>
          <w:tcPr>
            <w:tcW w:w="127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bCs/>
                <w:color w:val="auto"/>
                <w:kern w:val="0"/>
                <w:szCs w:val="21"/>
              </w:rPr>
              <w:t>得分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截流措施</w:t>
            </w:r>
          </w:p>
        </w:tc>
        <w:tc>
          <w:tcPr>
            <w:tcW w:w="5387" w:type="dxa"/>
            <w:vAlign w:val="center"/>
          </w:tcPr>
          <w:p>
            <w:pPr>
              <w:numPr>
                <w:ilvl w:val="0"/>
                <w:numId w:val="1"/>
              </w:num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甲醇生产装置区未设置装置围堰，</w:t>
            </w:r>
            <w:r>
              <w:rPr>
                <w:rFonts w:hint="default" w:ascii="Times New Roman" w:hAnsi="Times New Roman" w:eastAsia="宋体" w:cs="Times New Roman"/>
                <w:color w:val="auto"/>
                <w:szCs w:val="21"/>
              </w:rPr>
              <w:t>防</w:t>
            </w:r>
            <w:r>
              <w:rPr>
                <w:rFonts w:hint="default" w:ascii="Times New Roman" w:hAnsi="Times New Roman" w:eastAsia="宋体" w:cs="Times New Roman"/>
                <w:color w:val="auto"/>
                <w:kern w:val="0"/>
                <w:szCs w:val="21"/>
              </w:rPr>
              <w:t>流失措施缺失，截流措施不符合要求。</w:t>
            </w:r>
          </w:p>
          <w:p>
            <w:pPr>
              <w:numPr>
                <w:ilvl w:val="0"/>
                <w:numId w:val="0"/>
              </w:num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（2）甲醇、液化石油气、轻汽油、浓硫酸罐区设置围堰，并设雨污切换阀，正常情况下通向雨水阀门关闭，通向事故废水池等系统阀门打开。</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（3）前述措施日常管理及维护良好，有专人负责阀门切换或设置自动切换设施，保证初期雨水、泄漏物和受污染的消防水排入污水系统。</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98"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事故废水收集措施</w:t>
            </w:r>
          </w:p>
        </w:tc>
        <w:tc>
          <w:tcPr>
            <w:tcW w:w="5387" w:type="dxa"/>
            <w:vAlign w:val="center"/>
          </w:tcPr>
          <w:p>
            <w:pPr>
              <w:spacing w:line="240" w:lineRule="atLeast"/>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（1）按设计规范建8500m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事故废水收集池，可收集</w:t>
            </w:r>
          </w:p>
          <w:p>
            <w:pP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甲醇、液化石油气、轻汽油、浓硫酸罐区及各生产装置区事故排水，并满足极端天气情况下事故废水排放收集的要求。</w:t>
            </w:r>
          </w:p>
          <w:p>
            <w:pPr>
              <w:spacing w:line="240" w:lineRule="atLeast"/>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（2）各环境风险单元设导流沟，确保事故排水收集设施在事故状态下能顺利收集泄漏物和消防水，日常保持足够的事故排水缓冲容量；</w:t>
            </w:r>
          </w:p>
          <w:p>
            <w:pPr>
              <w:spacing w:line="240" w:lineRule="atLeast"/>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（3）事故池可通过管网送至长庆石化公司污水处理厂处理。</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7"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清净废水系统风险防控措施</w:t>
            </w:r>
          </w:p>
        </w:tc>
        <w:tc>
          <w:tcPr>
            <w:tcW w:w="5387" w:type="dxa"/>
            <w:vAlign w:val="center"/>
          </w:tcPr>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厂区内不涉及清净废水外排系统，装置区所有清净下水均收集至</w:t>
            </w:r>
            <w:r>
              <w:rPr>
                <w:rFonts w:hint="default" w:ascii="Times New Roman" w:hAnsi="Times New Roman" w:eastAsia="宋体" w:cs="Times New Roman"/>
                <w:color w:val="auto"/>
                <w:szCs w:val="21"/>
              </w:rPr>
              <w:t>长庆石化公司污水处理厂处理。</w:t>
            </w:r>
          </w:p>
        </w:tc>
        <w:tc>
          <w:tcPr>
            <w:tcW w:w="850" w:type="dxa"/>
            <w:vAlign w:val="center"/>
          </w:tcPr>
          <w:p>
            <w:pPr>
              <w:spacing w:line="240" w:lineRule="atLeast"/>
              <w:ind w:firstLine="420" w:firstLineChars="20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06"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雨水排水系统风险防控措施</w:t>
            </w:r>
          </w:p>
        </w:tc>
        <w:tc>
          <w:tcPr>
            <w:tcW w:w="5387" w:type="dxa"/>
            <w:vAlign w:val="center"/>
          </w:tcPr>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①初期雨水的收集池，与事故应急池合建，容积为</w:t>
            </w:r>
            <w:r>
              <w:rPr>
                <w:rFonts w:hint="default" w:ascii="Times New Roman" w:hAnsi="Times New Roman" w:eastAsia="宋体" w:cs="Times New Roman"/>
                <w:bCs/>
                <w:color w:val="auto"/>
                <w:szCs w:val="21"/>
              </w:rPr>
              <w:t>8500</w:t>
            </w:r>
            <w:r>
              <w:rPr>
                <w:rFonts w:hint="default" w:ascii="Times New Roman" w:hAnsi="Times New Roman" w:eastAsia="宋体" w:cs="Times New Roman"/>
                <w:color w:val="auto"/>
                <w:kern w:val="0"/>
                <w:szCs w:val="21"/>
              </w:rPr>
              <w: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；收集池出水管上设置切断阀，正常情况下阀门关闭，防止受污染的雨水外排；池内设有提升设施或通过自流，能将所收集物送至</w:t>
            </w:r>
            <w:r>
              <w:rPr>
                <w:rFonts w:hint="default" w:ascii="Times New Roman" w:hAnsi="Times New Roman" w:eastAsia="宋体" w:cs="Times New Roman"/>
                <w:color w:val="auto"/>
                <w:szCs w:val="21"/>
              </w:rPr>
              <w:t>长庆石化公司污水处理厂处理</w:t>
            </w:r>
            <w:r>
              <w:rPr>
                <w:rFonts w:hint="default" w:ascii="Times New Roman" w:hAnsi="Times New Roman" w:eastAsia="宋体" w:cs="Times New Roman"/>
                <w:color w:val="auto"/>
                <w:kern w:val="0"/>
                <w:szCs w:val="21"/>
              </w:rPr>
              <w:t>；</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②具有雨水系统总排口关闭设施，在紧急情况下有专人负责关闭雨水系统总排口，防止雨水、消防水和泄漏物进入外环境。</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4"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生产废水处理系统风险防控措施</w:t>
            </w:r>
          </w:p>
        </w:tc>
        <w:tc>
          <w:tcPr>
            <w:tcW w:w="5387" w:type="dxa"/>
            <w:vAlign w:val="center"/>
          </w:tcPr>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①污染的循环冷却水、雨水、消防水等排入</w:t>
            </w:r>
            <w:r>
              <w:rPr>
                <w:rFonts w:hint="default" w:ascii="Times New Roman" w:hAnsi="Times New Roman" w:eastAsia="宋体" w:cs="Times New Roman"/>
                <w:color w:val="auto"/>
                <w:szCs w:val="21"/>
              </w:rPr>
              <w:t>长庆石化公司污水处理厂处理</w:t>
            </w:r>
            <w:r>
              <w:rPr>
                <w:rFonts w:hint="default" w:ascii="Times New Roman" w:hAnsi="Times New Roman" w:eastAsia="宋体" w:cs="Times New Roman"/>
                <w:color w:val="auto"/>
                <w:kern w:val="0"/>
                <w:szCs w:val="21"/>
              </w:rPr>
              <w:t>；</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②生产废水系统废水，能够全部送</w:t>
            </w:r>
            <w:r>
              <w:rPr>
                <w:rFonts w:hint="default" w:ascii="Times New Roman" w:hAnsi="Times New Roman" w:eastAsia="宋体" w:cs="Times New Roman"/>
                <w:color w:val="auto"/>
                <w:szCs w:val="21"/>
              </w:rPr>
              <w:t>长庆石化公司污水处理厂处理</w:t>
            </w:r>
            <w:r>
              <w:rPr>
                <w:rFonts w:hint="default" w:ascii="Times New Roman" w:hAnsi="Times New Roman" w:eastAsia="宋体" w:cs="Times New Roman"/>
                <w:color w:val="auto"/>
                <w:kern w:val="0"/>
                <w:szCs w:val="21"/>
              </w:rPr>
              <w:t>；</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③设置</w:t>
            </w:r>
            <w:r>
              <w:rPr>
                <w:rFonts w:hint="default" w:ascii="Times New Roman" w:hAnsi="Times New Roman" w:eastAsia="宋体" w:cs="Times New Roman"/>
                <w:bCs/>
                <w:color w:val="auto"/>
                <w:szCs w:val="21"/>
              </w:rPr>
              <w:t>8500</w:t>
            </w:r>
            <w:r>
              <w:rPr>
                <w:rFonts w:hint="default" w:ascii="Times New Roman" w:hAnsi="Times New Roman" w:eastAsia="宋体" w:cs="Times New Roman"/>
                <w:color w:val="auto"/>
                <w:kern w:val="0"/>
                <w:szCs w:val="21"/>
              </w:rPr>
              <w:t>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事故废水收集池，可收集罐区及各生产装置区泄漏物及事故洗消废水；</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fldChar w:fldCharType="begin"/>
            </w:r>
            <w:r>
              <w:rPr>
                <w:rFonts w:hint="default" w:ascii="Times New Roman" w:hAnsi="Times New Roman" w:eastAsia="宋体" w:cs="Times New Roman"/>
                <w:color w:val="auto"/>
                <w:kern w:val="0"/>
                <w:szCs w:val="21"/>
              </w:rPr>
              <w:instrText xml:space="preserve">= 4 \* GB3</w:instrText>
            </w:r>
            <w:r>
              <w:rPr>
                <w:rFonts w:hint="default" w:ascii="Times New Roman" w:hAnsi="Times New Roman" w:eastAsia="宋体" w:cs="Times New Roman"/>
                <w:color w:val="auto"/>
                <w:kern w:val="0"/>
                <w:szCs w:val="21"/>
              </w:rPr>
              <w:fldChar w:fldCharType="separate"/>
            </w:r>
            <w:r>
              <w:rPr>
                <w:rFonts w:hint="default" w:ascii="Times New Roman" w:hAnsi="Times New Roman" w:eastAsia="宋体" w:cs="Times New Roman"/>
                <w:color w:val="auto"/>
                <w:kern w:val="0"/>
                <w:szCs w:val="21"/>
              </w:rPr>
              <w:t>④</w:t>
            </w:r>
            <w:r>
              <w:rPr>
                <w:rFonts w:hint="default" w:ascii="Times New Roman" w:hAnsi="Times New Roman" w:eastAsia="宋体" w:cs="Times New Roman"/>
                <w:color w:val="auto"/>
                <w:kern w:val="0"/>
                <w:szCs w:val="21"/>
              </w:rPr>
              <w:fldChar w:fldCharType="end"/>
            </w:r>
            <w:r>
              <w:rPr>
                <w:rFonts w:hint="default" w:ascii="Times New Roman" w:hAnsi="Times New Roman" w:eastAsia="宋体" w:cs="Times New Roman"/>
                <w:color w:val="auto"/>
                <w:kern w:val="0"/>
                <w:szCs w:val="21"/>
              </w:rPr>
              <w:t>生产废水经</w:t>
            </w:r>
            <w:r>
              <w:rPr>
                <w:rFonts w:hint="default" w:ascii="Times New Roman" w:hAnsi="Times New Roman" w:eastAsia="宋体" w:cs="Times New Roman"/>
                <w:color w:val="auto"/>
                <w:szCs w:val="21"/>
              </w:rPr>
              <w:t>长庆石化公司污水处理厂处理</w:t>
            </w:r>
            <w:r>
              <w:rPr>
                <w:rFonts w:hint="default" w:ascii="Times New Roman" w:hAnsi="Times New Roman" w:eastAsia="宋体" w:cs="Times New Roman"/>
                <w:color w:val="auto"/>
                <w:kern w:val="0"/>
                <w:szCs w:val="21"/>
              </w:rPr>
              <w:t>后，达标排放。</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废水</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排放去向</w:t>
            </w:r>
          </w:p>
        </w:tc>
        <w:tc>
          <w:tcPr>
            <w:tcW w:w="5387" w:type="dxa"/>
            <w:vAlign w:val="center"/>
          </w:tcPr>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废水排入</w:t>
            </w:r>
            <w:r>
              <w:rPr>
                <w:rFonts w:hint="default" w:ascii="Times New Roman" w:hAnsi="Times New Roman" w:eastAsia="宋体" w:cs="Times New Roman"/>
                <w:color w:val="auto"/>
                <w:szCs w:val="21"/>
              </w:rPr>
              <w:t>长庆石化公司污水处理厂处理</w:t>
            </w:r>
            <w:r>
              <w:rPr>
                <w:rFonts w:hint="default" w:ascii="Times New Roman" w:hAnsi="Times New Roman" w:eastAsia="宋体" w:cs="Times New Roman"/>
                <w:color w:val="auto"/>
                <w:kern w:val="0"/>
                <w:szCs w:val="21"/>
              </w:rPr>
              <w:t>；</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6</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6分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7"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厂内危险废物环境管理</w:t>
            </w:r>
          </w:p>
        </w:tc>
        <w:tc>
          <w:tcPr>
            <w:tcW w:w="5387" w:type="dxa"/>
            <w:vAlign w:val="center"/>
          </w:tcPr>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针对危险废物分区贮存、运输、利用、处置具有完善的专业设施和风险防控措施：</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①废催化剂存储于危废临时存放处，由</w:t>
            </w:r>
            <w:r>
              <w:rPr>
                <w:rFonts w:hint="default" w:ascii="Times New Roman" w:hAnsi="Times New Roman" w:eastAsia="宋体" w:cs="Times New Roman"/>
                <w:bCs/>
                <w:color w:val="auto"/>
                <w:szCs w:val="21"/>
              </w:rPr>
              <w:t>厂家回收</w:t>
            </w:r>
            <w:r>
              <w:rPr>
                <w:rFonts w:hint="default" w:ascii="Times New Roman" w:hAnsi="Times New Roman" w:eastAsia="宋体" w:cs="Times New Roman"/>
                <w:color w:val="auto"/>
                <w:kern w:val="0"/>
                <w:szCs w:val="21"/>
              </w:rPr>
              <w:t>；</w:t>
            </w:r>
          </w:p>
          <w:p>
            <w:pPr>
              <w:spacing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fldChar w:fldCharType="begin"/>
            </w:r>
            <w:r>
              <w:rPr>
                <w:rFonts w:hint="default" w:ascii="Times New Roman" w:hAnsi="Times New Roman" w:eastAsia="宋体" w:cs="Times New Roman"/>
                <w:color w:val="auto"/>
                <w:kern w:val="0"/>
                <w:szCs w:val="21"/>
              </w:rPr>
              <w:instrText xml:space="preserve">= 2 \* GB3</w:instrText>
            </w:r>
            <w:r>
              <w:rPr>
                <w:rFonts w:hint="default" w:ascii="Times New Roman" w:hAnsi="Times New Roman" w:eastAsia="宋体" w:cs="Times New Roman"/>
                <w:color w:val="auto"/>
                <w:kern w:val="0"/>
                <w:szCs w:val="21"/>
              </w:rPr>
              <w:fldChar w:fldCharType="separate"/>
            </w:r>
            <w:r>
              <w:rPr>
                <w:rFonts w:hint="default" w:ascii="Times New Roman" w:hAnsi="Times New Roman" w:eastAsia="宋体" w:cs="Times New Roman"/>
                <w:color w:val="auto"/>
                <w:kern w:val="0"/>
                <w:szCs w:val="21"/>
              </w:rPr>
              <w:t>②</w:t>
            </w:r>
            <w:r>
              <w:rPr>
                <w:rFonts w:hint="default" w:ascii="Times New Roman" w:hAnsi="Times New Roman" w:eastAsia="宋体" w:cs="Times New Roman"/>
                <w:color w:val="auto"/>
                <w:kern w:val="0"/>
                <w:szCs w:val="21"/>
              </w:rPr>
              <w:fldChar w:fldCharType="end"/>
            </w:r>
            <w:r>
              <w:rPr>
                <w:rFonts w:hint="default" w:ascii="Times New Roman" w:hAnsi="Times New Roman" w:eastAsia="宋体" w:cs="Times New Roman"/>
                <w:bCs/>
                <w:color w:val="auto"/>
                <w:szCs w:val="21"/>
              </w:rPr>
              <w:t>废脱硫剂</w:t>
            </w:r>
            <w:r>
              <w:rPr>
                <w:rFonts w:hint="default" w:ascii="Times New Roman" w:hAnsi="Times New Roman" w:eastAsia="宋体" w:cs="Times New Roman"/>
                <w:color w:val="auto"/>
                <w:kern w:val="0"/>
                <w:szCs w:val="21"/>
              </w:rPr>
              <w:t>交有资质的单位处理。</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9" w:hRule="atLeast"/>
        </w:trPr>
        <w:tc>
          <w:tcPr>
            <w:tcW w:w="138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近3年内突发水环境事件发生情况</w:t>
            </w:r>
          </w:p>
        </w:tc>
        <w:tc>
          <w:tcPr>
            <w:tcW w:w="5387"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公司未发生突发水环境事件的。</w:t>
            </w:r>
          </w:p>
        </w:tc>
        <w:tc>
          <w:tcPr>
            <w:tcW w:w="850"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7621" w:type="dxa"/>
            <w:gridSpan w:val="3"/>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合计</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14</w:t>
            </w:r>
          </w:p>
        </w:tc>
      </w:tr>
    </w:tbl>
    <w:p>
      <w:pPr>
        <w:spacing w:before="120" w:beforeLines="50" w:after="120" w:afterLines="50" w:line="360" w:lineRule="auto"/>
        <w:jc w:val="left"/>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3.6.3水环境风险控制水平（M）评估</w:t>
      </w:r>
    </w:p>
    <w:p>
      <w:pPr>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3.4.2评估生产工艺过程M值为20分，表3.6-4环境风险防控措施评估得分为14，将各项指标分值累加为M=34分，25≤M＜45，确定生产工艺过程与水环境风险控制水平为M2。</w:t>
      </w:r>
    </w:p>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3.6.4 水环境风险受体敏感程度（E）评估</w:t>
      </w:r>
    </w:p>
    <w:p>
      <w:pPr>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color w:val="auto"/>
          <w:kern w:val="0"/>
          <w:sz w:val="24"/>
        </w:rPr>
        <w:t>据调查企业清净废水、初期雨水、生产废水收集至</w:t>
      </w:r>
      <w:r>
        <w:rPr>
          <w:rFonts w:hint="default" w:ascii="Times New Roman" w:hAnsi="Times New Roman" w:eastAsia="宋体" w:cs="Times New Roman"/>
          <w:color w:val="auto"/>
          <w:sz w:val="24"/>
        </w:rPr>
        <w:t>长庆石化公司污水处理厂处理</w:t>
      </w:r>
      <w:r>
        <w:rPr>
          <w:rFonts w:hint="default" w:ascii="Times New Roman" w:hAnsi="Times New Roman" w:eastAsia="宋体" w:cs="Times New Roman"/>
          <w:color w:val="auto"/>
          <w:kern w:val="0"/>
          <w:sz w:val="24"/>
        </w:rPr>
        <w:t>，处理后达标排放。雨水管网排放口设切断阀，日常情况下完全关闭。企业雨水排口、清净废水排口、污水排口环境风险受体为</w:t>
      </w:r>
      <w:r>
        <w:rPr>
          <w:rFonts w:hint="default" w:ascii="Times New Roman" w:hAnsi="Times New Roman" w:eastAsia="宋体" w:cs="Times New Roman"/>
          <w:color w:val="auto"/>
          <w:sz w:val="24"/>
        </w:rPr>
        <w:t>长庆石化公司污水处理厂</w:t>
      </w:r>
      <w:r>
        <w:rPr>
          <w:rFonts w:hint="default" w:ascii="Times New Roman" w:hAnsi="Times New Roman" w:eastAsia="宋体" w:cs="Times New Roman"/>
          <w:color w:val="auto"/>
          <w:kern w:val="0"/>
          <w:sz w:val="24"/>
        </w:rPr>
        <w:t>，不涉及类型E1和类型E2敏感类型。废水对水环境风险受体敏感程度类型划分见表 3.6-5。</w:t>
      </w:r>
    </w:p>
    <w:p>
      <w:pPr>
        <w:spacing w:before="120" w:beforeLines="50" w:line="240" w:lineRule="atLeast"/>
        <w:jc w:val="center"/>
        <w:rPr>
          <w:rFonts w:hint="default" w:ascii="Times New Roman" w:hAnsi="Times New Roman" w:eastAsia="宋体" w:cs="Times New Roman"/>
          <w:b/>
          <w:color w:val="auto"/>
          <w:kern w:val="0"/>
          <w:sz w:val="24"/>
        </w:rPr>
      </w:pPr>
      <w:bookmarkStart w:id="198" w:name="_Toc510519497"/>
    </w:p>
    <w:p>
      <w:pPr>
        <w:spacing w:before="120" w:beforeLines="50" w:line="240" w:lineRule="atLeast"/>
        <w:jc w:val="center"/>
        <w:rPr>
          <w:rFonts w:hint="default" w:ascii="Times New Roman" w:hAnsi="Times New Roman" w:eastAsia="宋体" w:cs="Times New Roman"/>
          <w:b/>
          <w:color w:val="auto"/>
          <w:kern w:val="0"/>
          <w:sz w:val="24"/>
        </w:rPr>
      </w:pPr>
    </w:p>
    <w:p>
      <w:pPr>
        <w:spacing w:before="120" w:beforeLines="50" w:line="240" w:lineRule="atLeast"/>
        <w:jc w:val="center"/>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附表 3.6-5 水环境风险受体敏感程度类型划分</w:t>
      </w:r>
      <w:bookmarkEnd w:id="198"/>
    </w:p>
    <w:tbl>
      <w:tblPr>
        <w:tblStyle w:val="75"/>
        <w:tblW w:w="8674" w:type="dxa"/>
        <w:jc w:val="center"/>
        <w:tblLayout w:type="fixed"/>
        <w:tblCellMar>
          <w:top w:w="0" w:type="dxa"/>
          <w:left w:w="11" w:type="dxa"/>
          <w:bottom w:w="0" w:type="dxa"/>
          <w:right w:w="11" w:type="dxa"/>
        </w:tblCellMar>
      </w:tblPr>
      <w:tblGrid>
        <w:gridCol w:w="1276"/>
        <w:gridCol w:w="6122"/>
        <w:gridCol w:w="1276"/>
      </w:tblGrid>
      <w:tr>
        <w:trPr>
          <w:trHeight w:val="478" w:hRule="atLeast"/>
          <w:tblHeader/>
          <w:jc w:val="center"/>
        </w:trPr>
        <w:tc>
          <w:tcPr>
            <w:tcW w:w="1276"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敏感程度</w:t>
            </w:r>
          </w:p>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类型</w:t>
            </w:r>
          </w:p>
        </w:tc>
        <w:tc>
          <w:tcPr>
            <w:tcW w:w="6122" w:type="dxa"/>
            <w:tcBorders>
              <w:top w:val="single" w:color="000000" w:sz="4" w:space="0"/>
              <w:left w:val="single" w:color="000000" w:sz="4" w:space="0"/>
              <w:bottom w:val="single" w:color="000000" w:sz="4" w:space="0"/>
              <w:right w:val="single" w:color="auto" w:sz="4" w:space="0"/>
            </w:tcBorders>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水环境风险受体</w:t>
            </w:r>
          </w:p>
        </w:tc>
        <w:tc>
          <w:tcPr>
            <w:tcW w:w="1276" w:type="dxa"/>
            <w:tcBorders>
              <w:top w:val="single" w:color="000000" w:sz="4" w:space="0"/>
              <w:left w:val="single" w:color="auto"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rPr>
            </w:pPr>
            <w:r>
              <w:rPr>
                <w:rFonts w:hint="default" w:ascii="Times New Roman" w:hAnsi="Times New Roman" w:eastAsia="宋体" w:cs="Times New Roman"/>
                <w:b/>
                <w:bCs/>
                <w:color w:val="auto"/>
                <w:szCs w:val="21"/>
              </w:rPr>
              <w:t>相关说明</w:t>
            </w:r>
          </w:p>
        </w:tc>
      </w:tr>
      <w:tr>
        <w:tblPrEx>
          <w:tblCellMar>
            <w:top w:w="0" w:type="dxa"/>
            <w:left w:w="11" w:type="dxa"/>
            <w:bottom w:w="0" w:type="dxa"/>
            <w:right w:w="11" w:type="dxa"/>
          </w:tblCellMar>
        </w:tblPrEx>
        <w:trPr>
          <w:trHeight w:val="488" w:hRule="atLeast"/>
          <w:jc w:val="center"/>
        </w:trPr>
        <w:tc>
          <w:tcPr>
            <w:tcW w:w="1276"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类型3</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（E3）</w:t>
            </w:r>
          </w:p>
        </w:tc>
        <w:tc>
          <w:tcPr>
            <w:tcW w:w="6122" w:type="dxa"/>
            <w:tcBorders>
              <w:top w:val="single" w:color="auto" w:sz="4" w:space="0"/>
              <w:left w:val="single" w:color="000000" w:sz="4" w:space="0"/>
              <w:bottom w:val="single" w:color="000000" w:sz="4" w:space="0"/>
              <w:right w:val="single" w:color="auto" w:sz="4" w:space="0"/>
            </w:tcBorders>
            <w:vAlign w:val="center"/>
          </w:tcPr>
          <w:p>
            <w:pPr>
              <w:spacing w:line="240" w:lineRule="atLeast"/>
              <w:ind w:firstLine="420" w:firstLineChars="20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不涉及类型1和类型2情况的</w:t>
            </w:r>
          </w:p>
        </w:tc>
        <w:tc>
          <w:tcPr>
            <w:tcW w:w="1276" w:type="dxa"/>
            <w:tcBorders>
              <w:top w:val="single" w:color="auto" w:sz="4" w:space="0"/>
              <w:left w:val="single" w:color="auto"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Cs/>
                <w:color w:val="auto"/>
                <w:szCs w:val="21"/>
              </w:rPr>
            </w:pPr>
            <w:r>
              <w:rPr>
                <w:rFonts w:hint="default" w:ascii="Times New Roman" w:hAnsi="Times New Roman" w:eastAsia="宋体" w:cs="Times New Roman"/>
                <w:bCs/>
                <w:color w:val="auto"/>
                <w:szCs w:val="21"/>
              </w:rPr>
              <w:t>E3</w:t>
            </w:r>
          </w:p>
        </w:tc>
      </w:tr>
      <w:tr>
        <w:trPr>
          <w:trHeight w:val="576" w:hRule="atLeast"/>
          <w:jc w:val="center"/>
        </w:trPr>
        <w:tc>
          <w:tcPr>
            <w:tcW w:w="8674" w:type="dxa"/>
            <w:gridSpan w:val="3"/>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Cs/>
                <w:color w:val="auto"/>
              </w:rPr>
            </w:pPr>
            <w:r>
              <w:rPr>
                <w:rFonts w:hint="default" w:ascii="Times New Roman" w:hAnsi="Times New Roman" w:eastAsia="宋体" w:cs="Times New Roman"/>
                <w:color w:val="auto"/>
                <w:kern w:val="0"/>
                <w:szCs w:val="21"/>
              </w:rPr>
              <w:t>注：本表中规定的距离范围以到各类水环境保护目标或保护区域的边界为准。</w:t>
            </w:r>
          </w:p>
        </w:tc>
      </w:tr>
    </w:tbl>
    <w:p>
      <w:pPr>
        <w:pStyle w:val="280"/>
        <w:spacing w:before="120" w:beforeLines="50" w:after="120" w:afterLines="50" w:line="360" w:lineRule="auto"/>
        <w:jc w:val="left"/>
        <w:outlineLvl w:val="2"/>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3.6.5 水环境风险受体环境事件风险等级确定</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公司周边水环境风险受体敏感程度（E3）、涉水风险物质数量与临界量比值（Q3）和生产工艺过程与水环境风险控制水平（M2），按照表3.5-2确定突发水环境事件风险等级。</w:t>
      </w:r>
    </w:p>
    <w:p>
      <w:pPr>
        <w:spacing w:before="120" w:beforeLines="50" w:line="360" w:lineRule="auto"/>
        <w:jc w:val="center"/>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表 3.6-6 企业突发环境事件风险分级矩阵表</w:t>
      </w:r>
    </w:p>
    <w:tbl>
      <w:tblPr>
        <w:tblStyle w:val="75"/>
        <w:tblW w:w="8931"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2"/>
        <w:gridCol w:w="1984"/>
        <w:gridCol w:w="1134"/>
        <w:gridCol w:w="1276"/>
        <w:gridCol w:w="1134"/>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702" w:type="dxa"/>
            <w:vMerge w:val="restart"/>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环境风险受体敏感程度（E）</w:t>
            </w:r>
          </w:p>
        </w:tc>
        <w:tc>
          <w:tcPr>
            <w:tcW w:w="1984" w:type="dxa"/>
            <w:vMerge w:val="restart"/>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风险物质数量与临界量比值（Q）</w:t>
            </w:r>
          </w:p>
        </w:tc>
        <w:tc>
          <w:tcPr>
            <w:tcW w:w="5245" w:type="dxa"/>
            <w:gridSpan w:val="4"/>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生产工艺过程与环境风险控制水平（M）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1702" w:type="dxa"/>
            <w:vMerge w:val="continue"/>
            <w:vAlign w:val="center"/>
          </w:tcPr>
          <w:p>
            <w:pPr>
              <w:spacing w:line="240" w:lineRule="atLeast"/>
              <w:jc w:val="center"/>
              <w:rPr>
                <w:rFonts w:hint="default" w:ascii="Times New Roman" w:hAnsi="Times New Roman" w:eastAsia="宋体" w:cs="Times New Roman"/>
                <w:b/>
                <w:color w:val="auto"/>
                <w:kern w:val="0"/>
                <w:szCs w:val="21"/>
              </w:rPr>
            </w:pPr>
          </w:p>
        </w:tc>
        <w:tc>
          <w:tcPr>
            <w:tcW w:w="1984" w:type="dxa"/>
            <w:vMerge w:val="continue"/>
            <w:vAlign w:val="center"/>
          </w:tcPr>
          <w:p>
            <w:pPr>
              <w:spacing w:line="240" w:lineRule="atLeast"/>
              <w:jc w:val="center"/>
              <w:rPr>
                <w:rFonts w:hint="default" w:ascii="Times New Roman" w:hAnsi="Times New Roman" w:eastAsia="宋体" w:cs="Times New Roman"/>
                <w:b/>
                <w:color w:val="auto"/>
                <w:kern w:val="0"/>
                <w:szCs w:val="21"/>
              </w:rPr>
            </w:pPr>
          </w:p>
        </w:tc>
        <w:tc>
          <w:tcPr>
            <w:tcW w:w="1134"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M1</w:t>
            </w:r>
          </w:p>
        </w:tc>
        <w:tc>
          <w:tcPr>
            <w:tcW w:w="127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M2</w:t>
            </w:r>
          </w:p>
        </w:tc>
        <w:tc>
          <w:tcPr>
            <w:tcW w:w="1134"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M3</w:t>
            </w:r>
          </w:p>
        </w:tc>
        <w:tc>
          <w:tcPr>
            <w:tcW w:w="1701"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M4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2" w:type="dxa"/>
            <w:vMerge w:val="restart"/>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类型3</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（E3）</w:t>
            </w:r>
          </w:p>
        </w:tc>
        <w:tc>
          <w:tcPr>
            <w:tcW w:w="1984"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 Q＜10（Q1）</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一般</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一般</w:t>
            </w:r>
          </w:p>
        </w:tc>
        <w:tc>
          <w:tcPr>
            <w:tcW w:w="1134" w:type="dxa"/>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较大</w:t>
            </w:r>
          </w:p>
        </w:tc>
        <w:tc>
          <w:tcPr>
            <w:tcW w:w="1701"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2" w:type="dxa"/>
            <w:vMerge w:val="continue"/>
            <w:vAlign w:val="center"/>
          </w:tcPr>
          <w:p>
            <w:pPr>
              <w:spacing w:line="240" w:lineRule="atLeast"/>
              <w:jc w:val="center"/>
              <w:rPr>
                <w:rFonts w:hint="default" w:ascii="Times New Roman" w:hAnsi="Times New Roman" w:eastAsia="宋体" w:cs="Times New Roman"/>
                <w:b/>
                <w:color w:val="auto"/>
                <w:kern w:val="0"/>
                <w:szCs w:val="21"/>
              </w:rPr>
            </w:pPr>
          </w:p>
        </w:tc>
        <w:tc>
          <w:tcPr>
            <w:tcW w:w="1984"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10≤Q＜100（Q2）</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一般</w:t>
            </w:r>
          </w:p>
        </w:tc>
        <w:tc>
          <w:tcPr>
            <w:tcW w:w="127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134" w:type="dxa"/>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较大</w:t>
            </w:r>
          </w:p>
        </w:tc>
        <w:tc>
          <w:tcPr>
            <w:tcW w:w="1701" w:type="dxa"/>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2" w:type="dxa"/>
            <w:vMerge w:val="continue"/>
            <w:vAlign w:val="center"/>
          </w:tcPr>
          <w:p>
            <w:pPr>
              <w:spacing w:line="240" w:lineRule="atLeast"/>
              <w:jc w:val="center"/>
              <w:rPr>
                <w:rFonts w:hint="default" w:ascii="Times New Roman" w:hAnsi="Times New Roman" w:eastAsia="宋体" w:cs="Times New Roman"/>
                <w:b/>
                <w:color w:val="auto"/>
                <w:kern w:val="0"/>
                <w:szCs w:val="21"/>
              </w:rPr>
            </w:pPr>
          </w:p>
        </w:tc>
        <w:tc>
          <w:tcPr>
            <w:tcW w:w="1984"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Q≥100（Q3）</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较大</w:t>
            </w:r>
          </w:p>
        </w:tc>
        <w:tc>
          <w:tcPr>
            <w:tcW w:w="1276" w:type="dxa"/>
            <w:vAlign w:val="center"/>
          </w:tcPr>
          <w:p>
            <w:pPr>
              <w:spacing w:line="240" w:lineRule="atLeast"/>
              <w:jc w:val="center"/>
              <w:rPr>
                <w:rFonts w:hint="default" w:ascii="Times New Roman" w:hAnsi="Times New Roman" w:eastAsia="宋体" w:cs="Times New Roman"/>
                <w:color w:val="auto"/>
                <w:kern w:val="0"/>
                <w:szCs w:val="21"/>
                <w:highlight w:val="green"/>
              </w:rPr>
            </w:pPr>
            <w:r>
              <w:rPr>
                <w:rFonts w:hint="default" w:ascii="Times New Roman" w:hAnsi="Times New Roman" w:eastAsia="宋体" w:cs="Times New Roman"/>
                <w:color w:val="auto"/>
                <w:kern w:val="0"/>
                <w:szCs w:val="21"/>
              </w:rPr>
              <w:t>较大</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重大</w:t>
            </w:r>
          </w:p>
        </w:tc>
        <w:tc>
          <w:tcPr>
            <w:tcW w:w="1701" w:type="dxa"/>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重大</w:t>
            </w:r>
          </w:p>
        </w:tc>
      </w:tr>
    </w:tbl>
    <w:p>
      <w:pPr>
        <w:spacing w:before="120" w:beforeLines="50" w:after="120" w:afterLines="50" w:line="360" w:lineRule="auto"/>
        <w:outlineLvl w:val="2"/>
        <w:rPr>
          <w:rFonts w:hint="default" w:ascii="Times New Roman" w:hAnsi="Times New Roman" w:eastAsia="宋体" w:cs="Times New Roman"/>
          <w:b/>
          <w:bCs/>
          <w:color w:val="auto"/>
          <w:sz w:val="24"/>
        </w:rPr>
      </w:pPr>
      <w:r>
        <w:rPr>
          <w:rFonts w:hint="default" w:ascii="Times New Roman" w:hAnsi="Times New Roman" w:eastAsia="宋体" w:cs="Times New Roman"/>
          <w:b/>
          <w:bCs/>
          <w:color w:val="auto"/>
          <w:sz w:val="24"/>
        </w:rPr>
        <w:t>3.6.6突发水环境事件风险等级表征</w:t>
      </w:r>
    </w:p>
    <w:p>
      <w:pPr>
        <w:spacing w:before="120" w:beforeLines="50" w:after="120" w:afterLines="50"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公司突发水环境事件风险等级表征为：</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较大-水（Q3-M2-E3）</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w:t>
      </w:r>
    </w:p>
    <w:p>
      <w:pPr>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199" w:name="_Toc523580099"/>
      <w:bookmarkStart w:id="200" w:name="_Toc13139"/>
      <w:r>
        <w:rPr>
          <w:rFonts w:hint="default" w:ascii="Times New Roman" w:hAnsi="Times New Roman" w:eastAsia="宋体" w:cs="Times New Roman"/>
          <w:b/>
          <w:bCs/>
          <w:color w:val="auto"/>
          <w:kern w:val="0"/>
          <w:sz w:val="28"/>
          <w:szCs w:val="28"/>
        </w:rPr>
        <w:t>3.7企业突发环境事件风险等级确定与调整</w:t>
      </w:r>
      <w:bookmarkEnd w:id="199"/>
      <w:bookmarkEnd w:id="200"/>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3.7.1 风险等级确定</w:t>
      </w:r>
    </w:p>
    <w:p>
      <w:pPr>
        <w:spacing w:before="120" w:beforeLines="50" w:after="120" w:afterLines="50"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以企业突发大气环境事件风险和突发水环境事件风险等级高者确定企业突发环境事件风险等级，公司突发大气环境事件风险为等级为</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较大</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3.7.2风险等级表征</w:t>
      </w:r>
    </w:p>
    <w:p>
      <w:pPr>
        <w:spacing w:before="120" w:beforeLines="50" w:after="120" w:afterLines="50"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同时涉及突发大气和水环境事件风险的，风险等级表示为</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企业突发环境事件风险等级[突发大气环境事件风险等级表征+突发水环境事件风险等级表征]</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较大-大气（Q3-M1-E3）</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较大-水（Q3-M2-E3）</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w:t>
      </w:r>
      <w:bookmarkEnd w:id="158"/>
    </w:p>
    <w:p>
      <w:pPr>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01" w:name="_Toc510519454"/>
      <w:bookmarkStart w:id="202" w:name="_Toc17462"/>
      <w:bookmarkStart w:id="203" w:name="_Toc523580100"/>
      <w:bookmarkStart w:id="204" w:name="_Toc512839425"/>
      <w:r>
        <w:rPr>
          <w:rFonts w:hint="default" w:ascii="Times New Roman" w:hAnsi="Times New Roman" w:eastAsia="宋体" w:cs="Times New Roman"/>
          <w:b/>
          <w:bCs/>
          <w:color w:val="auto"/>
          <w:kern w:val="0"/>
          <w:sz w:val="28"/>
          <w:szCs w:val="28"/>
        </w:rPr>
        <w:t>3.8现有应急资源情况</w:t>
      </w:r>
      <w:bookmarkEnd w:id="201"/>
      <w:bookmarkEnd w:id="202"/>
      <w:bookmarkEnd w:id="203"/>
      <w:bookmarkEnd w:id="204"/>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3.8.1内部应急队伍</w:t>
      </w:r>
    </w:p>
    <w:p>
      <w:pPr>
        <w:spacing w:before="120" w:beforeLines="50" w:after="120" w:afterLines="50"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公司成立了应急组织机构。应急指挥部总指挥由公司总经理担任，副总指挥由总经理担任，各应急专业组成员由各部门领导兼任，应急队伍组成见表3.8-1。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表3.8-1内部应急救援指挥部成员及联系方式</w:t>
      </w:r>
    </w:p>
    <w:tbl>
      <w:tblPr>
        <w:tblStyle w:val="75"/>
        <w:tblW w:w="8766" w:type="dxa"/>
        <w:jc w:val="center"/>
        <w:tblLayout w:type="fixed"/>
        <w:tblCellMar>
          <w:top w:w="0" w:type="dxa"/>
          <w:left w:w="108" w:type="dxa"/>
          <w:bottom w:w="0" w:type="dxa"/>
          <w:right w:w="108" w:type="dxa"/>
        </w:tblCellMar>
      </w:tblPr>
      <w:tblGrid>
        <w:gridCol w:w="709"/>
        <w:gridCol w:w="1111"/>
        <w:gridCol w:w="17"/>
        <w:gridCol w:w="1509"/>
        <w:gridCol w:w="33"/>
        <w:gridCol w:w="2093"/>
        <w:gridCol w:w="1701"/>
        <w:gridCol w:w="1593"/>
      </w:tblGrid>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序号</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姓名</w:t>
            </w:r>
          </w:p>
        </w:tc>
        <w:tc>
          <w:tcPr>
            <w:tcW w:w="1559" w:type="dxa"/>
            <w:gridSpan w:val="3"/>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应急职务</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日常职务</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电话</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移动电话</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应急指挥部</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eastAsia="zh-CN" w:bidi="ar-SA"/>
              </w:rPr>
            </w:pPr>
            <w:r>
              <w:rPr>
                <w:rFonts w:hint="eastAsia" w:ascii="Times New Roman" w:hAnsi="Times New Roman" w:eastAsia="宋体" w:cs="Times New Roman"/>
                <w:b w:val="0"/>
                <w:bCs/>
                <w:color w:val="auto"/>
                <w:sz w:val="21"/>
                <w:szCs w:val="21"/>
                <w:lang w:eastAsia="zh-CN" w:bidi="ar-SA"/>
              </w:rPr>
              <w:t>奚增光</w:t>
            </w:r>
          </w:p>
        </w:tc>
        <w:tc>
          <w:tcPr>
            <w:tcW w:w="1542"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总指挥</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总经理</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33413303</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2</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eastAsia="zh-CN" w:bidi="ar-SA"/>
              </w:rPr>
              <w:t>王涛</w:t>
            </w:r>
          </w:p>
        </w:tc>
        <w:tc>
          <w:tcPr>
            <w:tcW w:w="1542"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副总指挥</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副总经理</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33413302</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val="0"/>
                <w:bCs/>
                <w:color w:val="auto"/>
                <w:sz w:val="21"/>
                <w:szCs w:val="21"/>
                <w:lang w:val="en-US" w:eastAsia="zh-CN" w:bidi="ar-SA"/>
              </w:rPr>
              <w:t>13571076866</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3</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eastAsia="zh-CN" w:bidi="ar-SA"/>
              </w:rPr>
              <w:t>陈永萍</w:t>
            </w:r>
          </w:p>
        </w:tc>
        <w:tc>
          <w:tcPr>
            <w:tcW w:w="1542"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副总指挥</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副总经理</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33432003</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val="0"/>
                <w:bCs/>
                <w:color w:val="auto"/>
                <w:sz w:val="21"/>
                <w:szCs w:val="21"/>
                <w:lang w:val="en-US" w:eastAsia="zh-CN" w:bidi="ar-SA"/>
              </w:rPr>
              <w:t>13892095228</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4</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eastAsia="zh-CN" w:bidi="ar-SA"/>
              </w:rPr>
            </w:pPr>
            <w:r>
              <w:rPr>
                <w:rFonts w:hint="default" w:ascii="Times New Roman" w:hAnsi="Times New Roman" w:eastAsia="宋体" w:cs="Times New Roman"/>
                <w:b w:val="0"/>
                <w:bCs/>
                <w:color w:val="auto"/>
                <w:sz w:val="21"/>
                <w:szCs w:val="21"/>
                <w:lang w:bidi="ar-SA"/>
              </w:rPr>
              <w:t>唐君虎</w:t>
            </w:r>
          </w:p>
        </w:tc>
        <w:tc>
          <w:tcPr>
            <w:tcW w:w="1542"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应急办公室主任</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eastAsia="zh-CN" w:bidi="ar-SA"/>
              </w:rPr>
              <w:t>总经理助理</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default" w:ascii="Times New Roman" w:hAnsi="Times New Roman" w:eastAsia="宋体" w:cs="Times New Roman"/>
                <w:b w:val="0"/>
                <w:bCs/>
                <w:color w:val="auto"/>
                <w:sz w:val="21"/>
                <w:szCs w:val="21"/>
                <w:lang w:bidi="ar-SA"/>
              </w:rPr>
              <w:t>33434348</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val="0"/>
                <w:bCs/>
                <w:color w:val="auto"/>
                <w:sz w:val="21"/>
                <w:szCs w:val="21"/>
                <w:lang w:val="en-US" w:eastAsia="zh-CN" w:bidi="ar-SA"/>
              </w:rPr>
              <w:t>13109610791</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bidi="ar-SA"/>
              </w:rPr>
              <w:t>应急指挥办公室（调度室）</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2</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李敏博</w:t>
            </w:r>
          </w:p>
        </w:tc>
        <w:tc>
          <w:tcPr>
            <w:tcW w:w="1542"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副主任</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安环部部长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33410178</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13636899770</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3</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王正群</w:t>
            </w:r>
          </w:p>
        </w:tc>
        <w:tc>
          <w:tcPr>
            <w:tcW w:w="1542"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成员</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办公室主任</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33413332</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13571028014</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val="en-US" w:eastAsia="zh-CN" w:bidi="ar-SA"/>
              </w:rPr>
            </w:pPr>
            <w:r>
              <w:rPr>
                <w:rFonts w:hint="eastAsia" w:eastAsia="宋体" w:cs="Times New Roman"/>
                <w:b/>
                <w:color w:val="auto"/>
                <w:sz w:val="21"/>
                <w:szCs w:val="21"/>
                <w:lang w:val="en-US" w:eastAsia="zh-CN" w:bidi="ar-SA"/>
              </w:rPr>
              <w:t>通讯联络组</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李敏博</w:t>
            </w:r>
          </w:p>
        </w:tc>
        <w:tc>
          <w:tcPr>
            <w:tcW w:w="1559" w:type="dxa"/>
            <w:gridSpan w:val="3"/>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组长</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安环部部长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33410178</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13636899770</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2</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曹萌</w:t>
            </w:r>
          </w:p>
        </w:tc>
        <w:tc>
          <w:tcPr>
            <w:tcW w:w="1559" w:type="dxa"/>
            <w:gridSpan w:val="3"/>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eastAsia="zh-CN" w:bidi="ar-SA"/>
              </w:rPr>
            </w:pPr>
            <w:r>
              <w:rPr>
                <w:rFonts w:hint="eastAsia" w:eastAsia="宋体" w:cs="Times New Roman"/>
                <w:b w:val="0"/>
                <w:bCs/>
                <w:color w:val="auto"/>
                <w:sz w:val="21"/>
                <w:szCs w:val="21"/>
                <w:lang w:val="en-US" w:eastAsia="zh-CN" w:bidi="ar-SA"/>
              </w:rPr>
              <w:t>成员</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安全环保部副部长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33410178</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13571076866</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val="en-US" w:eastAsia="zh-CN" w:bidi="ar-SA"/>
              </w:rPr>
            </w:pPr>
            <w:r>
              <w:rPr>
                <w:rFonts w:hint="eastAsia" w:eastAsia="宋体" w:cs="Times New Roman"/>
                <w:b/>
                <w:color w:val="auto"/>
                <w:sz w:val="21"/>
                <w:szCs w:val="21"/>
                <w:lang w:val="en-US" w:eastAsia="zh-CN" w:bidi="ar-SA"/>
              </w:rPr>
              <w:t>抢险救援组</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张振刚</w:t>
            </w:r>
          </w:p>
        </w:tc>
        <w:tc>
          <w:tcPr>
            <w:tcW w:w="1559" w:type="dxa"/>
            <w:gridSpan w:val="3"/>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组长</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生产运行部部长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33413321</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13909102316</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2</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田煦昶</w:t>
            </w:r>
          </w:p>
        </w:tc>
        <w:tc>
          <w:tcPr>
            <w:tcW w:w="1559" w:type="dxa"/>
            <w:gridSpan w:val="3"/>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eastAsia" w:eastAsia="宋体" w:cs="Times New Roman"/>
                <w:b w:val="0"/>
                <w:bCs/>
                <w:color w:val="auto"/>
                <w:sz w:val="21"/>
                <w:szCs w:val="21"/>
                <w:lang w:val="en-US" w:eastAsia="zh-CN" w:bidi="ar-SA"/>
              </w:rPr>
              <w:t>成员</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eastAsia="zh-CN" w:bidi="ar-SA"/>
              </w:rPr>
              <w:t>生产一部部长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33434348</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182200017662</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3</w:t>
            </w:r>
          </w:p>
        </w:tc>
        <w:tc>
          <w:tcPr>
            <w:tcW w:w="111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王武博</w:t>
            </w:r>
          </w:p>
        </w:tc>
        <w:tc>
          <w:tcPr>
            <w:tcW w:w="1559" w:type="dxa"/>
            <w:gridSpan w:val="3"/>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成员</w:t>
            </w:r>
          </w:p>
        </w:tc>
        <w:tc>
          <w:tcPr>
            <w:tcW w:w="20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eastAsia" w:ascii="Times New Roman" w:hAnsi="Times New Roman" w:eastAsia="宋体" w:cs="Times New Roman"/>
                <w:b w:val="0"/>
                <w:bCs/>
                <w:color w:val="auto"/>
                <w:sz w:val="21"/>
                <w:szCs w:val="21"/>
                <w:lang w:val="en-US" w:eastAsia="zh-CN" w:bidi="ar-SA"/>
              </w:rPr>
              <w:t>生产二部部长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33434348</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18628569746</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val="en-US" w:eastAsia="zh-CN" w:bidi="ar-SA"/>
              </w:rPr>
              <w:t>物资保障组</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张璐洁</w:t>
            </w:r>
          </w:p>
        </w:tc>
        <w:tc>
          <w:tcPr>
            <w:tcW w:w="15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default" w:ascii="Times New Roman" w:hAnsi="Times New Roman" w:eastAsia="宋体" w:cs="Times New Roman"/>
                <w:b w:val="0"/>
                <w:bCs/>
                <w:color w:val="auto"/>
                <w:sz w:val="21"/>
                <w:szCs w:val="21"/>
                <w:lang w:val="en-US" w:eastAsia="zh-CN" w:bidi="ar-SA"/>
              </w:rPr>
              <w:t>组长</w:t>
            </w:r>
          </w:p>
        </w:tc>
        <w:tc>
          <w:tcPr>
            <w:tcW w:w="2126"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val="0"/>
                <w:bCs/>
                <w:color w:val="auto"/>
                <w:sz w:val="21"/>
                <w:szCs w:val="21"/>
                <w:lang w:val="en-US" w:eastAsia="zh-CN" w:bidi="ar-SA"/>
              </w:rPr>
              <w:t>物资采供部部长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13992036610</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2</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eastAsia="宋体" w:cs="Times New Roman"/>
                <w:b w:val="0"/>
                <w:bCs/>
                <w:color w:val="auto"/>
                <w:sz w:val="21"/>
                <w:szCs w:val="21"/>
                <w:lang w:val="en-US" w:eastAsia="zh-CN" w:bidi="ar-SA"/>
              </w:rPr>
            </w:pPr>
            <w:r>
              <w:rPr>
                <w:rFonts w:hint="default" w:eastAsia="宋体" w:cs="Times New Roman"/>
                <w:b w:val="0"/>
                <w:bCs/>
                <w:color w:val="auto"/>
                <w:sz w:val="21"/>
                <w:szCs w:val="21"/>
                <w:lang w:val="en-US" w:eastAsia="zh-CN" w:bidi="ar-SA"/>
              </w:rPr>
              <w:t>丑雅妮</w:t>
            </w:r>
          </w:p>
        </w:tc>
        <w:tc>
          <w:tcPr>
            <w:tcW w:w="15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成员</w:t>
            </w:r>
          </w:p>
        </w:tc>
        <w:tc>
          <w:tcPr>
            <w:tcW w:w="2126"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eastAsia="宋体" w:cs="Times New Roman"/>
                <w:b w:val="0"/>
                <w:bCs/>
                <w:color w:val="auto"/>
                <w:sz w:val="21"/>
                <w:szCs w:val="21"/>
                <w:lang w:val="en-US" w:eastAsia="zh-CN" w:bidi="ar-SA"/>
              </w:rPr>
            </w:pPr>
            <w:r>
              <w:rPr>
                <w:rFonts w:hint="default" w:eastAsia="宋体" w:cs="Times New Roman"/>
                <w:b w:val="0"/>
                <w:bCs/>
                <w:color w:val="auto"/>
                <w:sz w:val="21"/>
                <w:szCs w:val="21"/>
                <w:lang w:val="en-US" w:eastAsia="zh-CN" w:bidi="ar-SA"/>
              </w:rPr>
              <w:t>财务部部长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eastAsia="宋体" w:cs="Times New Roman"/>
                <w:b w:val="0"/>
                <w:bCs/>
                <w:color w:val="auto"/>
                <w:sz w:val="21"/>
                <w:szCs w:val="21"/>
                <w:lang w:val="en-US" w:eastAsia="zh-CN" w:bidi="ar-SA"/>
              </w:rPr>
            </w:pPr>
            <w:r>
              <w:rPr>
                <w:rFonts w:hint="default" w:eastAsia="宋体" w:cs="Times New Roman"/>
                <w:b w:val="0"/>
                <w:bCs/>
                <w:color w:val="auto"/>
                <w:sz w:val="21"/>
                <w:szCs w:val="21"/>
                <w:lang w:val="en-US" w:eastAsia="zh-CN" w:bidi="ar-SA"/>
              </w:rPr>
              <w:t>33432050</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18966565612</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3</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eastAsia" w:eastAsia="宋体" w:cs="Times New Roman"/>
                <w:b w:val="0"/>
                <w:bCs/>
                <w:color w:val="auto"/>
                <w:sz w:val="21"/>
                <w:szCs w:val="21"/>
                <w:lang w:val="en-US" w:eastAsia="zh-CN" w:bidi="ar-SA"/>
              </w:rPr>
              <w:t>朱  强</w:t>
            </w:r>
          </w:p>
        </w:tc>
        <w:tc>
          <w:tcPr>
            <w:tcW w:w="15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成员</w:t>
            </w:r>
          </w:p>
        </w:tc>
        <w:tc>
          <w:tcPr>
            <w:tcW w:w="2126"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物资采供部副部长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13891075111</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color w:val="auto"/>
                <w:sz w:val="21"/>
                <w:szCs w:val="21"/>
                <w:lang w:bidi="ar-SA"/>
              </w:rPr>
            </w:pPr>
            <w:r>
              <w:rPr>
                <w:rFonts w:hint="default" w:ascii="Times New Roman" w:hAnsi="Times New Roman" w:eastAsia="宋体" w:cs="Times New Roman"/>
                <w:b/>
                <w:color w:val="auto"/>
                <w:sz w:val="21"/>
                <w:szCs w:val="21"/>
                <w:lang w:val="en-US" w:eastAsia="zh-CN" w:bidi="ar-SA"/>
              </w:rPr>
              <w:t>警戒</w:t>
            </w:r>
            <w:r>
              <w:rPr>
                <w:rFonts w:hint="eastAsia" w:eastAsia="宋体" w:cs="Times New Roman"/>
                <w:b/>
                <w:color w:val="auto"/>
                <w:sz w:val="21"/>
                <w:szCs w:val="21"/>
                <w:lang w:val="en-US" w:eastAsia="zh-CN" w:bidi="ar-SA"/>
              </w:rPr>
              <w:t>疏散</w:t>
            </w:r>
            <w:r>
              <w:rPr>
                <w:rFonts w:hint="default" w:ascii="Times New Roman" w:hAnsi="Times New Roman" w:eastAsia="宋体" w:cs="Times New Roman"/>
                <w:b/>
                <w:color w:val="auto"/>
                <w:sz w:val="21"/>
                <w:szCs w:val="21"/>
                <w:lang w:val="en-US" w:eastAsia="zh-CN" w:bidi="ar-SA"/>
              </w:rPr>
              <w:t>组</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1</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薛永宏</w:t>
            </w:r>
          </w:p>
        </w:tc>
        <w:tc>
          <w:tcPr>
            <w:tcW w:w="15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组长</w:t>
            </w:r>
          </w:p>
        </w:tc>
        <w:tc>
          <w:tcPr>
            <w:tcW w:w="2126"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生产保障部部长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33413312</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13892861527</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color w:val="auto"/>
                <w:sz w:val="21"/>
                <w:szCs w:val="21"/>
                <w:lang w:val="en-US" w:eastAsia="zh-CN" w:bidi="ar-SA"/>
              </w:rPr>
              <w:t>医疗救护组</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王正群</w:t>
            </w:r>
          </w:p>
        </w:tc>
        <w:tc>
          <w:tcPr>
            <w:tcW w:w="15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组长</w:t>
            </w:r>
          </w:p>
        </w:tc>
        <w:tc>
          <w:tcPr>
            <w:tcW w:w="2126"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eastAsia="zh-CN" w:bidi="ar-SA"/>
              </w:rPr>
            </w:pPr>
            <w:r>
              <w:rPr>
                <w:rFonts w:hint="default" w:ascii="Times New Roman" w:hAnsi="Times New Roman" w:eastAsia="宋体" w:cs="Times New Roman"/>
                <w:b w:val="0"/>
                <w:bCs/>
                <w:color w:val="auto"/>
                <w:sz w:val="21"/>
                <w:szCs w:val="21"/>
                <w:lang w:val="en-US" w:eastAsia="zh-CN" w:bidi="ar-SA"/>
              </w:rPr>
              <w:t>办公室主任</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val="0"/>
                <w:bCs/>
                <w:color w:val="auto"/>
                <w:sz w:val="21"/>
                <w:szCs w:val="21"/>
                <w:lang w:val="en-US" w:eastAsia="zh-CN" w:bidi="ar-SA"/>
              </w:rPr>
              <w:t>33413332</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13571028014</w:t>
            </w:r>
          </w:p>
        </w:tc>
      </w:tr>
      <w:tr>
        <w:tblPrEx>
          <w:tblCellMar>
            <w:top w:w="0" w:type="dxa"/>
            <w:left w:w="108" w:type="dxa"/>
            <w:bottom w:w="0" w:type="dxa"/>
            <w:right w:w="108" w:type="dxa"/>
          </w:tblCellMar>
        </w:tblPrEx>
        <w:trPr>
          <w:trHeight w:val="454" w:hRule="atLeast"/>
          <w:jc w:val="center"/>
        </w:trPr>
        <w:tc>
          <w:tcPr>
            <w:tcW w:w="7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2</w:t>
            </w:r>
          </w:p>
        </w:tc>
        <w:tc>
          <w:tcPr>
            <w:tcW w:w="1128"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val="en-US" w:eastAsia="zh-CN" w:bidi="ar-SA"/>
              </w:rPr>
              <w:t>骞  允</w:t>
            </w:r>
          </w:p>
        </w:tc>
        <w:tc>
          <w:tcPr>
            <w:tcW w:w="1509"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成员</w:t>
            </w:r>
          </w:p>
        </w:tc>
        <w:tc>
          <w:tcPr>
            <w:tcW w:w="2126" w:type="dxa"/>
            <w:gridSpan w:val="2"/>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default" w:ascii="Times New Roman" w:hAnsi="Times New Roman" w:eastAsia="宋体" w:cs="Times New Roman"/>
                <w:b w:val="0"/>
                <w:bCs/>
                <w:color w:val="auto"/>
                <w:sz w:val="21"/>
                <w:szCs w:val="21"/>
                <w:lang w:val="en-US" w:eastAsia="zh-CN" w:bidi="ar-SA"/>
              </w:rPr>
              <w:t>经营计划部部长</w:t>
            </w:r>
          </w:p>
        </w:tc>
        <w:tc>
          <w:tcPr>
            <w:tcW w:w="1701"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eastAsia" w:ascii="Times New Roman" w:hAnsi="Times New Roman" w:eastAsia="宋体" w:cs="Times New Roman"/>
                <w:b w:val="0"/>
                <w:bCs/>
                <w:color w:val="auto"/>
                <w:sz w:val="21"/>
                <w:szCs w:val="21"/>
                <w:lang w:val="en-US" w:eastAsia="zh-CN" w:bidi="ar-SA"/>
              </w:rPr>
            </w:pPr>
            <w:r>
              <w:rPr>
                <w:rFonts w:hint="eastAsia" w:ascii="Times New Roman" w:hAnsi="Times New Roman" w:eastAsia="宋体" w:cs="Times New Roman"/>
                <w:b w:val="0"/>
                <w:bCs/>
                <w:color w:val="auto"/>
                <w:sz w:val="21"/>
                <w:szCs w:val="21"/>
                <w:lang w:val="en-US" w:eastAsia="zh-CN" w:bidi="ar-SA"/>
              </w:rPr>
              <w:t>33413312</w:t>
            </w:r>
          </w:p>
        </w:tc>
        <w:tc>
          <w:tcPr>
            <w:tcW w:w="1593" w:type="dxa"/>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val="en-US" w:eastAsia="zh-CN" w:bidi="ar-SA"/>
              </w:rPr>
            </w:pPr>
            <w:r>
              <w:rPr>
                <w:rFonts w:hint="eastAsia" w:eastAsia="宋体" w:cs="Times New Roman"/>
                <w:b w:val="0"/>
                <w:bCs/>
                <w:color w:val="auto"/>
                <w:sz w:val="21"/>
                <w:szCs w:val="21"/>
                <w:lang w:val="en-US" w:eastAsia="zh-CN" w:bidi="ar-SA"/>
              </w:rPr>
              <w:t>13892959199</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应急报警电话</w:t>
            </w:r>
          </w:p>
        </w:tc>
      </w:tr>
      <w:tr>
        <w:tblPrEx>
          <w:tblCellMar>
            <w:top w:w="0" w:type="dxa"/>
            <w:left w:w="108" w:type="dxa"/>
            <w:bottom w:w="0" w:type="dxa"/>
            <w:right w:w="108" w:type="dxa"/>
          </w:tblCellMar>
        </w:tblPrEx>
        <w:trPr>
          <w:trHeight w:val="454" w:hRule="atLeast"/>
          <w:jc w:val="center"/>
        </w:trPr>
        <w:tc>
          <w:tcPr>
            <w:tcW w:w="8766" w:type="dxa"/>
            <w:gridSpan w:val="8"/>
            <w:tcBorders>
              <w:top w:val="single" w:color="auto" w:sz="4" w:space="0"/>
              <w:left w:val="single" w:color="auto" w:sz="4" w:space="0"/>
              <w:bottom w:val="single" w:color="auto" w:sz="4" w:space="0"/>
              <w:right w:val="single" w:color="auto" w:sz="4" w:space="0"/>
            </w:tcBorders>
            <w:noWrap w:val="0"/>
            <w:vAlign w:val="center"/>
          </w:tcPr>
          <w:p>
            <w:pPr>
              <w:adjustRightInd w:val="0"/>
              <w:snapToGrid w:val="0"/>
              <w:jc w:val="center"/>
              <w:rPr>
                <w:rFonts w:hint="default" w:ascii="Times New Roman" w:hAnsi="Times New Roman" w:eastAsia="宋体" w:cs="Times New Roman"/>
                <w:b w:val="0"/>
                <w:bCs/>
                <w:color w:val="auto"/>
                <w:sz w:val="21"/>
                <w:szCs w:val="21"/>
                <w:lang w:bidi="ar-SA"/>
              </w:rPr>
            </w:pPr>
            <w:r>
              <w:rPr>
                <w:rFonts w:hint="default" w:ascii="Times New Roman" w:hAnsi="Times New Roman" w:eastAsia="宋体" w:cs="Times New Roman"/>
                <w:b w:val="0"/>
                <w:bCs/>
                <w:color w:val="auto"/>
                <w:sz w:val="21"/>
                <w:szCs w:val="21"/>
                <w:lang w:bidi="ar-SA"/>
              </w:rPr>
              <w:t>公司24小时值班电话：029-33413337</w:t>
            </w:r>
          </w:p>
        </w:tc>
      </w:tr>
    </w:tbl>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3.8.2外部应急资源和救援力量</w:t>
      </w:r>
    </w:p>
    <w:p>
      <w:pPr>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color w:val="auto"/>
          <w:kern w:val="0"/>
          <w:sz w:val="24"/>
        </w:rPr>
        <w:t>公司生产装置区及储罐区发生火灾爆炸事故情景时的先期处置由公司消防队伍进行。如消防处置能力不足，向火警</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119</w:t>
      </w:r>
      <w:r>
        <w:rPr>
          <w:rFonts w:hint="eastAsia" w:cs="Times New Roman"/>
          <w:color w:val="auto"/>
          <w:kern w:val="0"/>
          <w:sz w:val="24"/>
          <w:lang w:eastAsia="zh-CN"/>
        </w:rPr>
        <w:t>”</w:t>
      </w:r>
      <w:r>
        <w:rPr>
          <w:rFonts w:hint="default" w:ascii="Times New Roman" w:hAnsi="Times New Roman" w:eastAsia="宋体" w:cs="Times New Roman"/>
          <w:color w:val="auto"/>
          <w:kern w:val="0"/>
          <w:sz w:val="24"/>
        </w:rPr>
        <w:t>求援；如发生易燃气体大量泄漏并扩散，对厂区周边大气环境受体有影响，大气污染因子的监测申请西咸新区环境监测站。</w:t>
      </w:r>
      <w:r>
        <w:rPr>
          <w:rFonts w:hint="default" w:ascii="Times New Roman" w:hAnsi="Times New Roman" w:eastAsia="宋体" w:cs="Times New Roman"/>
          <w:bCs/>
          <w:color w:val="auto"/>
          <w:kern w:val="0"/>
          <w:sz w:val="24"/>
        </w:rPr>
        <w:t>外部应急救援单位联系方式见表3.8-2。</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表3.8-2外部应急救援单位联系方式</w:t>
      </w:r>
    </w:p>
    <w:tbl>
      <w:tblPr>
        <w:tblStyle w:val="75"/>
        <w:tblW w:w="875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3374"/>
        <w:gridCol w:w="2296"/>
        <w:gridCol w:w="1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项目</w:t>
            </w:r>
          </w:p>
        </w:tc>
        <w:tc>
          <w:tcPr>
            <w:tcW w:w="3374" w:type="dxa"/>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部门</w:t>
            </w:r>
          </w:p>
        </w:tc>
        <w:tc>
          <w:tcPr>
            <w:tcW w:w="2296" w:type="dxa"/>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联络方式</w:t>
            </w:r>
          </w:p>
        </w:tc>
        <w:tc>
          <w:tcPr>
            <w:tcW w:w="1981" w:type="dxa"/>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restart"/>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主管部门</w:t>
            </w: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秦汉新城应急管理局</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eastAsia" w:ascii="Times New Roman" w:hAnsi="Times New Roman" w:eastAsia="宋体" w:cs="Times New Roman"/>
                <w:b w:val="0"/>
                <w:bCs/>
                <w:color w:val="000000"/>
                <w:sz w:val="21"/>
                <w:szCs w:val="21"/>
                <w:lang w:bidi="ar-SA"/>
              </w:rPr>
              <w:t>029-33210907</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eastAsia" w:ascii="Times New Roman" w:hAnsi="Times New Roman" w:eastAsia="宋体" w:cs="Times New Roman"/>
                <w:b w:val="0"/>
                <w:bCs/>
                <w:color w:val="000000"/>
                <w:sz w:val="21"/>
                <w:szCs w:val="21"/>
                <w:lang w:eastAsia="zh-CN" w:bidi="ar-SA"/>
              </w:rPr>
            </w:pPr>
            <w:r>
              <w:rPr>
                <w:rFonts w:hint="default" w:ascii="Times New Roman" w:hAnsi="Times New Roman" w:eastAsia="宋体" w:cs="Times New Roman"/>
                <w:b w:val="0"/>
                <w:bCs/>
                <w:color w:val="000000"/>
                <w:sz w:val="21"/>
                <w:szCs w:val="21"/>
                <w:lang w:bidi="ar-SA"/>
              </w:rPr>
              <w:t>西咸新区秦汉新城</w:t>
            </w:r>
            <w:r>
              <w:rPr>
                <w:rFonts w:hint="eastAsia" w:eastAsia="宋体" w:cs="Times New Roman"/>
                <w:b w:val="0"/>
                <w:bCs/>
                <w:color w:val="000000"/>
                <w:sz w:val="21"/>
                <w:szCs w:val="21"/>
                <w:lang w:val="en-US" w:eastAsia="zh-CN" w:bidi="ar-SA"/>
              </w:rPr>
              <w:t>管委会</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029-33185000</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渭城街道办事处</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029-3343111/112/113</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eastAsia" w:ascii="Times New Roman" w:hAnsi="Times New Roman" w:eastAsia="宋体" w:cs="Times New Roman"/>
                <w:b w:val="0"/>
                <w:bCs/>
                <w:color w:val="000000"/>
                <w:sz w:val="21"/>
                <w:szCs w:val="21"/>
                <w:lang w:eastAsia="zh-CN" w:bidi="ar-SA"/>
              </w:rPr>
            </w:pPr>
            <w:r>
              <w:rPr>
                <w:rFonts w:hint="default" w:ascii="Times New Roman" w:hAnsi="Times New Roman" w:eastAsia="宋体" w:cs="Times New Roman"/>
                <w:b w:val="0"/>
                <w:bCs/>
                <w:color w:val="000000"/>
                <w:sz w:val="21"/>
                <w:szCs w:val="21"/>
                <w:lang w:bidi="ar-SA"/>
              </w:rPr>
              <w:t>西咸新区</w:t>
            </w:r>
            <w:r>
              <w:rPr>
                <w:rFonts w:hint="eastAsia" w:ascii="Times New Roman" w:hAnsi="Times New Roman" w:eastAsia="宋体" w:cs="Times New Roman"/>
                <w:b w:val="0"/>
                <w:bCs/>
                <w:color w:val="000000"/>
                <w:sz w:val="21"/>
                <w:szCs w:val="21"/>
                <w:lang w:eastAsia="zh-CN" w:bidi="ar-SA"/>
              </w:rPr>
              <w:t>秦汉新城生态环境局</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val="en-US" w:eastAsia="zh-CN" w:bidi="ar-SA"/>
              </w:rPr>
            </w:pPr>
            <w:r>
              <w:rPr>
                <w:rFonts w:hint="default" w:ascii="Times New Roman" w:hAnsi="Times New Roman" w:eastAsia="宋体" w:cs="Times New Roman"/>
                <w:b w:val="0"/>
                <w:bCs/>
                <w:color w:val="000000"/>
                <w:sz w:val="21"/>
                <w:szCs w:val="21"/>
                <w:lang w:val="en-US" w:eastAsia="zh-CN" w:bidi="ar-SA"/>
              </w:rPr>
              <w:t>029-33185030</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西咸新区应急管理局</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029-33188100</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长庆石化公司安全环保部</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029-8509428</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restart"/>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社会力量</w:t>
            </w: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公安局</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110</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火警</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119</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急救</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120</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咸阳市中心医院</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33288692</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咸阳市水电医院</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33417886</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交通事故报警指挥</w:t>
            </w:r>
          </w:p>
        </w:tc>
        <w:tc>
          <w:tcPr>
            <w:tcW w:w="2296"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122</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restart"/>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r>
              <w:rPr>
                <w:rFonts w:hint="default" w:ascii="Times New Roman" w:hAnsi="Times New Roman" w:eastAsia="宋体" w:cs="Times New Roman"/>
                <w:b/>
                <w:color w:val="000000"/>
                <w:sz w:val="21"/>
                <w:szCs w:val="21"/>
                <w:lang w:bidi="ar-SA"/>
              </w:rPr>
              <w:t>敏感点</w:t>
            </w: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林场村</w:t>
            </w:r>
          </w:p>
        </w:tc>
        <w:tc>
          <w:tcPr>
            <w:tcW w:w="2296" w:type="dxa"/>
            <w:vMerge w:val="restart"/>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由渭城街道办事处通知到村委会（029-33434111/112/113）</w:t>
            </w: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三姓庄</w:t>
            </w:r>
          </w:p>
        </w:tc>
        <w:tc>
          <w:tcPr>
            <w:tcW w:w="2296" w:type="dxa"/>
            <w:vMerge w:val="continue"/>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华泰小学</w:t>
            </w:r>
          </w:p>
        </w:tc>
        <w:tc>
          <w:tcPr>
            <w:tcW w:w="2296" w:type="dxa"/>
            <w:vMerge w:val="continue"/>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石桥村</w:t>
            </w:r>
          </w:p>
        </w:tc>
        <w:tc>
          <w:tcPr>
            <w:tcW w:w="2296" w:type="dxa"/>
            <w:vMerge w:val="continue"/>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01" w:type="dxa"/>
            <w:vMerge w:val="continue"/>
            <w:noWrap w:val="0"/>
            <w:vAlign w:val="center"/>
          </w:tcPr>
          <w:p>
            <w:pPr>
              <w:adjustRightInd w:val="0"/>
              <w:snapToGrid w:val="0"/>
              <w:jc w:val="center"/>
              <w:rPr>
                <w:rFonts w:hint="default" w:ascii="Times New Roman" w:hAnsi="Times New Roman" w:eastAsia="宋体" w:cs="Times New Roman"/>
                <w:b/>
                <w:color w:val="000000"/>
                <w:sz w:val="21"/>
                <w:szCs w:val="21"/>
                <w:lang w:bidi="ar-SA"/>
              </w:rPr>
            </w:pPr>
          </w:p>
        </w:tc>
        <w:tc>
          <w:tcPr>
            <w:tcW w:w="3374"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华北局三普东生活区</w:t>
            </w:r>
          </w:p>
        </w:tc>
        <w:tc>
          <w:tcPr>
            <w:tcW w:w="2296" w:type="dxa"/>
            <w:vMerge w:val="continue"/>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p>
        </w:tc>
        <w:tc>
          <w:tcPr>
            <w:tcW w:w="1981" w:type="dxa"/>
            <w:noWrap w:val="0"/>
            <w:vAlign w:val="center"/>
          </w:tcPr>
          <w:p>
            <w:pPr>
              <w:adjustRightInd w:val="0"/>
              <w:snapToGrid w:val="0"/>
              <w:jc w:val="center"/>
              <w:rPr>
                <w:rFonts w:hint="default" w:ascii="Times New Roman" w:hAnsi="Times New Roman" w:eastAsia="宋体" w:cs="Times New Roman"/>
                <w:b w:val="0"/>
                <w:bCs/>
                <w:color w:val="000000"/>
                <w:sz w:val="21"/>
                <w:szCs w:val="21"/>
                <w:lang w:bidi="ar-SA"/>
              </w:rPr>
            </w:pPr>
            <w:r>
              <w:rPr>
                <w:rFonts w:hint="default" w:ascii="Times New Roman" w:hAnsi="Times New Roman" w:eastAsia="宋体" w:cs="Times New Roman"/>
                <w:b w:val="0"/>
                <w:bCs/>
                <w:color w:val="000000"/>
                <w:sz w:val="21"/>
                <w:szCs w:val="21"/>
                <w:lang w:bidi="ar-SA"/>
              </w:rPr>
              <w:t>——</w:t>
            </w:r>
          </w:p>
        </w:tc>
      </w:tr>
    </w:tbl>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3.8.3应急救援物资与装备情况</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公司现有应急资源</w:t>
      </w:r>
      <w:r>
        <w:rPr>
          <w:rFonts w:hint="default" w:ascii="Times New Roman" w:hAnsi="Times New Roman" w:eastAsia="宋体" w:cs="Times New Roman"/>
          <w:bCs/>
          <w:color w:val="auto"/>
          <w:kern w:val="0"/>
          <w:sz w:val="24"/>
        </w:rPr>
        <w:t>与装备情况</w:t>
      </w:r>
      <w:r>
        <w:rPr>
          <w:rFonts w:hint="default" w:ascii="Times New Roman" w:hAnsi="Times New Roman" w:eastAsia="宋体" w:cs="Times New Roman"/>
          <w:color w:val="auto"/>
          <w:kern w:val="0"/>
          <w:sz w:val="24"/>
        </w:rPr>
        <w:t>统计结果见表3.8-3。</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表3.8-3公司现有应急物资与装备统计表</w:t>
      </w:r>
    </w:p>
    <w:tbl>
      <w:tblPr>
        <w:tblStyle w:val="7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1" w:type="dxa"/>
          <w:bottom w:w="0" w:type="dxa"/>
          <w:right w:w="11" w:type="dxa"/>
        </w:tblCellMar>
      </w:tblPr>
      <w:tblGrid>
        <w:gridCol w:w="573"/>
        <w:gridCol w:w="1005"/>
        <w:gridCol w:w="860"/>
        <w:gridCol w:w="1870"/>
        <w:gridCol w:w="1148"/>
        <w:gridCol w:w="28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序号</w:t>
            </w:r>
          </w:p>
        </w:tc>
        <w:tc>
          <w:tcPr>
            <w:tcW w:w="603" w:type="pct"/>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类型</w:t>
            </w:r>
          </w:p>
        </w:tc>
        <w:tc>
          <w:tcPr>
            <w:tcW w:w="1638" w:type="pct"/>
            <w:gridSpan w:val="2"/>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szCs w:val="21"/>
              </w:rPr>
              <w:t>名称</w:t>
            </w:r>
          </w:p>
        </w:tc>
        <w:tc>
          <w:tcPr>
            <w:tcW w:w="689" w:type="pct"/>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数量</w:t>
            </w:r>
          </w:p>
        </w:tc>
        <w:tc>
          <w:tcPr>
            <w:tcW w:w="1724" w:type="pct"/>
            <w:vAlign w:val="center"/>
          </w:tcPr>
          <w:p>
            <w:pPr>
              <w:jc w:val="center"/>
              <w:rPr>
                <w:rFonts w:hint="default" w:ascii="Times New Roman" w:hAnsi="Times New Roman" w:eastAsia="宋体" w:cs="Times New Roman"/>
                <w:b/>
                <w:bCs/>
                <w:color w:val="auto"/>
                <w:szCs w:val="21"/>
              </w:rPr>
            </w:pPr>
            <w:r>
              <w:rPr>
                <w:rFonts w:hint="default" w:ascii="Times New Roman" w:hAnsi="Times New Roman" w:eastAsia="宋体" w:cs="Times New Roman"/>
                <w:b/>
                <w:color w:val="auto"/>
                <w:kern w:val="0"/>
                <w:szCs w:val="21"/>
              </w:rPr>
              <w:t>存放地点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restart"/>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w:t>
            </w:r>
          </w:p>
        </w:tc>
        <w:tc>
          <w:tcPr>
            <w:tcW w:w="603" w:type="pct"/>
            <w:vMerge w:val="restart"/>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个人防护</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装备</w:t>
            </w:r>
          </w:p>
        </w:tc>
        <w:tc>
          <w:tcPr>
            <w:tcW w:w="516" w:type="pct"/>
            <w:vMerge w:val="restar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kern w:val="0"/>
                <w:szCs w:val="21"/>
              </w:rPr>
              <w:t>防护服</w:t>
            </w:r>
          </w:p>
        </w:tc>
        <w:tc>
          <w:tcPr>
            <w:tcW w:w="1121"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kern w:val="0"/>
                <w:szCs w:val="21"/>
              </w:rPr>
              <w:t>隔离防护服</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10套</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防静电夏服</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1套/人/年</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化工、检维修工种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防静电春秋服</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1套/人/2年</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化工、检维修工种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重型防护服</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2套</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防酸（碱）服</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30</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restar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防护眼镜、面罩</w:t>
            </w: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防腐蚀液眼镜/面罩</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50副（眼镜）</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防护眼镜</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50个</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kern w:val="0"/>
                <w:szCs w:val="21"/>
              </w:rPr>
              <w:t>防毒面具</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10个</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面具</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restar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呼吸器</w:t>
            </w: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正压空气呼吸器</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2个</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空气呼吸器</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长管呼吸器</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restar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防护</w:t>
            </w:r>
          </w:p>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手套</w:t>
            </w: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防静电手套</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50双</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化工、检维修工种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耐酸碱手套</w:t>
            </w:r>
          </w:p>
        </w:tc>
        <w:tc>
          <w:tcPr>
            <w:tcW w:w="689" w:type="pct"/>
            <w:vAlign w:val="center"/>
          </w:tcPr>
          <w:p>
            <w:pPr>
              <w:autoSpaceDE w:val="0"/>
              <w:autoSpaceDN w:val="0"/>
              <w:adjustRightInd w:val="0"/>
              <w:jc w:val="center"/>
              <w:rPr>
                <w:rFonts w:hint="eastAsia" w:ascii="Times New Roman" w:hAnsi="Times New Roman" w:eastAsia="宋体" w:cs="Times New Roman"/>
                <w:color w:val="auto"/>
                <w:kern w:val="0"/>
                <w:szCs w:val="21"/>
                <w:lang w:eastAsia="zh-CN"/>
              </w:rPr>
            </w:pPr>
            <w:r>
              <w:rPr>
                <w:rFonts w:hint="default" w:ascii="Times New Roman" w:hAnsi="Times New Roman" w:eastAsia="宋体" w:cs="Times New Roman"/>
                <w:color w:val="auto"/>
                <w:kern w:val="0"/>
                <w:szCs w:val="21"/>
              </w:rPr>
              <w:t>50</w:t>
            </w:r>
            <w:r>
              <w:rPr>
                <w:rFonts w:hint="eastAsia" w:cs="Times New Roman"/>
                <w:color w:val="auto"/>
                <w:kern w:val="0"/>
                <w:szCs w:val="21"/>
                <w:lang w:val="en-US" w:eastAsia="zh-CN"/>
              </w:rPr>
              <w:t>双</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restar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防护鞋</w:t>
            </w: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单胶鞋</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4双</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化工、检维修工种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kern w:val="0"/>
                <w:szCs w:val="21"/>
              </w:rPr>
            </w:pPr>
          </w:p>
        </w:tc>
        <w:tc>
          <w:tcPr>
            <w:tcW w:w="516" w:type="pct"/>
            <w:vMerge w:val="continue"/>
            <w:vAlign w:val="center"/>
          </w:tcPr>
          <w:p>
            <w:pPr>
              <w:autoSpaceDE w:val="0"/>
              <w:autoSpaceDN w:val="0"/>
              <w:adjustRightInd w:val="0"/>
              <w:jc w:val="center"/>
              <w:rPr>
                <w:rFonts w:hint="default" w:ascii="Times New Roman" w:hAnsi="Times New Roman" w:eastAsia="宋体" w:cs="Times New Roman"/>
                <w:color w:val="auto"/>
                <w:kern w:val="0"/>
                <w:szCs w:val="21"/>
              </w:rPr>
            </w:pPr>
          </w:p>
        </w:tc>
        <w:tc>
          <w:tcPr>
            <w:tcW w:w="1121"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耐酸碱鞋</w:t>
            </w:r>
          </w:p>
        </w:tc>
        <w:tc>
          <w:tcPr>
            <w:tcW w:w="689" w:type="pct"/>
            <w:vAlign w:val="center"/>
          </w:tcPr>
          <w:p>
            <w:pPr>
              <w:autoSpaceDE w:val="0"/>
              <w:autoSpaceDN w:val="0"/>
              <w:adjustRightInd w:val="0"/>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30</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操作人员和检修施工人员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w:t>
            </w:r>
          </w:p>
        </w:tc>
        <w:tc>
          <w:tcPr>
            <w:tcW w:w="603"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应急照明</w:t>
            </w:r>
          </w:p>
        </w:tc>
        <w:tc>
          <w:tcPr>
            <w:tcW w:w="1638" w:type="pct"/>
            <w:gridSpan w:val="2"/>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应急照明</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10</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应急供电</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1</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c>
          <w:tcPr>
            <w:tcW w:w="603"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应急设施</w:t>
            </w:r>
          </w:p>
        </w:tc>
        <w:tc>
          <w:tcPr>
            <w:tcW w:w="1638" w:type="pct"/>
            <w:gridSpan w:val="2"/>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安全警示标识</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若干</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应急救护设备</w:t>
            </w:r>
          </w:p>
        </w:tc>
        <w:tc>
          <w:tcPr>
            <w:tcW w:w="689" w:type="pct"/>
            <w:vAlign w:val="center"/>
          </w:tcPr>
          <w:p>
            <w:pPr>
              <w:widowControl/>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若干</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szCs w:val="21"/>
              </w:rPr>
              <w:t>堵用</w:t>
            </w:r>
            <w:r>
              <w:rPr>
                <w:rFonts w:hint="default" w:ascii="Times New Roman" w:hAnsi="Times New Roman" w:eastAsia="宋体" w:cs="Times New Roman"/>
                <w:bCs/>
                <w:color w:val="auto"/>
                <w:kern w:val="0"/>
                <w:szCs w:val="21"/>
              </w:rPr>
              <w:t>沙土袋</w:t>
            </w:r>
          </w:p>
        </w:tc>
        <w:tc>
          <w:tcPr>
            <w:tcW w:w="689" w:type="pct"/>
            <w:vAlign w:val="center"/>
          </w:tcPr>
          <w:p>
            <w:pPr>
              <w:widowControl/>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若干</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油毡</w:t>
            </w:r>
          </w:p>
        </w:tc>
        <w:tc>
          <w:tcPr>
            <w:tcW w:w="689" w:type="pct"/>
            <w:vAlign w:val="center"/>
          </w:tcPr>
          <w:p>
            <w:pPr>
              <w:widowControl/>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若干</w:t>
            </w:r>
          </w:p>
        </w:tc>
        <w:tc>
          <w:tcPr>
            <w:tcW w:w="1724"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吸油毡</w:t>
            </w:r>
          </w:p>
        </w:tc>
        <w:tc>
          <w:tcPr>
            <w:tcW w:w="689" w:type="pct"/>
            <w:vAlign w:val="center"/>
          </w:tcPr>
          <w:p>
            <w:pPr>
              <w:widowControl/>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若干</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w:t>
            </w:r>
          </w:p>
        </w:tc>
        <w:tc>
          <w:tcPr>
            <w:tcW w:w="603"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消防灭火</w:t>
            </w:r>
          </w:p>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设施</w:t>
            </w:r>
          </w:p>
        </w:tc>
        <w:tc>
          <w:tcPr>
            <w:tcW w:w="1638" w:type="pct"/>
            <w:gridSpan w:val="2"/>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color w:val="auto"/>
                <w:szCs w:val="21"/>
              </w:rPr>
              <w:t>火灾报警系统</w:t>
            </w:r>
          </w:p>
        </w:tc>
        <w:tc>
          <w:tcPr>
            <w:tcW w:w="689" w:type="pct"/>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3</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kern w:val="0"/>
                <w:szCs w:val="21"/>
              </w:rPr>
              <w:t>甲醇罐区、生产区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干粉灭火器8kg</w:t>
            </w:r>
          </w:p>
        </w:tc>
        <w:tc>
          <w:tcPr>
            <w:tcW w:w="689" w:type="pct"/>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295</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CO</w:t>
            </w:r>
            <w:r>
              <w:rPr>
                <w:rFonts w:hint="default" w:ascii="Times New Roman" w:hAnsi="Times New Roman" w:eastAsia="宋体" w:cs="Times New Roman"/>
                <w:bCs/>
                <w:color w:val="auto"/>
                <w:kern w:val="0"/>
                <w:szCs w:val="21"/>
                <w:vertAlign w:val="subscript"/>
              </w:rPr>
              <w:t>2</w:t>
            </w:r>
            <w:r>
              <w:rPr>
                <w:rFonts w:hint="default" w:ascii="Times New Roman" w:hAnsi="Times New Roman" w:eastAsia="宋体" w:cs="Times New Roman"/>
                <w:bCs/>
                <w:color w:val="auto"/>
                <w:kern w:val="0"/>
                <w:szCs w:val="21"/>
              </w:rPr>
              <w:t>灭火器3kg</w:t>
            </w:r>
          </w:p>
        </w:tc>
        <w:tc>
          <w:tcPr>
            <w:tcW w:w="689" w:type="pct"/>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20</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CO</w:t>
            </w:r>
            <w:r>
              <w:rPr>
                <w:rFonts w:hint="default" w:ascii="Times New Roman" w:hAnsi="Times New Roman" w:eastAsia="宋体" w:cs="Times New Roman"/>
                <w:bCs/>
                <w:color w:val="auto"/>
                <w:kern w:val="0"/>
                <w:szCs w:val="21"/>
                <w:vertAlign w:val="subscript"/>
              </w:rPr>
              <w:t>2</w:t>
            </w:r>
            <w:r>
              <w:rPr>
                <w:rFonts w:hint="default" w:ascii="Times New Roman" w:hAnsi="Times New Roman" w:eastAsia="宋体" w:cs="Times New Roman"/>
                <w:bCs/>
                <w:color w:val="auto"/>
                <w:kern w:val="0"/>
                <w:szCs w:val="21"/>
              </w:rPr>
              <w:t>灭火器7kg</w:t>
            </w:r>
          </w:p>
        </w:tc>
        <w:tc>
          <w:tcPr>
            <w:tcW w:w="689" w:type="pct"/>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16</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color w:val="auto"/>
                <w:szCs w:val="21"/>
              </w:rPr>
              <w:t>消火栓</w:t>
            </w:r>
          </w:p>
        </w:tc>
        <w:tc>
          <w:tcPr>
            <w:tcW w:w="689" w:type="pct"/>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54</w:t>
            </w:r>
          </w:p>
        </w:tc>
        <w:tc>
          <w:tcPr>
            <w:tcW w:w="1724" w:type="pc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手动报警器</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39</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消防炮</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14</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多功能水枪</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54</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w:t>
            </w:r>
          </w:p>
        </w:tc>
        <w:tc>
          <w:tcPr>
            <w:tcW w:w="603"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应急装置设备</w:t>
            </w:r>
          </w:p>
        </w:tc>
        <w:tc>
          <w:tcPr>
            <w:tcW w:w="1638" w:type="pct"/>
            <w:gridSpan w:val="2"/>
            <w:vAlign w:val="center"/>
          </w:tcPr>
          <w:p>
            <w:pPr>
              <w:widowControl/>
              <w:spacing w:line="240" w:lineRule="atLeast"/>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事故池</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8500 M</w:t>
            </w:r>
            <w:r>
              <w:rPr>
                <w:rFonts w:hint="default" w:ascii="Times New Roman" w:hAnsi="Times New Roman" w:eastAsia="宋体" w:cs="Times New Roman"/>
                <w:bCs/>
                <w:color w:val="auto"/>
                <w:kern w:val="0"/>
                <w:szCs w:val="21"/>
                <w:vertAlign w:val="superscript"/>
              </w:rPr>
              <w:t>3</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bCs/>
                <w:color w:val="auto"/>
                <w:kern w:val="0"/>
                <w:szCs w:val="21"/>
              </w:rPr>
              <w:t>事故防范、应急消防废水收集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围堰</w:t>
            </w:r>
          </w:p>
        </w:tc>
        <w:tc>
          <w:tcPr>
            <w:tcW w:w="689" w:type="pc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c>
          <w:tcPr>
            <w:tcW w:w="1724" w:type="pct"/>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各罐区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废水处理设施</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w:t>
            </w:r>
          </w:p>
        </w:tc>
        <w:tc>
          <w:tcPr>
            <w:tcW w:w="1724" w:type="pct"/>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长庆石化公司污水</w:t>
            </w:r>
          </w:p>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废气处理设施</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w:t>
            </w:r>
          </w:p>
        </w:tc>
        <w:tc>
          <w:tcPr>
            <w:tcW w:w="1724" w:type="pct"/>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长庆石化火炬系统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spacing w:line="240" w:lineRule="atLeast"/>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消防车</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9</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消防站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restart"/>
            <w:vAlign w:val="center"/>
          </w:tcPr>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w:t>
            </w:r>
          </w:p>
        </w:tc>
        <w:tc>
          <w:tcPr>
            <w:tcW w:w="603" w:type="pct"/>
            <w:vMerge w:val="restart"/>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监测</w:t>
            </w:r>
          </w:p>
          <w:p>
            <w:pPr>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仪器</w:t>
            </w:r>
          </w:p>
        </w:tc>
        <w:tc>
          <w:tcPr>
            <w:tcW w:w="1638" w:type="pct"/>
            <w:gridSpan w:val="2"/>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可燃气体报警器</w:t>
            </w:r>
          </w:p>
        </w:tc>
        <w:tc>
          <w:tcPr>
            <w:tcW w:w="689" w:type="pct"/>
            <w:vAlign w:val="center"/>
          </w:tcPr>
          <w:p>
            <w:pPr>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109</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1" w:type="dxa"/>
            <w:bottom w:w="0" w:type="dxa"/>
            <w:right w:w="11" w:type="dxa"/>
          </w:tblCellMar>
        </w:tblPrEx>
        <w:trPr>
          <w:trHeight w:val="329" w:hRule="atLeast"/>
          <w:jc w:val="center"/>
        </w:trPr>
        <w:tc>
          <w:tcPr>
            <w:tcW w:w="344"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603" w:type="pct"/>
            <w:vMerge w:val="continue"/>
            <w:vAlign w:val="center"/>
          </w:tcPr>
          <w:p>
            <w:pPr>
              <w:spacing w:line="240" w:lineRule="atLeast"/>
              <w:jc w:val="center"/>
              <w:rPr>
                <w:rFonts w:hint="default" w:ascii="Times New Roman" w:hAnsi="Times New Roman" w:eastAsia="宋体" w:cs="Times New Roman"/>
                <w:color w:val="auto"/>
                <w:szCs w:val="21"/>
              </w:rPr>
            </w:pPr>
          </w:p>
        </w:tc>
        <w:tc>
          <w:tcPr>
            <w:tcW w:w="1638" w:type="pct"/>
            <w:gridSpan w:val="2"/>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烟感火灾报警器</w:t>
            </w:r>
          </w:p>
        </w:tc>
        <w:tc>
          <w:tcPr>
            <w:tcW w:w="689" w:type="pct"/>
            <w:vAlign w:val="center"/>
          </w:tcPr>
          <w:p>
            <w:pPr>
              <w:widowControl/>
              <w:adjustRightInd w:val="0"/>
              <w:snapToGrid w:val="0"/>
              <w:spacing w:line="240" w:lineRule="atLeast"/>
              <w:jc w:val="center"/>
              <w:textAlignment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104</w:t>
            </w:r>
          </w:p>
        </w:tc>
        <w:tc>
          <w:tcPr>
            <w:tcW w:w="1724" w:type="pc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生产装置区</w:t>
            </w:r>
          </w:p>
        </w:tc>
      </w:tr>
    </w:tbl>
    <w:p>
      <w:pPr>
        <w:spacing w:before="240" w:beforeLines="100" w:after="240" w:afterLines="100" w:line="360" w:lineRule="auto"/>
        <w:jc w:val="center"/>
        <w:outlineLvl w:val="0"/>
        <w:rPr>
          <w:rFonts w:hint="default" w:ascii="Times New Roman" w:hAnsi="Times New Roman" w:eastAsia="宋体" w:cs="Times New Roman"/>
          <w:b/>
          <w:bCs/>
          <w:color w:val="auto"/>
          <w:kern w:val="0"/>
          <w:sz w:val="30"/>
          <w:szCs w:val="30"/>
        </w:rPr>
      </w:pPr>
      <w:bookmarkStart w:id="205" w:name="_Toc24524"/>
      <w:bookmarkStart w:id="206" w:name="_Toc523580101"/>
      <w:r>
        <w:rPr>
          <w:rFonts w:hint="default" w:ascii="Times New Roman" w:hAnsi="Times New Roman" w:eastAsia="宋体" w:cs="Times New Roman"/>
          <w:b/>
          <w:bCs/>
          <w:color w:val="auto"/>
          <w:kern w:val="0"/>
          <w:sz w:val="30"/>
          <w:szCs w:val="30"/>
        </w:rPr>
        <w:t>4突发环境事件及其后果分析</w:t>
      </w:r>
      <w:bookmarkEnd w:id="205"/>
      <w:bookmarkEnd w:id="206"/>
    </w:p>
    <w:p>
      <w:pPr>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07" w:name="_Toc11452"/>
      <w:bookmarkStart w:id="208" w:name="_Toc523580102"/>
      <w:r>
        <w:rPr>
          <w:rFonts w:hint="default" w:ascii="Times New Roman" w:hAnsi="Times New Roman" w:eastAsia="宋体" w:cs="Times New Roman"/>
          <w:b/>
          <w:bCs/>
          <w:color w:val="auto"/>
          <w:kern w:val="0"/>
          <w:sz w:val="28"/>
          <w:szCs w:val="28"/>
        </w:rPr>
        <w:t>4.1可能发生的突发环境事件及其后果情景分析</w:t>
      </w:r>
      <w:bookmarkEnd w:id="207"/>
      <w:bookmarkEnd w:id="208"/>
    </w:p>
    <w:p>
      <w:pPr>
        <w:spacing w:before="120" w:beforeLines="50" w:after="120" w:afterLines="50" w:line="360" w:lineRule="auto"/>
        <w:jc w:val="left"/>
        <w:outlineLvl w:val="2"/>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4.1.1国内外同类企业突发环境事件</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收集国内同类环境风险物质突发环境事件结果见表4.1-1。</w:t>
      </w:r>
    </w:p>
    <w:p>
      <w:pPr>
        <w:spacing w:before="120" w:beforeLines="50" w:after="120" w:afterLines="50" w:line="360" w:lineRule="auto"/>
        <w:jc w:val="left"/>
        <w:outlineLvl w:val="2"/>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4.1.2提出所有可能发生突发环境事件情景</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分析公司辖区内现有涉环境风险物质的各个生产装置、罐区、装卸区、作业场所和危险废物贮存设施（场所）的环境风险防控措施，结合4.1.1提出公司突发环境事件情景分析见表4.1-2。</w:t>
      </w:r>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09" w:name="_Toc523580103"/>
      <w:bookmarkStart w:id="210" w:name="_Toc1930"/>
      <w:r>
        <w:rPr>
          <w:rFonts w:hint="default" w:ascii="Times New Roman" w:hAnsi="Times New Roman" w:eastAsia="宋体" w:cs="Times New Roman"/>
          <w:b/>
          <w:bCs/>
          <w:color w:val="auto"/>
          <w:kern w:val="0"/>
          <w:sz w:val="28"/>
          <w:szCs w:val="28"/>
        </w:rPr>
        <w:t>4.2 突发环境事件情景源强分析</w:t>
      </w:r>
      <w:bookmarkEnd w:id="209"/>
      <w:bookmarkEnd w:id="210"/>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kern w:val="0"/>
          <w:sz w:val="24"/>
        </w:rPr>
        <w:t>针对上述“表4.1-2公司突发环境事件情景分析表”提出的每种情景进行源强分析，结果见如4.1-１。</w:t>
      </w:r>
    </w:p>
    <w:p>
      <w:pPr>
        <w:spacing w:before="120" w:beforeLines="50" w:after="120" w:afterLines="50" w:line="360" w:lineRule="auto"/>
        <w:jc w:val="left"/>
        <w:outlineLvl w:val="9"/>
        <w:rPr>
          <w:rFonts w:hint="default" w:ascii="Times New Roman" w:hAnsi="Times New Roman" w:eastAsia="宋体" w:cs="Times New Roman"/>
          <w:b/>
          <w:color w:val="auto"/>
          <w:kern w:val="0"/>
          <w:sz w:val="24"/>
        </w:rPr>
        <w:sectPr>
          <w:pgSz w:w="11906" w:h="16838"/>
          <w:pgMar w:top="1440" w:right="1797" w:bottom="1440" w:left="1797" w:header="851" w:footer="992" w:gutter="0"/>
          <w:pgNumType w:fmt="decimal"/>
          <w:cols w:space="720" w:num="1"/>
          <w:docGrid w:linePitch="312" w:charSpace="0"/>
        </w:sectPr>
      </w:pP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表4.1</w:t>
      </w:r>
      <w:r>
        <w:rPr>
          <w:rFonts w:hint="default" w:ascii="Times New Roman" w:hAnsi="Times New Roman" w:eastAsia="宋体" w:cs="Times New Roman"/>
          <w:b/>
          <w:color w:val="auto"/>
          <w:kern w:val="0"/>
          <w:sz w:val="21"/>
          <w:szCs w:val="21"/>
        </w:rPr>
        <w:noBreakHyphen/>
      </w:r>
      <w:r>
        <w:rPr>
          <w:rFonts w:hint="default" w:ascii="Times New Roman" w:hAnsi="Times New Roman" w:eastAsia="宋体" w:cs="Times New Roman"/>
          <w:b/>
          <w:color w:val="auto"/>
          <w:kern w:val="0"/>
          <w:sz w:val="21"/>
          <w:szCs w:val="21"/>
        </w:rPr>
        <w:t>1同类环境风险物质突发环境事件</w:t>
      </w:r>
    </w:p>
    <w:tbl>
      <w:tblPr>
        <w:tblStyle w:val="75"/>
        <w:tblW w:w="13609" w:type="dxa"/>
        <w:tblInd w:w="-3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28"/>
        <w:gridCol w:w="798"/>
        <w:gridCol w:w="1446"/>
        <w:gridCol w:w="1082"/>
        <w:gridCol w:w="2409"/>
        <w:gridCol w:w="1134"/>
        <w:gridCol w:w="3367"/>
        <w:gridCol w:w="1187"/>
        <w:gridCol w:w="12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年份</w:t>
            </w:r>
          </w:p>
        </w:tc>
        <w:tc>
          <w:tcPr>
            <w:tcW w:w="798"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风险</w:t>
            </w:r>
          </w:p>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物质</w:t>
            </w:r>
          </w:p>
        </w:tc>
        <w:tc>
          <w:tcPr>
            <w:tcW w:w="1446"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地点</w:t>
            </w:r>
          </w:p>
        </w:tc>
        <w:tc>
          <w:tcPr>
            <w:tcW w:w="1082"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发生部位/场所</w:t>
            </w:r>
          </w:p>
        </w:tc>
        <w:tc>
          <w:tcPr>
            <w:tcW w:w="2409"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引发原因</w:t>
            </w:r>
          </w:p>
        </w:tc>
        <w:tc>
          <w:tcPr>
            <w:tcW w:w="1134"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影响</w:t>
            </w:r>
          </w:p>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范围</w:t>
            </w:r>
          </w:p>
        </w:tc>
        <w:tc>
          <w:tcPr>
            <w:tcW w:w="3367"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采取的应急措施</w:t>
            </w:r>
          </w:p>
        </w:tc>
        <w:tc>
          <w:tcPr>
            <w:tcW w:w="1187"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事件损失</w:t>
            </w:r>
          </w:p>
        </w:tc>
        <w:tc>
          <w:tcPr>
            <w:tcW w:w="1258" w:type="dxa"/>
            <w:vAlign w:val="center"/>
          </w:tcPr>
          <w:p>
            <w:pPr>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事件影响等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2006.10.24</w:t>
            </w:r>
          </w:p>
        </w:tc>
        <w:tc>
          <w:tcPr>
            <w:tcW w:w="79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石油</w:t>
            </w:r>
          </w:p>
        </w:tc>
        <w:tc>
          <w:tcPr>
            <w:tcW w:w="144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俄罗斯中部乌拉尔地区</w:t>
            </w:r>
          </w:p>
        </w:tc>
        <w:tc>
          <w:tcPr>
            <w:tcW w:w="1082"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输油管道</w:t>
            </w:r>
          </w:p>
        </w:tc>
        <w:tc>
          <w:tcPr>
            <w:tcW w:w="2409"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输油管道发生破裂</w:t>
            </w:r>
            <w:r>
              <w:rPr>
                <w:rFonts w:hint="default" w:ascii="Times New Roman" w:hAnsi="Times New Roman" w:eastAsia="宋体" w:cs="Times New Roman"/>
                <w:color w:val="auto"/>
                <w:kern w:val="0"/>
                <w:szCs w:val="21"/>
              </w:rPr>
              <w:t>。</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波及5.5平方公里</w:t>
            </w:r>
          </w:p>
        </w:tc>
        <w:tc>
          <w:tcPr>
            <w:tcW w:w="3367"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187"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w:t>
            </w:r>
          </w:p>
        </w:tc>
        <w:tc>
          <w:tcPr>
            <w:tcW w:w="125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1998.7.27</w:t>
            </w:r>
          </w:p>
        </w:tc>
        <w:tc>
          <w:tcPr>
            <w:tcW w:w="79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浓缩油</w:t>
            </w:r>
          </w:p>
        </w:tc>
        <w:tc>
          <w:tcPr>
            <w:tcW w:w="1446"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color w:val="auto"/>
                <w:szCs w:val="21"/>
              </w:rPr>
              <w:t>某炼油厂</w:t>
            </w:r>
          </w:p>
        </w:tc>
        <w:tc>
          <w:tcPr>
            <w:tcW w:w="1082"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空冷泵房</w:t>
            </w:r>
          </w:p>
        </w:tc>
        <w:tc>
          <w:tcPr>
            <w:tcW w:w="2409"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szCs w:val="21"/>
              </w:rPr>
              <w:t>泵房内拆卸浓缩油泵大改螺栓时，大量浓缩油（主要是液态烃和汽油）喷出，将约71kg重的泵体冲开，将泵两侧作业的4名工人冲到。</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大气环境</w:t>
            </w:r>
          </w:p>
        </w:tc>
        <w:tc>
          <w:tcPr>
            <w:tcW w:w="3367"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快速清理，抢救人员。</w:t>
            </w:r>
          </w:p>
        </w:tc>
        <w:tc>
          <w:tcPr>
            <w:tcW w:w="1187" w:type="dxa"/>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color w:val="auto"/>
                <w:szCs w:val="21"/>
              </w:rPr>
              <w:t>大量液化气泄漏， 4人因抢救无效，中毒窒息死亡。</w:t>
            </w:r>
          </w:p>
        </w:tc>
        <w:tc>
          <w:tcPr>
            <w:tcW w:w="125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4人死亡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2008.6.13</w:t>
            </w:r>
          </w:p>
        </w:tc>
        <w:tc>
          <w:tcPr>
            <w:tcW w:w="79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H</w:t>
            </w:r>
            <w:r>
              <w:rPr>
                <w:rFonts w:hint="default" w:ascii="Times New Roman" w:hAnsi="Times New Roman" w:eastAsia="宋体" w:cs="Times New Roman"/>
                <w:color w:val="auto"/>
                <w:kern w:val="0"/>
                <w:szCs w:val="21"/>
                <w:vertAlign w:val="subscript"/>
              </w:rPr>
              <w:t>2</w:t>
            </w:r>
            <w:r>
              <w:rPr>
                <w:rFonts w:hint="default" w:ascii="Times New Roman" w:hAnsi="Times New Roman" w:eastAsia="宋体" w:cs="Times New Roman"/>
                <w:color w:val="auto"/>
                <w:kern w:val="0"/>
                <w:szCs w:val="21"/>
              </w:rPr>
              <w:t>S</w:t>
            </w:r>
          </w:p>
        </w:tc>
        <w:tc>
          <w:tcPr>
            <w:tcW w:w="144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云南昆明市安宁齐天化肥厂</w:t>
            </w:r>
          </w:p>
        </w:tc>
        <w:tc>
          <w:tcPr>
            <w:tcW w:w="1082"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配制硫化钠部位</w:t>
            </w:r>
          </w:p>
        </w:tc>
        <w:tc>
          <w:tcPr>
            <w:tcW w:w="2409"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配制硫化钠过程中，阀门失控导致进磷酸槽的硫化钠流量过大、流速过快，产生大量的硫化氢气体不能被及时反应消耗。</w:t>
            </w:r>
          </w:p>
        </w:tc>
        <w:tc>
          <w:tcPr>
            <w:tcW w:w="1134"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bCs/>
                <w:color w:val="auto"/>
                <w:kern w:val="0"/>
                <w:szCs w:val="21"/>
              </w:rPr>
              <w:t>大气环境</w:t>
            </w:r>
          </w:p>
        </w:tc>
        <w:tc>
          <w:tcPr>
            <w:tcW w:w="3367"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省市有关领导和工作人员第一时间赶到现场，组织指挥事故处置工作。同时，安宁市委、市政府迅速启动安全生产应急救援预案，成立了事故抢险救援指挥部，开展救治、善后处理及事故调查等工作。</w:t>
            </w:r>
          </w:p>
        </w:tc>
        <w:tc>
          <w:tcPr>
            <w:tcW w:w="1187"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25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造成6人死亡、2人重伤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2008.8.2</w:t>
            </w:r>
          </w:p>
        </w:tc>
        <w:tc>
          <w:tcPr>
            <w:tcW w:w="79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甲醇</w:t>
            </w:r>
          </w:p>
        </w:tc>
        <w:tc>
          <w:tcPr>
            <w:tcW w:w="1446"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贵州兴华化工有限责任公司</w:t>
            </w:r>
          </w:p>
        </w:tc>
        <w:tc>
          <w:tcPr>
            <w:tcW w:w="1082" w:type="dxa"/>
            <w:vAlign w:val="center"/>
          </w:tcPr>
          <w:p>
            <w:pPr>
              <w:widowControl/>
              <w:adjustRightInd w:val="0"/>
              <w:snapToGrid w:val="0"/>
              <w:spacing w:line="240" w:lineRule="atLeast"/>
              <w:jc w:val="center"/>
              <w:rPr>
                <w:rFonts w:hint="default" w:ascii="Times New Roman" w:hAnsi="Times New Roman" w:eastAsia="宋体" w:cs="Times New Roman"/>
                <w:snapToGrid w:val="0"/>
                <w:color w:val="auto"/>
                <w:kern w:val="0"/>
                <w:szCs w:val="21"/>
              </w:rPr>
            </w:pPr>
            <w:r>
              <w:rPr>
                <w:rFonts w:hint="default" w:ascii="Times New Roman" w:hAnsi="Times New Roman" w:eastAsia="宋体" w:cs="Times New Roman"/>
                <w:snapToGrid w:val="0"/>
                <w:color w:val="auto"/>
                <w:kern w:val="0"/>
                <w:szCs w:val="21"/>
              </w:rPr>
              <w:t>甲醇储</w:t>
            </w:r>
          </w:p>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罐区</w:t>
            </w:r>
          </w:p>
        </w:tc>
        <w:tc>
          <w:tcPr>
            <w:tcW w:w="2409" w:type="dxa"/>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甲醇罐惰性气体保护建设过程中，违规操作，致使空气进入罐内，发生爆炸。</w:t>
            </w:r>
          </w:p>
        </w:tc>
        <w:tc>
          <w:tcPr>
            <w:tcW w:w="1134"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snapToGrid w:val="0"/>
                <w:color w:val="auto"/>
                <w:kern w:val="0"/>
                <w:szCs w:val="21"/>
              </w:rPr>
              <w:t>厂区及周边大气环境</w:t>
            </w:r>
          </w:p>
        </w:tc>
        <w:tc>
          <w:tcPr>
            <w:tcW w:w="3367"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公司立即向兴义市消防、安监部门报告，同时积极组织开展现场抢险救援工作。公安消防部门立即派出公安消防官兵及8辆消防车及时赶赴事故现场开展事故抢险救援工作。熄灭大火，并将泄漏出的甲醇收集到事故处理池。</w:t>
            </w:r>
          </w:p>
        </w:tc>
        <w:tc>
          <w:tcPr>
            <w:tcW w:w="1187"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snapToGrid w:val="0"/>
                <w:color w:val="auto"/>
                <w:kern w:val="0"/>
                <w:szCs w:val="21"/>
              </w:rPr>
              <w:t>3500m</w:t>
            </w:r>
            <w:r>
              <w:rPr>
                <w:rFonts w:hint="default" w:ascii="Times New Roman" w:hAnsi="Times New Roman" w:eastAsia="宋体" w:cs="Times New Roman"/>
                <w:snapToGrid w:val="0"/>
                <w:color w:val="auto"/>
                <w:kern w:val="0"/>
                <w:szCs w:val="21"/>
                <w:vertAlign w:val="superscript"/>
              </w:rPr>
              <w:t>3</w:t>
            </w:r>
            <w:r>
              <w:rPr>
                <w:rFonts w:hint="default" w:ascii="Times New Roman" w:hAnsi="Times New Roman" w:eastAsia="宋体" w:cs="Times New Roman"/>
                <w:snapToGrid w:val="0"/>
                <w:color w:val="auto"/>
                <w:kern w:val="0"/>
                <w:szCs w:val="21"/>
              </w:rPr>
              <w:t>甲醇爆炸燃烧</w:t>
            </w:r>
          </w:p>
        </w:tc>
        <w:tc>
          <w:tcPr>
            <w:tcW w:w="1258" w:type="dxa"/>
            <w:vAlign w:val="center"/>
          </w:tcPr>
          <w:p>
            <w:pPr>
              <w:spacing w:line="240" w:lineRule="atLeast"/>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bl>
    <w:p>
      <w:pPr>
        <w:spacing w:before="120" w:beforeLines="50" w:line="360" w:lineRule="auto"/>
        <w:jc w:val="center"/>
        <w:rPr>
          <w:rFonts w:hint="default" w:ascii="Times New Roman" w:hAnsi="Times New Roman" w:eastAsia="宋体" w:cs="Times New Roman"/>
          <w:b/>
          <w:color w:val="auto"/>
          <w:sz w:val="24"/>
          <w:szCs w:val="20"/>
        </w:rPr>
      </w:pPr>
    </w:p>
    <w:p>
      <w:pPr>
        <w:spacing w:before="120" w:beforeLines="50" w:line="360" w:lineRule="auto"/>
        <w:jc w:val="center"/>
        <w:rPr>
          <w:rFonts w:hint="default" w:ascii="Times New Roman" w:hAnsi="Times New Roman" w:eastAsia="宋体" w:cs="Times New Roman"/>
          <w:b/>
          <w:color w:val="auto"/>
          <w:sz w:val="24"/>
          <w:szCs w:val="20"/>
        </w:rPr>
      </w:pPr>
    </w:p>
    <w:p>
      <w:pPr>
        <w:spacing w:before="120" w:beforeLines="50" w:line="360" w:lineRule="auto"/>
        <w:jc w:val="center"/>
        <w:rPr>
          <w:rFonts w:hint="default" w:ascii="Times New Roman" w:hAnsi="Times New Roman" w:eastAsia="宋体" w:cs="Times New Roman"/>
          <w:b/>
          <w:color w:val="auto"/>
          <w:sz w:val="24"/>
          <w:szCs w:val="20"/>
        </w:rPr>
      </w:pP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表4.1-2公司突发环境事件情景分析</w:t>
      </w:r>
    </w:p>
    <w:tbl>
      <w:tblPr>
        <w:tblStyle w:val="75"/>
        <w:tblW w:w="14617" w:type="dxa"/>
        <w:jc w:val="center"/>
        <w:tblLayout w:type="fixed"/>
        <w:tblCellMar>
          <w:top w:w="0" w:type="dxa"/>
          <w:left w:w="108" w:type="dxa"/>
          <w:bottom w:w="0" w:type="dxa"/>
          <w:right w:w="108" w:type="dxa"/>
        </w:tblCellMar>
      </w:tblPr>
      <w:tblGrid>
        <w:gridCol w:w="710"/>
        <w:gridCol w:w="1845"/>
        <w:gridCol w:w="1135"/>
        <w:gridCol w:w="1561"/>
        <w:gridCol w:w="6387"/>
        <w:gridCol w:w="1276"/>
        <w:gridCol w:w="1703"/>
      </w:tblGrid>
      <w:tr>
        <w:tblPrEx>
          <w:tblCellMar>
            <w:top w:w="0" w:type="dxa"/>
            <w:left w:w="108" w:type="dxa"/>
            <w:bottom w:w="0" w:type="dxa"/>
            <w:right w:w="108" w:type="dxa"/>
          </w:tblCellMar>
        </w:tblPrEx>
        <w:trPr>
          <w:trHeight w:val="90" w:hRule="atLeast"/>
          <w:jc w:val="center"/>
        </w:trPr>
        <w:tc>
          <w:tcPr>
            <w:tcW w:w="710" w:type="dxa"/>
            <w:tcBorders>
              <w:top w:val="single" w:color="auto" w:sz="4" w:space="0"/>
              <w:left w:val="single" w:color="auto" w:sz="4" w:space="0"/>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kern w:val="0"/>
                <w:szCs w:val="21"/>
              </w:rPr>
            </w:pPr>
            <w:r>
              <w:rPr>
                <w:rFonts w:hint="default" w:ascii="Times New Roman" w:hAnsi="Times New Roman" w:eastAsia="宋体" w:cs="Times New Roman"/>
                <w:b/>
                <w:bCs/>
                <w:snapToGrid w:val="0"/>
                <w:color w:val="auto"/>
              </w:rPr>
              <w:t>序号</w:t>
            </w:r>
          </w:p>
        </w:tc>
        <w:tc>
          <w:tcPr>
            <w:tcW w:w="1845" w:type="dxa"/>
            <w:tcBorders>
              <w:top w:val="single" w:color="auto" w:sz="4" w:space="0"/>
              <w:left w:val="nil"/>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kern w:val="0"/>
                <w:szCs w:val="21"/>
              </w:rPr>
            </w:pPr>
            <w:r>
              <w:rPr>
                <w:rFonts w:hint="default" w:ascii="Times New Roman" w:hAnsi="Times New Roman" w:eastAsia="宋体" w:cs="Times New Roman"/>
                <w:b/>
                <w:bCs/>
                <w:snapToGrid w:val="0"/>
                <w:color w:val="auto"/>
              </w:rPr>
              <w:t>事件</w:t>
            </w:r>
          </w:p>
        </w:tc>
        <w:tc>
          <w:tcPr>
            <w:tcW w:w="1135" w:type="dxa"/>
            <w:tcBorders>
              <w:top w:val="single" w:color="auto" w:sz="4" w:space="0"/>
              <w:left w:val="nil"/>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rPr>
            </w:pPr>
            <w:r>
              <w:rPr>
                <w:rFonts w:hint="default" w:ascii="Times New Roman" w:hAnsi="Times New Roman" w:eastAsia="宋体" w:cs="Times New Roman"/>
                <w:b/>
                <w:bCs/>
                <w:snapToGrid w:val="0"/>
                <w:color w:val="auto"/>
              </w:rPr>
              <w:t>风险物质</w:t>
            </w:r>
          </w:p>
        </w:tc>
        <w:tc>
          <w:tcPr>
            <w:tcW w:w="1561" w:type="dxa"/>
            <w:tcBorders>
              <w:top w:val="single" w:color="auto" w:sz="4" w:space="0"/>
              <w:left w:val="nil"/>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kern w:val="0"/>
                <w:szCs w:val="21"/>
              </w:rPr>
            </w:pPr>
            <w:r>
              <w:rPr>
                <w:rFonts w:hint="default" w:ascii="Times New Roman" w:hAnsi="Times New Roman" w:eastAsia="宋体" w:cs="Times New Roman"/>
                <w:b/>
                <w:bCs/>
                <w:snapToGrid w:val="0"/>
                <w:color w:val="auto"/>
              </w:rPr>
              <w:t>发生部位/场所</w:t>
            </w:r>
          </w:p>
        </w:tc>
        <w:tc>
          <w:tcPr>
            <w:tcW w:w="6387" w:type="dxa"/>
            <w:tcBorders>
              <w:top w:val="single" w:color="auto" w:sz="4" w:space="0"/>
              <w:left w:val="nil"/>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kern w:val="0"/>
                <w:szCs w:val="21"/>
              </w:rPr>
            </w:pPr>
            <w:r>
              <w:rPr>
                <w:rFonts w:hint="default" w:ascii="Times New Roman" w:hAnsi="Times New Roman" w:eastAsia="宋体" w:cs="Times New Roman"/>
                <w:b/>
                <w:bCs/>
                <w:snapToGrid w:val="0"/>
                <w:color w:val="auto"/>
              </w:rPr>
              <w:t>事件起因</w:t>
            </w:r>
          </w:p>
        </w:tc>
        <w:tc>
          <w:tcPr>
            <w:tcW w:w="1276" w:type="dxa"/>
            <w:tcBorders>
              <w:top w:val="single" w:color="auto" w:sz="4" w:space="0"/>
              <w:left w:val="nil"/>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kern w:val="0"/>
                <w:szCs w:val="21"/>
              </w:rPr>
            </w:pPr>
            <w:r>
              <w:rPr>
                <w:rFonts w:hint="default" w:ascii="Times New Roman" w:hAnsi="Times New Roman" w:eastAsia="宋体" w:cs="Times New Roman"/>
                <w:b/>
                <w:bCs/>
                <w:snapToGrid w:val="0"/>
                <w:color w:val="auto"/>
              </w:rPr>
              <w:t>影响范围</w:t>
            </w:r>
          </w:p>
        </w:tc>
        <w:tc>
          <w:tcPr>
            <w:tcW w:w="1703" w:type="dxa"/>
            <w:tcBorders>
              <w:top w:val="single" w:color="auto" w:sz="4" w:space="0"/>
              <w:left w:val="nil"/>
              <w:bottom w:val="single" w:color="auto" w:sz="4" w:space="0"/>
              <w:right w:val="single" w:color="auto" w:sz="4" w:space="0"/>
            </w:tcBorders>
            <w:shd w:val="clear" w:color="auto" w:fill="FFFFFF"/>
            <w:vAlign w:val="center"/>
          </w:tcPr>
          <w:p>
            <w:pPr>
              <w:tabs>
                <w:tab w:val="left" w:pos="142"/>
              </w:tabs>
              <w:adjustRightInd w:val="0"/>
              <w:snapToGrid w:val="0"/>
              <w:spacing w:line="240" w:lineRule="atLeast"/>
              <w:jc w:val="center"/>
              <w:rPr>
                <w:rFonts w:hint="default" w:ascii="Times New Roman" w:hAnsi="Times New Roman" w:eastAsia="宋体" w:cs="Times New Roman"/>
                <w:b/>
                <w:bCs/>
                <w:snapToGrid w:val="0"/>
                <w:color w:val="auto"/>
                <w:kern w:val="0"/>
                <w:szCs w:val="21"/>
              </w:rPr>
            </w:pPr>
            <w:r>
              <w:rPr>
                <w:rFonts w:hint="default" w:ascii="Times New Roman" w:hAnsi="Times New Roman" w:eastAsia="宋体" w:cs="Times New Roman"/>
                <w:b/>
                <w:bCs/>
                <w:snapToGrid w:val="0"/>
                <w:color w:val="auto"/>
              </w:rPr>
              <w:t>事件影响及损失的最坏情景</w:t>
            </w:r>
          </w:p>
        </w:tc>
      </w:tr>
      <w:tr>
        <w:trPr>
          <w:trHeight w:val="90" w:hRule="atLeast"/>
          <w:jc w:val="center"/>
        </w:trPr>
        <w:tc>
          <w:tcPr>
            <w:tcW w:w="710" w:type="dxa"/>
            <w:vMerge w:val="restart"/>
            <w:tcBorders>
              <w:top w:val="nil"/>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1</w:t>
            </w:r>
          </w:p>
        </w:tc>
        <w:tc>
          <w:tcPr>
            <w:tcW w:w="1845" w:type="dxa"/>
            <w:vMerge w:val="restart"/>
            <w:tcBorders>
              <w:top w:val="nil"/>
              <w:left w:val="nil"/>
              <w:right w:val="single" w:color="auto" w:sz="4" w:space="0"/>
            </w:tcBorders>
            <w:vAlign w:val="center"/>
          </w:tcPr>
          <w:p>
            <w:pPr>
              <w:tabs>
                <w:tab w:val="left" w:pos="142"/>
              </w:tabs>
              <w:adjustRightInd w:val="0"/>
              <w:snapToGrid w:val="0"/>
              <w:spacing w:line="240" w:lineRule="atLeast"/>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color w:val="auto"/>
              </w:rPr>
              <w:t>火灾、爆炸、泄漏等生产安全事故及可能引起的次生、衍生厂外环境污染及人员伤亡事故（例如，因生产安全事故导致有毒有害气体扩散出厂界，消防水、物料泄漏物及反应生成物，从雨水排口、清净下水排口、污水排口、厂门或围墙排出厂界，污染环境等）；</w:t>
            </w:r>
          </w:p>
        </w:tc>
        <w:tc>
          <w:tcPr>
            <w:tcW w:w="1135"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甲醇</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罐及装置区</w:t>
            </w:r>
          </w:p>
        </w:tc>
        <w:tc>
          <w:tcPr>
            <w:tcW w:w="638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ind w:firstLine="420" w:firstLineChars="200"/>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1.设备本身材质不符合要求；2.使用过程中维护不力、罐体、物料管线、连接法兰及其相关设施由于制造缺陷受腐蚀，法兰未紧固和施工质量不符合要求等原因；3.夏季没有采取可靠的降温措施等，若遇高热，容器内压增大，导致罐体开裂或爆炸等导致物料泄漏。</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事故水池收集不足</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blPrEx>
          <w:tblCellMar>
            <w:top w:w="0" w:type="dxa"/>
            <w:left w:w="108" w:type="dxa"/>
            <w:bottom w:w="0" w:type="dxa"/>
            <w:right w:w="108" w:type="dxa"/>
          </w:tblCellMar>
        </w:tblPrEx>
        <w:trPr>
          <w:trHeight w:val="90" w:hRule="atLeast"/>
          <w:jc w:val="center"/>
        </w:trPr>
        <w:tc>
          <w:tcPr>
            <w:tcW w:w="710" w:type="dxa"/>
            <w:vMerge w:val="continue"/>
            <w:tcBorders>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845" w:type="dxa"/>
            <w:vMerge w:val="continue"/>
            <w:tcBorders>
              <w:left w:val="nil"/>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135"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甲醇</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灌装站</w:t>
            </w:r>
          </w:p>
        </w:tc>
        <w:tc>
          <w:tcPr>
            <w:tcW w:w="6387"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bCs/>
                <w:snapToGrid w:val="0"/>
                <w:color w:val="auto"/>
              </w:rPr>
              <w:t>装卸过程等因操作不当导致</w:t>
            </w:r>
            <w:r>
              <w:rPr>
                <w:rFonts w:hint="default" w:ascii="Times New Roman" w:hAnsi="Times New Roman" w:eastAsia="宋体" w:cs="Times New Roman"/>
                <w:snapToGrid w:val="0"/>
                <w:color w:val="auto"/>
                <w:szCs w:val="21"/>
              </w:rPr>
              <w:t>甲醇</w:t>
            </w:r>
            <w:r>
              <w:rPr>
                <w:rFonts w:hint="default" w:ascii="Times New Roman" w:hAnsi="Times New Roman" w:eastAsia="宋体" w:cs="Times New Roman"/>
                <w:bCs/>
                <w:snapToGrid w:val="0"/>
                <w:color w:val="auto"/>
              </w:rPr>
              <w:t>泄漏。</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事故水池收集不足</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blPrEx>
          <w:tblCellMar>
            <w:top w:w="0" w:type="dxa"/>
            <w:left w:w="108" w:type="dxa"/>
            <w:bottom w:w="0" w:type="dxa"/>
            <w:right w:w="108" w:type="dxa"/>
          </w:tblCellMar>
        </w:tblPrEx>
        <w:trPr>
          <w:trHeight w:val="90" w:hRule="atLeast"/>
          <w:jc w:val="center"/>
        </w:trPr>
        <w:tc>
          <w:tcPr>
            <w:tcW w:w="710" w:type="dxa"/>
            <w:vMerge w:val="continue"/>
            <w:tcBorders>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845" w:type="dxa"/>
            <w:vMerge w:val="continue"/>
            <w:tcBorders>
              <w:left w:val="nil"/>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135" w:type="dxa"/>
            <w:tcBorders>
              <w:top w:val="single" w:color="auto" w:sz="4" w:space="0"/>
              <w:left w:val="nil"/>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MTBE</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罐及装置区</w:t>
            </w:r>
          </w:p>
        </w:tc>
        <w:tc>
          <w:tcPr>
            <w:tcW w:w="638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ind w:firstLine="420" w:firstLineChars="200"/>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1.设备本身材质不符合要求；2.使用过程中维护不力、罐体、物料管线、连接法兰及其相关设施由于制造缺陷受腐蚀，法兰未紧固和施工质量不符合要求等原因；3.夏季没有采取可靠的降温措施等，若遇高热，容器内压增大，导致罐体开裂或爆炸等导致物料泄漏。</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事故水池收集不足</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blPrEx>
          <w:tblCellMar>
            <w:top w:w="0" w:type="dxa"/>
            <w:left w:w="108" w:type="dxa"/>
            <w:bottom w:w="0" w:type="dxa"/>
            <w:right w:w="108" w:type="dxa"/>
          </w:tblCellMar>
        </w:tblPrEx>
        <w:trPr>
          <w:trHeight w:val="90" w:hRule="atLeast"/>
          <w:jc w:val="center"/>
        </w:trPr>
        <w:tc>
          <w:tcPr>
            <w:tcW w:w="710" w:type="dxa"/>
            <w:vMerge w:val="continue"/>
            <w:tcBorders>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845" w:type="dxa"/>
            <w:vMerge w:val="continue"/>
            <w:tcBorders>
              <w:left w:val="nil"/>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135" w:type="dxa"/>
            <w:tcBorders>
              <w:top w:val="single" w:color="auto" w:sz="4" w:space="0"/>
              <w:left w:val="nil"/>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异辛烷</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罐及装置区</w:t>
            </w:r>
          </w:p>
        </w:tc>
        <w:tc>
          <w:tcPr>
            <w:tcW w:w="638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ind w:firstLine="420" w:firstLineChars="200"/>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1.设备本身材质不符合要求；2.使用过程中维护不力、罐体、物料管线、连接法兰及其相关设施由于制造缺陷受腐蚀，法兰未紧固和施工质量不符合要求等原因；3.夏季没有采取可靠的降温措施等，若遇高热，容器内压增大，导致罐体开裂或爆炸等导致物料泄漏。</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事故水池收集不足</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blPrEx>
          <w:tblCellMar>
            <w:top w:w="0" w:type="dxa"/>
            <w:left w:w="108" w:type="dxa"/>
            <w:bottom w:w="0" w:type="dxa"/>
            <w:right w:w="108" w:type="dxa"/>
          </w:tblCellMar>
        </w:tblPrEx>
        <w:trPr>
          <w:trHeight w:val="90" w:hRule="atLeast"/>
          <w:jc w:val="center"/>
        </w:trPr>
        <w:tc>
          <w:tcPr>
            <w:tcW w:w="710" w:type="dxa"/>
            <w:vMerge w:val="continue"/>
            <w:tcBorders>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845" w:type="dxa"/>
            <w:vMerge w:val="continue"/>
            <w:tcBorders>
              <w:left w:val="nil"/>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135" w:type="dxa"/>
            <w:tcBorders>
              <w:top w:val="single" w:color="auto" w:sz="4" w:space="0"/>
              <w:left w:val="nil"/>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醚化汽油</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罐及装置区</w:t>
            </w:r>
          </w:p>
        </w:tc>
        <w:tc>
          <w:tcPr>
            <w:tcW w:w="6387" w:type="dxa"/>
            <w:tcBorders>
              <w:top w:val="single" w:color="auto" w:sz="4" w:space="0"/>
              <w:left w:val="nil"/>
              <w:bottom w:val="single" w:color="auto" w:sz="4" w:space="0"/>
              <w:right w:val="single" w:color="auto" w:sz="4" w:space="0"/>
            </w:tcBorders>
            <w:vAlign w:val="center"/>
          </w:tcPr>
          <w:p>
            <w:pPr>
              <w:widowControl/>
              <w:adjustRightInd w:val="0"/>
              <w:snapToGrid w:val="0"/>
              <w:spacing w:line="240" w:lineRule="atLeast"/>
              <w:ind w:firstLine="420" w:firstLineChars="200"/>
              <w:rPr>
                <w:rFonts w:hint="default" w:ascii="Times New Roman" w:hAnsi="Times New Roman" w:eastAsia="宋体" w:cs="Times New Roman"/>
                <w:snapToGrid w:val="0"/>
                <w:color w:val="auto"/>
                <w:szCs w:val="21"/>
              </w:rPr>
            </w:pPr>
            <w:r>
              <w:rPr>
                <w:rFonts w:hint="default" w:ascii="Times New Roman" w:hAnsi="Times New Roman" w:eastAsia="宋体" w:cs="Times New Roman"/>
                <w:snapToGrid w:val="0"/>
                <w:color w:val="auto"/>
                <w:szCs w:val="21"/>
              </w:rPr>
              <w:t>1.设备本身材质不符合要求；2.使用过程中维护不力、罐体、物料管线、连接法兰及其相关设施由于制造缺陷受腐蚀，法兰未紧固和施工质量不符合要求等原因；3.夏季没有采取可靠的降温措施等，若遇高热，容器内压增大，导致罐体开裂或爆炸等导致物料泄漏。</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事故水池收集不足</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rPr>
          <w:trHeight w:val="90" w:hRule="atLeast"/>
          <w:jc w:val="center"/>
        </w:trPr>
        <w:tc>
          <w:tcPr>
            <w:tcW w:w="710" w:type="dxa"/>
            <w:vMerge w:val="continue"/>
            <w:tcBorders>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845" w:type="dxa"/>
            <w:vMerge w:val="continue"/>
            <w:tcBorders>
              <w:left w:val="nil"/>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p>
        </w:tc>
        <w:tc>
          <w:tcPr>
            <w:tcW w:w="1135"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硫酸</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硫酸储罐</w:t>
            </w:r>
          </w:p>
        </w:tc>
        <w:tc>
          <w:tcPr>
            <w:tcW w:w="6387"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罐体或阀门破裂导致泄漏。</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事故水池收集不足</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blPrEx>
          <w:tblCellMar>
            <w:top w:w="0" w:type="dxa"/>
            <w:left w:w="108" w:type="dxa"/>
            <w:bottom w:w="0" w:type="dxa"/>
            <w:right w:w="108" w:type="dxa"/>
          </w:tblCellMar>
        </w:tblPrEx>
        <w:trPr>
          <w:trHeight w:val="90" w:hRule="atLeast"/>
          <w:jc w:val="center"/>
        </w:trPr>
        <w:tc>
          <w:tcPr>
            <w:tcW w:w="710" w:type="dxa"/>
            <w:vMerge w:val="restart"/>
            <w:tcBorders>
              <w:top w:val="single" w:color="auto" w:sz="4" w:space="0"/>
              <w:left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2</w:t>
            </w:r>
          </w:p>
        </w:tc>
        <w:tc>
          <w:tcPr>
            <w:tcW w:w="1845" w:type="dxa"/>
            <w:vMerge w:val="restart"/>
            <w:tcBorders>
              <w:top w:val="single" w:color="auto" w:sz="4" w:space="0"/>
              <w:left w:val="nil"/>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环境风险防控设施失灵或非正常操作（如雨水阀门不能正常关闭，化工行业火炬意外灭火）</w:t>
            </w:r>
          </w:p>
        </w:tc>
        <w:tc>
          <w:tcPr>
            <w:tcW w:w="1135"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消防水</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甲醇储槽、罐区、生产装置</w:t>
            </w:r>
          </w:p>
        </w:tc>
        <w:tc>
          <w:tcPr>
            <w:tcW w:w="6387"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ind w:firstLine="420" w:firstLineChars="200"/>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1.如雨水阀门不能正常关闭，罐区、生产装置泄漏物及事故消防水通过雨水管网外排长庆石化公司污水处理厂。</w:t>
            </w:r>
          </w:p>
          <w:p>
            <w:pPr>
              <w:tabs>
                <w:tab w:val="left" w:pos="142"/>
              </w:tabs>
              <w:adjustRightInd w:val="0"/>
              <w:snapToGrid w:val="0"/>
              <w:spacing w:line="240" w:lineRule="atLeast"/>
              <w:ind w:firstLine="420" w:firstLineChars="200"/>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2.事故池入水口阀门不能正常打开，消防水泄漏后排出厂界。</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水环境</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影响长庆石化公司污水处理厂</w:t>
            </w:r>
          </w:p>
        </w:tc>
      </w:tr>
      <w:tr>
        <w:trPr>
          <w:trHeight w:val="90" w:hRule="atLeast"/>
          <w:jc w:val="center"/>
        </w:trPr>
        <w:tc>
          <w:tcPr>
            <w:tcW w:w="710" w:type="dxa"/>
            <w:vMerge w:val="continue"/>
            <w:tcBorders>
              <w:left w:val="single" w:color="auto" w:sz="4" w:space="0"/>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p>
        </w:tc>
        <w:tc>
          <w:tcPr>
            <w:tcW w:w="1845" w:type="dxa"/>
            <w:vMerge w:val="continue"/>
            <w:tcBorders>
              <w:left w:val="nil"/>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p>
        </w:tc>
        <w:tc>
          <w:tcPr>
            <w:tcW w:w="1135"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有毒气体</w:t>
            </w:r>
          </w:p>
        </w:tc>
        <w:tc>
          <w:tcPr>
            <w:tcW w:w="1561"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C4闪蒸罐、不凝气水洗罐排气等</w:t>
            </w:r>
          </w:p>
        </w:tc>
        <w:tc>
          <w:tcPr>
            <w:tcW w:w="6387"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事故状态下</w:t>
            </w:r>
            <w:r>
              <w:rPr>
                <w:rFonts w:hint="default" w:ascii="Times New Roman" w:hAnsi="Times New Roman" w:eastAsia="宋体" w:cs="Times New Roman"/>
                <w:bCs/>
                <w:snapToGrid w:val="0"/>
                <w:color w:val="auto"/>
              </w:rPr>
              <w:t>长庆石化公司</w:t>
            </w:r>
            <w:r>
              <w:rPr>
                <w:rFonts w:hint="default" w:ascii="Times New Roman" w:hAnsi="Times New Roman" w:eastAsia="宋体" w:cs="Times New Roman"/>
                <w:bCs/>
                <w:color w:val="auto"/>
                <w:kern w:val="0"/>
                <w:szCs w:val="21"/>
              </w:rPr>
              <w:t>火炬意外灭火或点火失控，工艺废气中的丙烯、甲醇、苯、甲苯、二甲苯等将外泄。</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color w:val="auto"/>
              </w:rPr>
            </w:pPr>
            <w:r>
              <w:rPr>
                <w:rFonts w:hint="default" w:ascii="Times New Roman" w:hAnsi="Times New Roman" w:eastAsia="宋体" w:cs="Times New Roman"/>
                <w:bCs/>
                <w:color w:val="auto"/>
              </w:rPr>
              <w:t>厂区及周边大气环境</w:t>
            </w:r>
          </w:p>
        </w:tc>
        <w:tc>
          <w:tcPr>
            <w:tcW w:w="1703" w:type="dxa"/>
            <w:tcBorders>
              <w:top w:val="single" w:color="auto" w:sz="4" w:space="0"/>
              <w:left w:val="nil"/>
              <w:bottom w:val="single" w:color="auto" w:sz="4" w:space="0"/>
              <w:right w:val="single" w:color="auto" w:sz="4" w:space="0"/>
            </w:tcBorders>
            <w:vAlign w:val="center"/>
          </w:tcPr>
          <w:p>
            <w:pPr>
              <w:adjustRightInd w:val="0"/>
              <w:snapToGrid w:val="0"/>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造成厂区及周边大气污染</w:t>
            </w:r>
          </w:p>
        </w:tc>
      </w:tr>
      <w:tr>
        <w:tblPrEx>
          <w:tblCellMar>
            <w:top w:w="0" w:type="dxa"/>
            <w:left w:w="108" w:type="dxa"/>
            <w:bottom w:w="0" w:type="dxa"/>
            <w:right w:w="108" w:type="dxa"/>
          </w:tblCellMar>
        </w:tblPrEx>
        <w:trPr>
          <w:trHeight w:val="90" w:hRule="atLeast"/>
          <w:jc w:val="center"/>
        </w:trPr>
        <w:tc>
          <w:tcPr>
            <w:tcW w:w="710" w:type="dxa"/>
            <w:tcBorders>
              <w:top w:val="single" w:color="auto" w:sz="4" w:space="0"/>
              <w:left w:val="single" w:color="auto" w:sz="4" w:space="0"/>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3</w:t>
            </w:r>
          </w:p>
        </w:tc>
        <w:tc>
          <w:tcPr>
            <w:tcW w:w="1845"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color w:val="auto"/>
                <w:kern w:val="0"/>
                <w:szCs w:val="21"/>
              </w:rPr>
              <w:t>各种自然灾害、极端天气或不利气象条件</w:t>
            </w:r>
          </w:p>
        </w:tc>
        <w:tc>
          <w:tcPr>
            <w:tcW w:w="1135"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rPr>
            </w:pPr>
            <w:r>
              <w:rPr>
                <w:rFonts w:hint="default" w:ascii="Times New Roman" w:hAnsi="Times New Roman" w:eastAsia="宋体" w:cs="Times New Roman"/>
                <w:bCs/>
                <w:snapToGrid w:val="0"/>
                <w:color w:val="auto"/>
              </w:rPr>
              <w:t>被污染的雨水</w:t>
            </w:r>
          </w:p>
        </w:tc>
        <w:tc>
          <w:tcPr>
            <w:tcW w:w="1561"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各装置区、罐区等</w:t>
            </w:r>
          </w:p>
        </w:tc>
        <w:tc>
          <w:tcPr>
            <w:tcW w:w="6387"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ind w:firstLine="420" w:firstLineChars="200"/>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易燃及有毒液体等泄漏，遇暴雨因厂区事故水池收集不足，经雨排口排出厂界</w:t>
            </w:r>
          </w:p>
        </w:tc>
        <w:tc>
          <w:tcPr>
            <w:tcW w:w="1276"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水环境</w:t>
            </w:r>
          </w:p>
        </w:tc>
        <w:tc>
          <w:tcPr>
            <w:tcW w:w="1703" w:type="dxa"/>
            <w:tcBorders>
              <w:top w:val="single" w:color="auto" w:sz="4" w:space="0"/>
              <w:left w:val="nil"/>
              <w:bottom w:val="single" w:color="auto" w:sz="4" w:space="0"/>
              <w:right w:val="single" w:color="auto" w:sz="4" w:space="0"/>
            </w:tcBorders>
            <w:vAlign w:val="center"/>
          </w:tcPr>
          <w:p>
            <w:pPr>
              <w:tabs>
                <w:tab w:val="left" w:pos="142"/>
              </w:tabs>
              <w:adjustRightInd w:val="0"/>
              <w:snapToGrid w:val="0"/>
              <w:spacing w:line="240" w:lineRule="atLeast"/>
              <w:jc w:val="center"/>
              <w:rPr>
                <w:rFonts w:hint="default" w:ascii="Times New Roman" w:hAnsi="Times New Roman" w:eastAsia="宋体" w:cs="Times New Roman"/>
                <w:bCs/>
                <w:snapToGrid w:val="0"/>
                <w:color w:val="auto"/>
                <w:kern w:val="0"/>
                <w:szCs w:val="21"/>
              </w:rPr>
            </w:pPr>
            <w:r>
              <w:rPr>
                <w:rFonts w:hint="default" w:ascii="Times New Roman" w:hAnsi="Times New Roman" w:eastAsia="宋体" w:cs="Times New Roman"/>
                <w:bCs/>
                <w:snapToGrid w:val="0"/>
                <w:color w:val="auto"/>
              </w:rPr>
              <w:t>影响污水处理设施运行</w:t>
            </w:r>
          </w:p>
        </w:tc>
      </w:tr>
    </w:tbl>
    <w:p>
      <w:pPr>
        <w:tabs>
          <w:tab w:val="left" w:pos="142"/>
        </w:tabs>
        <w:adjustRightInd w:val="0"/>
        <w:snapToGrid w:val="0"/>
        <w:spacing w:line="360" w:lineRule="auto"/>
        <w:jc w:val="left"/>
        <w:rPr>
          <w:rFonts w:hint="default" w:ascii="Times New Roman" w:hAnsi="Times New Roman" w:eastAsia="宋体" w:cs="Times New Roman"/>
          <w:bCs/>
          <w:snapToGrid w:val="0"/>
          <w:color w:val="auto"/>
          <w:kern w:val="0"/>
          <w:sz w:val="28"/>
          <w:szCs w:val="28"/>
        </w:rPr>
        <w:sectPr>
          <w:headerReference r:id="rId5" w:type="default"/>
          <w:pgSz w:w="16838" w:h="11906" w:orient="landscape"/>
          <w:pgMar w:top="1797" w:right="1440" w:bottom="1797" w:left="1440" w:header="851" w:footer="992" w:gutter="0"/>
          <w:pgNumType w:fmt="decimal"/>
          <w:cols w:space="720" w:num="1"/>
          <w:docGrid w:linePitch="326" w:charSpace="0"/>
        </w:sectPr>
      </w:pP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4.2.1天然气、石油液化气、C4</w:t>
      </w:r>
      <w:r>
        <w:rPr>
          <w:rFonts w:hint="default" w:ascii="Times New Roman" w:hAnsi="Times New Roman" w:eastAsia="宋体" w:cs="Times New Roman"/>
          <w:b/>
          <w:color w:val="auto"/>
          <w:kern w:val="0"/>
          <w:sz w:val="24"/>
        </w:rPr>
        <w:t>泄漏火灾爆炸事故情景</w:t>
      </w:r>
      <w:r>
        <w:rPr>
          <w:rFonts w:hint="default" w:ascii="Times New Roman" w:hAnsi="Times New Roman" w:eastAsia="宋体" w:cs="Times New Roman"/>
          <w:b/>
          <w:bCs/>
          <w:color w:val="auto"/>
          <w:kern w:val="0"/>
          <w:sz w:val="24"/>
        </w:rPr>
        <w:t>源强分析</w:t>
      </w:r>
    </w:p>
    <w:p>
      <w:pPr>
        <w:spacing w:line="360" w:lineRule="auto"/>
        <w:ind w:firstLine="480" w:firstLineChars="200"/>
        <w:rPr>
          <w:rFonts w:hint="default" w:ascii="Times New Roman" w:hAnsi="Times New Roman" w:eastAsia="宋体" w:cs="Times New Roman"/>
          <w:color w:val="auto"/>
          <w:kern w:val="0"/>
          <w:sz w:val="24"/>
        </w:rPr>
      </w:pPr>
      <w:r>
        <w:rPr>
          <w:rFonts w:hint="default" w:ascii="Times New Roman" w:hAnsi="Times New Roman" w:eastAsia="宋体" w:cs="Times New Roman"/>
          <w:color w:val="auto"/>
          <w:sz w:val="24"/>
        </w:rPr>
        <w:t>天然气、混合C4、石油液化气原料（LC</w:t>
      </w:r>
      <w:r>
        <w:rPr>
          <w:rFonts w:hint="default" w:ascii="Times New Roman" w:hAnsi="Times New Roman" w:eastAsia="宋体" w:cs="Times New Roman"/>
          <w:color w:val="auto"/>
          <w:sz w:val="24"/>
          <w:vertAlign w:val="subscript"/>
        </w:rPr>
        <w:t>50</w:t>
      </w:r>
      <w:r>
        <w:rPr>
          <w:rFonts w:hint="default" w:ascii="Times New Roman" w:hAnsi="Times New Roman" w:eastAsia="宋体" w:cs="Times New Roman"/>
          <w:color w:val="auto"/>
          <w:sz w:val="24"/>
        </w:rPr>
        <w:t>：658g/m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4hr（大鼠，吸入））为易燃易爆气态物质，主要存在于各生产装置区、输气管线。由于易燃易爆气态物质发生单纯的火灾爆炸事故属于安全管理范畴，主要考虑对厂区内人员伤亡的影响。另由于各装置物料输送管廊内的在线量较储罐区的储存量小，管道内压力均小于生产装置，事故情况下对外环境的影响不如储罐区的影响大，故主要考虑生产装置区及储罐气体泄漏风险。</w:t>
      </w:r>
    </w:p>
    <w:p>
      <w:pPr>
        <w:widowControl/>
        <w:spacing w:line="360" w:lineRule="auto"/>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（1）漏量计算</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根据《建设项目环境风险评价技术导则》（HJ169-20</w:t>
      </w:r>
      <w:r>
        <w:rPr>
          <w:rFonts w:hint="eastAsia" w:cs="Times New Roman"/>
          <w:color w:val="auto"/>
          <w:sz w:val="24"/>
          <w:lang w:val="en-US" w:eastAsia="zh-CN"/>
        </w:rPr>
        <w:t>18</w:t>
      </w:r>
      <w:r>
        <w:rPr>
          <w:rFonts w:hint="default" w:ascii="Times New Roman" w:hAnsi="Times New Roman" w:eastAsia="宋体" w:cs="Times New Roman"/>
          <w:color w:val="auto"/>
          <w:sz w:val="24"/>
        </w:rPr>
        <w:t>）附录A.2中的方法，对危险化学品的泄漏量进行估算。</w:t>
      </w:r>
      <w:r>
        <w:rPr>
          <w:rFonts w:hint="default" w:ascii="Times New Roman" w:hAnsi="Times New Roman" w:eastAsia="宋体" w:cs="Times New Roman"/>
          <w:bCs/>
          <w:color w:val="auto"/>
          <w:sz w:val="24"/>
        </w:rPr>
        <w:t>液体泄漏速度采用柏努利方程计算：</w:t>
      </w:r>
    </w:p>
    <w:p>
      <w:pPr>
        <w:widowControl/>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object>
          <v:shape id="_x0000_i1028" o:spt="75" type="#_x0000_t75" style="height:36.75pt;width:162pt;" o:ole="t" filled="f" o:preferrelative="t" stroked="f" coordsize="21600,21600">
            <v:path/>
            <v:fill on="f" focussize="0,0"/>
            <v:stroke on="f" joinstyle="miter"/>
            <v:imagedata r:id="rId23" o:title=""/>
            <o:lock v:ext="edit" aspectratio="t"/>
            <w10:wrap type="none"/>
            <w10:anchorlock/>
          </v:shape>
          <o:OLEObject Type="Embed" ProgID="Equation.3" ShapeID="_x0000_i1028" DrawAspect="Content" ObjectID="_1468075728" r:id="rId22">
            <o:LockedField>false</o:LockedField>
          </o:OLEObject>
        </w:object>
      </w:r>
      <w:r>
        <w:rPr>
          <w:rFonts w:hint="default" w:ascii="Times New Roman" w:hAnsi="Times New Roman" w:eastAsia="宋体" w:cs="Times New Roman"/>
          <w:bCs/>
          <w:color w:val="auto"/>
          <w:sz w:val="24"/>
        </w:rPr>
        <w:object>
          <v:shape id="_x0000_i1029" o:spt="75" type="#_x0000_t75" style="height:18pt;width:8.25pt;" o:ole="t" filled="f" o:preferrelative="t" stroked="f" coordsize="21600,21600">
            <v:path/>
            <v:fill on="f" focussize="0,0"/>
            <v:stroke on="f" joinstyle="miter"/>
            <v:imagedata r:id="rId25" o:title=""/>
            <o:lock v:ext="edit" aspectratio="t"/>
            <w10:wrap type="none"/>
            <w10:anchorlock/>
          </v:shape>
          <o:OLEObject Type="Embed" ProgID="Equation.3" ShapeID="_x0000_i1029" DrawAspect="Content" ObjectID="_1468075729" r:id="rId24">
            <o:LockedField>false</o:LockedField>
          </o:OLEObject>
        </w:object>
      </w:r>
    </w:p>
    <w:p>
      <w:pPr>
        <w:widowControl/>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式中：</w:t>
      </w:r>
      <w:r>
        <w:rPr>
          <w:rFonts w:hint="default" w:ascii="Times New Roman" w:hAnsi="Times New Roman" w:eastAsia="宋体" w:cs="Times New Roman"/>
          <w:bCs/>
          <w:i/>
          <w:color w:val="auto"/>
          <w:sz w:val="24"/>
        </w:rPr>
        <w:t>Q</w:t>
      </w:r>
      <w:r>
        <w:rPr>
          <w:rFonts w:hint="default" w:ascii="Times New Roman" w:hAnsi="Times New Roman" w:eastAsia="宋体" w:cs="Times New Roman"/>
          <w:bCs/>
          <w:color w:val="auto"/>
          <w:sz w:val="24"/>
          <w:vertAlign w:val="subscript"/>
        </w:rPr>
        <w:t>0</w:t>
      </w:r>
      <w:r>
        <w:rPr>
          <w:rFonts w:hint="default" w:ascii="Times New Roman" w:hAnsi="Times New Roman" w:eastAsia="宋体" w:cs="Times New Roman"/>
          <w:bCs/>
          <w:color w:val="auto"/>
          <w:sz w:val="24"/>
        </w:rPr>
        <w:t>—液体的泄漏速度，kg/s；</w:t>
      </w:r>
    </w:p>
    <w:p>
      <w:pPr>
        <w:widowControl/>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i/>
          <w:color w:val="auto"/>
          <w:sz w:val="24"/>
        </w:rPr>
        <w:t>C</w:t>
      </w:r>
      <w:r>
        <w:rPr>
          <w:rFonts w:hint="default" w:ascii="Times New Roman" w:hAnsi="Times New Roman" w:eastAsia="宋体" w:cs="Times New Roman"/>
          <w:bCs/>
          <w:i/>
          <w:color w:val="auto"/>
          <w:sz w:val="24"/>
          <w:vertAlign w:val="subscript"/>
        </w:rPr>
        <w:t>d</w:t>
      </w:r>
      <w:r>
        <w:rPr>
          <w:rFonts w:hint="default" w:ascii="Times New Roman" w:hAnsi="Times New Roman" w:eastAsia="宋体" w:cs="Times New Roman"/>
          <w:bCs/>
          <w:color w:val="auto"/>
          <w:sz w:val="24"/>
        </w:rPr>
        <w:t>—液体泄漏系数，取</w:t>
      </w:r>
      <w:r>
        <w:rPr>
          <w:rFonts w:hint="default" w:ascii="Times New Roman" w:hAnsi="Times New Roman" w:eastAsia="宋体" w:cs="Times New Roman"/>
          <w:bCs/>
          <w:i/>
          <w:color w:val="auto"/>
          <w:sz w:val="24"/>
        </w:rPr>
        <w:t>C</w:t>
      </w:r>
      <w:r>
        <w:rPr>
          <w:rFonts w:hint="default" w:ascii="Times New Roman" w:hAnsi="Times New Roman" w:eastAsia="宋体" w:cs="Times New Roman"/>
          <w:bCs/>
          <w:i/>
          <w:color w:val="auto"/>
          <w:sz w:val="24"/>
          <w:vertAlign w:val="subscript"/>
        </w:rPr>
        <w:t>d</w:t>
      </w:r>
      <w:r>
        <w:rPr>
          <w:rFonts w:hint="default" w:ascii="Times New Roman" w:hAnsi="Times New Roman" w:eastAsia="宋体" w:cs="Times New Roman"/>
          <w:bCs/>
          <w:color w:val="auto"/>
          <w:sz w:val="24"/>
        </w:rPr>
        <w:t>=0.62；</w:t>
      </w:r>
    </w:p>
    <w:p>
      <w:pPr>
        <w:widowControl/>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ab/>
      </w:r>
      <w:r>
        <w:rPr>
          <w:rFonts w:hint="default" w:ascii="Times New Roman" w:hAnsi="Times New Roman" w:eastAsia="宋体" w:cs="Times New Roman"/>
          <w:bCs/>
          <w:i/>
          <w:color w:val="auto"/>
          <w:sz w:val="24"/>
        </w:rPr>
        <w:t>A</w:t>
      </w:r>
      <w:r>
        <w:rPr>
          <w:rFonts w:hint="default" w:ascii="Times New Roman" w:hAnsi="Times New Roman" w:eastAsia="宋体" w:cs="Times New Roman"/>
          <w:bCs/>
          <w:color w:val="auto"/>
          <w:sz w:val="24"/>
        </w:rPr>
        <w:t>—裂口面积；根据同行业类比资料</w:t>
      </w:r>
      <w:r>
        <w:rPr>
          <w:rFonts w:hint="default" w:ascii="Times New Roman" w:hAnsi="Times New Roman" w:eastAsia="宋体" w:cs="Times New Roman"/>
          <w:color w:val="auto"/>
          <w:sz w:val="24"/>
        </w:rPr>
        <w:t>按破裂孔径40mm计，为0.0013m</w:t>
      </w:r>
      <w:r>
        <w:rPr>
          <w:rFonts w:hint="default" w:ascii="Times New Roman" w:hAnsi="Times New Roman" w:eastAsia="宋体" w:cs="Times New Roman"/>
          <w:color w:val="auto"/>
          <w:sz w:val="24"/>
          <w:vertAlign w:val="superscript"/>
        </w:rPr>
        <w:t>2</w:t>
      </w:r>
    </w:p>
    <w:p>
      <w:pPr>
        <w:widowControl/>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ab/>
      </w:r>
      <w:r>
        <w:rPr>
          <w:rFonts w:hint="default" w:ascii="Times New Roman" w:hAnsi="Times New Roman" w:eastAsia="宋体" w:cs="Times New Roman"/>
          <w:bCs/>
          <w:i/>
          <w:color w:val="auto"/>
          <w:sz w:val="24"/>
        </w:rPr>
        <w:t>ρ</w:t>
      </w:r>
      <w:r>
        <w:rPr>
          <w:rFonts w:hint="default" w:ascii="Times New Roman" w:hAnsi="Times New Roman" w:eastAsia="宋体" w:cs="Times New Roman"/>
          <w:bCs/>
          <w:color w:val="auto"/>
          <w:sz w:val="24"/>
        </w:rPr>
        <w:t>—泄漏液体密度，kg/m</w:t>
      </w:r>
      <w:r>
        <w:rPr>
          <w:rFonts w:hint="default" w:ascii="Times New Roman" w:hAnsi="Times New Roman" w:eastAsia="宋体" w:cs="Times New Roman"/>
          <w:bCs/>
          <w:color w:val="auto"/>
          <w:sz w:val="24"/>
          <w:vertAlign w:val="superscript"/>
        </w:rPr>
        <w:t>3</w:t>
      </w:r>
      <w:r>
        <w:rPr>
          <w:rFonts w:hint="default" w:ascii="Times New Roman" w:hAnsi="Times New Roman" w:eastAsia="宋体" w:cs="Times New Roman"/>
          <w:bCs/>
          <w:color w:val="auto"/>
          <w:sz w:val="24"/>
        </w:rPr>
        <w:t>；</w:t>
      </w:r>
    </w:p>
    <w:p>
      <w:pPr>
        <w:widowControl/>
        <w:spacing w:line="360" w:lineRule="auto"/>
        <w:ind w:firstLine="480" w:firstLineChars="200"/>
        <w:rPr>
          <w:rFonts w:hint="default" w:ascii="Times New Roman" w:hAnsi="Times New Roman" w:eastAsia="宋体" w:cs="Times New Roman"/>
          <w:bCs/>
          <w:color w:val="auto"/>
          <w:sz w:val="24"/>
        </w:rPr>
      </w:pPr>
      <w:r>
        <w:rPr>
          <w:rFonts w:hint="default" w:ascii="Times New Roman" w:hAnsi="Times New Roman" w:eastAsia="宋体" w:cs="Times New Roman"/>
          <w:bCs/>
          <w:color w:val="auto"/>
          <w:sz w:val="24"/>
        </w:rPr>
        <w:tab/>
      </w:r>
      <w:r>
        <w:rPr>
          <w:rFonts w:hint="default" w:ascii="Times New Roman" w:hAnsi="Times New Roman" w:eastAsia="宋体" w:cs="Times New Roman"/>
          <w:bCs/>
          <w:i/>
          <w:color w:val="auto"/>
          <w:sz w:val="24"/>
        </w:rPr>
        <w:t>P</w:t>
      </w:r>
      <w:r>
        <w:rPr>
          <w:rFonts w:hint="default" w:ascii="Times New Roman" w:hAnsi="Times New Roman" w:eastAsia="宋体" w:cs="Times New Roman"/>
          <w:bCs/>
          <w:color w:val="auto"/>
          <w:sz w:val="24"/>
        </w:rPr>
        <w:t>，</w:t>
      </w:r>
      <w:r>
        <w:rPr>
          <w:rFonts w:hint="default" w:ascii="Times New Roman" w:hAnsi="Times New Roman" w:eastAsia="宋体" w:cs="Times New Roman"/>
          <w:bCs/>
          <w:i/>
          <w:color w:val="auto"/>
          <w:sz w:val="24"/>
        </w:rPr>
        <w:t>P</w:t>
      </w:r>
      <w:r>
        <w:rPr>
          <w:rFonts w:hint="default" w:ascii="Times New Roman" w:hAnsi="Times New Roman" w:eastAsia="宋体" w:cs="Times New Roman"/>
          <w:bCs/>
          <w:color w:val="auto"/>
          <w:sz w:val="24"/>
          <w:vertAlign w:val="subscript"/>
        </w:rPr>
        <w:t>0</w:t>
      </w:r>
      <w:r>
        <w:rPr>
          <w:rFonts w:hint="default" w:ascii="Times New Roman" w:hAnsi="Times New Roman" w:eastAsia="宋体" w:cs="Times New Roman"/>
          <w:bCs/>
          <w:color w:val="auto"/>
          <w:sz w:val="24"/>
        </w:rPr>
        <w:t>—储罐内介质压力及环境压力，Pa；</w:t>
      </w:r>
    </w:p>
    <w:p>
      <w:pPr>
        <w:widowControl/>
        <w:spacing w:line="360" w:lineRule="auto"/>
        <w:ind w:firstLine="480" w:firstLineChars="200"/>
        <w:rPr>
          <w:rFonts w:hint="default" w:ascii="Times New Roman" w:hAnsi="Times New Roman" w:eastAsia="宋体" w:cs="Times New Roman"/>
          <w:bCs/>
          <w:color w:val="auto"/>
          <w:sz w:val="24"/>
          <w:lang w:val="pt-BR"/>
        </w:rPr>
      </w:pPr>
      <w:r>
        <w:rPr>
          <w:rFonts w:hint="default" w:ascii="Times New Roman" w:hAnsi="Times New Roman" w:eastAsia="宋体" w:cs="Times New Roman"/>
          <w:bCs/>
          <w:i/>
          <w:color w:val="auto"/>
          <w:sz w:val="24"/>
          <w:lang w:val="pt-BR"/>
        </w:rPr>
        <w:t>h</w:t>
      </w:r>
      <w:r>
        <w:rPr>
          <w:rFonts w:hint="default" w:ascii="Times New Roman" w:hAnsi="Times New Roman" w:eastAsia="宋体" w:cs="Times New Roman"/>
          <w:bCs/>
          <w:color w:val="auto"/>
          <w:sz w:val="24"/>
          <w:lang w:val="pt-BR"/>
        </w:rPr>
        <w:t>—</w:t>
      </w:r>
      <w:r>
        <w:rPr>
          <w:rFonts w:hint="default" w:ascii="Times New Roman" w:hAnsi="Times New Roman" w:eastAsia="宋体" w:cs="Times New Roman"/>
          <w:bCs/>
          <w:color w:val="auto"/>
          <w:sz w:val="24"/>
        </w:rPr>
        <w:t>裂口之上液位高度。</w:t>
      </w:r>
    </w:p>
    <w:p>
      <w:pPr>
        <w:widowControl/>
        <w:spacing w:line="360" w:lineRule="auto"/>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（2）蒸发量计算</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石油液化气因其常压下沸点远低于环境温度，故蒸发量按闪蒸蒸发量计算。</w:t>
      </w:r>
    </w:p>
    <w:p>
      <w:pPr>
        <w:widowControl/>
        <w:spacing w:line="360" w:lineRule="auto"/>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（3）事故源强计算结果</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①假定1台100m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储罐发生泄漏，泄漏速率为54kg/s，事故持续时间为20min。</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②假定1台100m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储罐发生泄漏并引起燃爆，假定有装置量的20%参与爆炸，则参与爆炸的量为23.2t。</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由计算可知，装置区</w:t>
      </w:r>
      <w:r>
        <w:rPr>
          <w:rFonts w:hint="default" w:ascii="Times New Roman" w:hAnsi="Times New Roman" w:eastAsia="宋体" w:cs="Times New Roman"/>
          <w:bCs/>
          <w:color w:val="auto"/>
          <w:sz w:val="24"/>
        </w:rPr>
        <w:t>或输送管道破裂后</w:t>
      </w:r>
      <w:r>
        <w:rPr>
          <w:rFonts w:hint="default" w:ascii="Times New Roman" w:hAnsi="Times New Roman" w:eastAsia="宋体" w:cs="Times New Roman"/>
          <w:color w:val="auto"/>
          <w:sz w:val="24"/>
        </w:rPr>
        <w:t>天然气、</w:t>
      </w:r>
      <w:r>
        <w:rPr>
          <w:rFonts w:hint="default" w:ascii="Times New Roman" w:hAnsi="Times New Roman" w:eastAsia="宋体" w:cs="Times New Roman"/>
          <w:bCs/>
          <w:color w:val="auto"/>
          <w:sz w:val="24"/>
        </w:rPr>
        <w:t>C4挥发泄漏，</w:t>
      </w:r>
      <w:r>
        <w:rPr>
          <w:rFonts w:hint="default" w:ascii="Times New Roman" w:hAnsi="Times New Roman" w:eastAsia="宋体" w:cs="Times New Roman"/>
          <w:bCs/>
          <w:color w:val="auto"/>
          <w:kern w:val="0"/>
          <w:sz w:val="24"/>
        </w:rPr>
        <w:t>对环境空气影响较小。</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4.2.2甲醇、MTBE泄漏火灾爆炸事故情景源强分析</w:t>
      </w:r>
    </w:p>
    <w:p>
      <w:pPr>
        <w:spacing w:before="120" w:beforeLines="50" w:after="120" w:afterLines="50" w:line="360" w:lineRule="auto"/>
        <w:ind w:firstLine="480" w:firstLineChars="200"/>
        <w:jc w:val="left"/>
        <w:outlineLvl w:val="2"/>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易燃液态物质主要为甲醇、MTBE（甲基叔丁基醚），主要存在于生产装置区、成品罐区、中间罐区、装卸区等。储罐阀门发生破裂或发生爆炸燃烧而造成甲醇、MTBE泄漏。该项目环境影响评价测算该类事故风险源强采用的计算方法如下：</w:t>
      </w:r>
    </w:p>
    <w:p>
      <w:pPr>
        <w:spacing w:line="360" w:lineRule="auto"/>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1）泄漏事故</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⑴液体泄漏速率</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液体泄漏速度Q</w:t>
      </w:r>
      <w:r>
        <w:rPr>
          <w:rFonts w:hint="default" w:ascii="Times New Roman" w:hAnsi="Times New Roman" w:eastAsia="宋体" w:cs="Times New Roman"/>
          <w:color w:val="auto"/>
          <w:position w:val="0"/>
          <w:vertAlign w:val="subscript"/>
        </w:rPr>
        <w:t>L</w:t>
      </w:r>
      <w:r>
        <w:rPr>
          <w:rFonts w:hint="default" w:ascii="Times New Roman" w:hAnsi="Times New Roman" w:eastAsia="宋体" w:cs="Times New Roman"/>
          <w:color w:val="auto"/>
          <w:position w:val="0"/>
        </w:rPr>
        <w:t>采用伯努利方程计算：</w:t>
      </w:r>
    </w:p>
    <w:p>
      <w:pPr>
        <w:pStyle w:val="559"/>
        <w:jc w:val="center"/>
        <w:rPr>
          <w:rFonts w:hint="default" w:ascii="Times New Roman" w:hAnsi="Times New Roman" w:eastAsia="宋体" w:cs="Times New Roman"/>
          <w:color w:val="auto"/>
        </w:rPr>
      </w:pPr>
      <w:r>
        <w:rPr>
          <w:rFonts w:hint="default" w:ascii="Times New Roman" w:hAnsi="Times New Roman" w:eastAsia="宋体" w:cs="Times New Roman"/>
          <w:color w:val="auto"/>
          <w:position w:val="-30"/>
        </w:rPr>
        <w:object>
          <v:shape id="_x0000_i1030" o:spt="75" type="#_x0000_t75" style="height:36.75pt;width:147pt;" o:ole="t" filled="f" o:preferrelative="t" stroked="f" coordsize="21600,21600">
            <v:path/>
            <v:fill on="f" focussize="0,0"/>
            <v:stroke on="f" joinstyle="miter"/>
            <v:imagedata r:id="rId27" o:title=""/>
            <o:lock v:ext="edit" aspectratio="t"/>
            <w10:wrap type="none"/>
            <w10:anchorlock/>
          </v:shape>
          <o:OLEObject Type="Embed" ProgID="Equation.3" ShapeID="_x0000_i1030" DrawAspect="Content" ObjectID="_1468075730" r:id="rId26">
            <o:LockedField>false</o:LockedField>
          </o:OLEObject>
        </w:object>
      </w:r>
      <w:r>
        <w:rPr>
          <w:rFonts w:hint="default" w:ascii="Times New Roman" w:hAnsi="Times New Roman" w:eastAsia="宋体" w:cs="Times New Roman"/>
          <w:color w:val="auto"/>
          <w:position w:val="-30"/>
        </w:rPr>
        <w:t>（1）</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式中：Q</w:t>
      </w:r>
      <w:r>
        <w:rPr>
          <w:rFonts w:hint="default" w:ascii="Times New Roman" w:hAnsi="Times New Roman" w:eastAsia="宋体" w:cs="Times New Roman"/>
          <w:color w:val="auto"/>
          <w:position w:val="0"/>
          <w:vertAlign w:val="subscript"/>
        </w:rPr>
        <w:t>L</w:t>
      </w:r>
      <w:r>
        <w:rPr>
          <w:rFonts w:hint="default" w:ascii="Times New Roman" w:hAnsi="Times New Roman" w:eastAsia="宋体" w:cs="Times New Roman"/>
          <w:color w:val="auto"/>
          <w:position w:val="0"/>
        </w:rPr>
        <w:t>—液体的泄漏速度，kg/s；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C</w:t>
      </w:r>
      <w:r>
        <w:rPr>
          <w:rFonts w:hint="default" w:ascii="Times New Roman" w:hAnsi="Times New Roman" w:eastAsia="宋体" w:cs="Times New Roman"/>
          <w:color w:val="auto"/>
          <w:position w:val="0"/>
          <w:vertAlign w:val="subscript"/>
        </w:rPr>
        <w:t>d</w:t>
      </w:r>
      <w:r>
        <w:rPr>
          <w:rFonts w:hint="default" w:ascii="Times New Roman" w:hAnsi="Times New Roman" w:eastAsia="宋体" w:cs="Times New Roman"/>
          <w:color w:val="auto"/>
          <w:position w:val="0"/>
        </w:rPr>
        <w:t>—液体泄漏系数，选用0.62；</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ab/>
      </w:r>
      <w:r>
        <w:rPr>
          <w:rFonts w:hint="default" w:ascii="Times New Roman" w:hAnsi="Times New Roman" w:eastAsia="宋体" w:cs="Times New Roman"/>
          <w:color w:val="auto"/>
          <w:position w:val="0"/>
        </w:rPr>
        <w:t xml:space="preserve">   A—裂口面积，m</w:t>
      </w:r>
      <w:r>
        <w:rPr>
          <w:rFonts w:hint="default" w:ascii="Times New Roman" w:hAnsi="Times New Roman" w:eastAsia="宋体" w:cs="Times New Roman"/>
          <w:color w:val="auto"/>
          <w:position w:val="0"/>
          <w:vertAlign w:val="superscript"/>
        </w:rPr>
        <w:t>2</w:t>
      </w:r>
      <w:r>
        <w:rPr>
          <w:rFonts w:hint="default" w:ascii="Times New Roman" w:hAnsi="Times New Roman" w:eastAsia="宋体" w:cs="Times New Roman"/>
          <w:color w:val="auto"/>
          <w:position w:val="0"/>
        </w:rPr>
        <w:t>；</w:t>
      </w:r>
      <w:r>
        <w:rPr>
          <w:rFonts w:hint="default" w:ascii="Times New Roman" w:hAnsi="Times New Roman" w:eastAsia="宋体" w:cs="Times New Roman"/>
          <w:bCs/>
          <w:color w:val="auto"/>
          <w:position w:val="0"/>
        </w:rPr>
        <w:t>根据同行业类比资料</w:t>
      </w:r>
      <w:r>
        <w:rPr>
          <w:rFonts w:hint="default" w:ascii="Times New Roman" w:hAnsi="Times New Roman" w:eastAsia="宋体" w:cs="Times New Roman"/>
          <w:color w:val="auto"/>
          <w:position w:val="0"/>
        </w:rPr>
        <w:t>按破裂孔径40mm计，为0.0013m</w:t>
      </w:r>
      <w:r>
        <w:rPr>
          <w:rFonts w:hint="default" w:ascii="Times New Roman" w:hAnsi="Times New Roman" w:eastAsia="宋体" w:cs="Times New Roman"/>
          <w:color w:val="auto"/>
          <w:position w:val="0"/>
          <w:vertAlign w:val="superscript"/>
        </w:rPr>
        <w:t>2</w:t>
      </w:r>
    </w:p>
    <w:p>
      <w:pPr>
        <w:pStyle w:val="559"/>
        <w:spacing w:line="440" w:lineRule="exact"/>
        <w:ind w:firstLine="840" w:firstLineChars="35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ab/>
      </w:r>
      <w:r>
        <w:rPr>
          <w:rFonts w:hint="default" w:ascii="Times New Roman" w:hAnsi="Times New Roman" w:eastAsia="宋体" w:cs="Times New Roman"/>
          <w:color w:val="auto"/>
          <w:position w:val="0"/>
        </w:rPr>
        <w:t>ρ—泄漏液体密度，kg/m</w:t>
      </w:r>
      <w:r>
        <w:rPr>
          <w:rFonts w:hint="default" w:ascii="Times New Roman" w:hAnsi="Times New Roman" w:eastAsia="宋体" w:cs="Times New Roman"/>
          <w:color w:val="auto"/>
          <w:position w:val="0"/>
          <w:vertAlign w:val="superscript"/>
        </w:rPr>
        <w:t>3</w:t>
      </w:r>
      <w:r>
        <w:rPr>
          <w:rFonts w:hint="default" w:ascii="Times New Roman" w:hAnsi="Times New Roman" w:eastAsia="宋体" w:cs="Times New Roman"/>
          <w:color w:val="auto"/>
          <w:position w:val="0"/>
        </w:rPr>
        <w:t>；</w:t>
      </w:r>
    </w:p>
    <w:p>
      <w:pPr>
        <w:pStyle w:val="559"/>
        <w:spacing w:line="440" w:lineRule="exact"/>
        <w:ind w:firstLine="840" w:firstLineChars="35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ab/>
      </w:r>
      <w:r>
        <w:rPr>
          <w:rFonts w:hint="default" w:ascii="Times New Roman" w:hAnsi="Times New Roman" w:eastAsia="宋体" w:cs="Times New Roman"/>
          <w:color w:val="auto"/>
          <w:position w:val="0"/>
        </w:rPr>
        <w:t>P，P</w:t>
      </w:r>
      <w:r>
        <w:rPr>
          <w:rFonts w:hint="default" w:ascii="Times New Roman" w:hAnsi="Times New Roman" w:eastAsia="宋体" w:cs="Times New Roman"/>
          <w:color w:val="auto"/>
          <w:position w:val="0"/>
          <w:vertAlign w:val="subscript"/>
        </w:rPr>
        <w:t>0</w:t>
      </w:r>
      <w:r>
        <w:rPr>
          <w:rFonts w:hint="default" w:ascii="Times New Roman" w:hAnsi="Times New Roman" w:eastAsia="宋体" w:cs="Times New Roman"/>
          <w:color w:val="auto"/>
          <w:position w:val="0"/>
        </w:rPr>
        <w:t>—储罐内介质压力及环境压力，Pa；</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g—重力加速度；</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h—裂口之上液位高度，m。</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⑵泄漏液体蒸发速率</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泄漏液体蒸发分为闪蒸蒸发、热量蒸发和质量蒸发三种，其蒸发总量为这三种蒸发量之和。</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①闪蒸量的估算</w:t>
      </w:r>
    </w:p>
    <w:p>
      <w:pPr>
        <w:pStyle w:val="559"/>
        <w:spacing w:line="440" w:lineRule="exact"/>
        <w:rPr>
          <w:rFonts w:hint="default" w:ascii="Times New Roman" w:hAnsi="Times New Roman" w:eastAsia="宋体" w:cs="Times New Roman"/>
          <w:color w:val="auto"/>
        </w:rPr>
      </w:pPr>
      <w:r>
        <w:rPr>
          <w:rFonts w:hint="default" w:ascii="Times New Roman" w:hAnsi="Times New Roman" w:eastAsia="宋体" w:cs="Times New Roman"/>
          <w:color w:val="auto"/>
          <w:position w:val="0"/>
        </w:rPr>
        <w:t>过热液体闪蒸量可按下式估算：</w:t>
      </w:r>
    </w:p>
    <w:p>
      <w:pPr>
        <w:pStyle w:val="559"/>
        <w:jc w:val="center"/>
        <w:rPr>
          <w:rFonts w:hint="default" w:ascii="Times New Roman" w:hAnsi="Times New Roman" w:eastAsia="宋体" w:cs="Times New Roman"/>
          <w:color w:val="auto"/>
        </w:rPr>
      </w:pPr>
      <w:r>
        <w:rPr>
          <w:rFonts w:hint="default" w:ascii="Times New Roman" w:hAnsi="Times New Roman" w:eastAsia="宋体" w:cs="Times New Roman"/>
          <w:color w:val="auto"/>
          <w:position w:val="-10"/>
        </w:rPr>
        <w:object>
          <v:shape id="_x0000_i1031" o:spt="75" type="#_x0000_t75" style="height:18pt;width:75.75pt;" o:ole="t" filled="f" o:preferrelative="t" stroked="f" coordsize="21600,21600">
            <v:path/>
            <v:fill on="f" focussize="0,0"/>
            <v:stroke on="f" joinstyle="miter"/>
            <v:imagedata r:id="rId29" o:title=""/>
            <o:lock v:ext="edit" aspectratio="t"/>
            <w10:wrap type="none"/>
            <w10:anchorlock/>
          </v:shape>
          <o:OLEObject Type="Embed" ProgID="Equation.3" ShapeID="_x0000_i1031" DrawAspect="Content" ObjectID="_1468075731" r:id="rId28">
            <o:LockedField>false</o:LockedField>
          </o:OLEObject>
        </w:objec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式中：Q</w:t>
      </w:r>
      <w:r>
        <w:rPr>
          <w:rFonts w:hint="default" w:ascii="Times New Roman" w:hAnsi="Times New Roman" w:eastAsia="宋体" w:cs="Times New Roman"/>
          <w:color w:val="auto"/>
          <w:position w:val="0"/>
          <w:vertAlign w:val="subscript"/>
        </w:rPr>
        <w:t>1</w:t>
      </w:r>
      <w:r>
        <w:rPr>
          <w:rFonts w:hint="default" w:ascii="Times New Roman" w:hAnsi="Times New Roman" w:eastAsia="宋体" w:cs="Times New Roman"/>
          <w:color w:val="auto"/>
          <w:position w:val="0"/>
        </w:rPr>
        <w:t>—闪蒸量，kg/s；</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W</w:t>
      </w:r>
      <w:r>
        <w:rPr>
          <w:rFonts w:hint="default" w:ascii="Times New Roman" w:hAnsi="Times New Roman" w:eastAsia="宋体" w:cs="Times New Roman"/>
          <w:color w:val="auto"/>
          <w:position w:val="0"/>
          <w:vertAlign w:val="subscript"/>
        </w:rPr>
        <w:t>T</w:t>
      </w:r>
      <w:r>
        <w:rPr>
          <w:rFonts w:hint="default" w:ascii="Times New Roman" w:hAnsi="Times New Roman" w:eastAsia="宋体" w:cs="Times New Roman"/>
          <w:color w:val="auto"/>
          <w:position w:val="0"/>
        </w:rPr>
        <w:t>—液体泄漏总量，kg；</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t</w:t>
      </w:r>
      <w:r>
        <w:rPr>
          <w:rFonts w:hint="default" w:ascii="Times New Roman" w:hAnsi="Times New Roman" w:eastAsia="宋体" w:cs="Times New Roman"/>
          <w:color w:val="auto"/>
          <w:position w:val="0"/>
          <w:vertAlign w:val="subscript"/>
        </w:rPr>
        <w:t>1</w:t>
      </w:r>
      <w:r>
        <w:rPr>
          <w:rFonts w:hint="default" w:ascii="Times New Roman" w:hAnsi="Times New Roman" w:eastAsia="宋体" w:cs="Times New Roman"/>
          <w:color w:val="auto"/>
          <w:position w:val="0"/>
        </w:rPr>
        <w:t>—闪蒸蒸发时间，s；</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F—蒸发的液体占液体总量的比例；按下式计算:</w:t>
      </w:r>
    </w:p>
    <w:p>
      <w:pPr>
        <w:pStyle w:val="559"/>
        <w:jc w:val="center"/>
        <w:rPr>
          <w:rFonts w:hint="default" w:ascii="Times New Roman" w:hAnsi="Times New Roman" w:eastAsia="宋体" w:cs="Times New Roman"/>
          <w:color w:val="auto"/>
        </w:rPr>
      </w:pPr>
      <w:r>
        <w:rPr>
          <w:rFonts w:hint="default" w:ascii="Times New Roman" w:hAnsi="Times New Roman" w:eastAsia="宋体" w:cs="Times New Roman"/>
          <w:color w:val="auto"/>
          <w:position w:val="-24"/>
        </w:rPr>
        <w:object>
          <v:shape id="_x0000_i1032" o:spt="75" type="#_x0000_t75" style="height:31.5pt;width:78pt;" o:ole="t" filled="f" o:preferrelative="t" stroked="f" coordsize="21600,21600">
            <v:path/>
            <v:fill on="f" focussize="0,0"/>
            <v:stroke on="f" joinstyle="miter"/>
            <v:imagedata r:id="rId31" o:title=""/>
            <o:lock v:ext="edit" aspectratio="t"/>
            <w10:wrap type="none"/>
            <w10:anchorlock/>
          </v:shape>
          <o:OLEObject Type="Embed" ProgID="Equation.3" ShapeID="_x0000_i1032" DrawAspect="Content" ObjectID="_1468075732" r:id="rId30">
            <o:LockedField>false</o:LockedField>
          </o:OLEObject>
        </w:objec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式中：C</w:t>
      </w:r>
      <w:r>
        <w:rPr>
          <w:rFonts w:hint="default" w:ascii="Times New Roman" w:hAnsi="Times New Roman" w:eastAsia="宋体" w:cs="Times New Roman"/>
          <w:color w:val="auto"/>
          <w:position w:val="0"/>
          <w:vertAlign w:val="subscript"/>
        </w:rPr>
        <w:t>P</w:t>
      </w:r>
      <w:r>
        <w:rPr>
          <w:rFonts w:hint="default" w:ascii="Times New Roman" w:hAnsi="Times New Roman" w:eastAsia="宋体" w:cs="Times New Roman"/>
          <w:color w:val="auto"/>
          <w:position w:val="0"/>
        </w:rPr>
        <w:t>—液体的定压比热，J/（kg•K）；</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T</w:t>
      </w:r>
      <w:r>
        <w:rPr>
          <w:rFonts w:hint="default" w:ascii="Times New Roman" w:hAnsi="Times New Roman" w:eastAsia="宋体" w:cs="Times New Roman"/>
          <w:color w:val="auto"/>
          <w:position w:val="0"/>
          <w:vertAlign w:val="subscript"/>
        </w:rPr>
        <w:t>L</w:t>
      </w:r>
      <w:r>
        <w:rPr>
          <w:rFonts w:hint="default" w:ascii="Times New Roman" w:hAnsi="Times New Roman" w:eastAsia="宋体" w:cs="Times New Roman"/>
          <w:color w:val="auto"/>
          <w:position w:val="0"/>
        </w:rPr>
        <w:t>—泄漏前液体的温度，K；</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T</w:t>
      </w:r>
      <w:r>
        <w:rPr>
          <w:rFonts w:hint="default" w:ascii="Times New Roman" w:hAnsi="Times New Roman" w:eastAsia="宋体" w:cs="Times New Roman"/>
          <w:color w:val="auto"/>
          <w:position w:val="0"/>
          <w:vertAlign w:val="subscript"/>
        </w:rPr>
        <w:t>b</w:t>
      </w:r>
      <w:r>
        <w:rPr>
          <w:rFonts w:hint="default" w:ascii="Times New Roman" w:hAnsi="Times New Roman" w:eastAsia="宋体" w:cs="Times New Roman"/>
          <w:color w:val="auto"/>
          <w:position w:val="0"/>
        </w:rPr>
        <w:t>—液体在常压下的沸点，K；</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H —液体的气化热，J/kg。</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②热量蒸发估算</w:t>
      </w:r>
    </w:p>
    <w:p>
      <w:pPr>
        <w:pStyle w:val="559"/>
        <w:spacing w:line="440" w:lineRule="exact"/>
        <w:rPr>
          <w:rFonts w:hint="default" w:ascii="Times New Roman" w:hAnsi="Times New Roman" w:eastAsia="宋体" w:cs="Times New Roman"/>
          <w:color w:val="auto"/>
        </w:rPr>
      </w:pPr>
      <w:r>
        <w:rPr>
          <w:rFonts w:hint="default" w:ascii="Times New Roman" w:hAnsi="Times New Roman" w:eastAsia="宋体" w:cs="Times New Roman"/>
          <w:color w:val="auto"/>
          <w:position w:val="0"/>
        </w:rPr>
        <w:t>当液体闪蒸不完全，有一部分液体在地面形成液池（或者，冷冻液体泄漏至地面），并吸收地面热量而气化称为热量蒸发。热量蒸发速度Q</w:t>
      </w:r>
      <w:r>
        <w:rPr>
          <w:rFonts w:hint="default" w:ascii="Times New Roman" w:hAnsi="Times New Roman" w:eastAsia="宋体" w:cs="Times New Roman"/>
          <w:color w:val="auto"/>
          <w:position w:val="0"/>
          <w:vertAlign w:val="subscript"/>
        </w:rPr>
        <w:t>2</w:t>
      </w:r>
      <w:r>
        <w:rPr>
          <w:rFonts w:hint="default" w:ascii="Times New Roman" w:hAnsi="Times New Roman" w:eastAsia="宋体" w:cs="Times New Roman"/>
          <w:color w:val="auto"/>
          <w:position w:val="0"/>
        </w:rPr>
        <w:t>按下式计算：</w:t>
      </w:r>
    </w:p>
    <w:p>
      <w:pPr>
        <w:pStyle w:val="559"/>
        <w:jc w:val="center"/>
        <w:rPr>
          <w:rFonts w:hint="default" w:ascii="Times New Roman" w:hAnsi="Times New Roman" w:eastAsia="宋体" w:cs="Times New Roman"/>
          <w:color w:val="auto"/>
        </w:rPr>
      </w:pPr>
      <w:r>
        <w:rPr>
          <w:rFonts w:hint="default" w:ascii="Times New Roman" w:hAnsi="Times New Roman" w:eastAsia="宋体" w:cs="Times New Roman"/>
          <w:color w:val="auto"/>
          <w:position w:val="-28"/>
        </w:rPr>
        <w:object>
          <v:shape id="_x0000_i1033" o:spt="75" type="#_x0000_t75" style="height:33.75pt;width:95.25pt;" o:ole="t" filled="f" o:preferrelative="t" stroked="f" coordsize="21600,21600">
            <v:path/>
            <v:fill on="f" focussize="0,0"/>
            <v:stroke on="f" joinstyle="miter"/>
            <v:imagedata r:id="rId33" o:title=""/>
            <o:lock v:ext="edit" aspectratio="t"/>
            <w10:wrap type="none"/>
            <w10:anchorlock/>
          </v:shape>
          <o:OLEObject Type="Embed" ProgID="Equation.3" ShapeID="_x0000_i1033" DrawAspect="Content" ObjectID="_1468075733" r:id="rId32">
            <o:LockedField>false</o:LockedField>
          </o:OLEObject>
        </w:objec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式中：Q</w:t>
      </w:r>
      <w:r>
        <w:rPr>
          <w:rFonts w:hint="default" w:ascii="Times New Roman" w:hAnsi="Times New Roman" w:eastAsia="宋体" w:cs="Times New Roman"/>
          <w:color w:val="auto"/>
          <w:position w:val="0"/>
          <w:vertAlign w:val="subscript"/>
        </w:rPr>
        <w:t>2</w:t>
      </w:r>
      <w:r>
        <w:rPr>
          <w:rFonts w:hint="default" w:ascii="Times New Roman" w:hAnsi="Times New Roman" w:eastAsia="宋体" w:cs="Times New Roman"/>
          <w:color w:val="auto"/>
          <w:position w:val="0"/>
        </w:rPr>
        <w:t>—热量蒸发速度，kg/s；</w:t>
      </w:r>
    </w:p>
    <w:p>
      <w:pPr>
        <w:pStyle w:val="559"/>
        <w:spacing w:line="440" w:lineRule="exact"/>
        <w:ind w:firstLine="960" w:firstLineChars="4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T</w:t>
      </w:r>
      <w:r>
        <w:rPr>
          <w:rFonts w:hint="default" w:ascii="Times New Roman" w:hAnsi="Times New Roman" w:eastAsia="宋体" w:cs="Times New Roman"/>
          <w:color w:val="auto"/>
          <w:position w:val="0"/>
          <w:vertAlign w:val="subscript"/>
        </w:rPr>
        <w:t>0</w:t>
      </w:r>
      <w:r>
        <w:rPr>
          <w:rFonts w:hint="default" w:ascii="Times New Roman" w:hAnsi="Times New Roman" w:eastAsia="宋体" w:cs="Times New Roman"/>
          <w:color w:val="auto"/>
          <w:position w:val="0"/>
        </w:rPr>
        <w:t>—环境温度，K；</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T</w:t>
      </w:r>
      <w:r>
        <w:rPr>
          <w:rFonts w:hint="default" w:ascii="Times New Roman" w:hAnsi="Times New Roman" w:eastAsia="宋体" w:cs="Times New Roman"/>
          <w:color w:val="auto"/>
          <w:position w:val="0"/>
          <w:vertAlign w:val="subscript"/>
        </w:rPr>
        <w:t>b</w:t>
      </w:r>
      <w:r>
        <w:rPr>
          <w:rFonts w:hint="default" w:ascii="Times New Roman" w:hAnsi="Times New Roman" w:eastAsia="宋体" w:cs="Times New Roman"/>
          <w:color w:val="auto"/>
          <w:position w:val="0"/>
        </w:rPr>
        <w:t>—沸点温度；K；</w:t>
      </w:r>
    </w:p>
    <w:p>
      <w:pPr>
        <w:pStyle w:val="559"/>
        <w:spacing w:line="440" w:lineRule="exact"/>
        <w:ind w:firstLine="720" w:firstLineChars="3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S —液池面积，m</w:t>
      </w:r>
      <w:r>
        <w:rPr>
          <w:rFonts w:hint="default" w:ascii="Times New Roman" w:hAnsi="Times New Roman" w:eastAsia="宋体" w:cs="Times New Roman"/>
          <w:color w:val="auto"/>
          <w:position w:val="0"/>
          <w:vertAlign w:val="superscript"/>
        </w:rPr>
        <w:t>2</w:t>
      </w:r>
      <w:r>
        <w:rPr>
          <w:rFonts w:hint="default" w:ascii="Times New Roman" w:hAnsi="Times New Roman" w:eastAsia="宋体" w:cs="Times New Roman"/>
          <w:color w:val="auto"/>
          <w:position w:val="0"/>
        </w:rPr>
        <w:t>；</w:t>
      </w:r>
    </w:p>
    <w:p>
      <w:pPr>
        <w:pStyle w:val="559"/>
        <w:spacing w:line="440" w:lineRule="exact"/>
        <w:ind w:firstLine="720" w:firstLineChars="3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H —液体气化热，J/kg；</w:t>
      </w:r>
    </w:p>
    <w:p>
      <w:pPr>
        <w:pStyle w:val="559"/>
        <w:spacing w:line="440" w:lineRule="exact"/>
        <w:ind w:firstLine="720" w:firstLineChars="3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λ—表面热导系数，W/(m•K)；</w:t>
      </w:r>
    </w:p>
    <w:p>
      <w:pPr>
        <w:pStyle w:val="559"/>
        <w:spacing w:line="440" w:lineRule="exact"/>
        <w:ind w:firstLine="720" w:firstLineChars="3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α—表面热扩散系数，m</w:t>
      </w:r>
      <w:r>
        <w:rPr>
          <w:rFonts w:hint="default" w:ascii="Times New Roman" w:hAnsi="Times New Roman" w:eastAsia="宋体" w:cs="Times New Roman"/>
          <w:color w:val="auto"/>
          <w:position w:val="0"/>
          <w:vertAlign w:val="superscript"/>
        </w:rPr>
        <w:t>2</w:t>
      </w:r>
      <w:r>
        <w:rPr>
          <w:rFonts w:hint="default" w:ascii="Times New Roman" w:hAnsi="Times New Roman" w:eastAsia="宋体" w:cs="Times New Roman"/>
          <w:color w:val="auto"/>
          <w:position w:val="0"/>
        </w:rPr>
        <w:t>/s；</w:t>
      </w:r>
    </w:p>
    <w:p>
      <w:pPr>
        <w:pStyle w:val="559"/>
        <w:spacing w:line="440" w:lineRule="exact"/>
        <w:ind w:firstLine="1200" w:firstLineChars="50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t —蒸发时间，s。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③质量蒸发估算</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当热量蒸发结束，转由液池表面气流运动使液体蒸发，称之为质量蒸发。质量蒸发速度Q</w:t>
      </w:r>
      <w:r>
        <w:rPr>
          <w:rFonts w:hint="default" w:ascii="Times New Roman" w:hAnsi="Times New Roman" w:eastAsia="宋体" w:cs="Times New Roman"/>
          <w:color w:val="auto"/>
          <w:position w:val="0"/>
          <w:vertAlign w:val="subscript"/>
        </w:rPr>
        <w:t>3</w:t>
      </w:r>
      <w:r>
        <w:rPr>
          <w:rFonts w:hint="default" w:ascii="Times New Roman" w:hAnsi="Times New Roman" w:eastAsia="宋体" w:cs="Times New Roman"/>
          <w:color w:val="auto"/>
          <w:position w:val="0"/>
        </w:rPr>
        <w:t>按下式计算：</w:t>
      </w:r>
    </w:p>
    <w:p>
      <w:pPr>
        <w:pStyle w:val="559"/>
        <w:jc w:val="center"/>
        <w:rPr>
          <w:rFonts w:hint="default" w:ascii="Times New Roman" w:hAnsi="Times New Roman" w:eastAsia="宋体" w:cs="Times New Roman"/>
          <w:color w:val="auto"/>
        </w:rPr>
      </w:pPr>
      <w:r>
        <w:rPr>
          <w:rFonts w:hint="default" w:ascii="Times New Roman" w:hAnsi="Times New Roman" w:eastAsia="宋体" w:cs="Times New Roman"/>
          <w:color w:val="auto"/>
          <w:position w:val="-30"/>
        </w:rPr>
        <w:object>
          <v:shape id="_x0000_i1034" o:spt="75" type="#_x0000_t75" style="height:38.25pt;width:156pt;" o:ole="t" filled="f" o:preferrelative="t" stroked="f" coordsize="21600,21600">
            <v:path/>
            <v:fill on="f" focussize="0,0"/>
            <v:stroke on="f" joinstyle="miter"/>
            <v:imagedata r:id="rId35" o:title=""/>
            <o:lock v:ext="edit" aspectratio="t"/>
            <w10:wrap type="none"/>
            <w10:anchorlock/>
          </v:shape>
          <o:OLEObject Type="Embed" ProgID="Equation.3" ShapeID="_x0000_i1034" DrawAspect="Content" ObjectID="_1468075734" r:id="rId34">
            <o:LockedField>false</o:LockedField>
          </o:OLEObject>
        </w:objec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式中：Q</w:t>
      </w:r>
      <w:r>
        <w:rPr>
          <w:rFonts w:hint="default" w:ascii="Times New Roman" w:hAnsi="Times New Roman" w:eastAsia="宋体" w:cs="Times New Roman"/>
          <w:color w:val="auto"/>
          <w:position w:val="0"/>
          <w:vertAlign w:val="subscript"/>
        </w:rPr>
        <w:t>3</w:t>
      </w:r>
      <w:r>
        <w:rPr>
          <w:rFonts w:hint="default" w:ascii="Times New Roman" w:hAnsi="Times New Roman" w:eastAsia="宋体" w:cs="Times New Roman"/>
          <w:color w:val="auto"/>
          <w:position w:val="0"/>
        </w:rPr>
        <w:t>—质量蒸发速度，kg/s；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α，n—大气稳定度系数；</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P—液体表面蒸气压，Pa；</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M—物质的相对分子质量，g/mol或kg/kmol；</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R—气体常数；J/mol•K；</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T</w:t>
      </w:r>
      <w:r>
        <w:rPr>
          <w:rFonts w:hint="default" w:ascii="Times New Roman" w:hAnsi="Times New Roman" w:eastAsia="宋体" w:cs="Times New Roman"/>
          <w:color w:val="auto"/>
          <w:position w:val="0"/>
          <w:vertAlign w:val="subscript"/>
        </w:rPr>
        <w:t>0</w:t>
      </w:r>
      <w:r>
        <w:rPr>
          <w:rFonts w:hint="default" w:ascii="Times New Roman" w:hAnsi="Times New Roman" w:eastAsia="宋体" w:cs="Times New Roman"/>
          <w:color w:val="auto"/>
          <w:position w:val="0"/>
        </w:rPr>
        <w:t>—环境温度，K；</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u—风速，m/s；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r—液池半径，m。</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液池最大直径取决于泄漏点附近的地域构型、泄漏的连续性或瞬时性。有围堰时，以围堰最大等效半径为液池半径；无围堰时，设定液体瞬间扩散到最小厚度时，推算液池等效半径。</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④液体蒸发总量的计算</w:t>
      </w:r>
    </w:p>
    <w:p>
      <w:pPr>
        <w:pStyle w:val="559"/>
        <w:jc w:val="center"/>
        <w:rPr>
          <w:rFonts w:hint="default" w:ascii="Times New Roman" w:hAnsi="Times New Roman" w:eastAsia="宋体" w:cs="Times New Roman"/>
          <w:color w:val="auto"/>
        </w:rPr>
      </w:pPr>
      <w:r>
        <w:rPr>
          <w:rFonts w:hint="default" w:ascii="Times New Roman" w:hAnsi="Times New Roman" w:eastAsia="宋体" w:cs="Times New Roman"/>
          <w:color w:val="auto"/>
        </w:rPr>
        <w:object>
          <v:shape id="_x0000_i1035" o:spt="75" type="#_x0000_t75" style="height:18pt;width:108pt;" o:ole="t" filled="f" o:preferrelative="t" stroked="f" coordsize="21600,21600">
            <v:path/>
            <v:fill on="f" focussize="0,0"/>
            <v:stroke on="f" joinstyle="miter"/>
            <v:imagedata r:id="rId37" o:title=""/>
            <o:lock v:ext="edit" aspectratio="t"/>
            <w10:wrap type="none"/>
            <w10:anchorlock/>
          </v:shape>
          <o:OLEObject Type="Embed" ProgID="Equation.3" ShapeID="_x0000_i1035" DrawAspect="Content" ObjectID="_1468075735" r:id="rId36">
            <o:LockedField>false</o:LockedField>
          </o:OLEObject>
        </w:objec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式中： W</w:t>
      </w:r>
      <w:r>
        <w:rPr>
          <w:rFonts w:hint="default" w:ascii="Times New Roman" w:hAnsi="Times New Roman" w:eastAsia="宋体" w:cs="Times New Roman"/>
          <w:color w:val="auto"/>
          <w:position w:val="0"/>
          <w:vertAlign w:val="subscript"/>
        </w:rPr>
        <w:t>p</w:t>
      </w:r>
      <w:r>
        <w:rPr>
          <w:rFonts w:hint="default" w:ascii="Times New Roman" w:hAnsi="Times New Roman" w:eastAsia="宋体" w:cs="Times New Roman"/>
          <w:color w:val="auto"/>
          <w:position w:val="0"/>
        </w:rPr>
        <w:t>—液体蒸发总量，kg；</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Q</w:t>
      </w:r>
      <w:r>
        <w:rPr>
          <w:rFonts w:hint="default" w:ascii="Times New Roman" w:hAnsi="Times New Roman" w:eastAsia="宋体" w:cs="Times New Roman"/>
          <w:color w:val="auto"/>
          <w:position w:val="0"/>
          <w:vertAlign w:val="subscript"/>
        </w:rPr>
        <w:t>1</w:t>
      </w:r>
      <w:r>
        <w:rPr>
          <w:rFonts w:hint="default" w:ascii="Times New Roman" w:hAnsi="Times New Roman" w:eastAsia="宋体" w:cs="Times New Roman"/>
          <w:color w:val="auto"/>
          <w:position w:val="0"/>
        </w:rPr>
        <w:t>—闪蒸液体蒸发速度，kg/s；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Q</w:t>
      </w:r>
      <w:r>
        <w:rPr>
          <w:rFonts w:hint="default" w:ascii="Times New Roman" w:hAnsi="Times New Roman" w:eastAsia="宋体" w:cs="Times New Roman"/>
          <w:color w:val="auto"/>
          <w:position w:val="0"/>
          <w:vertAlign w:val="subscript"/>
        </w:rPr>
        <w:t>2</w:t>
      </w:r>
      <w:r>
        <w:rPr>
          <w:rFonts w:hint="default" w:ascii="Times New Roman" w:hAnsi="Times New Roman" w:eastAsia="宋体" w:cs="Times New Roman"/>
          <w:color w:val="auto"/>
          <w:position w:val="0"/>
        </w:rPr>
        <w:t>—热量蒸发速率，kg/s；</w:t>
      </w:r>
    </w:p>
    <w:p>
      <w:pPr>
        <w:pStyle w:val="559"/>
        <w:spacing w:line="440" w:lineRule="exact"/>
        <w:ind w:firstLine="1320" w:firstLineChars="55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Q</w:t>
      </w:r>
      <w:r>
        <w:rPr>
          <w:rFonts w:hint="default" w:ascii="Times New Roman" w:hAnsi="Times New Roman" w:eastAsia="宋体" w:cs="Times New Roman"/>
          <w:color w:val="auto"/>
          <w:position w:val="0"/>
          <w:vertAlign w:val="subscript"/>
        </w:rPr>
        <w:t>3</w:t>
      </w:r>
      <w:r>
        <w:rPr>
          <w:rFonts w:hint="default" w:ascii="Times New Roman" w:hAnsi="Times New Roman" w:eastAsia="宋体" w:cs="Times New Roman"/>
          <w:color w:val="auto"/>
          <w:position w:val="0"/>
        </w:rPr>
        <w:t>—质量蒸发速率，kg/s；</w:t>
      </w:r>
    </w:p>
    <w:p>
      <w:pPr>
        <w:pStyle w:val="559"/>
        <w:spacing w:line="440" w:lineRule="exact"/>
        <w:ind w:firstLine="1320" w:firstLineChars="550"/>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t</w:t>
      </w:r>
      <w:r>
        <w:rPr>
          <w:rFonts w:hint="default" w:ascii="Times New Roman" w:hAnsi="Times New Roman" w:eastAsia="宋体" w:cs="Times New Roman"/>
          <w:color w:val="auto"/>
          <w:position w:val="0"/>
          <w:vertAlign w:val="subscript"/>
        </w:rPr>
        <w:t>1</w:t>
      </w:r>
      <w:r>
        <w:rPr>
          <w:rFonts w:hint="default" w:ascii="Times New Roman" w:hAnsi="Times New Roman" w:eastAsia="宋体" w:cs="Times New Roman"/>
          <w:color w:val="auto"/>
          <w:position w:val="0"/>
        </w:rPr>
        <w:t>—闪蒸蒸发时间，s；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t</w:t>
      </w:r>
      <w:r>
        <w:rPr>
          <w:rFonts w:hint="default" w:ascii="Times New Roman" w:hAnsi="Times New Roman" w:eastAsia="宋体" w:cs="Times New Roman"/>
          <w:color w:val="auto"/>
          <w:position w:val="0"/>
          <w:vertAlign w:val="subscript"/>
        </w:rPr>
        <w:t>2</w:t>
      </w:r>
      <w:r>
        <w:rPr>
          <w:rFonts w:hint="default" w:ascii="Times New Roman" w:hAnsi="Times New Roman" w:eastAsia="宋体" w:cs="Times New Roman"/>
          <w:color w:val="auto"/>
          <w:position w:val="0"/>
        </w:rPr>
        <w:t>—热量蒸发时间，s；</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 xml:space="preserve">       t</w:t>
      </w:r>
      <w:r>
        <w:rPr>
          <w:rFonts w:hint="default" w:ascii="Times New Roman" w:hAnsi="Times New Roman" w:eastAsia="宋体" w:cs="Times New Roman"/>
          <w:color w:val="auto"/>
          <w:position w:val="0"/>
          <w:vertAlign w:val="subscript"/>
        </w:rPr>
        <w:t>3</w:t>
      </w:r>
      <w:r>
        <w:rPr>
          <w:rFonts w:hint="default" w:ascii="Times New Roman" w:hAnsi="Times New Roman" w:eastAsia="宋体" w:cs="Times New Roman"/>
          <w:color w:val="auto"/>
          <w:position w:val="0"/>
        </w:rPr>
        <w:t>—从液体泄漏到液体全部处理完毕的时间，s。</w:t>
      </w:r>
    </w:p>
    <w:p>
      <w:pPr>
        <w:spacing w:line="440" w:lineRule="exact"/>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bCs/>
          <w:color w:val="auto"/>
          <w:sz w:val="24"/>
        </w:rPr>
        <w:t>2）</w:t>
      </w:r>
      <w:r>
        <w:rPr>
          <w:rFonts w:hint="default" w:ascii="Times New Roman" w:hAnsi="Times New Roman" w:eastAsia="宋体" w:cs="Times New Roman"/>
          <w:b/>
          <w:color w:val="auto"/>
          <w:sz w:val="24"/>
        </w:rPr>
        <w:t>蒸发量计算</w:t>
      </w:r>
    </w:p>
    <w:p>
      <w:pPr>
        <w:spacing w:line="440" w:lineRule="exact"/>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轻汽油、醚化汽油、甲醇、工业异辛烷汽油蒸发量计算为热量蒸发与质量蒸发量之和，因其常压下沸点高于环境温度，故不存在闪蒸蒸发或闪蒸蒸发量很小，可忽略不计，用下列公式计算：</w:t>
      </w:r>
      <w:r>
        <w:rPr>
          <w:rFonts w:hint="default" w:ascii="Times New Roman" w:hAnsi="Times New Roman" w:eastAsia="宋体" w:cs="Times New Roman"/>
          <w:color w:val="auto"/>
          <w:position w:val="-16"/>
          <w:sz w:val="24"/>
        </w:rPr>
        <w:object>
          <v:shape id="_x0000_i1036" o:spt="75" type="#_x0000_t75" style="height:20.25pt;width:93pt;" o:ole="t" filled="f" o:preferrelative="t" stroked="f" coordsize="21600,21600">
            <v:path/>
            <v:fill on="f" focussize="0,0"/>
            <v:stroke on="f" joinstyle="miter"/>
            <v:imagedata r:id="rId39" o:title=""/>
            <o:lock v:ext="edit" aspectratio="t"/>
            <w10:wrap type="none"/>
            <w10:anchorlock/>
          </v:shape>
          <o:OLEObject Type="Embed" ProgID="Equation.3" ShapeID="_x0000_i1036" DrawAspect="Content" ObjectID="_1468075736" r:id="rId38">
            <o:LockedField>false</o:LockedField>
          </o:OLEObject>
        </w:object>
      </w:r>
      <w:r>
        <w:rPr>
          <w:rFonts w:hint="default" w:ascii="Times New Roman" w:hAnsi="Times New Roman" w:eastAsia="宋体" w:cs="Times New Roman"/>
          <w:color w:val="auto"/>
          <w:sz w:val="24"/>
        </w:rPr>
        <w:t>；石油液化气因其常压下沸点远低于环境温度，故蒸发量按闪蒸蒸发量计算。</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4.2.2.1甲醇泄漏泄漏火灾爆炸事故情景源强分析</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甲醇是一种无色、透明、高度挥发、易燃液体。遇热、明火或氧化剂易着火，遇明火会爆炸。由于设备损坏或操作失误引起物料泄漏，从而可能导致重大事故发生。据相关资料介绍，</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罐典型泄漏一是罐体完全破裂，二是接头泄漏（100%或20%管径）。</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当发生贮罐破裂泄漏时，甲醇遇明火会燃烧、爆炸，燃烧后转化为CO</w:t>
      </w:r>
      <w:r>
        <w:rPr>
          <w:rFonts w:hint="default" w:ascii="Times New Roman" w:hAnsi="Times New Roman" w:eastAsia="宋体" w:cs="Times New Roman"/>
          <w:color w:val="auto"/>
          <w:sz w:val="24"/>
          <w:vertAlign w:val="subscript"/>
        </w:rPr>
        <w:t>2</w:t>
      </w:r>
      <w:r>
        <w:rPr>
          <w:rFonts w:hint="default" w:ascii="Times New Roman" w:hAnsi="Times New Roman" w:eastAsia="宋体" w:cs="Times New Roman"/>
          <w:color w:val="auto"/>
          <w:sz w:val="24"/>
        </w:rPr>
        <w:t>和H</w:t>
      </w:r>
      <w:r>
        <w:rPr>
          <w:rFonts w:hint="default" w:ascii="Times New Roman" w:hAnsi="Times New Roman" w:eastAsia="宋体" w:cs="Times New Roman"/>
          <w:color w:val="auto"/>
          <w:sz w:val="24"/>
          <w:vertAlign w:val="subscript"/>
        </w:rPr>
        <w:t>2</w:t>
      </w:r>
      <w:r>
        <w:rPr>
          <w:rFonts w:hint="default" w:ascii="Times New Roman" w:hAnsi="Times New Roman" w:eastAsia="宋体" w:cs="Times New Roman"/>
          <w:color w:val="auto"/>
          <w:sz w:val="24"/>
        </w:rPr>
        <w:t>O，对周围大气环境污染不大，但会危及生命财产安全。同时甲醇除燃烧外，还会蒸发到空气中，污染周围大气环境。当发生接头泄漏时，泄漏的液体将在罐区围堰内蒸发或形成池液，产品蒸发时对周围大气造成一定程度的影响，遇明火会燃烧甚至发生爆炸。</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该项目环评假定：</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①精甲醇</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罐完全破裂，发生爆炸事故。甲醇</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罐容量为1000m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的常压拱顶罐，充装系数为0.85，最大储量为850m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②甲醇泄漏事故。罐区设置甲醇</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罐2座，储存量为1700m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position w:val="-10"/>
          <w:sz w:val="24"/>
        </w:rPr>
        <w:object>
          <v:shape id="_x0000_i1037" o:spt="75" type="#_x0000_t75" style="height:18pt;width:8.25pt;" o:ole="t" filled="f" o:preferrelative="t" stroked="f" coordsize="21600,21600">
            <v:path/>
            <v:fill on="f" focussize="0,0"/>
            <v:stroke on="f" joinstyle="miter"/>
            <v:imagedata r:id="rId41" o:title=""/>
            <o:lock v:ext="edit" aspectratio="t"/>
            <w10:wrap type="none"/>
            <w10:anchorlock/>
          </v:shape>
          <o:OLEObject Type="Embed" ProgID="Equation.3" ShapeID="_x0000_i1037" DrawAspect="Content" ObjectID="_1468075737" r:id="rId40">
            <o:LockedField>false</o:LockedField>
          </o:OLEObject>
        </w:object>
      </w:r>
      <w:r>
        <w:rPr>
          <w:rFonts w:hint="default" w:ascii="Times New Roman" w:hAnsi="Times New Roman" w:eastAsia="宋体" w:cs="Times New Roman"/>
          <w:color w:val="auto"/>
          <w:sz w:val="24"/>
        </w:rPr>
        <w:t>的常压拱顶罐，罐区周围设有围堰。假定甲醇泄漏后，安全系统报警，操作人员在10min内使</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罐泄漏得到控制。假定管路系统或</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罐阀门损坏，甲醇泄漏为大型泄漏，破裂孔径为100mm，其泄漏速度按照</w:t>
      </w:r>
      <w:r>
        <w:rPr>
          <w:rFonts w:hint="default" w:ascii="Times New Roman" w:hAnsi="Times New Roman" w:eastAsia="宋体" w:cs="Times New Roman"/>
          <w:bCs/>
          <w:color w:val="auto"/>
          <w:sz w:val="24"/>
        </w:rPr>
        <w:t>4.2.2中公式（1）</w:t>
      </w:r>
      <w:r>
        <w:rPr>
          <w:rFonts w:hint="default" w:ascii="Times New Roman" w:hAnsi="Times New Roman" w:eastAsia="宋体" w:cs="Times New Roman"/>
          <w:color w:val="auto"/>
          <w:sz w:val="24"/>
        </w:rPr>
        <w:t>计算，甲醇ρ=792kg/m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、裂口之上液位高度，取h =10m。由此估算甲醇泄漏速度为48.9kg/s</w:t>
      </w:r>
      <w:r>
        <w:rPr>
          <w:rFonts w:hint="eastAsia" w:cs="Times New Roman"/>
          <w:color w:val="auto"/>
          <w:sz w:val="24"/>
          <w:lang w:eastAsia="zh-CN"/>
        </w:rPr>
        <w:t>，</w:t>
      </w:r>
      <w:r>
        <w:rPr>
          <w:rFonts w:hint="default" w:ascii="Times New Roman" w:hAnsi="Times New Roman" w:eastAsia="宋体" w:cs="Times New Roman"/>
          <w:color w:val="auto"/>
          <w:sz w:val="24"/>
        </w:rPr>
        <w:t>10min甲醇泄漏量为29.3t。</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4.2.2.2甲基叔丁基醚泄漏事故情景源强分析</w:t>
      </w:r>
    </w:p>
    <w:p>
      <w:pPr>
        <w:spacing w:before="120" w:beforeLines="50" w:after="120" w:afterLines="50" w:line="360" w:lineRule="auto"/>
        <w:ind w:firstLine="480" w:firstLineChars="200"/>
        <w:jc w:val="left"/>
        <w:outlineLvl w:val="2"/>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甲基叔丁基醚泄漏量，按照4.2.2中公式（1）计算，</w:t>
      </w:r>
      <w:r>
        <w:rPr>
          <w:rFonts w:hint="default" w:ascii="Times New Roman" w:hAnsi="Times New Roman" w:eastAsia="宋体" w:cs="Times New Roman"/>
          <w:bCs/>
          <w:color w:val="auto"/>
          <w:sz w:val="24"/>
        </w:rPr>
        <w:t>液体泄漏系数，取</w:t>
      </w:r>
      <w:r>
        <w:rPr>
          <w:rFonts w:hint="default" w:ascii="Times New Roman" w:hAnsi="Times New Roman" w:eastAsia="宋体" w:cs="Times New Roman"/>
          <w:bCs/>
          <w:i/>
          <w:color w:val="auto"/>
          <w:sz w:val="24"/>
        </w:rPr>
        <w:t>C</w:t>
      </w:r>
      <w:r>
        <w:rPr>
          <w:rFonts w:hint="default" w:ascii="Times New Roman" w:hAnsi="Times New Roman" w:eastAsia="宋体" w:cs="Times New Roman"/>
          <w:bCs/>
          <w:i/>
          <w:color w:val="auto"/>
          <w:sz w:val="24"/>
          <w:vertAlign w:val="subscript"/>
        </w:rPr>
        <w:t>d</w:t>
      </w:r>
      <w:r>
        <w:rPr>
          <w:rFonts w:hint="default" w:ascii="Times New Roman" w:hAnsi="Times New Roman" w:eastAsia="宋体" w:cs="Times New Roman"/>
          <w:bCs/>
          <w:color w:val="auto"/>
          <w:sz w:val="24"/>
        </w:rPr>
        <w:t>=0.62、裂口面积</w:t>
      </w:r>
      <w:r>
        <w:rPr>
          <w:rFonts w:hint="default" w:ascii="Times New Roman" w:hAnsi="Times New Roman" w:eastAsia="宋体" w:cs="Times New Roman"/>
          <w:color w:val="auto"/>
          <w:sz w:val="24"/>
        </w:rPr>
        <w:t>0.0013m</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；MTBE蒸发量计算为热量蒸发与质量蒸发量之和，因其常压下沸点高于环境温度，故不存在闪蒸蒸发或闪蒸蒸发量很小，可忽略不计，用下列公式计算：</w:t>
      </w:r>
      <w:r>
        <w:rPr>
          <w:rFonts w:hint="default" w:ascii="Times New Roman" w:hAnsi="Times New Roman" w:eastAsia="宋体" w:cs="Times New Roman"/>
          <w:color w:val="auto"/>
          <w:sz w:val="24"/>
        </w:rPr>
        <w:object>
          <v:shape id="_x0000_i1038" o:spt="75" type="#_x0000_t75" style="height:20.25pt;width:93pt;" o:ole="t" filled="f" o:preferrelative="t" stroked="f" coordsize="21600,21600">
            <v:path/>
            <v:fill on="f" focussize="0,0"/>
            <v:stroke on="f" joinstyle="miter"/>
            <v:imagedata r:id="rId39" o:title=""/>
            <o:lock v:ext="edit" aspectratio="t"/>
            <w10:wrap type="none"/>
            <w10:anchorlock/>
          </v:shape>
          <o:OLEObject Type="Embed" ProgID="Equation.3" ShapeID="_x0000_i1038" DrawAspect="Content" ObjectID="_1468075738" r:id="rId42">
            <o:LockedField>false</o:LockedField>
          </o:OLEObject>
        </w:object>
      </w:r>
      <w:r>
        <w:rPr>
          <w:rFonts w:hint="default" w:ascii="Times New Roman" w:hAnsi="Times New Roman" w:eastAsia="宋体" w:cs="Times New Roman"/>
          <w:color w:val="auto"/>
          <w:sz w:val="24"/>
        </w:rPr>
        <w:t>。</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根据分析，MTBE装置催化蒸馏塔为MTBE装置中容量最大，最主要的风险源，因此假定MTBE装置中催化蒸馏塔（Ф2200×45350，150℃，1.0MPa）发生事故。</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①假定发生泄漏事故，MTBE泄漏量为33.3kg/s，挥发速率8.5kg/s；甲醇泄漏量为35.3kg/s，挥发速率1.3kg/s；液化气泄漏量为29.1kg/s，事故时间20min。</w:t>
      </w:r>
    </w:p>
    <w:p>
      <w:pPr>
        <w:widowControl/>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②假定发生爆炸事故，参与爆炸的物质的量为总量的20%，则MTBE参与爆炸量为3.4t，甲醇为9.1t，液化气为6.3t。</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4.2.3汽油泄漏污染事故情景源强分析</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汽油泄漏主要包括轻汽油醚化装置及罐区。该项目环境影响评价报告分别按照汽油醚化装置、醚化轻汽油储罐进行源强分析，结果如下：</w:t>
      </w:r>
    </w:p>
    <w:p>
      <w:pPr>
        <w:spacing w:before="120" w:beforeLines="50" w:after="120" w:afterLines="50" w:line="360" w:lineRule="auto"/>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（1）汽油醚化装置</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根据分析，醚化分馏塔为汽油醚化装置中容量最大，最主要的风险源，因此假定汽油醚化装置中，醚化分馏塔（Ф</w:t>
      </w:r>
      <w:r>
        <w:rPr>
          <w:rFonts w:hint="default" w:ascii="Times New Roman" w:hAnsi="Times New Roman" w:eastAsia="宋体" w:cs="Times New Roman"/>
          <w:color w:val="auto"/>
          <w:kern w:val="0"/>
          <w:sz w:val="24"/>
        </w:rPr>
        <w:t>2400×51504</w:t>
      </w:r>
      <w:r>
        <w:rPr>
          <w:rFonts w:hint="default" w:ascii="Times New Roman" w:hAnsi="Times New Roman" w:eastAsia="宋体" w:cs="Times New Roman"/>
          <w:color w:val="auto"/>
          <w:sz w:val="24"/>
        </w:rPr>
        <w:t>，78〜120℃，0.3〜0.35MPa）发生事故。</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①假定发生泄漏事故，轻汽油泄漏量为18.6kg/s，挥发速率为4.6kg/s；醚化汽油泄漏量为18.8kg/s，挥发速率4.7kg/s；甲醇泄漏量为21.5kg/s，挥发速率1.1kg/s；事故时间20min。</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②假定发生爆炸事故，参与爆炸的物质的量为总量的20%，则轻汽油参与爆炸量为6.5t，甲醇为3.3t，醚化汽油为1.6t。</w:t>
      </w:r>
    </w:p>
    <w:p>
      <w:pPr>
        <w:spacing w:before="120" w:beforeLines="50" w:after="120" w:afterLines="50" w:line="360" w:lineRule="auto"/>
        <w:ind w:firstLine="482" w:firstLineChars="200"/>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（2）醚化轻汽油储罐</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①假定1台5000m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储罐发生泄漏，泄漏速率为9.4kg/s，挥发速率为0.93kg/s；事故持续时间为20min，形成面源挥发。</w:t>
      </w:r>
    </w:p>
    <w:p>
      <w:pPr>
        <w:pStyle w:val="494"/>
        <w:spacing w:line="360" w:lineRule="auto"/>
        <w:ind w:firstLine="480"/>
        <w:jc w:val="left"/>
        <w:rPr>
          <w:rFonts w:hint="default" w:ascii="Times New Roman" w:hAnsi="Times New Roman" w:eastAsia="宋体" w:cs="Times New Roman"/>
          <w:bCs/>
          <w:color w:val="auto"/>
          <w:kern w:val="0"/>
          <w:sz w:val="24"/>
        </w:rPr>
      </w:pPr>
      <w:r>
        <w:rPr>
          <w:rFonts w:hint="default" w:ascii="Times New Roman" w:hAnsi="Times New Roman" w:eastAsia="宋体" w:cs="Times New Roman"/>
          <w:color w:val="auto"/>
          <w:sz w:val="24"/>
        </w:rPr>
        <w:t>②假定1台5000m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储罐发生泄漏并引起火灾，假定有装置量的5%被引燃，则参与燃烧的量为1848.1t。</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表4.2-1  汽油醚化最大可信事故源强表</w:t>
      </w:r>
    </w:p>
    <w:tbl>
      <w:tblPr>
        <w:tblStyle w:val="75"/>
        <w:tblW w:w="884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5"/>
        <w:gridCol w:w="1190"/>
        <w:gridCol w:w="1188"/>
        <w:gridCol w:w="1109"/>
        <w:gridCol w:w="1118"/>
        <w:gridCol w:w="1133"/>
        <w:gridCol w:w="9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restart"/>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事故名称</w:t>
            </w:r>
          </w:p>
        </w:tc>
        <w:tc>
          <w:tcPr>
            <w:tcW w:w="1190" w:type="dxa"/>
            <w:vMerge w:val="restart"/>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危险物质</w:t>
            </w:r>
          </w:p>
        </w:tc>
        <w:tc>
          <w:tcPr>
            <w:tcW w:w="1188" w:type="dxa"/>
            <w:vMerge w:val="restart"/>
            <w:tcBorders>
              <w:right w:val="single" w:color="000000" w:sz="2" w:space="0"/>
            </w:tcBorders>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事故源强</w:t>
            </w:r>
          </w:p>
        </w:tc>
        <w:tc>
          <w:tcPr>
            <w:tcW w:w="1109" w:type="dxa"/>
            <w:vMerge w:val="restart"/>
            <w:tcBorders>
              <w:left w:val="single" w:color="000000" w:sz="2" w:space="0"/>
            </w:tcBorders>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持续时间</w:t>
            </w:r>
          </w:p>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（min）</w:t>
            </w:r>
          </w:p>
        </w:tc>
        <w:tc>
          <w:tcPr>
            <w:tcW w:w="3169" w:type="dxa"/>
            <w:gridSpan w:val="3"/>
            <w:tcBorders>
              <w:left w:val="single" w:color="000000" w:sz="2" w:space="0"/>
            </w:tcBorders>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相关标准（mg/m</w:t>
            </w:r>
            <w:r>
              <w:rPr>
                <w:rFonts w:hint="default" w:ascii="Times New Roman" w:hAnsi="Times New Roman" w:eastAsia="宋体" w:cs="Times New Roman"/>
                <w:b/>
                <w:color w:val="auto"/>
                <w:szCs w:val="21"/>
                <w:vertAlign w:val="superscript"/>
              </w:rPr>
              <w:t>3</w:t>
            </w:r>
            <w:r>
              <w:rPr>
                <w:rFonts w:hint="default" w:ascii="Times New Roman" w:hAnsi="Times New Roman" w:eastAsia="宋体" w:cs="Times New Roman"/>
                <w:b/>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continue"/>
            <w:vAlign w:val="center"/>
          </w:tcPr>
          <w:p>
            <w:pPr>
              <w:spacing w:line="240" w:lineRule="exact"/>
              <w:jc w:val="center"/>
              <w:rPr>
                <w:rFonts w:hint="default" w:ascii="Times New Roman" w:hAnsi="Times New Roman" w:eastAsia="宋体" w:cs="Times New Roman"/>
                <w:b/>
                <w:color w:val="auto"/>
                <w:szCs w:val="21"/>
              </w:rPr>
            </w:pPr>
          </w:p>
        </w:tc>
        <w:tc>
          <w:tcPr>
            <w:tcW w:w="1190" w:type="dxa"/>
            <w:vMerge w:val="continue"/>
            <w:vAlign w:val="center"/>
          </w:tcPr>
          <w:p>
            <w:pPr>
              <w:spacing w:line="240" w:lineRule="exact"/>
              <w:jc w:val="center"/>
              <w:rPr>
                <w:rFonts w:hint="default" w:ascii="Times New Roman" w:hAnsi="Times New Roman" w:eastAsia="宋体" w:cs="Times New Roman"/>
                <w:b/>
                <w:color w:val="auto"/>
                <w:szCs w:val="21"/>
              </w:rPr>
            </w:pPr>
          </w:p>
        </w:tc>
        <w:tc>
          <w:tcPr>
            <w:tcW w:w="1188" w:type="dxa"/>
            <w:vMerge w:val="continue"/>
            <w:tcBorders>
              <w:right w:val="single" w:color="000000" w:sz="2" w:space="0"/>
            </w:tcBorders>
            <w:vAlign w:val="center"/>
          </w:tcPr>
          <w:p>
            <w:pPr>
              <w:spacing w:line="240" w:lineRule="exact"/>
              <w:jc w:val="center"/>
              <w:rPr>
                <w:rFonts w:hint="default" w:ascii="Times New Roman" w:hAnsi="Times New Roman" w:eastAsia="宋体" w:cs="Times New Roman"/>
                <w:b/>
                <w:color w:val="auto"/>
                <w:szCs w:val="21"/>
              </w:rPr>
            </w:pPr>
          </w:p>
        </w:tc>
        <w:tc>
          <w:tcPr>
            <w:tcW w:w="1109" w:type="dxa"/>
            <w:vMerge w:val="continue"/>
            <w:tcBorders>
              <w:left w:val="single" w:color="000000" w:sz="2" w:space="0"/>
            </w:tcBorders>
            <w:vAlign w:val="center"/>
          </w:tcPr>
          <w:p>
            <w:pPr>
              <w:spacing w:line="240" w:lineRule="exact"/>
              <w:jc w:val="center"/>
              <w:rPr>
                <w:rFonts w:hint="default" w:ascii="Times New Roman" w:hAnsi="Times New Roman" w:eastAsia="宋体" w:cs="Times New Roman"/>
                <w:b/>
                <w:color w:val="auto"/>
                <w:szCs w:val="21"/>
              </w:rPr>
            </w:pPr>
          </w:p>
        </w:tc>
        <w:tc>
          <w:tcPr>
            <w:tcW w:w="1118" w:type="dxa"/>
            <w:tcBorders>
              <w:left w:val="single" w:color="000000" w:sz="2" w:space="0"/>
            </w:tcBorders>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LC</w:t>
            </w:r>
            <w:r>
              <w:rPr>
                <w:rFonts w:hint="default" w:ascii="Times New Roman" w:hAnsi="Times New Roman" w:eastAsia="宋体" w:cs="Times New Roman"/>
                <w:b/>
                <w:color w:val="auto"/>
                <w:szCs w:val="21"/>
                <w:vertAlign w:val="subscript"/>
              </w:rPr>
              <w:t>50</w:t>
            </w:r>
          </w:p>
        </w:tc>
        <w:tc>
          <w:tcPr>
            <w:tcW w:w="1133" w:type="dxa"/>
            <w:tcBorders>
              <w:left w:val="single" w:color="000000" w:sz="2" w:space="0"/>
            </w:tcBorders>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MAC/</w:t>
            </w:r>
          </w:p>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PC-TWA</w:t>
            </w:r>
          </w:p>
        </w:tc>
        <w:tc>
          <w:tcPr>
            <w:tcW w:w="918" w:type="dxa"/>
            <w:tcBorders>
              <w:left w:val="single" w:color="000000" w:sz="2" w:space="0"/>
            </w:tcBorders>
            <w:vAlign w:val="center"/>
          </w:tcPr>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质量</w:t>
            </w:r>
          </w:p>
          <w:p>
            <w:pPr>
              <w:spacing w:line="240" w:lineRule="exac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restar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汽油醚化装置泄漏</w:t>
            </w: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4.6kg/s</w:t>
            </w:r>
          </w:p>
        </w:tc>
        <w:tc>
          <w:tcPr>
            <w:tcW w:w="1109" w:type="dxa"/>
            <w:vMerge w:val="restart"/>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w:t>
            </w: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103000</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continue"/>
            <w:vAlign w:val="center"/>
          </w:tcPr>
          <w:p>
            <w:pPr>
              <w:adjustRightInd w:val="0"/>
              <w:snapToGrid w:val="0"/>
              <w:spacing w:line="360" w:lineRule="auto"/>
              <w:jc w:val="center"/>
              <w:rPr>
                <w:rFonts w:hint="default" w:ascii="Times New Roman" w:hAnsi="Times New Roman" w:eastAsia="宋体" w:cs="Times New Roman"/>
                <w:color w:val="auto"/>
                <w:szCs w:val="21"/>
              </w:rPr>
            </w:pP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1.1kg/s</w:t>
            </w:r>
          </w:p>
        </w:tc>
        <w:tc>
          <w:tcPr>
            <w:tcW w:w="1109" w:type="dxa"/>
            <w:vMerge w:val="continue"/>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83776</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25</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continue"/>
            <w:vAlign w:val="center"/>
          </w:tcPr>
          <w:p>
            <w:pPr>
              <w:adjustRightInd w:val="0"/>
              <w:snapToGrid w:val="0"/>
              <w:spacing w:line="360" w:lineRule="auto"/>
              <w:jc w:val="center"/>
              <w:rPr>
                <w:rFonts w:hint="default" w:ascii="Times New Roman" w:hAnsi="Times New Roman" w:eastAsia="宋体" w:cs="Times New Roman"/>
                <w:color w:val="auto"/>
                <w:szCs w:val="21"/>
              </w:rPr>
            </w:pP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醚化汽油</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4.7kg/s</w:t>
            </w:r>
          </w:p>
        </w:tc>
        <w:tc>
          <w:tcPr>
            <w:tcW w:w="1109" w:type="dxa"/>
            <w:vMerge w:val="continue"/>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103000</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restart"/>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汽油醚化装置爆炸</w:t>
            </w: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轻汽油</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6.5t</w:t>
            </w:r>
          </w:p>
        </w:tc>
        <w:tc>
          <w:tcPr>
            <w:tcW w:w="1109" w:type="dxa"/>
            <w:vMerge w:val="restart"/>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103000</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continue"/>
            <w:vAlign w:val="center"/>
          </w:tcPr>
          <w:p>
            <w:pPr>
              <w:adjustRightInd w:val="0"/>
              <w:snapToGrid w:val="0"/>
              <w:spacing w:line="360" w:lineRule="auto"/>
              <w:jc w:val="center"/>
              <w:rPr>
                <w:rFonts w:hint="default" w:ascii="Times New Roman" w:hAnsi="Times New Roman" w:eastAsia="宋体" w:cs="Times New Roman"/>
                <w:color w:val="auto"/>
                <w:szCs w:val="21"/>
              </w:rPr>
            </w:pP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甲醇</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3.3t</w:t>
            </w:r>
          </w:p>
        </w:tc>
        <w:tc>
          <w:tcPr>
            <w:tcW w:w="1109" w:type="dxa"/>
            <w:vMerge w:val="continue"/>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83776</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25</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Merge w:val="continue"/>
            <w:vAlign w:val="center"/>
          </w:tcPr>
          <w:p>
            <w:pPr>
              <w:adjustRightInd w:val="0"/>
              <w:snapToGrid w:val="0"/>
              <w:spacing w:line="360" w:lineRule="auto"/>
              <w:jc w:val="center"/>
              <w:rPr>
                <w:rFonts w:hint="default" w:ascii="Times New Roman" w:hAnsi="Times New Roman" w:eastAsia="宋体" w:cs="Times New Roman"/>
                <w:color w:val="auto"/>
                <w:szCs w:val="21"/>
              </w:rPr>
            </w:pP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醚化汽油</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1.6t</w:t>
            </w:r>
          </w:p>
        </w:tc>
        <w:tc>
          <w:tcPr>
            <w:tcW w:w="1109" w:type="dxa"/>
            <w:vMerge w:val="continue"/>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103000</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醚化轻汽油储罐泄漏</w:t>
            </w: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醚化汽油</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0.93kg/s</w:t>
            </w:r>
          </w:p>
        </w:tc>
        <w:tc>
          <w:tcPr>
            <w:tcW w:w="1109"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w:t>
            </w: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103000</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2185" w:type="dxa"/>
            <w:vAlign w:val="center"/>
          </w:tcPr>
          <w:p>
            <w:pPr>
              <w:adjustRightInd w:val="0"/>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醚化轻汽油储罐火灾</w:t>
            </w:r>
          </w:p>
        </w:tc>
        <w:tc>
          <w:tcPr>
            <w:tcW w:w="119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醚化汽油</w:t>
            </w:r>
          </w:p>
        </w:tc>
        <w:tc>
          <w:tcPr>
            <w:tcW w:w="1188" w:type="dxa"/>
            <w:tcBorders>
              <w:righ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148.1t</w:t>
            </w:r>
          </w:p>
        </w:tc>
        <w:tc>
          <w:tcPr>
            <w:tcW w:w="1109"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c>
          <w:tcPr>
            <w:tcW w:w="11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103000</w:t>
            </w:r>
          </w:p>
        </w:tc>
        <w:tc>
          <w:tcPr>
            <w:tcW w:w="1133"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918" w:type="dxa"/>
            <w:tcBorders>
              <w:left w:val="single" w:color="000000" w:sz="2"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w:t>
            </w:r>
          </w:p>
        </w:tc>
      </w:tr>
    </w:tbl>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4.2.4浓硫酸储罐泄漏事故情景源强分析</w:t>
      </w:r>
    </w:p>
    <w:p>
      <w:pPr>
        <w:adjustRightInd w:val="0"/>
        <w:snapToGrid w:val="0"/>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异辛烷生产装置设</w:t>
      </w:r>
      <w:r>
        <w:rPr>
          <w:rFonts w:hint="eastAsia" w:cs="Times New Roman"/>
          <w:color w:val="auto"/>
          <w:sz w:val="24"/>
          <w:lang w:val="en-US" w:eastAsia="zh-CN"/>
        </w:rPr>
        <w:t>2</w:t>
      </w:r>
      <w:r>
        <w:rPr>
          <w:rFonts w:hint="default" w:ascii="Times New Roman" w:hAnsi="Times New Roman" w:eastAsia="宋体" w:cs="Times New Roman"/>
          <w:color w:val="auto"/>
          <w:sz w:val="24"/>
        </w:rPr>
        <w:t>个</w:t>
      </w:r>
      <w:r>
        <w:rPr>
          <w:rFonts w:hint="eastAsia" w:cs="Times New Roman"/>
          <w:color w:val="auto"/>
          <w:sz w:val="24"/>
          <w:lang w:val="en-US" w:eastAsia="zh-CN"/>
        </w:rPr>
        <w:t>100</w:t>
      </w:r>
      <w:r>
        <w:rPr>
          <w:rFonts w:hint="default" w:ascii="Times New Roman" w:hAnsi="Times New Roman" w:eastAsia="宋体" w:cs="Times New Roman"/>
          <w:color w:val="auto"/>
          <w:sz w:val="24"/>
        </w:rPr>
        <w:t>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硫酸储罐，罐区设围堰，如发生泄漏，可通过围堰将泄漏浓硫酸收集至围堰内，如发生泄漏，可通过围堰将泄漏浓硫酸收集至围堰。如发生泄漏，事故排水不能得到有效收集，经污水管网排入长庆石化公司污水处理厂，影响污水处理设施运行；如遇雨天，消防水、物料泄漏物及反应生成物，通过雨水管网流入渭河，污染渭河、流经地土壤及地下水。</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4.2.5危险废物泄漏污染事故情景源强分析</w:t>
      </w:r>
    </w:p>
    <w:p>
      <w:pPr>
        <w:pStyle w:val="494"/>
        <w:spacing w:line="360" w:lineRule="auto"/>
        <w:ind w:firstLine="480"/>
        <w:jc w:val="left"/>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设专用专用危险废物</w:t>
      </w:r>
      <w:r>
        <w:rPr>
          <w:rFonts w:hint="default" w:ascii="Times New Roman" w:hAnsi="Times New Roman" w:eastAsia="宋体" w:cs="Times New Roman"/>
          <w:bCs/>
          <w:color w:val="auto"/>
          <w:sz w:val="24"/>
        </w:rPr>
        <w:t>临时存放处</w:t>
      </w:r>
      <w:r>
        <w:rPr>
          <w:rFonts w:hint="eastAsia" w:ascii="Times New Roman" w:hAnsi="Times New Roman" w:cs="Times New Roman"/>
          <w:bCs/>
          <w:color w:val="auto"/>
          <w:kern w:val="0"/>
          <w:sz w:val="24"/>
          <w:lang w:eastAsia="zh-CN"/>
        </w:rPr>
        <w:t>，</w:t>
      </w:r>
      <w:r>
        <w:rPr>
          <w:rFonts w:hint="default" w:ascii="Times New Roman" w:hAnsi="Times New Roman" w:eastAsia="宋体" w:cs="Times New Roman"/>
          <w:bCs/>
          <w:color w:val="auto"/>
          <w:kern w:val="0"/>
          <w:sz w:val="24"/>
        </w:rPr>
        <w:t>收集储存、运输、处置过程均按照相关危废管理标准进行规范化管理</w:t>
      </w:r>
      <w:r>
        <w:rPr>
          <w:rFonts w:hint="eastAsia" w:ascii="Times New Roman" w:hAnsi="Times New Roman" w:cs="Times New Roman"/>
          <w:bCs/>
          <w:color w:val="auto"/>
          <w:kern w:val="0"/>
          <w:sz w:val="24"/>
          <w:lang w:eastAsia="zh-CN"/>
        </w:rPr>
        <w:t>，</w:t>
      </w:r>
      <w:r>
        <w:rPr>
          <w:rFonts w:hint="default" w:ascii="Times New Roman" w:hAnsi="Times New Roman" w:eastAsia="宋体" w:cs="Times New Roman"/>
          <w:bCs/>
          <w:color w:val="auto"/>
          <w:kern w:val="0"/>
          <w:sz w:val="24"/>
        </w:rPr>
        <w:t>并与危废处置单位签订处置协议。废催化剂以固态形式存在</w:t>
      </w:r>
      <w:r>
        <w:rPr>
          <w:rFonts w:hint="eastAsia" w:ascii="Times New Roman" w:hAnsi="Times New Roman" w:cs="Times New Roman"/>
          <w:bCs/>
          <w:color w:val="auto"/>
          <w:kern w:val="0"/>
          <w:sz w:val="24"/>
          <w:lang w:eastAsia="zh-CN"/>
        </w:rPr>
        <w:t>，</w:t>
      </w:r>
      <w:r>
        <w:rPr>
          <w:rFonts w:hint="default" w:ascii="Times New Roman" w:hAnsi="Times New Roman" w:eastAsia="宋体" w:cs="Times New Roman"/>
          <w:bCs/>
          <w:color w:val="auto"/>
          <w:kern w:val="0"/>
          <w:sz w:val="24"/>
        </w:rPr>
        <w:t>周转存储量56t，若出现抛洒，可以有效清扫收集，不会造成污染。</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4.2.6废水超标事件情景源强分析</w:t>
      </w:r>
    </w:p>
    <w:p>
      <w:pPr>
        <w:adjustRightInd w:val="0"/>
        <w:snapToGrid w:val="0"/>
        <w:spacing w:line="360" w:lineRule="auto"/>
        <w:ind w:firstLine="480" w:firstLineChars="200"/>
        <w:jc w:val="lef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公司各装置区、罐区等因发生火灾、爆炸、泄漏等生产安全事故，如发生泄漏，事故排水不能得到有效收集，经污水管网排入长庆石化公司污水处理厂，影响污水处理设施运行；如遇雨天，消防水、物料泄漏物及反应生成物，通过雨水管网流入渭河，污染渭河、流经地土壤及地下水。主要污染因子：COD、氨氮、pH、油类物质等。</w:t>
      </w:r>
    </w:p>
    <w:p>
      <w:pPr>
        <w:tabs>
          <w:tab w:val="left" w:pos="0"/>
        </w:tabs>
        <w:spacing w:before="120" w:beforeLines="50" w:after="120" w:afterLines="50" w:line="360" w:lineRule="auto"/>
        <w:jc w:val="left"/>
        <w:outlineLvl w:val="0"/>
        <w:rPr>
          <w:rFonts w:hint="default" w:ascii="Times New Roman" w:hAnsi="Times New Roman" w:eastAsia="宋体" w:cs="Times New Roman"/>
          <w:bCs/>
          <w:color w:val="auto"/>
          <w:kern w:val="0"/>
          <w:sz w:val="28"/>
          <w:szCs w:val="28"/>
        </w:rPr>
      </w:pPr>
      <w:bookmarkStart w:id="211" w:name="_Toc523580104"/>
      <w:bookmarkStart w:id="212" w:name="_Toc4146"/>
      <w:r>
        <w:rPr>
          <w:rFonts w:hint="default" w:ascii="Times New Roman" w:hAnsi="Times New Roman" w:eastAsia="宋体" w:cs="Times New Roman"/>
          <w:b/>
          <w:bCs/>
          <w:color w:val="auto"/>
          <w:kern w:val="0"/>
          <w:sz w:val="28"/>
          <w:szCs w:val="28"/>
        </w:rPr>
        <w:t>4.3 释放环境风险物质的扩散途径</w:t>
      </w:r>
      <w:bookmarkEnd w:id="211"/>
      <w:bookmarkEnd w:id="212"/>
    </w:p>
    <w:p>
      <w:pPr>
        <w:tabs>
          <w:tab w:val="left" w:pos="0"/>
        </w:tabs>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color w:val="auto"/>
          <w:sz w:val="24"/>
        </w:rPr>
        <w:t>各生产装置区、输气管线装置区涉及的易燃易爆气态物质为天然气、甲烷、丙烯、</w:t>
      </w:r>
      <w:r>
        <w:rPr>
          <w:rFonts w:hint="default" w:ascii="Times New Roman" w:hAnsi="Times New Roman" w:eastAsia="宋体" w:cs="Times New Roman"/>
          <w:bCs/>
          <w:color w:val="auto"/>
          <w:sz w:val="24"/>
        </w:rPr>
        <w:t>C4（</w:t>
      </w:r>
      <w:r>
        <w:rPr>
          <w:rFonts w:hint="default" w:ascii="Times New Roman" w:hAnsi="Times New Roman" w:eastAsia="宋体" w:cs="Times New Roman"/>
          <w:color w:val="auto"/>
          <w:sz w:val="24"/>
        </w:rPr>
        <w:t>异丁烷、正丁烷、丙烷、顺丁烷等</w:t>
      </w:r>
      <w:r>
        <w:rPr>
          <w:rFonts w:hint="default" w:ascii="Times New Roman" w:hAnsi="Times New Roman" w:eastAsia="宋体" w:cs="Times New Roman"/>
          <w:bCs/>
          <w:color w:val="auto"/>
          <w:sz w:val="24"/>
        </w:rPr>
        <w:t>）</w:t>
      </w:r>
      <w:r>
        <w:rPr>
          <w:rFonts w:hint="default" w:ascii="Times New Roman" w:hAnsi="Times New Roman" w:eastAsia="宋体" w:cs="Times New Roman"/>
          <w:color w:val="auto"/>
          <w:sz w:val="24"/>
        </w:rPr>
        <w:t>等</w:t>
      </w:r>
      <w:r>
        <w:rPr>
          <w:rFonts w:hint="default" w:ascii="Times New Roman" w:hAnsi="Times New Roman" w:eastAsia="宋体" w:cs="Times New Roman"/>
          <w:bCs/>
          <w:color w:val="auto"/>
          <w:kern w:val="0"/>
          <w:sz w:val="24"/>
        </w:rPr>
        <w:t>因故发生泄漏，将弥散在空气中，将通过扩散的方式对周围的大气环境产生一定影响；若遇明火将会引发火灾，发生次生灾害，火灾燃烧时产生的烟气为伴生污染物，油品等物质燃烧在放出大量辐射热的同时，还散发出大量的浓烟、CO等有毒有害气体，对火场周围人员的生命安全和周围的大气环境质量造成一定的污染和危害。火灾事故严重而措施不当时，可能引起爆炸等连锁效应。</w:t>
      </w:r>
    </w:p>
    <w:p>
      <w:pPr>
        <w:tabs>
          <w:tab w:val="left" w:pos="0"/>
        </w:tabs>
        <w:spacing w:line="360" w:lineRule="auto"/>
        <w:ind w:firstLine="480" w:firstLineChars="200"/>
        <w:rPr>
          <w:rFonts w:hint="default" w:ascii="Times New Roman" w:hAnsi="Times New Roman" w:eastAsia="宋体" w:cs="Times New Roman"/>
          <w:b/>
          <w:bCs/>
          <w:color w:val="auto"/>
          <w:kern w:val="0"/>
          <w:sz w:val="28"/>
          <w:szCs w:val="28"/>
        </w:rPr>
      </w:pPr>
      <w:r>
        <w:rPr>
          <w:rFonts w:hint="default" w:ascii="Times New Roman" w:hAnsi="Times New Roman" w:eastAsia="宋体" w:cs="Times New Roman"/>
          <w:bCs/>
          <w:color w:val="auto"/>
          <w:kern w:val="0"/>
          <w:sz w:val="24"/>
        </w:rPr>
        <w:t>公司设完善的环境防控措施，日常运行过程中生产废水、初期雨水及清净下水可全部收集至</w:t>
      </w:r>
      <w:r>
        <w:rPr>
          <w:rFonts w:hint="default" w:ascii="Times New Roman" w:hAnsi="Times New Roman" w:eastAsia="宋体" w:cs="Times New Roman"/>
          <w:color w:val="auto"/>
          <w:sz w:val="24"/>
        </w:rPr>
        <w:t>长庆石化公司污水处理厂处理</w:t>
      </w:r>
      <w:r>
        <w:rPr>
          <w:rFonts w:hint="default" w:ascii="Times New Roman" w:hAnsi="Times New Roman" w:eastAsia="宋体" w:cs="Times New Roman"/>
          <w:bCs/>
          <w:color w:val="auto"/>
          <w:kern w:val="0"/>
          <w:sz w:val="24"/>
        </w:rPr>
        <w:t>，事故状态下各生产装置区泄漏物可得到有效收集。公司设初期雨水池，雨水管网设切断阀，非连续雨天完全处于关闭状态。故事故状态下污染物的泄漏主要考虑：甲醇、</w:t>
      </w:r>
      <w:r>
        <w:rPr>
          <w:rFonts w:hint="default" w:ascii="Times New Roman" w:hAnsi="Times New Roman" w:eastAsia="宋体" w:cs="Times New Roman"/>
          <w:bCs/>
          <w:color w:val="auto"/>
          <w:sz w:val="24"/>
        </w:rPr>
        <w:t>MTBE、</w:t>
      </w:r>
      <w:r>
        <w:rPr>
          <w:rFonts w:hint="default" w:ascii="Times New Roman" w:hAnsi="Times New Roman" w:eastAsia="宋体" w:cs="Times New Roman"/>
          <w:bCs/>
          <w:color w:val="auto"/>
          <w:kern w:val="0"/>
          <w:sz w:val="24"/>
        </w:rPr>
        <w:t>汽油、浓硫酸等发生大量泄漏，事故废水通过管网，排放至</w:t>
      </w:r>
      <w:r>
        <w:rPr>
          <w:rFonts w:hint="default" w:ascii="Times New Roman" w:hAnsi="Times New Roman" w:eastAsia="宋体" w:cs="Times New Roman"/>
          <w:color w:val="auto"/>
          <w:sz w:val="24"/>
        </w:rPr>
        <w:t>长庆石化公司污水处理厂处理</w:t>
      </w:r>
      <w:r>
        <w:rPr>
          <w:rFonts w:hint="default" w:ascii="Times New Roman" w:hAnsi="Times New Roman" w:eastAsia="宋体" w:cs="Times New Roman"/>
          <w:bCs/>
          <w:color w:val="auto"/>
          <w:kern w:val="0"/>
          <w:sz w:val="24"/>
        </w:rPr>
        <w:t>而产生的负荷冲击。</w:t>
      </w:r>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13" w:name="_Toc20784"/>
      <w:r>
        <w:rPr>
          <w:rFonts w:hint="default" w:ascii="Times New Roman" w:hAnsi="Times New Roman" w:eastAsia="宋体" w:cs="Times New Roman"/>
          <w:b/>
          <w:bCs/>
          <w:color w:val="auto"/>
          <w:kern w:val="0"/>
          <w:sz w:val="28"/>
          <w:szCs w:val="28"/>
        </w:rPr>
        <w:t>4.4 突发环境事件危害后果分析</w:t>
      </w:r>
      <w:bookmarkEnd w:id="213"/>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bookmarkStart w:id="214" w:name="_Toc204952030"/>
      <w:bookmarkStart w:id="215" w:name="_Toc204084245"/>
      <w:r>
        <w:rPr>
          <w:rFonts w:hint="default" w:ascii="Times New Roman" w:hAnsi="Times New Roman" w:eastAsia="宋体" w:cs="Times New Roman"/>
          <w:b/>
          <w:bCs/>
          <w:color w:val="auto"/>
          <w:kern w:val="0"/>
          <w:sz w:val="24"/>
        </w:rPr>
        <w:t>4.4.1C4储罐泄漏事故后果分析</w:t>
      </w:r>
    </w:p>
    <w:p>
      <w:pPr>
        <w:adjustRightInd w:val="0"/>
        <w:snapToGrid w:val="0"/>
        <w:spacing w:line="360" w:lineRule="auto"/>
        <w:ind w:firstLine="480" w:firstLineChars="200"/>
        <w:jc w:val="left"/>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根据《建设项目环境风险评价技术导则》，该项目环评报告采用烟团模式预测。预测结果：一般情况下，有风条件时影响距离较远，因此本预测气象条件选取当地平均风速2.5m/s，A、D、F稳定度。根据4.1源强估算，预测结果如下：</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表4.4-1 C4储罐泄漏预测结果表</w:t>
      </w:r>
    </w:p>
    <w:tbl>
      <w:tblPr>
        <w:tblStyle w:val="75"/>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78"/>
        <w:gridCol w:w="1737"/>
        <w:gridCol w:w="1735"/>
        <w:gridCol w:w="17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污染物质</w:t>
            </w:r>
          </w:p>
        </w:tc>
        <w:tc>
          <w:tcPr>
            <w:tcW w:w="5209" w:type="dxa"/>
            <w:gridSpan w:val="3"/>
            <w:vAlign w:val="center"/>
          </w:tcPr>
          <w:p>
            <w:pPr>
              <w:spacing w:line="360" w:lineRule="auto"/>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液化气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稳定度</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A</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D</w:t>
            </w:r>
          </w:p>
        </w:tc>
        <w:tc>
          <w:tcPr>
            <w:tcW w:w="1737" w:type="dxa"/>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最大落地浓度（mg/m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269140</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859391</w:t>
            </w:r>
          </w:p>
        </w:tc>
        <w:tc>
          <w:tcPr>
            <w:tcW w:w="1737" w:type="dxa"/>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842900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出现距离（m）</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20.5</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20.9</w:t>
            </w:r>
          </w:p>
        </w:tc>
        <w:tc>
          <w:tcPr>
            <w:tcW w:w="1737" w:type="dxa"/>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半致死浓度范围（m）</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23.2</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半致死浓度面积（m</w:t>
            </w:r>
            <w:r>
              <w:rPr>
                <w:rFonts w:hint="default" w:ascii="Times New Roman" w:hAnsi="Times New Roman" w:eastAsia="宋体" w:cs="Times New Roman"/>
                <w:color w:val="auto"/>
                <w:kern w:val="0"/>
                <w:szCs w:val="21"/>
                <w:vertAlign w:val="superscript"/>
              </w:rPr>
              <w:t>2</w:t>
            </w:r>
            <w:r>
              <w:rPr>
                <w:rFonts w:hint="default" w:ascii="Times New Roman" w:hAnsi="Times New Roman" w:eastAsia="宋体" w:cs="Times New Roman"/>
                <w:color w:val="auto"/>
                <w:kern w:val="0"/>
                <w:szCs w:val="21"/>
              </w:rPr>
              <w:t>）</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1690</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9812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车间容许浓度范围（m）</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328.7</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1433.4</w:t>
            </w:r>
          </w:p>
        </w:tc>
        <w:tc>
          <w:tcPr>
            <w:tcW w:w="1737" w:type="dxa"/>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2240.6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78"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环境质量标准（m）</w:t>
            </w:r>
          </w:p>
        </w:tc>
        <w:tc>
          <w:tcPr>
            <w:tcW w:w="1737" w:type="dxa"/>
            <w:vAlign w:val="center"/>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1676.3</w:t>
            </w:r>
          </w:p>
        </w:tc>
        <w:tc>
          <w:tcPr>
            <w:tcW w:w="1735"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3126.9</w:t>
            </w:r>
          </w:p>
        </w:tc>
        <w:tc>
          <w:tcPr>
            <w:tcW w:w="1737" w:type="dxa"/>
          </w:tcPr>
          <w:p>
            <w:pPr>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2633.2</w:t>
            </w:r>
          </w:p>
        </w:tc>
      </w:tr>
    </w:tbl>
    <w:p>
      <w:pPr>
        <w:adjustRightInd w:val="0"/>
        <w:snapToGrid w:val="0"/>
        <w:spacing w:line="360" w:lineRule="auto"/>
        <w:ind w:firstLine="480" w:firstLineChars="200"/>
        <w:jc w:val="left"/>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由预测结果可见，C4储罐影响范围较大的是F类稳定度情况下，泄漏导致超过半致死浓度距离55.9m；</w:t>
      </w:r>
      <w:bookmarkStart w:id="216" w:name="_Toc204952032"/>
      <w:r>
        <w:rPr>
          <w:rFonts w:hint="default" w:ascii="Times New Roman" w:hAnsi="Times New Roman" w:eastAsia="宋体" w:cs="Times New Roman"/>
          <w:bCs/>
          <w:color w:val="auto"/>
          <w:kern w:val="0"/>
          <w:sz w:val="24"/>
        </w:rPr>
        <w:t>超出环境质量标准距离近2.7 km；超出车间允许浓度距离达到2.2km多；由于公司周边居住区较多，泄漏可能对周边人群健康造成较大影响。</w:t>
      </w:r>
    </w:p>
    <w:bookmarkEnd w:id="216"/>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4.4.2甲醇泄漏火灾爆炸后果分析</w:t>
      </w:r>
    </w:p>
    <w:p>
      <w:pPr>
        <w:spacing w:line="360" w:lineRule="auto"/>
        <w:ind w:firstLine="480" w:firstLineChars="200"/>
        <w:rPr>
          <w:rFonts w:hint="default" w:ascii="Times New Roman" w:hAnsi="Times New Roman" w:eastAsia="宋体" w:cs="Times New Roman"/>
          <w:color w:val="auto"/>
        </w:rPr>
      </w:pPr>
      <w:r>
        <w:rPr>
          <w:rFonts w:hint="default" w:ascii="Times New Roman" w:hAnsi="Times New Roman" w:eastAsia="宋体" w:cs="Times New Roman"/>
          <w:color w:val="auto"/>
          <w:sz w:val="24"/>
        </w:rPr>
        <w:t>①甲醇</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罐爆炸事故</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爆炸事故产生的冲击波对人员具有强烈伤害作用。为了估计爆炸所造成的人员伤亡情况，一种简单但较为合理的预测程序是将爆炸源周围划分为死亡区、重伤区、轻伤区和安全区。冲击波超压对人体的伤害作用见表4.4-1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表4.4-1冲击波超压对人体的伤害作用</w:t>
      </w:r>
    </w:p>
    <w:tbl>
      <w:tblPr>
        <w:tblStyle w:val="75"/>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8"/>
        <w:gridCol w:w="2532"/>
        <w:gridCol w:w="1788"/>
        <w:gridCol w:w="31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超压  kPa</w:t>
            </w:r>
          </w:p>
        </w:tc>
        <w:tc>
          <w:tcPr>
            <w:tcW w:w="2532"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伤害作用</w:t>
            </w:r>
          </w:p>
        </w:tc>
        <w:tc>
          <w:tcPr>
            <w:tcW w:w="178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超压   kPa</w:t>
            </w:r>
          </w:p>
        </w:tc>
        <w:tc>
          <w:tcPr>
            <w:tcW w:w="3132"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伤害作用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20～30</w:t>
            </w:r>
          </w:p>
        </w:tc>
        <w:tc>
          <w:tcPr>
            <w:tcW w:w="2532"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轻微损伤</w:t>
            </w:r>
          </w:p>
        </w:tc>
        <w:tc>
          <w:tcPr>
            <w:tcW w:w="178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50～00</w:t>
            </w:r>
          </w:p>
        </w:tc>
        <w:tc>
          <w:tcPr>
            <w:tcW w:w="3132"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内脏严重损伤或死亡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2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30～50</w:t>
            </w:r>
          </w:p>
        </w:tc>
        <w:tc>
          <w:tcPr>
            <w:tcW w:w="2532"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听觉器官损伤或骨折</w:t>
            </w:r>
          </w:p>
        </w:tc>
        <w:tc>
          <w:tcPr>
            <w:tcW w:w="178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&gt;100</w:t>
            </w:r>
          </w:p>
        </w:tc>
        <w:tc>
          <w:tcPr>
            <w:tcW w:w="3132"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大部分人员死亡</w:t>
            </w:r>
          </w:p>
        </w:tc>
      </w:tr>
    </w:tbl>
    <w:p>
      <w:pPr>
        <w:spacing w:before="120" w:beforeLines="50" w:line="360" w:lineRule="auto"/>
        <w:ind w:firstLine="573"/>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当甲醇</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罐完全破裂，发生爆炸事故，假定有20%的甲醇发生蒸汽云爆炸，爆炸发生的TNT当量由下式计算：</w:t>
      </w:r>
    </w:p>
    <w:p>
      <w:pPr>
        <w:wordWrap w:val="0"/>
        <w:spacing w:line="360" w:lineRule="auto"/>
        <w:ind w:firstLine="570"/>
        <w:jc w:val="right"/>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 xml:space="preserve">          W</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=αW</w:t>
      </w:r>
      <w:r>
        <w:rPr>
          <w:rFonts w:hint="default" w:ascii="Times New Roman" w:hAnsi="Times New Roman" w:eastAsia="宋体" w:cs="Times New Roman"/>
          <w:color w:val="auto"/>
          <w:sz w:val="24"/>
          <w:vertAlign w:val="subscript"/>
        </w:rPr>
        <w:t>f</w:t>
      </w:r>
      <w:r>
        <w:rPr>
          <w:rFonts w:hint="default" w:ascii="Times New Roman" w:hAnsi="Times New Roman" w:eastAsia="宋体" w:cs="Times New Roman"/>
          <w:color w:val="auto"/>
          <w:sz w:val="24"/>
        </w:rPr>
        <w:t>Q</w:t>
      </w:r>
      <w:r>
        <w:rPr>
          <w:rFonts w:hint="default" w:ascii="Times New Roman" w:hAnsi="Times New Roman" w:eastAsia="宋体" w:cs="Times New Roman"/>
          <w:color w:val="auto"/>
          <w:sz w:val="24"/>
          <w:vertAlign w:val="subscript"/>
        </w:rPr>
        <w:t>f</w:t>
      </w:r>
      <w:r>
        <w:rPr>
          <w:rFonts w:hint="default" w:ascii="Times New Roman" w:hAnsi="Times New Roman" w:eastAsia="宋体" w:cs="Times New Roman"/>
          <w:color w:val="auto"/>
          <w:sz w:val="24"/>
        </w:rPr>
        <w:t>/Q</w:t>
      </w:r>
      <w:r>
        <w:rPr>
          <w:rFonts w:hint="default" w:ascii="Times New Roman" w:hAnsi="Times New Roman" w:eastAsia="宋体" w:cs="Times New Roman"/>
          <w:color w:val="auto"/>
          <w:sz w:val="24"/>
          <w:vertAlign w:val="subscript"/>
        </w:rPr>
        <w:t xml:space="preserve">TNT                                            </w:t>
      </w:r>
    </w:p>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式中：</w:t>
      </w:r>
    </w:p>
    <w:p>
      <w:pPr>
        <w:spacing w:line="360" w:lineRule="auto"/>
        <w:ind w:firstLine="70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W</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—蒸汽云的TNT当量，kg；</w:t>
      </w:r>
    </w:p>
    <w:p>
      <w:pPr>
        <w:spacing w:line="360" w:lineRule="auto"/>
        <w:ind w:firstLine="70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α—蒸汽云的TNT当量系数，α=4%；</w:t>
      </w:r>
    </w:p>
    <w:p>
      <w:pPr>
        <w:spacing w:line="360" w:lineRule="auto"/>
        <w:ind w:firstLine="70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W</w:t>
      </w:r>
      <w:r>
        <w:rPr>
          <w:rFonts w:hint="default" w:ascii="Times New Roman" w:hAnsi="Times New Roman" w:eastAsia="宋体" w:cs="Times New Roman"/>
          <w:color w:val="auto"/>
          <w:sz w:val="24"/>
          <w:vertAlign w:val="subscript"/>
        </w:rPr>
        <w:t xml:space="preserve">f </w:t>
      </w:r>
      <w:r>
        <w:rPr>
          <w:rFonts w:hint="default" w:ascii="Times New Roman" w:hAnsi="Times New Roman" w:eastAsia="宋体" w:cs="Times New Roman"/>
          <w:color w:val="auto"/>
          <w:sz w:val="24"/>
        </w:rPr>
        <w:t>—蒸汽云中燃料的总质量，kg；</w:t>
      </w:r>
    </w:p>
    <w:p>
      <w:pPr>
        <w:spacing w:line="360" w:lineRule="auto"/>
        <w:ind w:firstLine="70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Q</w:t>
      </w:r>
      <w:r>
        <w:rPr>
          <w:rFonts w:hint="default" w:ascii="Times New Roman" w:hAnsi="Times New Roman" w:eastAsia="宋体" w:cs="Times New Roman"/>
          <w:color w:val="auto"/>
          <w:sz w:val="24"/>
          <w:vertAlign w:val="subscript"/>
        </w:rPr>
        <w:t>f</w:t>
      </w:r>
      <w:r>
        <w:rPr>
          <w:rFonts w:hint="default" w:ascii="Times New Roman" w:hAnsi="Times New Roman" w:eastAsia="宋体" w:cs="Times New Roman"/>
          <w:color w:val="auto"/>
          <w:sz w:val="24"/>
        </w:rPr>
        <w:t>—燃料的燃烧量，MJ/kg；</w:t>
      </w:r>
    </w:p>
    <w:p>
      <w:pPr>
        <w:spacing w:line="360" w:lineRule="auto"/>
        <w:ind w:firstLine="70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Q</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—TNT的爆热，Q</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 xml:space="preserve"> =4.52 MJ/kg。</w:t>
      </w:r>
    </w:p>
    <w:p>
      <w:pPr>
        <w:spacing w:line="360" w:lineRule="auto"/>
        <w:ind w:firstLine="57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由上式估算发生甲醇爆炸事故时产生的TNT当量W</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=5354.6kg。根据爆炸伤害的超压—冲量准则，爆炸的死亡区半径由下式估算：</w:t>
      </w:r>
    </w:p>
    <w:p>
      <w:pPr>
        <w:wordWrap w:val="0"/>
        <w:spacing w:line="360" w:lineRule="auto"/>
        <w:ind w:right="960" w:firstLine="570"/>
        <w:jc w:val="center"/>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R</w:t>
      </w:r>
      <w:r>
        <w:rPr>
          <w:rFonts w:hint="default" w:ascii="Times New Roman" w:hAnsi="Times New Roman" w:eastAsia="宋体" w:cs="Times New Roman"/>
          <w:color w:val="auto"/>
          <w:sz w:val="24"/>
          <w:vertAlign w:val="subscript"/>
        </w:rPr>
        <w:t>0.5</w:t>
      </w:r>
      <w:r>
        <w:rPr>
          <w:rFonts w:hint="default" w:ascii="Times New Roman" w:hAnsi="Times New Roman" w:eastAsia="宋体" w:cs="Times New Roman"/>
          <w:color w:val="auto"/>
          <w:sz w:val="24"/>
        </w:rPr>
        <w:t>=13.6(W</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/1000)</w:t>
      </w:r>
      <w:r>
        <w:rPr>
          <w:rFonts w:hint="default" w:ascii="Times New Roman" w:hAnsi="Times New Roman" w:eastAsia="宋体" w:cs="Times New Roman"/>
          <w:color w:val="auto"/>
          <w:sz w:val="24"/>
          <w:vertAlign w:val="superscript"/>
        </w:rPr>
        <w:t>0.37</w:t>
      </w:r>
    </w:p>
    <w:p>
      <w:pPr>
        <w:spacing w:line="360" w:lineRule="auto"/>
        <w:ind w:firstLine="57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对于爆炸性破坏，财产损失半径R</w:t>
      </w:r>
      <w:r>
        <w:rPr>
          <w:rFonts w:hint="default" w:ascii="Times New Roman" w:hAnsi="Times New Roman" w:eastAsia="宋体" w:cs="Times New Roman"/>
          <w:color w:val="auto"/>
          <w:sz w:val="24"/>
          <w:vertAlign w:val="subscript"/>
        </w:rPr>
        <w:t>财</w:t>
      </w:r>
      <w:r>
        <w:rPr>
          <w:rFonts w:hint="default" w:ascii="Times New Roman" w:hAnsi="Times New Roman" w:eastAsia="宋体" w:cs="Times New Roman"/>
          <w:color w:val="auto"/>
          <w:sz w:val="24"/>
        </w:rPr>
        <w:t>的计算公式如下：</w:t>
      </w:r>
    </w:p>
    <w:p>
      <w:pPr>
        <w:spacing w:line="360" w:lineRule="auto"/>
        <w:ind w:right="960" w:firstLine="1684" w:firstLineChars="702"/>
        <w:jc w:val="center"/>
        <w:outlineLvl w:val="0"/>
        <w:rPr>
          <w:rFonts w:hint="default" w:ascii="Times New Roman" w:hAnsi="Times New Roman" w:eastAsia="宋体" w:cs="Times New Roman"/>
          <w:color w:val="auto"/>
          <w:sz w:val="24"/>
        </w:rPr>
      </w:pPr>
      <w:bookmarkStart w:id="217" w:name="_Toc19144"/>
      <w:r>
        <w:rPr>
          <w:rFonts w:hint="default" w:ascii="Times New Roman" w:hAnsi="Times New Roman" w:eastAsia="宋体" w:cs="Times New Roman"/>
          <w:color w:val="auto"/>
          <w:sz w:val="24"/>
        </w:rPr>
        <w:t>R</w:t>
      </w:r>
      <w:r>
        <w:rPr>
          <w:rFonts w:hint="default" w:ascii="Times New Roman" w:hAnsi="Times New Roman" w:eastAsia="宋体" w:cs="Times New Roman"/>
          <w:color w:val="auto"/>
          <w:sz w:val="24"/>
          <w:vertAlign w:val="subscript"/>
        </w:rPr>
        <w:t>财</w:t>
      </w:r>
      <w:r>
        <w:rPr>
          <w:rFonts w:hint="default" w:ascii="Times New Roman" w:hAnsi="Times New Roman" w:eastAsia="宋体" w:cs="Times New Roman"/>
          <w:color w:val="auto"/>
          <w:sz w:val="24"/>
        </w:rPr>
        <w:t>=K</w:t>
      </w:r>
      <w:r>
        <w:rPr>
          <w:rFonts w:hint="default" w:ascii="Times New Roman" w:hAnsi="Times New Roman" w:eastAsia="宋体" w:cs="Times New Roman"/>
          <w:color w:val="auto"/>
          <w:sz w:val="24"/>
          <w:vertAlign w:val="subscript"/>
        </w:rPr>
        <w:t>2</w:t>
      </w:r>
      <w:r>
        <w:rPr>
          <w:rFonts w:hint="default" w:ascii="Times New Roman" w:hAnsi="Times New Roman" w:eastAsia="宋体" w:cs="Times New Roman"/>
          <w:color w:val="auto"/>
          <w:sz w:val="24"/>
        </w:rPr>
        <w:t xml:space="preserve"> W</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vertAlign w:val="superscript"/>
        </w:rPr>
        <w:t>1/3</w:t>
      </w:r>
      <w:r>
        <w:rPr>
          <w:rFonts w:hint="default" w:ascii="Times New Roman" w:hAnsi="Times New Roman" w:eastAsia="宋体" w:cs="Times New Roman"/>
          <w:color w:val="auto"/>
          <w:sz w:val="24"/>
        </w:rPr>
        <w:t>/[1+（3175/ W</w:t>
      </w:r>
      <w:r>
        <w:rPr>
          <w:rFonts w:hint="default" w:ascii="Times New Roman" w:hAnsi="Times New Roman" w:eastAsia="宋体" w:cs="Times New Roman"/>
          <w:color w:val="auto"/>
          <w:sz w:val="24"/>
          <w:vertAlign w:val="subscript"/>
        </w:rPr>
        <w:t>TNT</w:t>
      </w:r>
      <w:r>
        <w:rPr>
          <w:rFonts w:hint="default" w:ascii="Times New Roman" w:hAnsi="Times New Roman" w:eastAsia="宋体" w:cs="Times New Roman"/>
          <w:color w:val="auto"/>
          <w:sz w:val="24"/>
        </w:rPr>
        <w:t>）</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w:t>
      </w:r>
      <w:r>
        <w:rPr>
          <w:rFonts w:hint="default" w:ascii="Times New Roman" w:hAnsi="Times New Roman" w:eastAsia="宋体" w:cs="Times New Roman"/>
          <w:color w:val="auto"/>
          <w:sz w:val="24"/>
          <w:vertAlign w:val="superscript"/>
        </w:rPr>
        <w:t>1/6</w:t>
      </w:r>
      <w:bookmarkEnd w:id="217"/>
      <w:r>
        <w:rPr>
          <w:rFonts w:hint="default" w:ascii="Times New Roman" w:hAnsi="Times New Roman" w:eastAsia="宋体" w:cs="Times New Roman"/>
          <w:color w:val="auto"/>
          <w:sz w:val="24"/>
          <w:vertAlign w:val="superscript"/>
        </w:rPr>
        <w:t xml:space="preserve">                 </w:t>
      </w:r>
    </w:p>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式中：    R</w:t>
      </w:r>
      <w:r>
        <w:rPr>
          <w:rFonts w:hint="default" w:ascii="Times New Roman" w:hAnsi="Times New Roman" w:eastAsia="宋体" w:cs="Times New Roman"/>
          <w:color w:val="auto"/>
          <w:sz w:val="24"/>
          <w:vertAlign w:val="subscript"/>
        </w:rPr>
        <w:t>财</w:t>
      </w:r>
      <w:r>
        <w:rPr>
          <w:rFonts w:hint="default" w:ascii="Times New Roman" w:hAnsi="Times New Roman" w:eastAsia="宋体" w:cs="Times New Roman"/>
          <w:color w:val="auto"/>
          <w:sz w:val="24"/>
        </w:rPr>
        <w:t>—破坏半径，m；</w:t>
      </w:r>
    </w:p>
    <w:p>
      <w:pPr>
        <w:spacing w:line="360" w:lineRule="auto"/>
        <w:ind w:firstLine="57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 xml:space="preserve">      K</w:t>
      </w:r>
      <w:r>
        <w:rPr>
          <w:rFonts w:hint="default" w:ascii="Times New Roman" w:hAnsi="Times New Roman" w:eastAsia="宋体" w:cs="Times New Roman"/>
          <w:color w:val="auto"/>
          <w:sz w:val="24"/>
          <w:vertAlign w:val="subscript"/>
        </w:rPr>
        <w:t>2</w:t>
      </w:r>
      <w:r>
        <w:rPr>
          <w:rFonts w:hint="default" w:ascii="Times New Roman" w:hAnsi="Times New Roman" w:eastAsia="宋体" w:cs="Times New Roman"/>
          <w:color w:val="auto"/>
          <w:sz w:val="24"/>
        </w:rPr>
        <w:t>—二级破坏系数，取4.6</w:t>
      </w:r>
    </w:p>
    <w:p>
      <w:pPr>
        <w:spacing w:line="360" w:lineRule="auto"/>
        <w:ind w:firstLine="57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根据以上估算式，该项目甲醇</w:t>
      </w:r>
      <w:r>
        <w:rPr>
          <w:rFonts w:hint="default" w:ascii="Times New Roman" w:hAnsi="Times New Roman" w:eastAsia="宋体" w:cs="Times New Roman"/>
          <w:bCs/>
          <w:color w:val="auto"/>
          <w:sz w:val="24"/>
        </w:rPr>
        <w:t>贮</w:t>
      </w:r>
      <w:r>
        <w:rPr>
          <w:rFonts w:hint="default" w:ascii="Times New Roman" w:hAnsi="Times New Roman" w:eastAsia="宋体" w:cs="Times New Roman"/>
          <w:color w:val="auto"/>
          <w:sz w:val="24"/>
        </w:rPr>
        <w:t>罐爆炸事故的破坏半径见表4.4-2。</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表4.4-2  甲醇贮罐爆炸事故伤害后果</w:t>
      </w:r>
    </w:p>
    <w:tbl>
      <w:tblPr>
        <w:tblStyle w:val="75"/>
        <w:tblW w:w="8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60"/>
        <w:gridCol w:w="2760"/>
        <w:gridCol w:w="29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0" w:type="dxa"/>
            <w:vAlign w:val="center"/>
          </w:tcPr>
          <w:p>
            <w:pPr>
              <w:spacing w:line="460" w:lineRule="exact"/>
              <w:jc w:val="center"/>
              <w:rPr>
                <w:rFonts w:hint="default" w:ascii="Times New Roman" w:hAnsi="Times New Roman" w:eastAsia="宋体" w:cs="Times New Roman"/>
                <w:color w:val="auto"/>
              </w:rPr>
            </w:pPr>
            <w:r>
              <w:rPr>
                <w:rFonts w:hint="default" w:ascii="Times New Roman" w:hAnsi="Times New Roman" w:eastAsia="宋体" w:cs="Times New Roman"/>
                <w:color w:val="auto"/>
              </w:rPr>
              <w:t>蒸汽云爆炸伤害情况</w:t>
            </w:r>
          </w:p>
        </w:tc>
        <w:tc>
          <w:tcPr>
            <w:tcW w:w="2760" w:type="dxa"/>
            <w:vAlign w:val="center"/>
          </w:tcPr>
          <w:p>
            <w:pPr>
              <w:spacing w:line="460" w:lineRule="exact"/>
              <w:jc w:val="center"/>
              <w:rPr>
                <w:rFonts w:hint="default" w:ascii="Times New Roman" w:hAnsi="Times New Roman" w:eastAsia="宋体" w:cs="Times New Roman"/>
                <w:color w:val="auto"/>
              </w:rPr>
            </w:pPr>
            <w:r>
              <w:rPr>
                <w:rFonts w:hint="default" w:ascii="Times New Roman" w:hAnsi="Times New Roman" w:eastAsia="宋体" w:cs="Times New Roman"/>
                <w:color w:val="auto"/>
              </w:rPr>
              <w:t>死亡半径R</w:t>
            </w:r>
            <w:r>
              <w:rPr>
                <w:rFonts w:hint="default" w:ascii="Times New Roman" w:hAnsi="Times New Roman" w:eastAsia="宋体" w:cs="Times New Roman"/>
                <w:color w:val="auto"/>
                <w:vertAlign w:val="subscript"/>
              </w:rPr>
              <w:t>0.5</w:t>
            </w:r>
          </w:p>
        </w:tc>
        <w:tc>
          <w:tcPr>
            <w:tcW w:w="2940" w:type="dxa"/>
            <w:vAlign w:val="center"/>
          </w:tcPr>
          <w:p>
            <w:pPr>
              <w:spacing w:line="460" w:lineRule="exact"/>
              <w:jc w:val="center"/>
              <w:rPr>
                <w:rFonts w:hint="default" w:ascii="Times New Roman" w:hAnsi="Times New Roman" w:eastAsia="宋体" w:cs="Times New Roman"/>
                <w:color w:val="auto"/>
              </w:rPr>
            </w:pPr>
            <w:r>
              <w:rPr>
                <w:rFonts w:hint="default" w:ascii="Times New Roman" w:hAnsi="Times New Roman" w:eastAsia="宋体" w:cs="Times New Roman"/>
                <w:color w:val="auto"/>
              </w:rPr>
              <w:t>财产损失半径R</w:t>
            </w:r>
            <w:r>
              <w:rPr>
                <w:rFonts w:hint="default" w:ascii="Times New Roman" w:hAnsi="Times New Roman" w:eastAsia="宋体" w:cs="Times New Roman"/>
                <w:color w:val="auto"/>
                <w:vertAlign w:val="subscript"/>
              </w:rPr>
              <w:t>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760" w:type="dxa"/>
            <w:vAlign w:val="center"/>
          </w:tcPr>
          <w:p>
            <w:pPr>
              <w:spacing w:line="460" w:lineRule="exact"/>
              <w:jc w:val="center"/>
              <w:rPr>
                <w:rFonts w:hint="default" w:ascii="Times New Roman" w:hAnsi="Times New Roman" w:eastAsia="宋体" w:cs="Times New Roman"/>
                <w:color w:val="auto"/>
              </w:rPr>
            </w:pPr>
            <w:r>
              <w:rPr>
                <w:rFonts w:hint="default" w:ascii="Times New Roman" w:hAnsi="Times New Roman" w:eastAsia="宋体" w:cs="Times New Roman"/>
                <w:color w:val="auto"/>
              </w:rPr>
              <w:t>破坏半径  m</w:t>
            </w:r>
          </w:p>
        </w:tc>
        <w:tc>
          <w:tcPr>
            <w:tcW w:w="2760" w:type="dxa"/>
            <w:vAlign w:val="center"/>
          </w:tcPr>
          <w:p>
            <w:pPr>
              <w:spacing w:line="460" w:lineRule="exact"/>
              <w:jc w:val="center"/>
              <w:rPr>
                <w:rFonts w:hint="default" w:ascii="Times New Roman" w:hAnsi="Times New Roman" w:eastAsia="宋体" w:cs="Times New Roman"/>
                <w:color w:val="auto"/>
              </w:rPr>
            </w:pPr>
            <w:r>
              <w:rPr>
                <w:rFonts w:hint="default" w:ascii="Times New Roman" w:hAnsi="Times New Roman" w:eastAsia="宋体" w:cs="Times New Roman"/>
                <w:color w:val="auto"/>
              </w:rPr>
              <w:t>25.3</w:t>
            </w:r>
          </w:p>
        </w:tc>
        <w:tc>
          <w:tcPr>
            <w:tcW w:w="2940" w:type="dxa"/>
            <w:vAlign w:val="center"/>
          </w:tcPr>
          <w:p>
            <w:pPr>
              <w:spacing w:line="460" w:lineRule="exact"/>
              <w:jc w:val="center"/>
              <w:rPr>
                <w:rFonts w:hint="default" w:ascii="Times New Roman" w:hAnsi="Times New Roman" w:eastAsia="宋体" w:cs="Times New Roman"/>
                <w:color w:val="auto"/>
              </w:rPr>
            </w:pPr>
            <w:r>
              <w:rPr>
                <w:rFonts w:hint="default" w:ascii="Times New Roman" w:hAnsi="Times New Roman" w:eastAsia="宋体" w:cs="Times New Roman"/>
                <w:color w:val="auto"/>
              </w:rPr>
              <w:t>76.5</w:t>
            </w:r>
          </w:p>
        </w:tc>
      </w:tr>
    </w:tbl>
    <w:p>
      <w:pPr>
        <w:spacing w:line="460" w:lineRule="exact"/>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死亡区内的人员如缺少防护，则被认为将无例外地蒙受严重伤害或死亡，其内径为零，外径计为R</w:t>
      </w:r>
      <w:r>
        <w:rPr>
          <w:rFonts w:hint="default" w:ascii="Times New Roman" w:hAnsi="Times New Roman" w:eastAsia="宋体" w:cs="Times New Roman"/>
          <w:color w:val="auto"/>
          <w:sz w:val="24"/>
          <w:vertAlign w:val="subscript"/>
        </w:rPr>
        <w:t>0.5</w:t>
      </w:r>
      <w:r>
        <w:rPr>
          <w:rFonts w:hint="default" w:ascii="Times New Roman" w:hAnsi="Times New Roman" w:eastAsia="宋体" w:cs="Times New Roman"/>
          <w:color w:val="auto"/>
          <w:sz w:val="24"/>
        </w:rPr>
        <w:t>，表示外圆周处人员因冲击波作用导致肺出血而死亡的概率为50%。</w:t>
      </w:r>
    </w:p>
    <w:p>
      <w:pPr>
        <w:spacing w:line="460" w:lineRule="exact"/>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②甲醇泄漏事故</w:t>
      </w:r>
    </w:p>
    <w:p>
      <w:pPr>
        <w:spacing w:line="460" w:lineRule="exact"/>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甲醇泄漏后如不遇火源将聚集在罐区围堰或地势低洼处形成液池。由估算的10min甲醇泄漏量推算，泄漏的甲醇可在罐区堰内形成厚度约2cm的液池。常温下会引起蒸发。</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大气环境中表面散热系数可由下式估算：</w:t>
      </w:r>
    </w:p>
    <w:p>
      <w:pPr>
        <w:spacing w:line="360" w:lineRule="auto"/>
        <w:ind w:right="960" w:firstLine="570"/>
        <w:jc w:val="center"/>
        <w:outlineLvl w:val="0"/>
        <w:rPr>
          <w:rFonts w:hint="default" w:ascii="Times New Roman" w:hAnsi="Times New Roman" w:eastAsia="宋体" w:cs="Times New Roman"/>
          <w:color w:val="auto"/>
          <w:sz w:val="24"/>
        </w:rPr>
      </w:pPr>
      <w:bookmarkStart w:id="218" w:name="_Toc32759"/>
      <w:r>
        <w:rPr>
          <w:rFonts w:hint="default" w:ascii="Times New Roman" w:hAnsi="Times New Roman" w:eastAsia="宋体" w:cs="Times New Roman"/>
          <w:color w:val="auto"/>
          <w:sz w:val="24"/>
        </w:rPr>
        <w:t>α</w:t>
      </w:r>
      <w:r>
        <w:rPr>
          <w:rFonts w:hint="default" w:ascii="Times New Roman" w:hAnsi="Times New Roman" w:eastAsia="宋体" w:cs="Times New Roman"/>
          <w:color w:val="auto"/>
          <w:sz w:val="24"/>
          <w:vertAlign w:val="subscript"/>
        </w:rPr>
        <w:t>s</w:t>
      </w:r>
      <w:r>
        <w:rPr>
          <w:rFonts w:hint="default" w:ascii="Times New Roman" w:hAnsi="Times New Roman" w:eastAsia="宋体" w:cs="Times New Roman"/>
          <w:color w:val="auto"/>
          <w:sz w:val="24"/>
        </w:rPr>
        <w:t>=11.62+6.97υ</w:t>
      </w:r>
      <w:r>
        <w:rPr>
          <w:rFonts w:hint="default" w:ascii="Times New Roman" w:hAnsi="Times New Roman" w:eastAsia="宋体" w:cs="Times New Roman"/>
          <w:color w:val="auto"/>
          <w:sz w:val="24"/>
          <w:vertAlign w:val="superscript"/>
        </w:rPr>
        <w:t>1/2</w:t>
      </w:r>
      <w:r>
        <w:rPr>
          <w:rFonts w:hint="default" w:ascii="Times New Roman" w:hAnsi="Times New Roman" w:eastAsia="宋体" w:cs="Times New Roman"/>
          <w:color w:val="auto"/>
          <w:sz w:val="24"/>
        </w:rPr>
        <w:t xml:space="preserve">   W/（m</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w:t>
      </w:r>
      <w:bookmarkEnd w:id="218"/>
    </w:p>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式中：υ为年平均风速，m/s。</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由围堰堤内环境空气提供的热量和甲醇的气化潜热，可估算甲醇的蒸发量为0.027kg/s。</w:t>
      </w:r>
    </w:p>
    <w:p>
      <w:pPr>
        <w:spacing w:line="360" w:lineRule="auto"/>
        <w:ind w:firstLine="480" w:firstLineChars="200"/>
        <w:jc w:val="center"/>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由于罐区所占面积约为1800m</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，远远小于1km</w:t>
      </w:r>
      <w:r>
        <w:rPr>
          <w:rFonts w:hint="default" w:ascii="Times New Roman" w:hAnsi="Times New Roman" w:eastAsia="宋体" w:cs="Times New Roman"/>
          <w:color w:val="auto"/>
          <w:sz w:val="24"/>
          <w:vertAlign w:val="superscript"/>
        </w:rPr>
        <w:t>2</w:t>
      </w:r>
      <w:r>
        <w:rPr>
          <w:rFonts w:hint="default" w:ascii="Times New Roman" w:hAnsi="Times New Roman" w:eastAsia="宋体" w:cs="Times New Roman"/>
          <w:color w:val="auto"/>
          <w:sz w:val="24"/>
        </w:rPr>
        <w:t>，依据《环境影响评价导则大气环境》HJ/T2.2-93精神，预测按点源扩散模式计算，只是应附加一个初始扰动。这一初始扰动使烟羽在x=0就有一个和面源横向宽度相等的横向尺度，以及和面源高度相等的垂直向尺度。注意到烟羽的半宽度等于2.15σ</w:t>
      </w:r>
      <w:r>
        <w:rPr>
          <w:rFonts w:hint="default" w:ascii="Times New Roman" w:hAnsi="Times New Roman" w:eastAsia="宋体" w:cs="Times New Roman"/>
          <w:color w:val="auto"/>
          <w:sz w:val="24"/>
          <w:vertAlign w:val="subscript"/>
        </w:rPr>
        <w:t>y</w:t>
      </w:r>
      <w:r>
        <w:rPr>
          <w:rFonts w:hint="default" w:ascii="Times New Roman" w:hAnsi="Times New Roman" w:eastAsia="宋体" w:cs="Times New Roman"/>
          <w:color w:val="auto"/>
          <w:sz w:val="24"/>
        </w:rPr>
        <w:t>或2.15σ</w:t>
      </w:r>
      <w:r>
        <w:rPr>
          <w:rFonts w:hint="default" w:ascii="Times New Roman" w:hAnsi="Times New Roman" w:eastAsia="宋体" w:cs="Times New Roman"/>
          <w:color w:val="auto"/>
          <w:sz w:val="24"/>
          <w:vertAlign w:val="subscript"/>
        </w:rPr>
        <w:t>z</w:t>
      </w:r>
      <w:r>
        <w:rPr>
          <w:rFonts w:hint="default" w:ascii="Times New Roman" w:hAnsi="Times New Roman" w:eastAsia="宋体" w:cs="Times New Roman"/>
          <w:color w:val="auto"/>
          <w:sz w:val="24"/>
        </w:rPr>
        <w:t>，则修正后的σ</w:t>
      </w:r>
      <w:r>
        <w:rPr>
          <w:rFonts w:hint="default" w:ascii="Times New Roman" w:hAnsi="Times New Roman" w:eastAsia="宋体" w:cs="Times New Roman"/>
          <w:color w:val="auto"/>
          <w:sz w:val="24"/>
          <w:vertAlign w:val="subscript"/>
        </w:rPr>
        <w:t>y</w:t>
      </w:r>
      <w:r>
        <w:rPr>
          <w:rFonts w:hint="default" w:ascii="Times New Roman" w:hAnsi="Times New Roman" w:eastAsia="宋体" w:cs="Times New Roman"/>
          <w:color w:val="auto"/>
          <w:sz w:val="24"/>
        </w:rPr>
        <w:t>和σ</w:t>
      </w:r>
      <w:r>
        <w:rPr>
          <w:rFonts w:hint="default" w:ascii="Times New Roman" w:hAnsi="Times New Roman" w:eastAsia="宋体" w:cs="Times New Roman"/>
          <w:color w:val="auto"/>
          <w:sz w:val="24"/>
          <w:vertAlign w:val="subscript"/>
        </w:rPr>
        <w:t>z</w:t>
      </w:r>
      <w:r>
        <w:rPr>
          <w:rFonts w:hint="default" w:ascii="Times New Roman" w:hAnsi="Times New Roman" w:eastAsia="宋体" w:cs="Times New Roman"/>
          <w:color w:val="auto"/>
          <w:sz w:val="24"/>
        </w:rPr>
        <w:t>分别为：</w:t>
      </w:r>
      <w:r>
        <w:rPr>
          <w:rFonts w:hint="default" w:ascii="Times New Roman" w:hAnsi="Times New Roman" w:eastAsia="宋体" w:cs="Times New Roman"/>
          <w:color w:val="auto"/>
          <w:position w:val="-34"/>
        </w:rPr>
        <w:object>
          <v:shape id="_x0000_i1039" o:spt="75" type="#_x0000_t75" style="height:40.5pt;width:107.25pt;" o:ole="t" fillcolor="#000005" filled="f" o:preferrelative="t" stroked="f" coordsize="21600,21600">
            <v:path/>
            <v:fill on="f" focussize="0,0"/>
            <v:stroke on="f" joinstyle="miter"/>
            <v:imagedata r:id="rId44" o:title=""/>
            <o:lock v:ext="edit" aspectratio="t"/>
            <w10:wrap type="none"/>
            <w10:anchorlock/>
          </v:shape>
          <o:OLEObject Type="Embed" ProgID="Equation.3" ShapeID="_x0000_i1039" DrawAspect="Content" ObjectID="_1468075739" r:id="rId43">
            <o:LockedField>false</o:LockedField>
          </o:OLEObject>
        </w:object>
      </w:r>
    </w:p>
    <w:p>
      <w:pPr>
        <w:spacing w:line="360" w:lineRule="auto"/>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式中：x—自接受点至面源中心点的距离；</w:t>
      </w:r>
    </w:p>
    <w:p>
      <w:pPr>
        <w:spacing w:line="360" w:lineRule="auto"/>
        <w:ind w:left="425" w:firstLine="42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a</w:t>
      </w:r>
      <w:r>
        <w:rPr>
          <w:rFonts w:hint="default" w:ascii="Times New Roman" w:hAnsi="Times New Roman" w:eastAsia="宋体" w:cs="Times New Roman"/>
          <w:color w:val="auto"/>
          <w:sz w:val="24"/>
          <w:vertAlign w:val="subscript"/>
        </w:rPr>
        <w:t>y</w:t>
      </w:r>
      <w:r>
        <w:rPr>
          <w:rFonts w:hint="default" w:ascii="Times New Roman" w:hAnsi="Times New Roman" w:eastAsia="宋体" w:cs="Times New Roman"/>
          <w:color w:val="auto"/>
          <w:sz w:val="24"/>
        </w:rPr>
        <w:t>—面源在y方向的长度；</w:t>
      </w:r>
    </w:p>
    <w:p>
      <w:pPr>
        <w:spacing w:line="360" w:lineRule="auto"/>
        <w:ind w:left="425" w:firstLine="425"/>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H—面源的平均排放高度。</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根据咸阳市渭城区污染气象特征，分别预测有风和静风条件下甲醇泄漏时地面浓度4.4-3。预测结果见表4. 4-4。</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表4.4-3  有风情况下甲醇泄漏事故地面浓度预测结果  单位：mg/m</w:t>
      </w:r>
      <w:r>
        <w:rPr>
          <w:rFonts w:hint="default" w:ascii="Times New Roman" w:hAnsi="Times New Roman" w:eastAsia="宋体" w:cs="Times New Roman"/>
          <w:b/>
          <w:color w:val="auto"/>
          <w:kern w:val="0"/>
          <w:sz w:val="21"/>
          <w:szCs w:val="21"/>
          <w:vertAlign w:val="superscript"/>
        </w:rPr>
        <w:t>3</w:t>
      </w:r>
    </w:p>
    <w:tbl>
      <w:tblPr>
        <w:tblStyle w:val="75"/>
        <w:tblW w:w="88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4"/>
        <w:gridCol w:w="2025"/>
        <w:gridCol w:w="2514"/>
        <w:gridCol w:w="23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024" w:type="dxa"/>
            <w:vMerge w:val="restart"/>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下风向距离（m）</w:t>
            </w:r>
          </w:p>
        </w:tc>
        <w:tc>
          <w:tcPr>
            <w:tcW w:w="6846" w:type="dxa"/>
            <w:gridSpan w:val="3"/>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024" w:type="dxa"/>
            <w:vMerge w:val="continue"/>
          </w:tcPr>
          <w:p>
            <w:pPr>
              <w:jc w:val="center"/>
              <w:rPr>
                <w:rFonts w:hint="default" w:ascii="Times New Roman" w:hAnsi="Times New Roman" w:eastAsia="宋体" w:cs="Times New Roman"/>
                <w:color w:val="auto"/>
                <w:szCs w:val="21"/>
              </w:rPr>
            </w:pP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B</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D</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24.500</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13.6</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28.021</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43.97</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23.173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12.932</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36.928</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31.317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7.663</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15.735</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40.801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4.582</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5.758</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29.785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2.841</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2.077</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12.180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1.804</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0.62</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1.946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1.092</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0.096</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0.063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900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0.595</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0.007</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0.022</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0.003</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1100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0.113</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0.001</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1200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0.041</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1300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0.025</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1400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0.014</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0.0021</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1600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0.0010</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2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1700</w:t>
            </w:r>
          </w:p>
        </w:tc>
        <w:tc>
          <w:tcPr>
            <w:tcW w:w="2025"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514"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c>
          <w:tcPr>
            <w:tcW w:w="230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bl>
    <w:p>
      <w:pPr>
        <w:spacing w:line="0" w:lineRule="atLeast"/>
        <w:ind w:firstLine="840" w:firstLineChars="400"/>
        <w:rPr>
          <w:rFonts w:hint="default" w:ascii="Times New Roman" w:hAnsi="Times New Roman" w:eastAsia="宋体" w:cs="Times New Roman"/>
          <w:b/>
          <w:bCs/>
          <w:color w:val="auto"/>
          <w:sz w:val="24"/>
        </w:rPr>
      </w:pPr>
      <w:r>
        <w:rPr>
          <w:rFonts w:hint="default" w:ascii="Times New Roman" w:hAnsi="Times New Roman" w:eastAsia="宋体" w:cs="Times New Roman"/>
          <w:color w:val="auto"/>
          <w:szCs w:val="21"/>
        </w:rPr>
        <w:t>注：甲醇一次浓度标准值为3.0mg/m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w:t>
      </w:r>
    </w:p>
    <w:p>
      <w:pPr>
        <w:spacing w:before="120" w:beforeLines="50" w:line="360" w:lineRule="auto"/>
        <w:jc w:val="center"/>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1"/>
          <w:szCs w:val="21"/>
          <w:lang w:val="en-US" w:eastAsia="zh-CN" w:bidi="ar-SA"/>
        </w:rPr>
        <w:t>表4.4-4  静风情况下甲醇泄漏事故地面浓度预测结果  单位：mg/m</w:t>
      </w:r>
      <w:r>
        <w:rPr>
          <w:rFonts w:hint="default" w:ascii="Times New Roman" w:hAnsi="Times New Roman" w:eastAsia="宋体" w:cs="Times New Roman"/>
          <w:b/>
          <w:color w:val="auto"/>
          <w:kern w:val="0"/>
          <w:sz w:val="24"/>
          <w:vertAlign w:val="superscript"/>
        </w:rPr>
        <w:t>3</w:t>
      </w:r>
    </w:p>
    <w:tbl>
      <w:tblPr>
        <w:tblStyle w:val="75"/>
        <w:tblW w:w="8789"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74"/>
        <w:gridCol w:w="2337"/>
        <w:gridCol w:w="2410"/>
        <w:gridCol w:w="2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774" w:type="dxa"/>
            <w:vMerge w:val="restart"/>
            <w:vAlign w:val="center"/>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下风向距离（m）</w:t>
            </w:r>
          </w:p>
        </w:tc>
        <w:tc>
          <w:tcPr>
            <w:tcW w:w="7015" w:type="dxa"/>
            <w:gridSpan w:val="3"/>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10min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774" w:type="dxa"/>
            <w:vMerge w:val="continue"/>
            <w:vAlign w:val="center"/>
          </w:tcPr>
          <w:p>
            <w:pPr>
              <w:jc w:val="center"/>
              <w:rPr>
                <w:rFonts w:hint="default" w:ascii="Times New Roman" w:hAnsi="Times New Roman" w:eastAsia="宋体" w:cs="Times New Roman"/>
                <w:color w:val="auto"/>
                <w:szCs w:val="21"/>
              </w:rPr>
            </w:pPr>
          </w:p>
        </w:tc>
        <w:tc>
          <w:tcPr>
            <w:tcW w:w="2337"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B</w:t>
            </w:r>
          </w:p>
        </w:tc>
        <w:tc>
          <w:tcPr>
            <w:tcW w:w="2410"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D</w:t>
            </w:r>
          </w:p>
        </w:tc>
        <w:tc>
          <w:tcPr>
            <w:tcW w:w="2268"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63.392</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13.399</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27.254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5.704</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41.668</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16.505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1.496</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15.505</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7.504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0.652</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3.066</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3.322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0.351</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2.219</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1.742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0.212</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1.134</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0.137</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0.628</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0.544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0.092</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0.362</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0.311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0.064</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0.212</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900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0.045</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0.125</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1000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0.032</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0.073</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1100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0.023</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0.042</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1200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0.016</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0.024</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1300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0.012</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0.013</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1400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0.008</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0.007</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1500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0.006</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0.004</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1600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0.004</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0.002</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74" w:type="dxa"/>
          </w:tcPr>
          <w:p>
            <w:pPr>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1700</w:t>
            </w:r>
          </w:p>
        </w:tc>
        <w:tc>
          <w:tcPr>
            <w:tcW w:w="2337"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0.003</w:t>
            </w:r>
          </w:p>
        </w:tc>
        <w:tc>
          <w:tcPr>
            <w:tcW w:w="2410"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0.001</w:t>
            </w:r>
          </w:p>
        </w:tc>
        <w:tc>
          <w:tcPr>
            <w:tcW w:w="2268" w:type="dxa"/>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0.000</w:t>
            </w:r>
          </w:p>
        </w:tc>
      </w:tr>
    </w:tbl>
    <w:p>
      <w:pPr>
        <w:adjustRightInd w:val="0"/>
        <w:snapToGrid w:val="0"/>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color w:val="auto"/>
          <w:szCs w:val="21"/>
        </w:rPr>
        <w:t>注：甲醇一次浓度标准值为3.0mg/m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预测结果为有风时罐区下风向600m范围内超标，2.5m/s风速时罐区下风向最大超标距离可达650m。静风条件下距离300m范围内有超标现象</w:t>
      </w:r>
      <w:r>
        <w:rPr>
          <w:rFonts w:hint="eastAsia" w:ascii="Times New Roman" w:hAnsi="Times New Roman" w:eastAsia="宋体" w:cs="Times New Roman"/>
          <w:color w:val="auto"/>
          <w:sz w:val="24"/>
          <w:lang w:eastAsia="zh-CN"/>
        </w:rPr>
        <w:t>，</w:t>
      </w:r>
      <w:r>
        <w:rPr>
          <w:rFonts w:hint="default" w:ascii="Times New Roman" w:hAnsi="Times New Roman" w:eastAsia="宋体" w:cs="Times New Roman"/>
          <w:color w:val="auto"/>
          <w:sz w:val="24"/>
        </w:rPr>
        <w:t>静风时对人体有影响的距离为300m。</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由预测结果可知，当事故排放时将对周围环境空气造成较严重的影响。事故状态属短时间排放，影响持续时间较短。静风条件下将短期影响厂区，有风时可能对厂外环境也有一定程度的影响。</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4.4.2 MTBE爆炸后果分析</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根据该项目环境影响评价预测结果，MTBE预测结果为：</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1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①</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蒸汽云的TNT当量为147903kg；</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2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②</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死亡半径：86.4m；</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3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③</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重伤半径：208.9m；</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4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④</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轻伤半径：374.7m；</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5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⑤</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财产损失半径：243.2m。由预测结果可见，MTBE储罐爆炸事故不会对外界环境造成太大影响。爆炸事故对外环境的影响情况见图4.4-1。</w:t>
      </w:r>
    </w:p>
    <w:p>
      <w:pPr>
        <w:spacing w:line="360" w:lineRule="auto"/>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drawing>
          <wp:inline distT="0" distB="0" distL="0" distR="0">
            <wp:extent cx="5072380" cy="3657600"/>
            <wp:effectExtent l="0" t="0" r="0" b="0"/>
            <wp:docPr id="6" name="图片 6"/>
            <wp:cNvGraphicFramePr/>
            <a:graphic xmlns:a="http://schemas.openxmlformats.org/drawingml/2006/main">
              <a:graphicData uri="http://schemas.openxmlformats.org/drawingml/2006/picture">
                <pic:pic xmlns:pic="http://schemas.openxmlformats.org/drawingml/2006/picture">
                  <pic:nvPicPr>
                    <pic:cNvPr id="6" name="图片 6"/>
                    <pic:cNvPicPr preferRelativeResize="0">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073073" cy="3657702"/>
                    </a:xfrm>
                    <a:prstGeom prst="rect">
                      <a:avLst/>
                    </a:prstGeom>
                    <a:noFill/>
                    <a:ln>
                      <a:noFill/>
                    </a:ln>
                  </pic:spPr>
                </pic:pic>
              </a:graphicData>
            </a:graphic>
          </wp:inline>
        </w:drawing>
      </w:r>
    </w:p>
    <w:p>
      <w:pPr>
        <w:spacing w:line="360" w:lineRule="auto"/>
        <w:ind w:firstLine="482" w:firstLineChars="200"/>
        <w:jc w:val="center"/>
        <w:rPr>
          <w:rFonts w:hint="default" w:ascii="Times New Roman" w:hAnsi="Times New Roman" w:eastAsia="宋体" w:cs="Times New Roman"/>
          <w:b/>
          <w:color w:val="auto"/>
          <w:sz w:val="24"/>
        </w:rPr>
      </w:pPr>
      <w:r>
        <w:rPr>
          <w:rFonts w:hint="default" w:ascii="Times New Roman" w:hAnsi="Times New Roman" w:eastAsia="宋体" w:cs="Times New Roman"/>
          <w:b/>
          <w:color w:val="auto"/>
          <w:sz w:val="24"/>
        </w:rPr>
        <w:t>图4.4-1  MTBE储罐蒸气云爆炸（TNT当量法）模型伤害范围</w:t>
      </w:r>
      <w:bookmarkEnd w:id="214"/>
      <w:bookmarkEnd w:id="215"/>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4.4.3醚化汽油储罐火灾后果分析</w:t>
      </w:r>
    </w:p>
    <w:p>
      <w:pPr>
        <w:pStyle w:val="559"/>
        <w:spacing w:line="440" w:lineRule="exact"/>
        <w:rPr>
          <w:rFonts w:hint="default" w:ascii="Times New Roman" w:hAnsi="Times New Roman" w:eastAsia="宋体" w:cs="Times New Roman"/>
          <w:color w:val="auto"/>
          <w:kern w:val="2"/>
          <w:position w:val="0"/>
          <w:sz w:val="24"/>
          <w:szCs w:val="24"/>
          <w:lang w:val="en-US" w:eastAsia="zh-CN" w:bidi="ar-SA"/>
        </w:rPr>
      </w:pPr>
      <w:r>
        <w:rPr>
          <w:rFonts w:hint="default" w:ascii="Times New Roman" w:hAnsi="Times New Roman" w:eastAsia="宋体" w:cs="Times New Roman"/>
          <w:color w:val="auto"/>
          <w:kern w:val="2"/>
          <w:position w:val="0"/>
          <w:sz w:val="24"/>
          <w:szCs w:val="24"/>
          <w:lang w:val="en-US" w:eastAsia="zh-CN" w:bidi="ar-SA"/>
        </w:rPr>
        <w:t>根据《咸阳石油化工有限公司</w:t>
      </w:r>
      <w:r>
        <w:rPr>
          <w:rFonts w:hint="default" w:ascii="Times New Roman" w:hAnsi="Times New Roman" w:eastAsia="宋体" w:cs="Times New Roman"/>
          <w:color w:val="auto"/>
          <w:kern w:val="2"/>
          <w:position w:val="0"/>
          <w:sz w:val="24"/>
          <w:szCs w:val="24"/>
          <w:lang w:val="zh-CN" w:eastAsia="zh-CN" w:bidi="ar-SA"/>
        </w:rPr>
        <w:t>30万吨/年轻汽油醚化装置及罐装配套项目</w:t>
      </w:r>
      <w:r>
        <w:rPr>
          <w:rFonts w:hint="default" w:ascii="Times New Roman" w:hAnsi="Times New Roman" w:eastAsia="宋体" w:cs="Times New Roman"/>
          <w:color w:val="auto"/>
          <w:kern w:val="2"/>
          <w:position w:val="0"/>
          <w:sz w:val="24"/>
          <w:szCs w:val="24"/>
          <w:lang w:val="en-US" w:eastAsia="zh-CN" w:bidi="ar-SA"/>
        </w:rPr>
        <w:t>安全预评价报告》，醚化汽油内浮顶储罐火灾事故伤害影响结论如下：</w:t>
      </w:r>
    </w:p>
    <w:p>
      <w:pPr>
        <w:pStyle w:val="559"/>
        <w:spacing w:line="440" w:lineRule="exact"/>
        <w:rPr>
          <w:rFonts w:hint="default" w:ascii="Times New Roman" w:hAnsi="Times New Roman" w:eastAsia="宋体" w:cs="Times New Roman"/>
          <w:color w:val="auto"/>
          <w:position w:val="0"/>
        </w:rPr>
      </w:pPr>
      <w:r>
        <w:rPr>
          <w:rFonts w:hint="default" w:ascii="Times New Roman" w:hAnsi="Times New Roman" w:eastAsia="宋体" w:cs="Times New Roman"/>
          <w:color w:val="auto"/>
          <w:kern w:val="2"/>
          <w:position w:val="0"/>
          <w:sz w:val="24"/>
          <w:szCs w:val="24"/>
          <w:lang w:val="en-US" w:eastAsia="zh-CN" w:bidi="ar-SA"/>
        </w:rPr>
        <w:t>通过对内浮顶罐区汽油泄漏，发生池火灾模拟后果分析，距储罐区池火中心39.3m的范围内操作设备全部损坏，人员1%死亡/10s，人员100%死亡/1min；距池火中心48.1m处无火焰时，长时间辐射下，木材可以燃烧，人员重大烧伤/10s，人员100%死亡/1min；距池火中心68.1m处有火焰时，木材燃烧、塑料熔化，人员1度烧伤/10s，人员1%死亡/1min；距储罐池火中心120.3m处20s以上感觉疼痛，未必起泡；距储罐池火中心190.3m以外，长期辐射无不舒服感。从该拟建项目北边的铁路、路北厂矿、人员若不及时撤离</w:t>
      </w:r>
      <w:r>
        <w:rPr>
          <w:rFonts w:hint="default" w:ascii="Times New Roman" w:hAnsi="Times New Roman" w:eastAsia="宋体" w:cs="Times New Roman"/>
          <w:color w:val="auto"/>
          <w:position w:val="0"/>
        </w:rPr>
        <w:t>有烧伤可能；项目南边的咸阳圣凯罗洗浴中心、中油一建公司等至少有疼痛感，对项目东边朝阳五路及西边朝阳四路无什么影响。</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4.4.4醚化汽油、液化石油气火灾爆炸时产生有害气体的影响分析</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4.4.4.1醚化汽油、液化石油气火灾爆炸产生的有毒有害物质分析</w:t>
      </w:r>
    </w:p>
    <w:p>
      <w:pPr>
        <w:spacing w:line="440" w:lineRule="exact"/>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醚化汽油、液化石油气完全燃烧时，其燃烧产物为二氧化碳和水。不完全燃烧时，会产生有毒有害的一氧化碳等气体。</w:t>
      </w:r>
    </w:p>
    <w:p>
      <w:pPr>
        <w:spacing w:line="440" w:lineRule="exact"/>
        <w:ind w:firstLine="480"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z w:val="24"/>
        </w:rPr>
        <w:t>若醚化汽油、液化石油气发生火灾、爆炸事故，事故为不完全燃烧，产生的主要污染物为一氧化碳。且不完全燃烧的程度越高，一氧化碳的产生浓度越大，因此，在爆炸时因为反应迅速，燃烧反应大部分为不完全燃烧，醚化汽油、液化石油气爆炸时产生的一氧化碳对环境的影响分析预测如下：</w:t>
      </w:r>
    </w:p>
    <w:p>
      <w:pPr>
        <w:spacing w:line="440" w:lineRule="exact"/>
        <w:ind w:firstLine="516" w:firstLineChars="200"/>
        <w:rPr>
          <w:rFonts w:hint="default" w:ascii="Times New Roman" w:hAnsi="Times New Roman" w:eastAsia="宋体" w:cs="Times New Roman"/>
          <w:color w:val="auto"/>
          <w:sz w:val="24"/>
        </w:rPr>
      </w:pPr>
      <w:r>
        <w:rPr>
          <w:rFonts w:hint="default" w:ascii="Times New Roman" w:hAnsi="Times New Roman" w:eastAsia="宋体" w:cs="Times New Roman"/>
          <w:color w:val="auto"/>
          <w:spacing w:val="9"/>
          <w:sz w:val="24"/>
        </w:rPr>
        <w:t>一氧化碳(即CO)是无色、无臭、无味的气体，气体比重0.967，</w:t>
      </w:r>
      <w:r>
        <w:rPr>
          <w:rFonts w:hint="default" w:ascii="Times New Roman" w:hAnsi="Times New Roman" w:eastAsia="宋体" w:cs="Times New Roman"/>
          <w:color w:val="auto"/>
          <w:sz w:val="24"/>
        </w:rPr>
        <w:t>是一种易燃易爆气体，与空气混合能形成爆炸性混合物，遇明火、高热能引起燃烧爆炸；一氧化碳被人体吸入后在血中与血红蛋白结合而造成组织缺氧，从而引起中毒。一氧化碳不同浓度阈值对应的危害程度见表4.4-5。</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表4.4-5危害物不同浓度阈值所对应的危害</w:t>
      </w:r>
    </w:p>
    <w:tbl>
      <w:tblPr>
        <w:tblStyle w:val="75"/>
        <w:tblW w:w="9180" w:type="dxa"/>
        <w:tblInd w:w="0" w:type="dxa"/>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Layout w:type="fixed"/>
        <w:tblCellMar>
          <w:top w:w="0" w:type="dxa"/>
          <w:left w:w="108" w:type="dxa"/>
          <w:bottom w:w="0" w:type="dxa"/>
          <w:right w:w="108" w:type="dxa"/>
        </w:tblCellMar>
      </w:tblPr>
      <w:tblGrid>
        <w:gridCol w:w="2802"/>
        <w:gridCol w:w="2866"/>
        <w:gridCol w:w="3512"/>
      </w:tblGrid>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rPr>
          <w:trHeight w:val="378" w:hRule="atLeast"/>
        </w:trPr>
        <w:tc>
          <w:tcPr>
            <w:tcW w:w="280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危害物名称</w:t>
            </w:r>
          </w:p>
        </w:tc>
        <w:tc>
          <w:tcPr>
            <w:tcW w:w="2866"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空气中浓度（mg/m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w:t>
            </w:r>
          </w:p>
        </w:tc>
        <w:tc>
          <w:tcPr>
            <w:tcW w:w="351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对人体危害程度</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c>
          <w:tcPr>
            <w:tcW w:w="2802" w:type="dxa"/>
            <w:vMerge w:val="restart"/>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一氧化碳</w:t>
            </w:r>
          </w:p>
        </w:tc>
        <w:tc>
          <w:tcPr>
            <w:tcW w:w="2866"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30</w:t>
            </w:r>
          </w:p>
        </w:tc>
        <w:tc>
          <w:tcPr>
            <w:tcW w:w="351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车间容许浓度</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c>
          <w:tcPr>
            <w:tcW w:w="2802" w:type="dxa"/>
            <w:vMerge w:val="continue"/>
            <w:vAlign w:val="center"/>
          </w:tcPr>
          <w:p>
            <w:pPr>
              <w:spacing w:line="360" w:lineRule="auto"/>
              <w:jc w:val="center"/>
              <w:rPr>
                <w:rFonts w:hint="default" w:ascii="Times New Roman" w:hAnsi="Times New Roman" w:eastAsia="宋体" w:cs="Times New Roman"/>
                <w:color w:val="auto"/>
                <w:szCs w:val="21"/>
              </w:rPr>
            </w:pPr>
          </w:p>
        </w:tc>
        <w:tc>
          <w:tcPr>
            <w:tcW w:w="2866"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2069</w:t>
            </w:r>
          </w:p>
        </w:tc>
        <w:tc>
          <w:tcPr>
            <w:tcW w:w="351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半致死浓度（LG</w:t>
            </w:r>
            <w:r>
              <w:rPr>
                <w:rFonts w:hint="default" w:ascii="Times New Roman" w:hAnsi="Times New Roman" w:eastAsia="宋体" w:cs="Times New Roman"/>
                <w:color w:val="auto"/>
                <w:szCs w:val="21"/>
                <w:vertAlign w:val="subscript"/>
              </w:rPr>
              <w:t>50</w:t>
            </w:r>
            <w:r>
              <w:rPr>
                <w:rFonts w:hint="default" w:ascii="Times New Roman" w:hAnsi="Times New Roman" w:eastAsia="宋体" w:cs="Times New Roman"/>
                <w:color w:val="auto"/>
                <w:szCs w:val="21"/>
              </w:rPr>
              <w:t>）</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c>
          <w:tcPr>
            <w:tcW w:w="2802" w:type="dxa"/>
            <w:vMerge w:val="continue"/>
            <w:vAlign w:val="center"/>
          </w:tcPr>
          <w:p>
            <w:pPr>
              <w:spacing w:line="360" w:lineRule="auto"/>
              <w:jc w:val="center"/>
              <w:rPr>
                <w:rFonts w:hint="default" w:ascii="Times New Roman" w:hAnsi="Times New Roman" w:eastAsia="宋体" w:cs="Times New Roman"/>
                <w:color w:val="auto"/>
                <w:szCs w:val="21"/>
              </w:rPr>
            </w:pPr>
          </w:p>
        </w:tc>
        <w:tc>
          <w:tcPr>
            <w:tcW w:w="2866"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292.5</w:t>
            </w:r>
          </w:p>
        </w:tc>
        <w:tc>
          <w:tcPr>
            <w:tcW w:w="351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严重头痛、眩晕</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c>
          <w:tcPr>
            <w:tcW w:w="2802" w:type="dxa"/>
            <w:vMerge w:val="continue"/>
            <w:vAlign w:val="center"/>
          </w:tcPr>
          <w:p>
            <w:pPr>
              <w:spacing w:line="360" w:lineRule="auto"/>
              <w:jc w:val="center"/>
              <w:rPr>
                <w:rFonts w:hint="default" w:ascii="Times New Roman" w:hAnsi="Times New Roman" w:eastAsia="宋体" w:cs="Times New Roman"/>
                <w:color w:val="auto"/>
                <w:szCs w:val="21"/>
              </w:rPr>
            </w:pPr>
          </w:p>
        </w:tc>
        <w:tc>
          <w:tcPr>
            <w:tcW w:w="2866"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58.5</w:t>
            </w:r>
          </w:p>
        </w:tc>
        <w:tc>
          <w:tcPr>
            <w:tcW w:w="351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轻度头痛</w:t>
            </w:r>
          </w:p>
        </w:tc>
      </w:tr>
      <w:tr>
        <w:tblPrEx>
          <w:tblBorders>
            <w:top w:val="single" w:color="auto" w:sz="2" w:space="0"/>
            <w:left w:val="single" w:color="auto" w:sz="2" w:space="0"/>
            <w:bottom w:val="single" w:color="auto" w:sz="2" w:space="0"/>
            <w:right w:val="single" w:color="auto" w:sz="2" w:space="0"/>
            <w:insideH w:val="single" w:color="auto" w:sz="4" w:space="0"/>
            <w:insideV w:val="single" w:color="auto" w:sz="4" w:space="0"/>
          </w:tblBorders>
          <w:tblCellMar>
            <w:top w:w="0" w:type="dxa"/>
            <w:left w:w="108" w:type="dxa"/>
            <w:bottom w:w="0" w:type="dxa"/>
            <w:right w:w="108" w:type="dxa"/>
          </w:tblCellMar>
        </w:tblPrEx>
        <w:tc>
          <w:tcPr>
            <w:tcW w:w="2802" w:type="dxa"/>
            <w:vMerge w:val="continue"/>
            <w:vAlign w:val="center"/>
          </w:tcPr>
          <w:p>
            <w:pPr>
              <w:spacing w:line="360" w:lineRule="auto"/>
              <w:jc w:val="center"/>
              <w:rPr>
                <w:rFonts w:hint="default" w:ascii="Times New Roman" w:hAnsi="Times New Roman" w:eastAsia="宋体" w:cs="Times New Roman"/>
                <w:color w:val="auto"/>
                <w:szCs w:val="21"/>
              </w:rPr>
            </w:pPr>
          </w:p>
        </w:tc>
        <w:tc>
          <w:tcPr>
            <w:tcW w:w="2866"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3</w:t>
            </w:r>
          </w:p>
        </w:tc>
        <w:tc>
          <w:tcPr>
            <w:tcW w:w="3512"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居住区一次值</w:t>
            </w:r>
          </w:p>
        </w:tc>
      </w:tr>
    </w:tbl>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4.4.4.2醚化汽油、液化石油气火灾爆炸产生的有毒有害物质影响预测</w:t>
      </w:r>
    </w:p>
    <w:p>
      <w:pPr>
        <w:pStyle w:val="559"/>
        <w:rPr>
          <w:rFonts w:hint="default" w:ascii="Times New Roman" w:hAnsi="Times New Roman" w:eastAsia="宋体" w:cs="Times New Roman"/>
          <w:color w:val="auto"/>
          <w:kern w:val="28"/>
          <w:position w:val="0"/>
        </w:rPr>
      </w:pPr>
      <w:r>
        <w:rPr>
          <w:rFonts w:hint="default" w:ascii="Times New Roman" w:hAnsi="Times New Roman" w:eastAsia="宋体" w:cs="Times New Roman"/>
          <w:color w:val="auto"/>
          <w:kern w:val="28"/>
          <w:position w:val="0"/>
        </w:rPr>
        <w:t>液化石油气储罐发生爆炸的石油气量为26.1t，爆炸持续时间按600s计，假设爆炸过程中有3%的液化石油气发生不完全燃烧，则一氧化碳的产生量为1512kg，产生速率为2.52kg/s。</w:t>
      </w:r>
    </w:p>
    <w:p>
      <w:pPr>
        <w:pStyle w:val="559"/>
        <w:rPr>
          <w:rFonts w:hint="default" w:ascii="Times New Roman" w:hAnsi="Times New Roman" w:eastAsia="宋体" w:cs="Times New Roman"/>
          <w:color w:val="auto"/>
          <w:position w:val="0"/>
        </w:rPr>
      </w:pPr>
      <w:r>
        <w:rPr>
          <w:rFonts w:hint="default" w:ascii="Times New Roman" w:hAnsi="Times New Roman" w:eastAsia="宋体" w:cs="Times New Roman"/>
          <w:color w:val="auto"/>
          <w:position w:val="0"/>
        </w:rPr>
        <w:t>有风条件下，事故发生后，随着时间延续，污染物以烟团形式向下风向扩散、迁移，烟团中心浓度不断降低。本项目环评采用多烟团模式进行预测，风速取全年平均风速2.5m/s</w:t>
      </w:r>
      <w:r>
        <w:rPr>
          <w:rFonts w:hint="default" w:ascii="Times New Roman" w:hAnsi="Times New Roman" w:eastAsia="宋体" w:cs="Times New Roman"/>
          <w:color w:val="auto"/>
          <w:kern w:val="28"/>
          <w:position w:val="0"/>
        </w:rPr>
        <w:t>。一氧化碳浓度预测</w:t>
      </w:r>
      <w:r>
        <w:rPr>
          <w:rFonts w:hint="default" w:ascii="Times New Roman" w:hAnsi="Times New Roman" w:eastAsia="宋体" w:cs="Times New Roman"/>
          <w:color w:val="auto"/>
          <w:position w:val="0"/>
        </w:rPr>
        <w:t>以D类稳定度为预测气象条件、</w:t>
      </w:r>
      <w:r>
        <w:rPr>
          <w:rFonts w:hint="default" w:ascii="Times New Roman" w:hAnsi="Times New Roman" w:eastAsia="宋体" w:cs="Times New Roman"/>
          <w:snapToGrid w:val="0"/>
          <w:color w:val="auto"/>
          <w:position w:val="0"/>
          <w:lang w:val="zh-CN"/>
        </w:rPr>
        <w:t>下风向不同时间的浓度进行预测</w:t>
      </w:r>
      <w:r>
        <w:rPr>
          <w:rFonts w:hint="default" w:ascii="Times New Roman" w:hAnsi="Times New Roman" w:eastAsia="宋体" w:cs="Times New Roman"/>
          <w:color w:val="auto"/>
          <w:position w:val="0"/>
        </w:rPr>
        <w:t>，预测结果见表4.4-6。</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表4.4-6  液化石油气爆炸事故CO扩散影响预测    （单位：mg/m</w:t>
      </w:r>
      <w:r>
        <w:rPr>
          <w:rFonts w:hint="default" w:ascii="Times New Roman" w:hAnsi="Times New Roman" w:eastAsia="宋体" w:cs="Times New Roman"/>
          <w:b/>
          <w:color w:val="auto"/>
          <w:kern w:val="0"/>
          <w:sz w:val="21"/>
          <w:szCs w:val="21"/>
          <w:vertAlign w:val="superscript"/>
        </w:rPr>
        <w:t>3</w:t>
      </w:r>
      <w:r>
        <w:rPr>
          <w:rFonts w:hint="default" w:ascii="Times New Roman" w:hAnsi="Times New Roman" w:eastAsia="宋体" w:cs="Times New Roman"/>
          <w:b/>
          <w:color w:val="auto"/>
          <w:kern w:val="0"/>
          <w:sz w:val="21"/>
          <w:szCs w:val="21"/>
        </w:rPr>
        <w:t>）</w:t>
      </w:r>
    </w:p>
    <w:tbl>
      <w:tblPr>
        <w:tblStyle w:val="75"/>
        <w:tblW w:w="839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31"/>
        <w:gridCol w:w="1887"/>
        <w:gridCol w:w="1418"/>
        <w:gridCol w:w="1418"/>
        <w:gridCol w:w="174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1931" w:type="dxa"/>
            <w:tcBorders>
              <w:top w:val="single" w:color="auto" w:sz="2" w:space="0"/>
              <w:left w:val="single" w:color="auto" w:sz="2" w:space="0"/>
              <w:bottom w:val="single" w:color="auto" w:sz="4" w:space="0"/>
              <w:tl2br w:val="single" w:color="auto" w:sz="4" w:space="0"/>
            </w:tcBorders>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t（min）</w:t>
            </w:r>
          </w:p>
          <w:p>
            <w:pPr>
              <w:spacing w:line="360" w:lineRule="auto"/>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下风向h（m）</w:t>
            </w:r>
          </w:p>
        </w:tc>
        <w:tc>
          <w:tcPr>
            <w:tcW w:w="1887" w:type="dxa"/>
            <w:tcBorders>
              <w:top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w:t>
            </w:r>
          </w:p>
        </w:tc>
        <w:tc>
          <w:tcPr>
            <w:tcW w:w="1418" w:type="dxa"/>
            <w:tcBorders>
              <w:top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w:t>
            </w:r>
          </w:p>
        </w:tc>
        <w:tc>
          <w:tcPr>
            <w:tcW w:w="1418" w:type="dxa"/>
            <w:tcBorders>
              <w:top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15</w:t>
            </w:r>
          </w:p>
        </w:tc>
        <w:tc>
          <w:tcPr>
            <w:tcW w:w="1743" w:type="dxa"/>
            <w:tcBorders>
              <w:top w:val="single" w:color="auto" w:sz="2"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695.78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695.78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695.78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695.78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362.62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362.62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362.62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362.62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220.19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220.19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220.19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220.19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148.37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148.37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148.37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148.37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106.96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107.16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107.16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107.16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600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72.12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81.27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81.27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81.27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700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31.26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63.92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63.92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63.92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8.49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51.69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51.69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51.69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900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1.79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42.73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42.73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42.73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0.34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35.91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35.96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35.96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1500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4.89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18.47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18.49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0.06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7.00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11.39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2500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0.54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6.31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3000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0.02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1.35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3500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0.13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4000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0.01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4" w:hRule="exact"/>
          <w:jc w:val="center"/>
        </w:trPr>
        <w:tc>
          <w:tcPr>
            <w:tcW w:w="1931" w:type="dxa"/>
            <w:tcBorders>
              <w:top w:val="single" w:color="auto" w:sz="4" w:space="0"/>
              <w:left w:val="single" w:color="auto" w:sz="2"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4500</w:t>
            </w:r>
          </w:p>
        </w:tc>
        <w:tc>
          <w:tcPr>
            <w:tcW w:w="1887"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4"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743" w:type="dxa"/>
            <w:tcBorders>
              <w:top w:val="single" w:color="auto" w:sz="4" w:space="0"/>
              <w:bottom w:val="single" w:color="auto" w:sz="4"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Ex>
        <w:trPr>
          <w:trHeight w:val="284" w:hRule="exact"/>
          <w:jc w:val="center"/>
        </w:trPr>
        <w:tc>
          <w:tcPr>
            <w:tcW w:w="1931" w:type="dxa"/>
            <w:tcBorders>
              <w:top w:val="single" w:color="auto" w:sz="4" w:space="0"/>
              <w:left w:val="single" w:color="auto" w:sz="2" w:space="0"/>
              <w:bottom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5000</w:t>
            </w:r>
          </w:p>
        </w:tc>
        <w:tc>
          <w:tcPr>
            <w:tcW w:w="1887" w:type="dxa"/>
            <w:tcBorders>
              <w:top w:val="single" w:color="auto" w:sz="4" w:space="0"/>
              <w:bottom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418" w:type="dxa"/>
            <w:tcBorders>
              <w:top w:val="single" w:color="auto" w:sz="4" w:space="0"/>
              <w:bottom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c>
          <w:tcPr>
            <w:tcW w:w="1743" w:type="dxa"/>
            <w:tcBorders>
              <w:top w:val="single" w:color="auto" w:sz="4" w:space="0"/>
              <w:bottom w:val="single" w:color="auto" w:sz="2" w:space="0"/>
              <w:right w:val="single" w:color="auto" w:sz="2" w:space="0"/>
            </w:tcBorders>
            <w:vAlign w:val="center"/>
          </w:tcPr>
          <w:p>
            <w:pPr>
              <w:widowControl/>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 xml:space="preserve">0.00 </w:t>
            </w:r>
          </w:p>
        </w:tc>
      </w:tr>
    </w:tbl>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表4.4-7爆炸事故一氧化碳影响统计结果</w:t>
      </w:r>
    </w:p>
    <w:tbl>
      <w:tblPr>
        <w:tblStyle w:val="75"/>
        <w:tblW w:w="85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61"/>
        <w:gridCol w:w="38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污染物质</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一氧化碳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最大落地浓度（mg/m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rPr>
              <w:t>1918.68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出现距离（m）</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半致死浓度范围（m）</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半致死浓度面积（m</w:t>
            </w:r>
            <w:r>
              <w:rPr>
                <w:rFonts w:hint="default" w:ascii="Times New Roman" w:hAnsi="Times New Roman" w:eastAsia="宋体" w:cs="Times New Roman"/>
                <w:color w:val="auto"/>
                <w:kern w:val="0"/>
                <w:szCs w:val="21"/>
                <w:vertAlign w:val="superscript"/>
              </w:rPr>
              <w:t>2</w:t>
            </w:r>
            <w:r>
              <w:rPr>
                <w:rFonts w:hint="default" w:ascii="Times New Roman" w:hAnsi="Times New Roman" w:eastAsia="宋体" w:cs="Times New Roman"/>
                <w:color w:val="auto"/>
                <w:kern w:val="0"/>
                <w:szCs w:val="21"/>
              </w:rPr>
              <w:t>）</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MAC/PC-TWA</w:t>
            </w:r>
            <w:r>
              <w:rPr>
                <w:rFonts w:hint="default" w:ascii="Times New Roman" w:hAnsi="Times New Roman" w:eastAsia="宋体" w:cs="Times New Roman"/>
                <w:color w:val="auto"/>
                <w:kern w:val="0"/>
                <w:szCs w:val="21"/>
              </w:rPr>
              <w:t>（m）</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1321.1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66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环境质量标准（m）</w:t>
            </w:r>
          </w:p>
        </w:tc>
        <w:tc>
          <w:tcPr>
            <w:tcW w:w="3871" w:type="dxa"/>
            <w:vAlign w:val="center"/>
          </w:tcPr>
          <w:p>
            <w:pPr>
              <w:spacing w:line="360" w:lineRule="auto"/>
              <w:jc w:val="center"/>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2011.8</w:t>
            </w:r>
          </w:p>
        </w:tc>
      </w:tr>
    </w:tbl>
    <w:p>
      <w:pPr>
        <w:pStyle w:val="559"/>
        <w:spacing w:before="120" w:beforeLines="50"/>
        <w:ind w:firstLine="0" w:firstLineChars="0"/>
        <w:jc w:val="center"/>
        <w:rPr>
          <w:rFonts w:hint="default" w:ascii="Times New Roman" w:hAnsi="Times New Roman" w:eastAsia="宋体" w:cs="Times New Roman"/>
          <w:color w:val="auto"/>
        </w:rPr>
      </w:pPr>
      <w:r>
        <w:rPr>
          <w:rFonts w:hint="default" w:ascii="Times New Roman" w:hAnsi="Times New Roman" w:eastAsia="宋体" w:cs="Times New Roman"/>
          <w:color w:val="auto"/>
        </w:rPr>
        <w:object>
          <v:shape id="_x0000_i1040" o:spt="75" type="#_x0000_t75" style="height:310.5pt;width:386.25pt;" o:ole="t" filled="f" o:preferrelative="t" stroked="f" coordsize="21600,21600">
            <v:path/>
            <v:fill on="f" focussize="0,0"/>
            <v:stroke on="f" joinstyle="miter"/>
            <v:imagedata r:id="rId47" o:title=""/>
            <o:lock v:ext="edit" aspectratio="t"/>
            <w10:wrap type="none"/>
            <w10:anchorlock/>
          </v:shape>
          <o:OLEObject Type="Embed" ProgID="Visio.Drawing.11" ShapeID="_x0000_i1040" DrawAspect="Content" ObjectID="_1468075740" r:id="rId46">
            <o:LockedField>false</o:LockedField>
          </o:OLEObject>
        </w:object>
      </w:r>
    </w:p>
    <w:p>
      <w:pPr>
        <w:pStyle w:val="559"/>
        <w:ind w:firstLine="482"/>
        <w:jc w:val="center"/>
        <w:rPr>
          <w:rFonts w:hint="default" w:ascii="Times New Roman" w:hAnsi="Times New Roman" w:eastAsia="宋体" w:cs="Times New Roman"/>
          <w:b/>
          <w:color w:val="auto"/>
        </w:rPr>
      </w:pPr>
      <w:r>
        <w:rPr>
          <w:rFonts w:hint="default" w:ascii="Times New Roman" w:hAnsi="Times New Roman" w:eastAsia="宋体" w:cs="Times New Roman"/>
          <w:b/>
          <w:color w:val="auto"/>
        </w:rPr>
        <w:t>图4.4-2  一氧化碳浓度范围图</w:t>
      </w:r>
    </w:p>
    <w:p>
      <w:pPr>
        <w:pStyle w:val="559"/>
        <w:spacing w:line="440" w:lineRule="exact"/>
        <w:rPr>
          <w:rFonts w:hint="default" w:ascii="Times New Roman" w:hAnsi="Times New Roman" w:eastAsia="宋体" w:cs="Times New Roman"/>
          <w:color w:val="auto"/>
          <w:kern w:val="2"/>
          <w:position w:val="0"/>
          <w:sz w:val="24"/>
          <w:szCs w:val="24"/>
          <w:lang w:val="en-US" w:eastAsia="zh-CN" w:bidi="ar-SA"/>
        </w:rPr>
      </w:pPr>
      <w:r>
        <w:rPr>
          <w:rFonts w:hint="default" w:ascii="Times New Roman" w:hAnsi="Times New Roman" w:eastAsia="宋体" w:cs="Times New Roman"/>
          <w:color w:val="auto"/>
          <w:kern w:val="2"/>
          <w:position w:val="0"/>
          <w:sz w:val="24"/>
          <w:szCs w:val="24"/>
          <w:lang w:val="en-US" w:eastAsia="zh-CN" w:bidi="ar-SA"/>
        </w:rPr>
        <w:t>有风D稳定度条件下，事故发生后CO最大落地浓度为1918.68mg/m</w:t>
      </w:r>
      <w:r>
        <w:rPr>
          <w:rFonts w:hint="default" w:ascii="Times New Roman" w:hAnsi="Times New Roman" w:eastAsia="宋体" w:cs="Times New Roman"/>
          <w:color w:val="auto"/>
          <w:kern w:val="2"/>
          <w:position w:val="0"/>
          <w:sz w:val="24"/>
          <w:szCs w:val="24"/>
          <w:vertAlign w:val="superscript"/>
          <w:lang w:val="en-US" w:eastAsia="zh-CN" w:bidi="ar-SA"/>
        </w:rPr>
        <w:t>3</w:t>
      </w:r>
      <w:r>
        <w:rPr>
          <w:rFonts w:hint="default" w:ascii="Times New Roman" w:hAnsi="Times New Roman" w:eastAsia="宋体" w:cs="Times New Roman"/>
          <w:color w:val="auto"/>
          <w:kern w:val="2"/>
          <w:position w:val="0"/>
          <w:sz w:val="24"/>
          <w:szCs w:val="24"/>
          <w:lang w:val="en-US" w:eastAsia="zh-CN" w:bidi="ar-SA"/>
        </w:rPr>
        <w:t>，最大落地浓度距离为距离储罐25m处，CO最大落地浓度低于其半致死浓度；一氧化碳半致死浓度为2069mg/m</w:t>
      </w:r>
      <w:r>
        <w:rPr>
          <w:rFonts w:hint="default" w:ascii="Times New Roman" w:hAnsi="Times New Roman" w:eastAsia="宋体" w:cs="Times New Roman"/>
          <w:color w:val="auto"/>
          <w:kern w:val="2"/>
          <w:position w:val="0"/>
          <w:sz w:val="24"/>
          <w:szCs w:val="24"/>
          <w:vertAlign w:val="superscript"/>
          <w:lang w:val="en-US" w:eastAsia="zh-CN" w:bidi="ar-SA"/>
        </w:rPr>
        <w:t>3</w:t>
      </w:r>
      <w:r>
        <w:rPr>
          <w:rFonts w:hint="default" w:ascii="Times New Roman" w:hAnsi="Times New Roman" w:eastAsia="宋体" w:cs="Times New Roman"/>
          <w:color w:val="auto"/>
          <w:kern w:val="2"/>
          <w:position w:val="0"/>
          <w:sz w:val="24"/>
          <w:szCs w:val="24"/>
          <w:lang w:val="en-US" w:eastAsia="zh-CN" w:bidi="ar-SA"/>
        </w:rPr>
        <w:t>，无超过半致死浓度范围，另外，在爆炸发生的时间内，液化石油压力球罐周围约240m的人可能会有严重头痛、眩晕的反应，因此，如果抢救人员在此时进行事故处理，应做好个人防护，减轻事故对人体的伤害。</w:t>
      </w:r>
    </w:p>
    <w:p>
      <w:pPr>
        <w:pStyle w:val="559"/>
        <w:spacing w:line="440" w:lineRule="exact"/>
        <w:rPr>
          <w:rFonts w:hint="default" w:ascii="Times New Roman" w:hAnsi="Times New Roman" w:eastAsia="宋体" w:cs="Times New Roman"/>
          <w:color w:val="auto"/>
          <w:kern w:val="2"/>
          <w:position w:val="0"/>
          <w:sz w:val="24"/>
          <w:szCs w:val="24"/>
          <w:lang w:val="en-US" w:eastAsia="zh-CN" w:bidi="ar-SA"/>
        </w:rPr>
      </w:pPr>
      <w:r>
        <w:rPr>
          <w:rFonts w:hint="default" w:ascii="Times New Roman" w:hAnsi="Times New Roman" w:eastAsia="宋体" w:cs="Times New Roman"/>
          <w:color w:val="auto"/>
          <w:kern w:val="2"/>
          <w:position w:val="0"/>
          <w:sz w:val="24"/>
          <w:szCs w:val="24"/>
          <w:lang w:val="en-US" w:eastAsia="zh-CN" w:bidi="ar-SA"/>
        </w:rPr>
        <w:t>经调查，项目所在区域主导风向为东北风，下风向240m范围内的人员无居民区等环境敏感点，因此对环境影响较小。</w:t>
      </w:r>
    </w:p>
    <w:p>
      <w:pPr>
        <w:pStyle w:val="559"/>
        <w:spacing w:line="440" w:lineRule="exact"/>
        <w:rPr>
          <w:rFonts w:hint="default" w:ascii="Times New Roman" w:hAnsi="Times New Roman" w:eastAsia="宋体" w:cs="Times New Roman"/>
          <w:color w:val="auto"/>
          <w:position w:val="0"/>
        </w:rPr>
      </w:pPr>
    </w:p>
    <w:p>
      <w:pPr>
        <w:spacing w:before="120" w:beforeLines="50" w:line="360" w:lineRule="auto"/>
        <w:jc w:val="center"/>
        <w:rPr>
          <w:rFonts w:hint="default" w:ascii="Times New Roman" w:hAnsi="Times New Roman" w:eastAsia="宋体" w:cs="Times New Roman"/>
          <w:b/>
          <w:color w:val="auto"/>
          <w:sz w:val="24"/>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0"/>
        <w:rPr>
          <w:rFonts w:hint="default" w:ascii="Times New Roman" w:hAnsi="Times New Roman" w:eastAsia="宋体" w:cs="Times New Roman"/>
          <w:b/>
          <w:bCs/>
          <w:color w:val="auto"/>
          <w:kern w:val="0"/>
          <w:sz w:val="30"/>
          <w:szCs w:val="30"/>
        </w:rPr>
      </w:pPr>
      <w:bookmarkStart w:id="219" w:name="_Toc523580105"/>
      <w:bookmarkStart w:id="220" w:name="_Toc13166"/>
      <w:r>
        <w:rPr>
          <w:rFonts w:hint="default" w:ascii="Times New Roman" w:hAnsi="Times New Roman" w:eastAsia="宋体" w:cs="Times New Roman"/>
          <w:b/>
          <w:bCs/>
          <w:color w:val="auto"/>
          <w:kern w:val="0"/>
          <w:sz w:val="30"/>
          <w:szCs w:val="30"/>
        </w:rPr>
        <w:t>5现有环境风险防控和应急措施差距分析</w:t>
      </w:r>
      <w:bookmarkEnd w:id="219"/>
      <w:bookmarkEnd w:id="220"/>
    </w:p>
    <w:p>
      <w:pPr>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根据对公司基本信息、现有应急资源情况、可能发生的突发环境事件及后果情景的分析，从以下五个方面对现有环境风险防控与应急措施的完备性、可靠性和有效性进行分析论证，提出完善或整改建议，见表5-1。</w:t>
      </w: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表5-1 现有环境风险防控措施有效性分析</w:t>
      </w:r>
    </w:p>
    <w:tbl>
      <w:tblPr>
        <w:tblStyle w:val="75"/>
        <w:tblW w:w="9180" w:type="dxa"/>
        <w:jc w:val="center"/>
        <w:tblLayout w:type="fixed"/>
        <w:tblCellMar>
          <w:top w:w="0" w:type="dxa"/>
          <w:left w:w="108" w:type="dxa"/>
          <w:bottom w:w="0" w:type="dxa"/>
          <w:right w:w="108" w:type="dxa"/>
        </w:tblCellMar>
      </w:tblPr>
      <w:tblGrid>
        <w:gridCol w:w="1101"/>
        <w:gridCol w:w="2215"/>
        <w:gridCol w:w="2888"/>
        <w:gridCol w:w="2976"/>
      </w:tblGrid>
      <w:tr>
        <w:tblPrEx>
          <w:tblCellMar>
            <w:top w:w="0" w:type="dxa"/>
            <w:left w:w="108" w:type="dxa"/>
            <w:bottom w:w="0" w:type="dxa"/>
            <w:right w:w="108" w:type="dxa"/>
          </w:tblCellMar>
        </w:tblPrEx>
        <w:trPr>
          <w:trHeight w:val="589" w:hRule="atLeast"/>
          <w:jc w:val="center"/>
        </w:trPr>
        <w:tc>
          <w:tcPr>
            <w:tcW w:w="1101"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措施类别</w:t>
            </w:r>
          </w:p>
        </w:tc>
        <w:tc>
          <w:tcPr>
            <w:tcW w:w="2215"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现有情况</w:t>
            </w:r>
          </w:p>
        </w:tc>
        <w:tc>
          <w:tcPr>
            <w:tcW w:w="2888"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有效性分析</w:t>
            </w:r>
          </w:p>
        </w:tc>
        <w:tc>
          <w:tcPr>
            <w:tcW w:w="2976" w:type="dxa"/>
            <w:tcBorders>
              <w:top w:val="single" w:color="000000" w:sz="4" w:space="0"/>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Cs w:val="21"/>
              </w:rPr>
            </w:pPr>
            <w:r>
              <w:rPr>
                <w:rFonts w:hint="default" w:ascii="Times New Roman" w:hAnsi="Times New Roman" w:eastAsia="宋体" w:cs="Times New Roman"/>
                <w:b/>
                <w:bCs/>
                <w:color w:val="auto"/>
                <w:kern w:val="0"/>
                <w:szCs w:val="21"/>
              </w:rPr>
              <w:t>完善整改建议</w:t>
            </w:r>
          </w:p>
        </w:tc>
      </w:tr>
      <w:tr>
        <w:tblPrEx>
          <w:tblCellMar>
            <w:top w:w="0" w:type="dxa"/>
            <w:left w:w="108" w:type="dxa"/>
            <w:bottom w:w="0" w:type="dxa"/>
            <w:right w:w="108" w:type="dxa"/>
          </w:tblCellMar>
        </w:tblPrEx>
        <w:trPr>
          <w:trHeight w:val="1293" w:hRule="atLeast"/>
          <w:jc w:val="center"/>
        </w:trPr>
        <w:tc>
          <w:tcPr>
            <w:tcW w:w="1101" w:type="dxa"/>
            <w:vMerge w:val="restart"/>
            <w:tcBorders>
              <w:top w:val="single" w:color="000000" w:sz="4" w:space="0"/>
              <w:left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环境风</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险管理</w:t>
            </w:r>
          </w:p>
          <w:p>
            <w:pPr>
              <w:spacing w:line="240" w:lineRule="atLeast"/>
              <w:jc w:val="center"/>
              <w:rPr>
                <w:rFonts w:hint="default" w:ascii="Times New Roman" w:hAnsi="Times New Roman" w:eastAsia="宋体" w:cs="Times New Roman"/>
                <w:b/>
                <w:bCs/>
                <w:color w:val="auto"/>
                <w:kern w:val="0"/>
                <w:sz w:val="28"/>
                <w:szCs w:val="28"/>
              </w:rPr>
            </w:pPr>
            <w:r>
              <w:rPr>
                <w:rFonts w:hint="default" w:ascii="Times New Roman" w:hAnsi="Times New Roman" w:eastAsia="宋体" w:cs="Times New Roman"/>
                <w:bCs/>
                <w:color w:val="auto"/>
                <w:kern w:val="0"/>
                <w:szCs w:val="21"/>
              </w:rPr>
              <w:t>制度</w:t>
            </w:r>
          </w:p>
        </w:tc>
        <w:tc>
          <w:tcPr>
            <w:tcW w:w="2215" w:type="dxa"/>
            <w:tcBorders>
              <w:top w:val="single" w:color="000000" w:sz="4" w:space="0"/>
              <w:left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未建立全面的环境隐患排查及治理制度。</w:t>
            </w:r>
          </w:p>
        </w:tc>
        <w:tc>
          <w:tcPr>
            <w:tcW w:w="2888" w:type="dxa"/>
            <w:tcBorders>
              <w:top w:val="single" w:color="000000" w:sz="4" w:space="0"/>
              <w:left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日常情况的环境隐患排查仅涉及甲醇、</w:t>
            </w:r>
            <w:r>
              <w:rPr>
                <w:rFonts w:hint="default" w:ascii="Times New Roman" w:hAnsi="Times New Roman" w:eastAsia="宋体" w:cs="Times New Roman"/>
                <w:bCs/>
                <w:color w:val="auto"/>
                <w:szCs w:val="21"/>
              </w:rPr>
              <w:t>MTBE等</w:t>
            </w:r>
            <w:r>
              <w:rPr>
                <w:rFonts w:hint="default" w:ascii="Times New Roman" w:hAnsi="Times New Roman" w:eastAsia="宋体" w:cs="Times New Roman"/>
                <w:bCs/>
                <w:color w:val="auto"/>
                <w:kern w:val="0"/>
                <w:szCs w:val="21"/>
              </w:rPr>
              <w:t>罐区、雨水管网等重点区域，未对其他环境风险物质泄漏风险防控措施开展排查，隐患排查不全面。</w:t>
            </w:r>
          </w:p>
        </w:tc>
        <w:tc>
          <w:tcPr>
            <w:tcW w:w="2976" w:type="dxa"/>
            <w:tcBorders>
              <w:top w:val="single" w:color="000000" w:sz="4" w:space="0"/>
              <w:left w:val="single" w:color="000000" w:sz="4" w:space="0"/>
              <w:right w:val="single" w:color="000000" w:sz="4" w:space="0"/>
            </w:tcBorders>
            <w:vAlign w:val="center"/>
          </w:tcPr>
          <w:p>
            <w:pPr>
              <w:spacing w:line="240" w:lineRule="atLeast"/>
              <w:rPr>
                <w:rFonts w:hint="default" w:ascii="Times New Roman" w:hAnsi="Times New Roman" w:eastAsia="宋体" w:cs="Times New Roman"/>
                <w:b/>
                <w:bCs/>
                <w:color w:val="auto"/>
                <w:kern w:val="0"/>
                <w:sz w:val="28"/>
                <w:szCs w:val="28"/>
              </w:rPr>
            </w:pPr>
            <w:r>
              <w:rPr>
                <w:rFonts w:hint="default" w:ascii="Times New Roman" w:hAnsi="Times New Roman" w:eastAsia="宋体" w:cs="Times New Roman"/>
                <w:bCs/>
                <w:color w:val="auto"/>
                <w:kern w:val="0"/>
                <w:szCs w:val="21"/>
              </w:rPr>
              <w:t>应针对所有涉气涉水环境风险风险防控措施全面开展排查，编制隐患排查治理工作方案和计划表。</w:t>
            </w:r>
          </w:p>
        </w:tc>
      </w:tr>
      <w:tr>
        <w:tblPrEx>
          <w:tblCellMar>
            <w:top w:w="0" w:type="dxa"/>
            <w:left w:w="108" w:type="dxa"/>
            <w:bottom w:w="0" w:type="dxa"/>
            <w:right w:w="108" w:type="dxa"/>
          </w:tblCellMar>
        </w:tblPrEx>
        <w:trPr>
          <w:trHeight w:val="20" w:hRule="atLeast"/>
          <w:jc w:val="center"/>
        </w:trPr>
        <w:tc>
          <w:tcPr>
            <w:tcW w:w="1101" w:type="dxa"/>
            <w:vMerge w:val="continue"/>
            <w:tcBorders>
              <w:left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 w:val="28"/>
                <w:szCs w:val="28"/>
              </w:rPr>
            </w:pPr>
          </w:p>
        </w:tc>
        <w:tc>
          <w:tcPr>
            <w:tcW w:w="2215"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未建立环境风险防控和应急措施制度。</w:t>
            </w:r>
          </w:p>
        </w:tc>
        <w:tc>
          <w:tcPr>
            <w:tcW w:w="2888"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未明确环境风险防控重点岗位的责任人或责任机构，落实定期巡检和维护责任制度。</w:t>
            </w:r>
          </w:p>
        </w:tc>
        <w:tc>
          <w:tcPr>
            <w:tcW w:w="2976"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落实所有涉气涉水环境风险防控重点岗位的责任人或责任机构，落实定期巡检和维护责任制度。</w:t>
            </w:r>
          </w:p>
        </w:tc>
      </w:tr>
      <w:tr>
        <w:tblPrEx>
          <w:tblCellMar>
            <w:top w:w="0" w:type="dxa"/>
            <w:left w:w="108" w:type="dxa"/>
            <w:bottom w:w="0" w:type="dxa"/>
            <w:right w:w="108" w:type="dxa"/>
          </w:tblCellMar>
        </w:tblPrEx>
        <w:trPr>
          <w:trHeight w:val="20" w:hRule="atLeast"/>
          <w:jc w:val="center"/>
        </w:trPr>
        <w:tc>
          <w:tcPr>
            <w:tcW w:w="1101" w:type="dxa"/>
            <w:vMerge w:val="continue"/>
            <w:tcBorders>
              <w:left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 w:val="28"/>
                <w:szCs w:val="28"/>
              </w:rPr>
            </w:pPr>
          </w:p>
        </w:tc>
        <w:tc>
          <w:tcPr>
            <w:tcW w:w="2215"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暂未对职工开展环境风险和环境应急管理宣传和培训。</w:t>
            </w:r>
          </w:p>
        </w:tc>
        <w:tc>
          <w:tcPr>
            <w:tcW w:w="2888"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员工环境风险防控意识不强，环境应急管理能力较弱</w:t>
            </w:r>
          </w:p>
        </w:tc>
        <w:tc>
          <w:tcPr>
            <w:tcW w:w="2976"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预案制订后立即开展培训。</w:t>
            </w:r>
          </w:p>
        </w:tc>
      </w:tr>
      <w:tr>
        <w:tblPrEx>
          <w:tblCellMar>
            <w:top w:w="0" w:type="dxa"/>
            <w:left w:w="108" w:type="dxa"/>
            <w:bottom w:w="0" w:type="dxa"/>
            <w:right w:w="108" w:type="dxa"/>
          </w:tblCellMar>
        </w:tblPrEx>
        <w:trPr>
          <w:trHeight w:val="20" w:hRule="atLeast"/>
          <w:jc w:val="center"/>
        </w:trPr>
        <w:tc>
          <w:tcPr>
            <w:tcW w:w="1101" w:type="dxa"/>
            <w:vMerge w:val="continue"/>
            <w:tcBorders>
              <w:left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 w:val="28"/>
                <w:szCs w:val="28"/>
              </w:rPr>
            </w:pPr>
          </w:p>
        </w:tc>
        <w:tc>
          <w:tcPr>
            <w:tcW w:w="2215"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暂未建立以岗位操作人员、中心负责人、公司总经理逐级上报的突发环境事件信息报告制度。</w:t>
            </w:r>
          </w:p>
        </w:tc>
        <w:tc>
          <w:tcPr>
            <w:tcW w:w="2888"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突发环境事件信息报告不规范。</w:t>
            </w:r>
          </w:p>
        </w:tc>
        <w:tc>
          <w:tcPr>
            <w:tcW w:w="2976"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建立有效的突发环境事件信息报告制度。</w:t>
            </w:r>
          </w:p>
        </w:tc>
      </w:tr>
      <w:tr>
        <w:trPr>
          <w:trHeight w:val="20" w:hRule="atLeast"/>
          <w:jc w:val="center"/>
        </w:trPr>
        <w:tc>
          <w:tcPr>
            <w:tcW w:w="1101" w:type="dxa"/>
            <w:vMerge w:val="continue"/>
            <w:tcBorders>
              <w:left w:val="single" w:color="000000" w:sz="4" w:space="0"/>
              <w:bottom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
                <w:bCs/>
                <w:color w:val="auto"/>
                <w:kern w:val="0"/>
                <w:sz w:val="28"/>
                <w:szCs w:val="28"/>
              </w:rPr>
            </w:pPr>
          </w:p>
        </w:tc>
        <w:tc>
          <w:tcPr>
            <w:tcW w:w="2215"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环境应急预案演练工作需要加强。</w:t>
            </w:r>
          </w:p>
        </w:tc>
        <w:tc>
          <w:tcPr>
            <w:tcW w:w="2888"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定期开展应急演练，设定煤气泄漏等情景进行模拟。</w:t>
            </w:r>
          </w:p>
        </w:tc>
        <w:tc>
          <w:tcPr>
            <w:tcW w:w="2976" w:type="dxa"/>
            <w:tcBorders>
              <w:top w:val="single" w:color="000000" w:sz="4" w:space="0"/>
              <w:left w:val="single" w:color="000000" w:sz="4" w:space="0"/>
              <w:bottom w:val="single" w:color="000000" w:sz="4" w:space="0"/>
              <w:right w:val="single" w:color="000000" w:sz="4" w:space="0"/>
            </w:tcBorders>
            <w:vAlign w:val="center"/>
          </w:tcPr>
          <w:p>
            <w:pPr>
              <w:spacing w:line="240" w:lineRule="atLeas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每年至少开展一次环境应急预案演练。</w:t>
            </w:r>
          </w:p>
        </w:tc>
      </w:tr>
      <w:tr>
        <w:tblPrEx>
          <w:tblCellMar>
            <w:top w:w="0" w:type="dxa"/>
            <w:left w:w="108" w:type="dxa"/>
            <w:bottom w:w="0" w:type="dxa"/>
            <w:right w:w="108" w:type="dxa"/>
          </w:tblCellMar>
        </w:tblPrEx>
        <w:trPr>
          <w:trHeight w:val="520" w:hRule="atLeast"/>
          <w:jc w:val="center"/>
        </w:trPr>
        <w:tc>
          <w:tcPr>
            <w:tcW w:w="1101" w:type="dxa"/>
            <w:vMerge w:val="restart"/>
            <w:tcBorders>
              <w:top w:val="single" w:color="000000" w:sz="4" w:space="0"/>
              <w:left w:val="single" w:color="000000" w:sz="4" w:space="0"/>
              <w:right w:val="single" w:color="000000" w:sz="4" w:space="0"/>
            </w:tcBorders>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环境应</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急资源</w:t>
            </w:r>
          </w:p>
        </w:tc>
        <w:tc>
          <w:tcPr>
            <w:tcW w:w="2215" w:type="dxa"/>
            <w:tcBorders>
              <w:top w:val="single" w:color="000000" w:sz="4" w:space="0"/>
              <w:left w:val="single" w:color="000000" w:sz="4" w:space="0"/>
              <w:bottom w:val="single" w:color="000000" w:sz="4" w:space="0"/>
              <w:right w:val="single" w:color="000000" w:sz="4" w:space="0"/>
            </w:tcBorders>
            <w:vAlign w:val="center"/>
          </w:tcPr>
          <w:p>
            <w:pPr>
              <w:overflowPunct w:val="0"/>
              <w:autoSpaceDE w:val="0"/>
              <w:autoSpaceDN w:val="0"/>
              <w:spacing w:line="240" w:lineRule="atLeast"/>
              <w:textAlignment w:val="baseline"/>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各原辅材料装卸区域设沙土箱。</w:t>
            </w:r>
          </w:p>
        </w:tc>
        <w:tc>
          <w:tcPr>
            <w:tcW w:w="2888" w:type="dxa"/>
            <w:tcBorders>
              <w:top w:val="single" w:color="000000" w:sz="4" w:space="0"/>
              <w:left w:val="single" w:color="000000" w:sz="4" w:space="0"/>
              <w:bottom w:val="single" w:color="000000" w:sz="4" w:space="0"/>
              <w:right w:val="single" w:color="000000" w:sz="4" w:space="0"/>
            </w:tcBorders>
            <w:vAlign w:val="center"/>
          </w:tcPr>
          <w:p>
            <w:pPr>
              <w:overflowPunct w:val="0"/>
              <w:autoSpaceDE w:val="0"/>
              <w:autoSpaceDN w:val="0"/>
              <w:spacing w:line="240" w:lineRule="atLeast"/>
              <w:textAlignment w:val="baseline"/>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现场配置</w:t>
            </w:r>
            <w:r>
              <w:rPr>
                <w:rFonts w:hint="default" w:ascii="Times New Roman" w:hAnsi="Times New Roman" w:eastAsia="宋体" w:cs="Times New Roman"/>
                <w:color w:val="auto"/>
                <w:kern w:val="0"/>
                <w:szCs w:val="21"/>
              </w:rPr>
              <w:t>沙土袋，泄漏物</w:t>
            </w:r>
            <w:r>
              <w:rPr>
                <w:rFonts w:hint="default" w:ascii="Times New Roman" w:hAnsi="Times New Roman" w:eastAsia="宋体" w:cs="Times New Roman"/>
                <w:bCs/>
                <w:color w:val="auto"/>
                <w:kern w:val="0"/>
                <w:szCs w:val="21"/>
              </w:rPr>
              <w:t>可以有效围堵，避免发生漫流，增加污染扩大范围。</w:t>
            </w:r>
          </w:p>
        </w:tc>
        <w:tc>
          <w:tcPr>
            <w:tcW w:w="2976" w:type="dxa"/>
            <w:tcBorders>
              <w:top w:val="single" w:color="000000" w:sz="4" w:space="0"/>
              <w:left w:val="single" w:color="000000" w:sz="4" w:space="0"/>
              <w:bottom w:val="single" w:color="000000" w:sz="4" w:space="0"/>
              <w:right w:val="single" w:color="000000" w:sz="4" w:space="0"/>
            </w:tcBorders>
            <w:vAlign w:val="center"/>
          </w:tcPr>
          <w:p>
            <w:pPr>
              <w:overflowPunct w:val="0"/>
              <w:autoSpaceDE w:val="0"/>
              <w:autoSpaceDN w:val="0"/>
              <w:spacing w:before="120" w:after="120" w:line="240" w:lineRule="atLeast"/>
              <w:textAlignment w:val="baseline"/>
              <w:rPr>
                <w:rFonts w:hint="default" w:ascii="Times New Roman" w:hAnsi="Times New Roman" w:eastAsia="宋体" w:cs="Times New Roman"/>
                <w:bCs/>
                <w:color w:val="auto"/>
                <w:kern w:val="0"/>
                <w:szCs w:val="21"/>
              </w:rPr>
            </w:pPr>
            <w:r>
              <w:rPr>
                <w:rFonts w:hint="default" w:ascii="Times New Roman" w:hAnsi="Times New Roman" w:eastAsia="宋体" w:cs="Times New Roman"/>
                <w:color w:val="auto"/>
                <w:kern w:val="0"/>
                <w:szCs w:val="21"/>
              </w:rPr>
              <w:t>加强管理，确保发生泄漏时可以有效围堵泄漏物。</w:t>
            </w:r>
          </w:p>
        </w:tc>
      </w:tr>
      <w:tr>
        <w:tblPrEx>
          <w:tblCellMar>
            <w:top w:w="0" w:type="dxa"/>
            <w:left w:w="108" w:type="dxa"/>
            <w:bottom w:w="0" w:type="dxa"/>
            <w:right w:w="108" w:type="dxa"/>
          </w:tblCellMar>
        </w:tblPrEx>
        <w:trPr>
          <w:trHeight w:val="520" w:hRule="atLeast"/>
          <w:jc w:val="center"/>
        </w:trPr>
        <w:tc>
          <w:tcPr>
            <w:tcW w:w="1101" w:type="dxa"/>
            <w:vMerge w:val="continue"/>
            <w:tcBorders>
              <w:left w:val="single" w:color="000000" w:sz="4" w:space="0"/>
              <w:bottom w:val="single" w:color="auto" w:sz="4" w:space="0"/>
              <w:right w:val="single" w:color="000000" w:sz="4" w:space="0"/>
            </w:tcBorders>
            <w:vAlign w:val="center"/>
          </w:tcPr>
          <w:p>
            <w:pPr>
              <w:spacing w:line="240" w:lineRule="atLeast"/>
              <w:jc w:val="center"/>
              <w:rPr>
                <w:rFonts w:hint="default" w:ascii="Times New Roman" w:hAnsi="Times New Roman" w:eastAsia="宋体" w:cs="Times New Roman"/>
                <w:bCs/>
                <w:color w:val="auto"/>
                <w:kern w:val="0"/>
                <w:szCs w:val="21"/>
              </w:rPr>
            </w:pPr>
          </w:p>
        </w:tc>
        <w:tc>
          <w:tcPr>
            <w:tcW w:w="2215" w:type="dxa"/>
            <w:tcBorders>
              <w:top w:val="single" w:color="000000" w:sz="4" w:space="0"/>
              <w:left w:val="single" w:color="000000" w:sz="4" w:space="0"/>
              <w:bottom w:val="single" w:color="auto" w:sz="4" w:space="0"/>
              <w:right w:val="single" w:color="000000" w:sz="4" w:space="0"/>
            </w:tcBorders>
            <w:vAlign w:val="center"/>
          </w:tcPr>
          <w:p>
            <w:pPr>
              <w:overflowPunct w:val="0"/>
              <w:autoSpaceDE w:val="0"/>
              <w:autoSpaceDN w:val="0"/>
              <w:spacing w:line="240" w:lineRule="atLeast"/>
              <w:textAlignment w:val="baseline"/>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暂未准备</w:t>
            </w:r>
            <w:r>
              <w:rPr>
                <w:rFonts w:hint="eastAsia" w:cs="Times New Roman"/>
                <w:color w:val="auto"/>
                <w:kern w:val="0"/>
                <w:szCs w:val="21"/>
                <w:lang w:val="en-US" w:eastAsia="zh-CN"/>
              </w:rPr>
              <w:t>吸油毡</w:t>
            </w:r>
            <w:r>
              <w:rPr>
                <w:rFonts w:hint="default" w:ascii="Times New Roman" w:hAnsi="Times New Roman" w:eastAsia="宋体" w:cs="Times New Roman"/>
                <w:color w:val="auto"/>
                <w:kern w:val="0"/>
                <w:szCs w:val="21"/>
              </w:rPr>
              <w:t>等处置物资。</w:t>
            </w:r>
          </w:p>
        </w:tc>
        <w:tc>
          <w:tcPr>
            <w:tcW w:w="2888" w:type="dxa"/>
            <w:tcBorders>
              <w:top w:val="single" w:color="000000" w:sz="4" w:space="0"/>
              <w:left w:val="single" w:color="000000" w:sz="4" w:space="0"/>
              <w:bottom w:val="single" w:color="auto" w:sz="4" w:space="0"/>
              <w:right w:val="single" w:color="000000" w:sz="4" w:space="0"/>
            </w:tcBorders>
            <w:vAlign w:val="center"/>
          </w:tcPr>
          <w:p>
            <w:pPr>
              <w:overflowPunct w:val="0"/>
              <w:autoSpaceDE w:val="0"/>
              <w:autoSpaceDN w:val="0"/>
              <w:spacing w:line="240" w:lineRule="atLeast"/>
              <w:textAlignment w:val="baseline"/>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如事故废水泄漏至渭河，未配备吸附剂。</w:t>
            </w:r>
          </w:p>
        </w:tc>
        <w:tc>
          <w:tcPr>
            <w:tcW w:w="2976" w:type="dxa"/>
            <w:tcBorders>
              <w:top w:val="single" w:color="000000" w:sz="4" w:space="0"/>
              <w:left w:val="single" w:color="000000" w:sz="4" w:space="0"/>
              <w:bottom w:val="single" w:color="auto" w:sz="4" w:space="0"/>
              <w:right w:val="single" w:color="000000" w:sz="4" w:space="0"/>
            </w:tcBorders>
            <w:vAlign w:val="center"/>
          </w:tcPr>
          <w:p>
            <w:pPr>
              <w:overflowPunct w:val="0"/>
              <w:autoSpaceDE w:val="0"/>
              <w:autoSpaceDN w:val="0"/>
              <w:spacing w:before="120" w:after="120" w:line="240" w:lineRule="atLeast"/>
              <w:textAlignment w:val="baseline"/>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需要配备</w:t>
            </w:r>
            <w:r>
              <w:rPr>
                <w:rFonts w:hint="eastAsia" w:cs="Times New Roman"/>
                <w:bCs/>
                <w:color w:val="auto"/>
                <w:kern w:val="0"/>
                <w:szCs w:val="21"/>
                <w:lang w:val="en-US" w:eastAsia="zh-CN"/>
              </w:rPr>
              <w:t>吸油毡</w:t>
            </w:r>
            <w:r>
              <w:rPr>
                <w:rFonts w:hint="default" w:ascii="Times New Roman" w:hAnsi="Times New Roman" w:eastAsia="宋体" w:cs="Times New Roman"/>
                <w:bCs/>
                <w:color w:val="auto"/>
                <w:kern w:val="0"/>
                <w:szCs w:val="21"/>
              </w:rPr>
              <w:t>或其他吸附剂。</w:t>
            </w:r>
          </w:p>
        </w:tc>
      </w:tr>
    </w:tbl>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pStyle w:val="2"/>
        <w:outlineLvl w:val="9"/>
        <w:rPr>
          <w:rFonts w:hint="default"/>
          <w:color w:val="auto"/>
        </w:rPr>
      </w:pPr>
    </w:p>
    <w:p>
      <w:pPr>
        <w:rPr>
          <w:rFonts w:hint="default"/>
          <w:color w:val="auto"/>
        </w:rPr>
      </w:pPr>
    </w:p>
    <w:p>
      <w:pPr>
        <w:pStyle w:val="2"/>
        <w:rPr>
          <w:rFonts w:hint="default"/>
          <w:color w:val="auto"/>
        </w:rPr>
      </w:pPr>
    </w:p>
    <w:p>
      <w:pPr>
        <w:spacing w:before="240" w:beforeLines="100" w:after="240" w:afterLines="100" w:line="360" w:lineRule="auto"/>
        <w:jc w:val="center"/>
        <w:outlineLvl w:val="0"/>
        <w:rPr>
          <w:rFonts w:hint="default" w:ascii="Times New Roman" w:hAnsi="Times New Roman" w:eastAsia="宋体" w:cs="Times New Roman"/>
          <w:b/>
          <w:bCs/>
          <w:color w:val="auto"/>
          <w:kern w:val="0"/>
          <w:sz w:val="30"/>
          <w:szCs w:val="30"/>
        </w:rPr>
      </w:pPr>
      <w:bookmarkStart w:id="221" w:name="_Toc13615"/>
      <w:bookmarkStart w:id="222" w:name="_Toc523580106"/>
      <w:r>
        <w:rPr>
          <w:rFonts w:hint="default" w:ascii="Times New Roman" w:hAnsi="Times New Roman" w:eastAsia="宋体" w:cs="Times New Roman"/>
          <w:b/>
          <w:bCs/>
          <w:color w:val="auto"/>
          <w:kern w:val="0"/>
          <w:sz w:val="30"/>
          <w:szCs w:val="30"/>
        </w:rPr>
        <w:t>6完善环境安全隐患排查治理相关文件</w:t>
      </w:r>
      <w:bookmarkEnd w:id="221"/>
      <w:bookmarkEnd w:id="222"/>
    </w:p>
    <w:p>
      <w:pPr>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根据现状调研和现场考察结果，结合现有环境风险防控措施有效性分析现状发现，公司目前暂未建立环境隐患排查制度，为了更好的预防环境事故发生，提高公司环境安全管理水平，建议企业完善环境安全隐患排查治理制度，制定环境安全隐患排查治理方案及环境安全隐患治理计划，并积极落实到位。</w:t>
      </w:r>
    </w:p>
    <w:p>
      <w:pPr>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本评估根据公司突发环境事件情景分析结论，制定环境安全隐患排查表及治理计划，见附件2。</w:t>
      </w: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pStyle w:val="2"/>
        <w:outlineLvl w:val="9"/>
        <w:rPr>
          <w:rFonts w:hint="default"/>
          <w:color w:val="auto"/>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ind w:firstLine="2108" w:firstLineChars="700"/>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0"/>
        <w:rPr>
          <w:rFonts w:hint="default" w:ascii="Times New Roman" w:hAnsi="Times New Roman" w:eastAsia="宋体" w:cs="Times New Roman"/>
          <w:b/>
          <w:bCs/>
          <w:color w:val="auto"/>
          <w:kern w:val="0"/>
          <w:sz w:val="30"/>
          <w:szCs w:val="30"/>
        </w:rPr>
      </w:pPr>
      <w:bookmarkStart w:id="223" w:name="_Toc523580107"/>
      <w:bookmarkStart w:id="224" w:name="_Toc23532"/>
      <w:r>
        <w:rPr>
          <w:rFonts w:hint="default" w:ascii="Times New Roman" w:hAnsi="Times New Roman" w:eastAsia="宋体" w:cs="Times New Roman"/>
          <w:b/>
          <w:bCs/>
          <w:color w:val="auto"/>
          <w:kern w:val="0"/>
          <w:sz w:val="30"/>
          <w:szCs w:val="30"/>
        </w:rPr>
        <w:t>7相关结论与对策建议</w:t>
      </w:r>
      <w:bookmarkEnd w:id="223"/>
      <w:bookmarkEnd w:id="224"/>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25" w:name="_Toc8807"/>
      <w:bookmarkStart w:id="226" w:name="_Toc523580108"/>
      <w:r>
        <w:rPr>
          <w:rFonts w:hint="default" w:ascii="Times New Roman" w:hAnsi="Times New Roman" w:eastAsia="宋体" w:cs="Times New Roman"/>
          <w:b/>
          <w:bCs/>
          <w:color w:val="auto"/>
          <w:kern w:val="0"/>
          <w:sz w:val="28"/>
          <w:szCs w:val="28"/>
        </w:rPr>
        <w:t>7.1突发环境事件风险等级</w:t>
      </w:r>
      <w:bookmarkEnd w:id="225"/>
      <w:bookmarkEnd w:id="226"/>
    </w:p>
    <w:p>
      <w:pPr>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color w:val="auto"/>
          <w:sz w:val="24"/>
        </w:rPr>
        <w:t>根据《突发环境事件风险评估指南》（环办 [2014]34号）及《企业突发环境事件风险分级方法》（HJ941-2018）</w:t>
      </w:r>
      <w:r>
        <w:rPr>
          <w:rFonts w:hint="eastAsia" w:cs="Times New Roman"/>
          <w:color w:val="auto"/>
          <w:sz w:val="24"/>
          <w:lang w:eastAsia="zh-CN"/>
        </w:rPr>
        <w:t>，</w:t>
      </w:r>
      <w:r>
        <w:rPr>
          <w:rFonts w:hint="default" w:ascii="Times New Roman" w:hAnsi="Times New Roman" w:eastAsia="宋体" w:cs="Times New Roman"/>
          <w:color w:val="auto"/>
          <w:sz w:val="24"/>
        </w:rPr>
        <w:t>判定</w:t>
      </w:r>
      <w:r>
        <w:rPr>
          <w:rFonts w:hint="default" w:ascii="Times New Roman" w:hAnsi="Times New Roman" w:eastAsia="宋体" w:cs="Times New Roman"/>
          <w:bCs/>
          <w:color w:val="auto"/>
          <w:kern w:val="0"/>
          <w:sz w:val="24"/>
        </w:rPr>
        <w:t>公司同时涉及突发大气和水环境事件风险，风险等级表示为：较大[较大-大气（Q3-M1-E3）+较大-水（</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较大-水（Q3-M2-E3）</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w:t>
      </w:r>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27" w:name="_Toc523580109"/>
      <w:bookmarkStart w:id="228" w:name="_Toc8915"/>
      <w:r>
        <w:rPr>
          <w:rFonts w:hint="default" w:ascii="Times New Roman" w:hAnsi="Times New Roman" w:eastAsia="宋体" w:cs="Times New Roman"/>
          <w:b/>
          <w:bCs/>
          <w:color w:val="auto"/>
          <w:kern w:val="0"/>
          <w:sz w:val="28"/>
          <w:szCs w:val="28"/>
        </w:rPr>
        <w:t>7.2突发环境事件事故情景</w:t>
      </w:r>
      <w:bookmarkEnd w:id="227"/>
      <w:bookmarkEnd w:id="228"/>
    </w:p>
    <w:p>
      <w:pPr>
        <w:spacing w:line="360" w:lineRule="auto"/>
        <w:ind w:firstLine="480" w:firstLineChars="200"/>
        <w:rPr>
          <w:rFonts w:hint="default" w:ascii="Times New Roman" w:hAnsi="Times New Roman" w:eastAsia="宋体" w:cs="Times New Roman"/>
          <w:color w:val="auto"/>
          <w:sz w:val="24"/>
        </w:rPr>
      </w:pPr>
      <w:bookmarkStart w:id="229" w:name="_Toc523580110"/>
      <w:r>
        <w:rPr>
          <w:rFonts w:hint="default" w:ascii="Times New Roman" w:hAnsi="Times New Roman" w:eastAsia="宋体" w:cs="Times New Roman"/>
          <w:color w:val="auto"/>
          <w:sz w:val="24"/>
        </w:rPr>
        <w:t>公</w:t>
      </w:r>
      <w:r>
        <w:rPr>
          <w:rFonts w:hint="default" w:ascii="Times New Roman" w:hAnsi="Times New Roman" w:eastAsia="宋体" w:cs="Times New Roman"/>
          <w:bCs/>
          <w:color w:val="auto"/>
          <w:sz w:val="24"/>
        </w:rPr>
        <w:t>司主要环境风险物质为甲醇、MTBE（甲基叔丁基醚）、轻汽油、醚化汽油、液化石油气、浓H</w:t>
      </w:r>
      <w:r>
        <w:rPr>
          <w:rFonts w:hint="default" w:ascii="Times New Roman" w:hAnsi="Times New Roman" w:eastAsia="宋体" w:cs="Times New Roman"/>
          <w:bCs/>
          <w:color w:val="auto"/>
          <w:sz w:val="24"/>
          <w:vertAlign w:val="subscript"/>
        </w:rPr>
        <w:t>2</w:t>
      </w:r>
      <w:r>
        <w:rPr>
          <w:rFonts w:hint="default" w:ascii="Times New Roman" w:hAnsi="Times New Roman" w:eastAsia="宋体" w:cs="Times New Roman"/>
          <w:bCs/>
          <w:color w:val="auto"/>
          <w:sz w:val="24"/>
        </w:rPr>
        <w:t>SO</w:t>
      </w:r>
      <w:r>
        <w:rPr>
          <w:rFonts w:hint="default" w:ascii="Times New Roman" w:hAnsi="Times New Roman" w:eastAsia="宋体" w:cs="Times New Roman"/>
          <w:bCs/>
          <w:color w:val="auto"/>
          <w:sz w:val="24"/>
          <w:vertAlign w:val="subscript"/>
        </w:rPr>
        <w:t>4</w:t>
      </w:r>
      <w:r>
        <w:rPr>
          <w:rFonts w:hint="default" w:ascii="Times New Roman" w:hAnsi="Times New Roman" w:eastAsia="宋体" w:cs="Times New Roman"/>
          <w:bCs/>
          <w:color w:val="auto"/>
          <w:sz w:val="24"/>
        </w:rPr>
        <w:t>等。</w:t>
      </w:r>
      <w:r>
        <w:rPr>
          <w:rFonts w:hint="default" w:ascii="Times New Roman" w:hAnsi="Times New Roman" w:eastAsia="宋体" w:cs="Times New Roman"/>
          <w:color w:val="auto"/>
          <w:sz w:val="24"/>
        </w:rPr>
        <w:t>可能发生的突发环境事件最坏情景：（1）液化石油发生火灾、爆炸事故，事故为不完全燃烧，产生的主要污染物为一氧化碳，有风D稳定度条件下，事故发生后CO最大落地浓度为1918.68mg/m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，最大落地浓度距离为距离储罐25m处，CO最大落地浓度低于其半致死浓度；一氧化碳半致死浓度为2069mg/m</w:t>
      </w:r>
      <w:r>
        <w:rPr>
          <w:rFonts w:hint="default" w:ascii="Times New Roman" w:hAnsi="Times New Roman" w:eastAsia="宋体" w:cs="Times New Roman"/>
          <w:color w:val="auto"/>
          <w:sz w:val="24"/>
          <w:vertAlign w:val="superscript"/>
        </w:rPr>
        <w:t>3</w:t>
      </w:r>
      <w:r>
        <w:rPr>
          <w:rFonts w:hint="default" w:ascii="Times New Roman" w:hAnsi="Times New Roman" w:eastAsia="宋体" w:cs="Times New Roman"/>
          <w:color w:val="auto"/>
          <w:sz w:val="24"/>
        </w:rPr>
        <w:t>，无超过半致死浓度范围，另外，在爆炸发生的时间内，液化石油压力球罐周围约240m的人可能会有严重头痛、眩晕的反应；（2）甲醇储罐发生泄漏及火灾爆炸事故，有风时罐区下风向600m范围内超标，2.5m/s风速时罐区下风向最大超标距离可达650m。静风条件下距离300m范围内有超标现象</w:t>
      </w:r>
      <w:r>
        <w:rPr>
          <w:rFonts w:hint="eastAsia" w:cs="Times New Roman"/>
          <w:color w:val="auto"/>
          <w:sz w:val="24"/>
          <w:lang w:eastAsia="zh-CN"/>
        </w:rPr>
        <w:t>，</w:t>
      </w:r>
      <w:r>
        <w:rPr>
          <w:rFonts w:hint="default" w:ascii="Times New Roman" w:hAnsi="Times New Roman" w:eastAsia="宋体" w:cs="Times New Roman"/>
          <w:color w:val="auto"/>
          <w:sz w:val="24"/>
        </w:rPr>
        <w:t>静风时对人体有影响的距离为300m，静风条件下将短期影响厂区，有风时可能对厂外环境也有一定程度的影响；（3）醚化汽油储罐火灾，距储罐区池火中心39.3m的范围内操作设备全部损坏及人员伤亡；（4）MTBE装置催化蒸馏塔发生爆炸，</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1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①</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蒸汽云的TNT当量为147903kg；</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2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②</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死亡半径：86.4m；</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3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③</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重伤半径：208.9m；</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4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④</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轻伤半径：374.7m；</w:t>
      </w:r>
      <w:r>
        <w:rPr>
          <w:rFonts w:hint="default" w:ascii="Times New Roman" w:hAnsi="Times New Roman" w:eastAsia="宋体" w:cs="Times New Roman"/>
          <w:color w:val="auto"/>
          <w:sz w:val="24"/>
        </w:rPr>
        <w:fldChar w:fldCharType="begin"/>
      </w:r>
      <w:r>
        <w:rPr>
          <w:rFonts w:hint="default" w:ascii="Times New Roman" w:hAnsi="Times New Roman" w:eastAsia="宋体" w:cs="Times New Roman"/>
          <w:color w:val="auto"/>
          <w:sz w:val="24"/>
        </w:rPr>
        <w:instrText xml:space="preserve">= 5 \* GB3</w:instrText>
      </w:r>
      <w:r>
        <w:rPr>
          <w:rFonts w:hint="default" w:ascii="Times New Roman" w:hAnsi="Times New Roman" w:eastAsia="宋体" w:cs="Times New Roman"/>
          <w:color w:val="auto"/>
          <w:sz w:val="24"/>
        </w:rPr>
        <w:fldChar w:fldCharType="separate"/>
      </w:r>
      <w:r>
        <w:rPr>
          <w:rFonts w:hint="default" w:ascii="Times New Roman" w:hAnsi="Times New Roman" w:eastAsia="宋体" w:cs="Times New Roman"/>
          <w:color w:val="auto"/>
          <w:sz w:val="24"/>
        </w:rPr>
        <w:t>⑤</w:t>
      </w:r>
      <w:r>
        <w:rPr>
          <w:rFonts w:hint="default" w:ascii="Times New Roman" w:hAnsi="Times New Roman" w:eastAsia="宋体" w:cs="Times New Roman"/>
          <w:color w:val="auto"/>
          <w:sz w:val="24"/>
        </w:rPr>
        <w:fldChar w:fldCharType="end"/>
      </w:r>
      <w:r>
        <w:rPr>
          <w:rFonts w:hint="default" w:ascii="Times New Roman" w:hAnsi="Times New Roman" w:eastAsia="宋体" w:cs="Times New Roman"/>
          <w:color w:val="auto"/>
          <w:sz w:val="24"/>
        </w:rPr>
        <w:t>财产损失半径：243.2m。由预测结果可见，MTBE储罐爆炸事故不会对外界环境造成太大影响。（5）罐区及生产装置区甲醇、MTBE、轻汽油、醚化汽油、浓H</w:t>
      </w:r>
      <w:r>
        <w:rPr>
          <w:rFonts w:hint="default" w:ascii="Times New Roman" w:hAnsi="Times New Roman" w:eastAsia="宋体" w:cs="Times New Roman"/>
          <w:color w:val="auto"/>
          <w:sz w:val="24"/>
          <w:vertAlign w:val="subscript"/>
        </w:rPr>
        <w:t>2</w:t>
      </w:r>
      <w:r>
        <w:rPr>
          <w:rFonts w:hint="default" w:ascii="Times New Roman" w:hAnsi="Times New Roman" w:eastAsia="宋体" w:cs="Times New Roman"/>
          <w:color w:val="auto"/>
          <w:sz w:val="24"/>
        </w:rPr>
        <w:t>SO</w:t>
      </w:r>
      <w:r>
        <w:rPr>
          <w:rFonts w:hint="default" w:ascii="Times New Roman" w:hAnsi="Times New Roman" w:eastAsia="宋体" w:cs="Times New Roman"/>
          <w:color w:val="auto"/>
          <w:sz w:val="24"/>
          <w:vertAlign w:val="subscript"/>
        </w:rPr>
        <w:t>4</w:t>
      </w:r>
      <w:r>
        <w:rPr>
          <w:rFonts w:hint="default" w:ascii="Times New Roman" w:hAnsi="Times New Roman" w:eastAsia="宋体" w:cs="Times New Roman"/>
          <w:color w:val="auto"/>
          <w:sz w:val="24"/>
        </w:rPr>
        <w:t>等发生大量泄漏，若遇到特大暴雨等各种自然灾害、极端天气或不利气象条件，公司雨水排放口不能及时关闭，雨水排放口距渭河1km，事故排水等通过雨水管网流至渭河，污染渭河水质、流经地区的植被和土壤等。</w:t>
      </w:r>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30" w:name="_Toc23075"/>
      <w:r>
        <w:rPr>
          <w:rFonts w:hint="default" w:ascii="Times New Roman" w:hAnsi="Times New Roman" w:eastAsia="宋体" w:cs="Times New Roman"/>
          <w:b/>
          <w:bCs/>
          <w:color w:val="auto"/>
          <w:kern w:val="0"/>
          <w:sz w:val="28"/>
          <w:szCs w:val="28"/>
        </w:rPr>
        <w:t>7.3提出突发环境事件应急管理方面相关建议</w:t>
      </w:r>
      <w:bookmarkEnd w:id="229"/>
      <w:bookmarkEnd w:id="230"/>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7.3.1建立完善隐患排查治理管理机构</w:t>
      </w:r>
    </w:p>
    <w:p>
      <w:pPr>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安环部为公司环境隐患排查的管理机构，并配备相应的管理和技术人员。</w:t>
      </w:r>
    </w:p>
    <w:p>
      <w:pPr>
        <w:spacing w:before="120" w:beforeLines="50" w:after="120" w:afterLines="50" w:line="360" w:lineRule="auto"/>
        <w:jc w:val="left"/>
        <w:outlineLvl w:val="2"/>
        <w:rPr>
          <w:rFonts w:hint="default" w:ascii="Times New Roman" w:hAnsi="Times New Roman" w:eastAsia="宋体" w:cs="Times New Roman"/>
          <w:b/>
          <w:bCs/>
          <w:color w:val="auto"/>
          <w:kern w:val="0"/>
          <w:sz w:val="24"/>
        </w:rPr>
      </w:pPr>
      <w:r>
        <w:rPr>
          <w:rFonts w:hint="default" w:ascii="Times New Roman" w:hAnsi="Times New Roman" w:eastAsia="宋体" w:cs="Times New Roman"/>
          <w:b/>
          <w:bCs/>
          <w:color w:val="auto"/>
          <w:kern w:val="0"/>
          <w:sz w:val="24"/>
        </w:rPr>
        <w:t>7.3.2建立隐患排查治理制度</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（1）建立隐患排查治理责任制，建立健全从公司总经理到每位作业人员，覆盖各部门、各单位、各岗位的隐患排查治理责任体系；</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（2）公司生产副总对隐患排查治理工作全面负责，统一组织、领导和协调隐患排查治理工作，及时掌握、监督重大隐患治理情况；</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（3）安环部为公司环境隐患排查的管理机构，环保管理人员为环境隐患排查责任人，负责按照生产区、储运区或车间、工段等划分排查区域，明确每个区域的责任人，逐级建立并落实隐患排查治理岗位责任制；</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（4）安环部制定突发环境事件风险防控设施的操作规程和检查、运行、维修与维护等规定，保证资金投入，确保各设施处于正常完好状态；</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（5）各环境风险管理部门建立自查、自报、自改、自验的隐患排查治理组织实施制度；</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（6）安环部如实记录隐患排查治理情况，形成档案文件并做好存档；</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（7）安环部及时修订企业突发环境事件应急预案、完善相关突发环境事件风险防控措施；</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（8）安环部定期对员工进行隐患排查治理相关知识的宣传和培训；</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（9）每年至少一次按照“附件附表 2-1 突发环境事件应急管理隐患排查表”的规定内容，对公司应急管理开展隐患排查工作。</w:t>
      </w:r>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31" w:name="_Toc510519478"/>
      <w:bookmarkStart w:id="232" w:name="_Toc523580111"/>
      <w:bookmarkStart w:id="233" w:name="_Toc11757"/>
      <w:r>
        <w:rPr>
          <w:rFonts w:hint="default" w:ascii="Times New Roman" w:hAnsi="Times New Roman" w:eastAsia="宋体" w:cs="Times New Roman"/>
          <w:b/>
          <w:bCs/>
          <w:color w:val="auto"/>
          <w:kern w:val="0"/>
          <w:sz w:val="28"/>
          <w:szCs w:val="28"/>
        </w:rPr>
        <w:t>7.4提出环境风险防控与应急措施</w:t>
      </w:r>
      <w:bookmarkEnd w:id="231"/>
      <w:r>
        <w:rPr>
          <w:rFonts w:hint="default" w:ascii="Times New Roman" w:hAnsi="Times New Roman" w:eastAsia="宋体" w:cs="Times New Roman"/>
          <w:b/>
          <w:bCs/>
          <w:color w:val="auto"/>
          <w:kern w:val="0"/>
          <w:sz w:val="28"/>
          <w:szCs w:val="28"/>
        </w:rPr>
        <w:t>方面相关建议</w:t>
      </w:r>
      <w:bookmarkEnd w:id="232"/>
      <w:bookmarkEnd w:id="233"/>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（1）每月至少一次按照</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附件附表2-2</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突发环境事件风险防控措施隐患排查表”的规定内容，对公司应急池等涉水类环境风险防控设施进行环境隐患排查；</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（2）每月至少一次按照</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附件附表2-2</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突发环境事件风险防控措施隐患排查表”的规定内容，对公司突发大气环境事件风险防控措施进行环境隐患排查；</w:t>
      </w:r>
    </w:p>
    <w:p>
      <w:pPr>
        <w:autoSpaceDE w:val="0"/>
        <w:autoSpaceDN w:val="0"/>
        <w:adjustRightInd w:val="0"/>
        <w:snapToGrid w:val="0"/>
        <w:spacing w:line="360" w:lineRule="auto"/>
        <w:ind w:firstLine="480" w:firstLineChars="200"/>
        <w:rPr>
          <w:rFonts w:hint="default" w:ascii="Times New Roman" w:hAnsi="Times New Roman" w:eastAsia="宋体" w:cs="Times New Roman"/>
          <w:bCs/>
          <w:color w:val="auto"/>
          <w:kern w:val="0"/>
          <w:sz w:val="24"/>
        </w:rPr>
      </w:pPr>
      <w:r>
        <w:rPr>
          <w:rFonts w:hint="default" w:ascii="Times New Roman" w:hAnsi="Times New Roman" w:eastAsia="宋体" w:cs="Times New Roman"/>
          <w:bCs/>
          <w:color w:val="auto"/>
          <w:kern w:val="0"/>
          <w:sz w:val="24"/>
        </w:rPr>
        <w:t>（3）每班至少一次按照</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附件附表2-2</w:t>
      </w:r>
      <w:r>
        <w:rPr>
          <w:rFonts w:hint="eastAsia" w:cs="Times New Roman"/>
          <w:bCs/>
          <w:color w:val="auto"/>
          <w:kern w:val="0"/>
          <w:sz w:val="24"/>
          <w:lang w:eastAsia="zh-CN"/>
        </w:rPr>
        <w:t>”</w:t>
      </w:r>
      <w:r>
        <w:rPr>
          <w:rFonts w:hint="default" w:ascii="Times New Roman" w:hAnsi="Times New Roman" w:eastAsia="宋体" w:cs="Times New Roman"/>
          <w:bCs/>
          <w:color w:val="auto"/>
          <w:kern w:val="0"/>
          <w:sz w:val="24"/>
        </w:rPr>
        <w:t>突发环境事件风险防控措施隐患排查表”的规定内容对厂内排水系统、雨水、清净下水和污（废）水的总排口等涉水类环境风险防控设施进行环境隐患排查，及时清空事故池。</w:t>
      </w:r>
    </w:p>
    <w:p>
      <w:pPr>
        <w:tabs>
          <w:tab w:val="left" w:pos="0"/>
        </w:tabs>
        <w:spacing w:before="120" w:beforeLines="50" w:after="120" w:afterLines="50" w:line="360" w:lineRule="auto"/>
        <w:jc w:val="left"/>
        <w:outlineLvl w:val="0"/>
        <w:rPr>
          <w:rFonts w:hint="default" w:ascii="Times New Roman" w:hAnsi="Times New Roman" w:eastAsia="宋体" w:cs="Times New Roman"/>
          <w:b/>
          <w:bCs/>
          <w:color w:val="auto"/>
          <w:kern w:val="0"/>
          <w:sz w:val="28"/>
          <w:szCs w:val="28"/>
        </w:rPr>
      </w:pPr>
      <w:bookmarkStart w:id="234" w:name="_Toc510519479"/>
      <w:bookmarkStart w:id="235" w:name="_Toc6930"/>
      <w:r>
        <w:rPr>
          <w:rFonts w:hint="default" w:ascii="Times New Roman" w:hAnsi="Times New Roman" w:eastAsia="宋体" w:cs="Times New Roman"/>
          <w:b/>
          <w:bCs/>
          <w:color w:val="auto"/>
          <w:kern w:val="0"/>
          <w:sz w:val="28"/>
          <w:szCs w:val="28"/>
        </w:rPr>
        <w:t>7.5提出环境应急资源</w:t>
      </w:r>
      <w:bookmarkEnd w:id="234"/>
      <w:r>
        <w:rPr>
          <w:rFonts w:hint="default" w:ascii="Times New Roman" w:hAnsi="Times New Roman" w:eastAsia="宋体" w:cs="Times New Roman"/>
          <w:b/>
          <w:bCs/>
          <w:color w:val="auto"/>
          <w:kern w:val="0"/>
          <w:sz w:val="28"/>
          <w:szCs w:val="28"/>
        </w:rPr>
        <w:t>方面相关建议</w:t>
      </w:r>
      <w:bookmarkEnd w:id="235"/>
    </w:p>
    <w:p>
      <w:pPr>
        <w:adjustRightInd w:val="0"/>
        <w:snapToGrid w:val="0"/>
        <w:spacing w:line="360" w:lineRule="auto"/>
        <w:ind w:firstLine="480" w:firstLineChars="200"/>
        <w:rPr>
          <w:rFonts w:hint="default" w:ascii="Times New Roman" w:hAnsi="Times New Roman" w:eastAsia="宋体" w:cs="Times New Roman"/>
          <w:b/>
          <w:bCs/>
          <w:color w:val="auto"/>
          <w:kern w:val="0"/>
          <w:sz w:val="24"/>
        </w:rPr>
      </w:pPr>
      <w:bookmarkStart w:id="236" w:name="_Toc19831"/>
      <w:r>
        <w:rPr>
          <w:rFonts w:hint="default" w:ascii="Times New Roman" w:hAnsi="Times New Roman" w:eastAsia="宋体" w:cs="Times New Roman"/>
          <w:bCs/>
          <w:color w:val="auto"/>
          <w:kern w:val="0"/>
          <w:sz w:val="24"/>
        </w:rPr>
        <w:t>建议</w:t>
      </w:r>
      <w:r>
        <w:rPr>
          <w:rFonts w:hint="eastAsia" w:cs="Times New Roman"/>
          <w:bCs/>
          <w:color w:val="auto"/>
          <w:kern w:val="0"/>
          <w:sz w:val="24"/>
          <w:lang w:val="en-US" w:eastAsia="zh-CN"/>
        </w:rPr>
        <w:t>库房配置吸油毡等应急物</w:t>
      </w:r>
      <w:r>
        <w:rPr>
          <w:rFonts w:hint="default" w:ascii="Times New Roman" w:hAnsi="Times New Roman" w:eastAsia="宋体" w:cs="Times New Roman"/>
          <w:bCs/>
          <w:color w:val="auto"/>
          <w:kern w:val="0"/>
          <w:sz w:val="24"/>
        </w:rPr>
        <w:t>，防止泄漏物料造成污染。</w:t>
      </w:r>
      <w:bookmarkStart w:id="237" w:name="_Toc523580112"/>
    </w:p>
    <w:p>
      <w:pPr>
        <w:adjustRightInd w:val="0"/>
        <w:snapToGrid w:val="0"/>
        <w:spacing w:before="240" w:beforeLines="100" w:after="240" w:afterLines="100" w:line="360" w:lineRule="auto"/>
        <w:ind w:firstLine="602" w:firstLineChars="200"/>
        <w:jc w:val="center"/>
        <w:outlineLvl w:val="0"/>
        <w:rPr>
          <w:rFonts w:hint="default" w:ascii="Times New Roman" w:hAnsi="Times New Roman" w:eastAsia="宋体" w:cs="Times New Roman"/>
          <w:b/>
          <w:bCs/>
          <w:color w:val="auto"/>
          <w:kern w:val="0"/>
          <w:sz w:val="30"/>
          <w:szCs w:val="30"/>
        </w:rPr>
      </w:pPr>
      <w:bookmarkStart w:id="238" w:name="_Toc22793"/>
      <w:r>
        <w:rPr>
          <w:rFonts w:hint="default" w:ascii="Times New Roman" w:hAnsi="Times New Roman" w:eastAsia="宋体" w:cs="Times New Roman"/>
          <w:b/>
          <w:bCs/>
          <w:color w:val="auto"/>
          <w:kern w:val="0"/>
          <w:sz w:val="30"/>
          <w:szCs w:val="30"/>
        </w:rPr>
        <w:t>附件1MSDS数据表</w:t>
      </w:r>
      <w:bookmarkEnd w:id="237"/>
      <w:bookmarkEnd w:id="238"/>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附件表1-1 一氧化碳MSDS数据表</w:t>
      </w:r>
    </w:p>
    <w:tbl>
      <w:tblPr>
        <w:tblStyle w:val="75"/>
        <w:tblW w:w="86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6"/>
        <w:gridCol w:w="3208"/>
        <w:gridCol w:w="46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5" w:hRule="atLeast"/>
          <w:jc w:val="center"/>
        </w:trPr>
        <w:tc>
          <w:tcPr>
            <w:tcW w:w="796" w:type="dxa"/>
            <w:vMerge w:val="restart"/>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标识</w:t>
            </w: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中文名：一氧化碳</w:t>
            </w:r>
          </w:p>
        </w:tc>
        <w:tc>
          <w:tcPr>
            <w:tcW w:w="4662" w:type="dxa"/>
            <w:vAlign w:val="center"/>
          </w:tcPr>
          <w:p>
            <w:pPr>
              <w:spacing w:line="240" w:lineRule="atLeast"/>
              <w:jc w:val="center"/>
              <w:rPr>
                <w:rFonts w:hint="default" w:ascii="Times New Roman" w:hAnsi="Times New Roman" w:eastAsia="宋体" w:cs="Times New Roman"/>
                <w:bCs/>
                <w:color w:val="auto"/>
                <w:kern w:val="0"/>
                <w:szCs w:val="21"/>
                <w:lang w:val="fr-FR"/>
              </w:rPr>
            </w:pPr>
            <w:r>
              <w:rPr>
                <w:rFonts w:hint="default" w:ascii="Times New Roman" w:hAnsi="Times New Roman" w:eastAsia="宋体" w:cs="Times New Roman"/>
                <w:bCs/>
                <w:color w:val="auto"/>
                <w:kern w:val="0"/>
                <w:szCs w:val="21"/>
              </w:rPr>
              <w:t>CAS号：630-08-0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8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lang w:val="fr-FR"/>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分子式:CO</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分子量</w:t>
            </w:r>
            <w:r>
              <w:rPr>
                <w:rFonts w:hint="default" w:ascii="Times New Roman" w:hAnsi="Times New Roman" w:eastAsia="宋体" w:cs="Times New Roman"/>
                <w:bCs/>
                <w:color w:val="auto"/>
                <w:kern w:val="0"/>
                <w:szCs w:val="21"/>
                <w:lang w:val="en-GB"/>
              </w:rPr>
              <w:t>：</w:t>
            </w:r>
            <w:r>
              <w:rPr>
                <w:rFonts w:hint="default" w:ascii="Times New Roman" w:hAnsi="Times New Roman" w:eastAsia="宋体" w:cs="Times New Roman"/>
                <w:bCs/>
                <w:color w:val="auto"/>
                <w:kern w:val="0"/>
                <w:szCs w:val="21"/>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99" w:hRule="atLeast"/>
          <w:jc w:val="center"/>
        </w:trPr>
        <w:tc>
          <w:tcPr>
            <w:tcW w:w="796" w:type="dxa"/>
            <w:vMerge w:val="restart"/>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理化性质</w:t>
            </w: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外观与形状:无色无臭气体</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溶解性:微溶于水</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溶于乙醇、苯等多数有机溶剂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6"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熔点(℃):-199.1</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沸点(℃):-191.4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相对密度:(水=1)0.79(252℃)</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相对密度:(空气=1) 0.97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饱和蒸汽压(kPa) :13.33(-257.9℃)</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禁忌物:强氧化剂、碱类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临界压力(Mpa)：3.50</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临界温度(℃):-140.2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稳定性:稳定</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聚合危害:不聚合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restart"/>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危险特性</w:t>
            </w: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危险性类别:第2.1类易燃气体</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燃烧性:易燃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引燃温度(℃):610</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闪点(℃):&lt;-50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爆炸下限(%):12.5</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爆炸上限(%):74.2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最小点火能(MJ)0.3～0.4</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最大爆炸压力(MPa):0.720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3208"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燃烧热(j/mol):285624</w:t>
            </w:r>
          </w:p>
        </w:tc>
        <w:tc>
          <w:tcPr>
            <w:tcW w:w="4662"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燃烧(分解)产物:二氧化碳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7870"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危险特性：是一种易燃易爆气体，与空气混合能形成爆炸性混合物，遇明火、高位能引起燃烧爆炸。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7870"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灭火方法:切断气源。若不能切断气源</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则不允许熄灭正在燃烧的气体</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喷水冷却容器</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可能的话将容器从火场移至空旷处。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7870" w:type="dxa"/>
            <w:gridSpan w:val="2"/>
            <w:vAlign w:val="center"/>
          </w:tcPr>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灭火剂:泡沫、二氧化碳、雾状水、干粉。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3" w:hRule="atLeast"/>
          <w:jc w:val="center"/>
        </w:trPr>
        <w:tc>
          <w:tcPr>
            <w:tcW w:w="796" w:type="dxa"/>
            <w:vMerge w:val="restart"/>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健康危害</w:t>
            </w:r>
          </w:p>
        </w:tc>
        <w:tc>
          <w:tcPr>
            <w:tcW w:w="7870" w:type="dxa"/>
            <w:gridSpan w:val="2"/>
            <w:vAlign w:val="center"/>
          </w:tcPr>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侵入途径:吸入。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7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7870" w:type="dxa"/>
            <w:gridSpan w:val="2"/>
            <w:vAlign w:val="center"/>
          </w:tcPr>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健康危害:CO 在血液中与血红蛋白结合而造成组织缺氧。</w:t>
            </w:r>
          </w:p>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急性中毒：轻度中毒者出现头痛、头晕、耳鸣、心悸、恶心、呕吐、无力</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血液碳氧血红蛋白浓度可高于 10%:中度中毒者除上述症状外</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还有皮肤粘膜呈樱红色、脉快、烦躁、步态不稳、浅至中度昏迷</w:t>
            </w:r>
            <w:r>
              <w:rPr>
                <w:rFonts w:hint="eastAsia" w:cs="Times New Roman"/>
                <w:bCs/>
                <w:color w:val="auto"/>
                <w:kern w:val="0"/>
                <w:szCs w:val="21"/>
                <w:lang w:eastAsia="zh-CN"/>
              </w:rPr>
              <w:t>，</w:t>
            </w:r>
            <w:r>
              <w:rPr>
                <w:rFonts w:hint="default" w:ascii="Times New Roman" w:hAnsi="Times New Roman" w:eastAsia="宋体" w:cs="Times New Roman"/>
                <w:bCs/>
                <w:color w:val="auto"/>
                <w:kern w:val="0"/>
                <w:szCs w:val="21"/>
              </w:rPr>
              <w:t>血液碳氧血红蛋白浓度可高于 30%:重度患者深度昏危迷、瞳孔缩小、肌张力增强、频繁抽搐、大小便失禁、休克、肺水肿、严重心肌损害等，血液碳氧血红蛋白可高于 50%。部分患者昏迷苏醒后，又可能出现迟发性脑病，以意识精神障碍、锥体系或锥体外系损害为主。</w:t>
            </w:r>
          </w:p>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慢性影响：能否造成慢性中毒及对心血管影响无定论。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7" w:hRule="atLeast"/>
          <w:jc w:val="center"/>
        </w:trPr>
        <w:tc>
          <w:tcPr>
            <w:tcW w:w="796" w:type="dxa"/>
            <w:vMerge w:val="continue"/>
            <w:vAlign w:val="center"/>
          </w:tcPr>
          <w:p>
            <w:pPr>
              <w:spacing w:line="240" w:lineRule="atLeast"/>
              <w:jc w:val="left"/>
              <w:rPr>
                <w:rFonts w:hint="default" w:ascii="Times New Roman" w:hAnsi="Times New Roman" w:eastAsia="宋体" w:cs="Times New Roman"/>
                <w:bCs/>
                <w:color w:val="auto"/>
                <w:kern w:val="0"/>
                <w:szCs w:val="21"/>
              </w:rPr>
            </w:pPr>
          </w:p>
        </w:tc>
        <w:tc>
          <w:tcPr>
            <w:tcW w:w="7870" w:type="dxa"/>
            <w:gridSpan w:val="2"/>
            <w:vAlign w:val="center"/>
          </w:tcPr>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工作场所最高允许浓度：中国 MAC=30mg/m</w:t>
            </w:r>
            <w:r>
              <w:rPr>
                <w:rFonts w:hint="default" w:ascii="Times New Roman" w:hAnsi="Times New Roman" w:eastAsia="宋体" w:cs="Times New Roman"/>
                <w:bCs/>
                <w:color w:val="auto"/>
                <w:kern w:val="0"/>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3" w:hRule="atLeast"/>
          <w:jc w:val="center"/>
        </w:trPr>
        <w:tc>
          <w:tcPr>
            <w:tcW w:w="796" w:type="dxa"/>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急救</w:t>
            </w:r>
          </w:p>
        </w:tc>
        <w:tc>
          <w:tcPr>
            <w:tcW w:w="7870" w:type="dxa"/>
            <w:gridSpan w:val="2"/>
            <w:vAlign w:val="center"/>
          </w:tcPr>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吸入:迅速脱离现场至空气新鲜处。保持呼吸道畅通。如呼吸困难，给输氧。如呼吸停止，立即进行人工呼吸。就医。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3" w:hRule="atLeast"/>
          <w:jc w:val="center"/>
        </w:trPr>
        <w:tc>
          <w:tcPr>
            <w:tcW w:w="796" w:type="dxa"/>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储运</w:t>
            </w:r>
          </w:p>
        </w:tc>
        <w:tc>
          <w:tcPr>
            <w:tcW w:w="7870" w:type="dxa"/>
            <w:gridSpan w:val="2"/>
            <w:vAlign w:val="center"/>
          </w:tcPr>
          <w:p>
            <w:pPr>
              <w:spacing w:line="240" w:lineRule="atLeast"/>
              <w:ind w:firstLine="420" w:firstLineChars="200"/>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储运于阴凉、通风仓间内。仓内温度不宜超过 30℃。远离火种、热源。防止阳光直射。应与氧气、氧化剂等分开存放。切忌混储混运。储存间内的照明、通风等设施应采用防爆型。禁止使用易产生火花的机械设备和工具。</w:t>
            </w:r>
          </w:p>
        </w:tc>
      </w:tr>
    </w:tbl>
    <w:p>
      <w:pPr>
        <w:spacing w:before="120" w:beforeLines="50" w:line="240" w:lineRule="atLeast"/>
        <w:jc w:val="center"/>
        <w:rPr>
          <w:rFonts w:hint="default" w:ascii="Times New Roman" w:hAnsi="Times New Roman" w:eastAsia="宋体" w:cs="Times New Roman"/>
          <w:b/>
          <w:bCs/>
          <w:color w:val="auto"/>
          <w:kern w:val="0"/>
          <w:sz w:val="24"/>
        </w:rPr>
      </w:pPr>
    </w:p>
    <w:p>
      <w:pPr>
        <w:spacing w:before="120" w:beforeLines="50" w:line="240" w:lineRule="atLeast"/>
        <w:jc w:val="center"/>
        <w:rPr>
          <w:rFonts w:hint="default" w:ascii="Times New Roman" w:hAnsi="Times New Roman" w:eastAsia="宋体" w:cs="Times New Roman"/>
          <w:b/>
          <w:bCs/>
          <w:color w:val="auto"/>
          <w:kern w:val="0"/>
          <w:sz w:val="24"/>
        </w:rPr>
      </w:pPr>
    </w:p>
    <w:p>
      <w:pPr>
        <w:spacing w:before="120" w:beforeLines="50" w:line="240" w:lineRule="atLeast"/>
        <w:jc w:val="center"/>
        <w:rPr>
          <w:rFonts w:hint="default" w:ascii="Times New Roman" w:hAnsi="Times New Roman" w:eastAsia="宋体" w:cs="Times New Roman"/>
          <w:b/>
          <w:bCs/>
          <w:color w:val="auto"/>
          <w:kern w:val="0"/>
          <w:sz w:val="24"/>
        </w:rPr>
      </w:pP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附件表1-2  甲醇MSDS数据表</w:t>
      </w:r>
    </w:p>
    <w:tbl>
      <w:tblPr>
        <w:tblStyle w:val="75"/>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5"/>
        <w:gridCol w:w="2230"/>
        <w:gridCol w:w="1714"/>
        <w:gridCol w:w="4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35" w:hRule="atLeast"/>
          <w:jc w:val="center"/>
        </w:trPr>
        <w:tc>
          <w:tcPr>
            <w:tcW w:w="234" w:type="pct"/>
            <w:vMerge w:val="restart"/>
            <w:vAlign w:val="center"/>
          </w:tcPr>
          <w:p>
            <w:pPr>
              <w:spacing w:line="140" w:lineRule="atLeast"/>
              <w:jc w:val="center"/>
              <w:rPr>
                <w:rFonts w:hint="default" w:ascii="Times New Roman" w:hAnsi="Times New Roman" w:eastAsia="宋体" w:cs="Times New Roman"/>
                <w:color w:val="auto"/>
                <w:szCs w:val="21"/>
              </w:rPr>
            </w:pPr>
          </w:p>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中文名：甲醇</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w:t>
            </w:r>
            <w:r>
              <w:rPr>
                <w:rFonts w:hint="default" w:ascii="Times New Roman" w:hAnsi="Times New Roman" w:eastAsia="宋体" w:cs="Times New Roman"/>
                <w:color w:val="auto"/>
                <w:szCs w:val="21"/>
                <w:lang w:val="en-GB"/>
              </w:rPr>
              <w:t>：</w:t>
            </w:r>
            <w:r>
              <w:rPr>
                <w:rFonts w:hint="default" w:ascii="Times New Roman" w:hAnsi="Times New Roman" w:eastAsia="宋体" w:cs="Times New Roman"/>
                <w:color w:val="auto"/>
                <w:szCs w:val="21"/>
              </w:rPr>
              <w:t>methyl alcohol; Methanol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分子式:CH</w:t>
            </w:r>
            <w:r>
              <w:rPr>
                <w:rFonts w:hint="default" w:ascii="Times New Roman" w:hAnsi="Times New Roman" w:eastAsia="宋体" w:cs="Times New Roman"/>
                <w:color w:val="auto"/>
                <w:kern w:val="0"/>
                <w:szCs w:val="21"/>
                <w:vertAlign w:val="subscript"/>
              </w:rPr>
              <w:t>3</w:t>
            </w:r>
            <w:r>
              <w:rPr>
                <w:rFonts w:hint="default" w:ascii="Times New Roman" w:hAnsi="Times New Roman" w:eastAsia="宋体" w:cs="Times New Roman"/>
                <w:color w:val="auto"/>
                <w:kern w:val="0"/>
                <w:szCs w:val="21"/>
              </w:rPr>
              <w:t>OH</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120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危规号:32058</w:t>
            </w:r>
          </w:p>
        </w:tc>
        <w:tc>
          <w:tcPr>
            <w:tcW w:w="922"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UN编号：1230</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CAS号：67-56-1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理化性质</w:t>
            </w: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外观与形状:无色澄清液体，有刺激气味</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溶解性:溶于水，可混溶于乙醇、醚苯等有机溶剂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熔点(℃):-97.8</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沸点(℃):64.8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相对密度:(水=1)0.79</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相对密度:(空气=1)1.11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饱和蒸汽压(kPa)13.33(21.2℃)</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禁忌物:酸类、酸酐、强氧化剂、碱金属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临界压力(MPa)：7.95</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临界温度(℃):240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稳定性:稳定</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聚合危害:不聚合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w:t>
            </w: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危险性类别:第3.2类中闪点易燃气体</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燃烧性:易燃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引燃温度(℃):385</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闪点(℃):11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爆炸下限(%):4.5</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爆炸上限(%):44.0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最小点火能(MJ):0.215</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最大爆炸压力(MPa):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2124" w:type="pct"/>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燃烧热(KJ/mol):726.5</w:t>
            </w:r>
          </w:p>
        </w:tc>
        <w:tc>
          <w:tcPr>
            <w:tcW w:w="2641" w:type="pct"/>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燃烧(分解)产物:一氧化碳、二氧化碳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280" w:lineRule="exac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w:t>
            </w:r>
            <w:r>
              <w:rPr>
                <w:rFonts w:hint="default" w:ascii="Times New Roman" w:hAnsi="Times New Roman" w:eastAsia="宋体" w:cs="Times New Roman"/>
                <w:color w:val="auto"/>
                <w:kern w:val="0"/>
                <w:szCs w:val="21"/>
              </w:rPr>
              <w:t>易燃，其蒸汽与空气可形成爆炸性混合物。遇明火、高位能引起燃烧。与氧化剂接触发生化学反应或引起燃烧。在火场中，受热的容器有爆炸危险。其蒸汽比空气重，能在较低处扩散到相当远的地方，遇明火会引着回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灭火方法:尽可能将容器从火场移至空旷处时持火场容器冷却，直至灭火结束。处在火场中的容器若己变色或从安全泄压装置中产生声音，必须马上撤离。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autoSpaceDE w:val="0"/>
              <w:autoSpaceDN w:val="0"/>
              <w:adjustRightInd w:val="0"/>
              <w:spacing w:line="136"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灭火剂:抗溶性泡沫、二氧化碳、砂土、干粉。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w:t>
            </w: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侵入途径:吸入、食入、经皮肤吸收。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健康危害:对中枢神经系统有麻醉作用:对视神经和视网膜有特殊选择作用，引起病变:可致代谢性酸中毒。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急性中毒：短时大量吸入出现轻度眼及上叫激症状(口服有胃肠道刺激症状)；经一段时间潜伏后出现头痛、头晕、乏力、眩晕、酒醉感、意识朦胧、谵忘，甚至昏迷。视神经及视网膜病变，可有视物模糊、复视等，重者失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工作场所最高允许浓度：中国MAC=50mg/m</w:t>
            </w:r>
            <w:r>
              <w:rPr>
                <w:rFonts w:hint="default" w:ascii="Times New Roman" w:hAnsi="Times New Roman" w:eastAsia="宋体" w:cs="Times New Roman"/>
                <w:color w:val="auto"/>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急救</w:t>
            </w: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皮肤接触脱掉的衣着用肥皂水彻底冲洗皮肤。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眼睛接触:提起眼险，用流动清水或生理盐水冲洗。就医。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吸入:迅速脱离现场至空气新鲜处。保持呼吸道通畅。如呼吸困难，给输氧。如呼吸停止，立即进行人工呼吸。就医。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5" w:hRule="atLeast"/>
          <w:jc w:val="center"/>
        </w:trPr>
        <w:tc>
          <w:tcPr>
            <w:tcW w:w="234" w:type="pct"/>
            <w:vMerge w:val="continue"/>
            <w:vAlign w:val="center"/>
          </w:tcPr>
          <w:p>
            <w:pPr>
              <w:spacing w:line="140" w:lineRule="atLeast"/>
              <w:jc w:val="center"/>
              <w:rPr>
                <w:rFonts w:hint="default" w:ascii="Times New Roman" w:hAnsi="Times New Roman" w:eastAsia="宋体" w:cs="Times New Roman"/>
                <w:color w:val="auto"/>
                <w:szCs w:val="21"/>
              </w:rPr>
            </w:pPr>
          </w:p>
        </w:tc>
        <w:tc>
          <w:tcPr>
            <w:tcW w:w="4765" w:type="pct"/>
            <w:gridSpan w:val="3"/>
          </w:tcPr>
          <w:p>
            <w:pPr>
              <w:spacing w:line="136"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食入:饮足量温水，催吐，用清水或1%硫代硫酸纳溶液洗胃。就医。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234" w:type="pc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泄漏处理</w:t>
            </w: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迅速撤离泄漏污染区人员至安全处，并立即隔离，严格限制出入。切断火源，建议应急处理人员戴自给正压式呼吸器，穿消防防护服。不要直接接触泄漏物，尽可能切断泄漏源。</w:t>
            </w:r>
            <w:r>
              <w:rPr>
                <w:rFonts w:hint="default" w:ascii="Times New Roman" w:hAnsi="Times New Roman" w:eastAsia="宋体" w:cs="Times New Roman"/>
                <w:color w:val="auto"/>
                <w:kern w:val="0"/>
                <w:szCs w:val="21"/>
              </w:rPr>
              <w:t>防止进入下水道、排洪沟等限制性空间。小量泄漏:用砂士或其它不燃材料吸附或吸收。也可以用大量水冲洗，洗水稀释后放入废水系统。大量泄漏：构筑围堤或挖坑收容。用泡沫覆盖，降低蒸汽灾害。用防爆泵转移至槽车或专用收集器内，回收或运至废物处理厂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234" w:type="pc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储运</w:t>
            </w:r>
          </w:p>
        </w:tc>
        <w:tc>
          <w:tcPr>
            <w:tcW w:w="4765" w:type="pct"/>
            <w:gridSpan w:val="3"/>
          </w:tcPr>
          <w:p>
            <w:pPr>
              <w:spacing w:line="136"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储运于阴凉、通风仓间内。</w:t>
            </w:r>
            <w:r>
              <w:rPr>
                <w:rFonts w:hint="default" w:ascii="Times New Roman" w:hAnsi="Times New Roman" w:eastAsia="宋体" w:cs="Times New Roman"/>
                <w:color w:val="auto"/>
                <w:kern w:val="0"/>
                <w:szCs w:val="21"/>
              </w:rPr>
              <w:t>远离火种、热源。防止阳光直射。应与氧气、氧化剂等分开存放。储存间内的照明、通风等设施应采用防爆型。开关设在仓外。配备相应品种和数量的消防器材。罐储时要有防火防爆技术措施。露天贮罐夏天要有降温措施。禁止使用易产生火花的机械设备和工具。罐装时应注意流速（不要超过3m/s）且有接地装置，防止静电积聚。</w:t>
            </w:r>
          </w:p>
        </w:tc>
      </w:tr>
    </w:tbl>
    <w:p>
      <w:pPr>
        <w:spacing w:before="120" w:beforeLines="50" w:line="240" w:lineRule="atLeast"/>
        <w:jc w:val="center"/>
        <w:rPr>
          <w:rFonts w:hint="default" w:ascii="Times New Roman" w:hAnsi="Times New Roman" w:eastAsia="宋体" w:cs="Times New Roman"/>
          <w:b/>
          <w:bCs/>
          <w:color w:val="auto"/>
          <w:kern w:val="0"/>
          <w:sz w:val="24"/>
        </w:rPr>
      </w:pP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附件表1-3 液化石油气MSDS数据表</w:t>
      </w:r>
    </w:p>
    <w:tbl>
      <w:tblPr>
        <w:tblStyle w:val="75"/>
        <w:tblW w:w="9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2209"/>
        <w:gridCol w:w="1696"/>
        <w:gridCol w:w="4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restart"/>
            <w:vAlign w:val="center"/>
          </w:tcPr>
          <w:p>
            <w:pPr>
              <w:spacing w:line="140" w:lineRule="atLeast"/>
              <w:jc w:val="center"/>
              <w:rPr>
                <w:rFonts w:hint="default" w:ascii="Times New Roman" w:hAnsi="Times New Roman" w:eastAsia="宋体" w:cs="Times New Roman"/>
                <w:color w:val="auto"/>
                <w:szCs w:val="21"/>
              </w:rPr>
            </w:pPr>
          </w:p>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中文名：液化石油气</w:t>
            </w:r>
          </w:p>
        </w:tc>
        <w:tc>
          <w:tcPr>
            <w:tcW w:w="4687" w:type="dxa"/>
          </w:tcPr>
          <w:p>
            <w:pPr>
              <w:spacing w:line="140" w:lineRule="atLeast"/>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英文名liquefied petroleum gas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分子式:混合物</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分子量：混合物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2209"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危规号:21053</w:t>
            </w:r>
          </w:p>
        </w:tc>
        <w:tc>
          <w:tcPr>
            <w:tcW w:w="1696"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UN编号：1075</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CAS号：68476-85-7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理化性质</w:t>
            </w: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外观与形状:无色易燃气体或压缩液体</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溶解性:不溶于水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熔点(℃): 混合物</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沸点(℃):-40～-0.5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相对密度:(水=1)0.51～0.58</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相对密度:(空气=1)1.2～2.0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饱和蒸汽压(MPa)</w:t>
            </w:r>
            <w:r>
              <w:rPr>
                <w:rFonts w:hint="default" w:ascii="Times New Roman" w:hAnsi="Times New Roman" w:eastAsia="宋体" w:cs="Times New Roman"/>
                <w:color w:val="auto"/>
                <w:szCs w:val="21"/>
              </w:rPr>
              <w:t xml:space="preserve"> 1.3-2.0（常温）</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禁忌物:强氧化剂、羟基镍、氧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临界压力(MPa)：1.6</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临界温度(℃):50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稳定性:常温常压稳定</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聚合危害:不聚合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w:t>
            </w: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危险性类别: 第2.1类易燃气体</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燃烧性:易燃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引燃温度(℃):430～460</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闪点(℃):-73.5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爆炸下限(%):1.5</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爆炸上限(%):9.5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最小点火能(MJ):0.2～0.3</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最大爆炸压力(MPa):7.94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3905" w:type="dxa"/>
            <w:gridSpan w:val="2"/>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燃烧热(kJ/m</w:t>
            </w:r>
            <w:r>
              <w:rPr>
                <w:rFonts w:hint="default" w:ascii="Times New Roman" w:hAnsi="Times New Roman" w:eastAsia="宋体" w:cs="Times New Roman"/>
                <w:color w:val="auto"/>
                <w:kern w:val="0"/>
                <w:szCs w:val="21"/>
                <w:vertAlign w:val="superscript"/>
              </w:rPr>
              <w:t>3</w:t>
            </w:r>
            <w:r>
              <w:rPr>
                <w:rFonts w:hint="default" w:ascii="Times New Roman" w:hAnsi="Times New Roman" w:eastAsia="宋体" w:cs="Times New Roman"/>
                <w:color w:val="auto"/>
                <w:kern w:val="0"/>
                <w:szCs w:val="21"/>
              </w:rPr>
              <w:t>):</w:t>
            </w:r>
            <w:r>
              <w:rPr>
                <w:rFonts w:hint="default" w:ascii="Times New Roman" w:hAnsi="Times New Roman" w:eastAsia="宋体" w:cs="Times New Roman"/>
                <w:color w:val="auto"/>
                <w:szCs w:val="21"/>
              </w:rPr>
              <w:t xml:space="preserve"> 92092~12139 </w:t>
            </w:r>
          </w:p>
        </w:tc>
        <w:tc>
          <w:tcPr>
            <w:tcW w:w="4687" w:type="dxa"/>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燃烧(分解)产物:一氧化碳、二氧化碳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w:t>
            </w:r>
            <w:r>
              <w:rPr>
                <w:rFonts w:hint="default" w:ascii="Times New Roman" w:hAnsi="Times New Roman" w:eastAsia="宋体" w:cs="Times New Roman"/>
                <w:color w:val="auto"/>
                <w:kern w:val="0"/>
                <w:szCs w:val="21"/>
              </w:rPr>
              <w:t>与空气混合能形成爆炸性混合物，遇火星、高热有燃烧爆炸危险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灭火方法:消防人员必须穿戴全身防火防毒服。切断气源。若不能立即切断气源，则不允许熄灭正在燃烧的气体。喷气冷却容器，可能的话将容器从火场移至空旷处。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autoSpaceDE w:val="0"/>
              <w:autoSpaceDN w:val="0"/>
              <w:adjustRightInd w:val="0"/>
              <w:spacing w:line="1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灭火剂:雾状水、泡沫、干粉、石墨粉。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w:t>
            </w: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侵入途径:吸入。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急性中毒：</w:t>
            </w:r>
            <w:r>
              <w:rPr>
                <w:rFonts w:hint="default" w:ascii="Times New Roman" w:hAnsi="Times New Roman" w:eastAsia="宋体" w:cs="Times New Roman"/>
                <w:color w:val="auto"/>
                <w:szCs w:val="21"/>
              </w:rPr>
              <w:t>高浓度下吸入会引起呼吸道刺激、反胃、头痛、迟钝、呼吸短促等。造成窒息效果時，最初之症狀有呼吸急促、逐渐失去平衡感、眼花、头部很紧感觉，舌、手指、脚趾刺痛感、说话困难，乃至无法行动及失去运动协调能力，甚至死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工作场所最高允许浓度：中国MAC=1000mg/m</w:t>
            </w:r>
            <w:r>
              <w:rPr>
                <w:rFonts w:hint="default" w:ascii="Times New Roman" w:hAnsi="Times New Roman" w:eastAsia="宋体" w:cs="Times New Roman"/>
                <w:color w:val="auto"/>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restart"/>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急救</w:t>
            </w: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皮肤接触：用温水敷在感染皮肤上（如造成冻伤，不可以热水清洗），如无温水则用毛毯或厚衣服包裹，待温暖后鼓励其缓慢运动，使血液流通，有任何异样立即送医处理。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眼睛接触:</w:t>
            </w:r>
            <w:r>
              <w:rPr>
                <w:rFonts w:hint="default" w:ascii="Times New Roman" w:hAnsi="Times New Roman" w:eastAsia="宋体" w:cs="Times New Roman"/>
                <w:color w:val="auto"/>
                <w:szCs w:val="21"/>
              </w:rPr>
              <w:t>立刻用温水沖洗眼睛十五分钟以上，同时不断撑开上下眼皮，可用消毒干纱布轻轻包扎，既送眼科医生处急救。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吸入:迅速脱离现场至空气新鲜处。保持呼吸道通畅。如呼吸困难，给输氧。如呼吸停止，立即进行人工呼吸。就医。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26" w:type="dxa"/>
            <w:vMerge w:val="continue"/>
            <w:vAlign w:val="center"/>
          </w:tcPr>
          <w:p>
            <w:pPr>
              <w:spacing w:line="140" w:lineRule="atLeast"/>
              <w:jc w:val="center"/>
              <w:rPr>
                <w:rFonts w:hint="default" w:ascii="Times New Roman" w:hAnsi="Times New Roman" w:eastAsia="宋体" w:cs="Times New Roman"/>
                <w:color w:val="auto"/>
                <w:szCs w:val="21"/>
              </w:rPr>
            </w:pPr>
          </w:p>
        </w:tc>
        <w:tc>
          <w:tcPr>
            <w:tcW w:w="8592" w:type="dxa"/>
            <w:gridSpan w:val="3"/>
          </w:tcPr>
          <w:p>
            <w:pPr>
              <w:spacing w:line="1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食入:不适用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26" w:type="dxa"/>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泄漏处理</w:t>
            </w: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迅速撤离泄漏污染区人员至安全处，并立即隔离，严格限制出入。切断火源，建议应急处理人员戴自给正压式呼吸器，穿消防防护服。不要直接接触泄漏物，尽可能切断泄漏源。</w:t>
            </w:r>
            <w:r>
              <w:rPr>
                <w:rFonts w:hint="default" w:ascii="Times New Roman" w:hAnsi="Times New Roman" w:eastAsia="宋体" w:cs="Times New Roman"/>
                <w:color w:val="auto"/>
                <w:kern w:val="0"/>
                <w:szCs w:val="21"/>
              </w:rPr>
              <w:t>防止进入下水道、排洪沟等限制性空间。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7" w:hRule="atLeast"/>
          <w:jc w:val="center"/>
        </w:trPr>
        <w:tc>
          <w:tcPr>
            <w:tcW w:w="426" w:type="dxa"/>
            <w:vAlign w:val="center"/>
          </w:tcPr>
          <w:p>
            <w:pPr>
              <w:spacing w:line="1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储运</w:t>
            </w:r>
          </w:p>
        </w:tc>
        <w:tc>
          <w:tcPr>
            <w:tcW w:w="8592" w:type="dxa"/>
            <w:gridSpan w:val="3"/>
          </w:tcPr>
          <w:p>
            <w:pPr>
              <w:spacing w:line="1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储运于阴凉、通风仓间内。</w:t>
            </w:r>
            <w:r>
              <w:rPr>
                <w:rFonts w:hint="default" w:ascii="Times New Roman" w:hAnsi="Times New Roman" w:eastAsia="宋体" w:cs="Times New Roman"/>
                <w:color w:val="auto"/>
                <w:kern w:val="0"/>
                <w:szCs w:val="21"/>
              </w:rPr>
              <w:t>远离火种、热源。防止阳光直射。应与氧气、氧化剂等分开存放。储存间内的照明、通风等设施应采用防爆型。开关设在仓外。配备相应品种和数量的消防器材。罐储时要有防火防爆技术措施。露天贮罐夏天要有降温措施。禁止使用易产生火花的机械设备和工具。罐装时应注意流速（不要超过3m/s）且有接地装置，防止静电积聚。</w:t>
            </w:r>
          </w:p>
        </w:tc>
      </w:tr>
    </w:tbl>
    <w:p>
      <w:pPr>
        <w:spacing w:before="120" w:beforeLines="50" w:line="240" w:lineRule="atLeast"/>
        <w:jc w:val="center"/>
        <w:rPr>
          <w:rFonts w:hint="default" w:ascii="Times New Roman" w:hAnsi="Times New Roman" w:eastAsia="宋体" w:cs="Times New Roman"/>
          <w:b/>
          <w:bCs/>
          <w:color w:val="auto"/>
          <w:kern w:val="0"/>
          <w:sz w:val="24"/>
        </w:rPr>
      </w:pPr>
    </w:p>
    <w:p>
      <w:pPr>
        <w:spacing w:before="120" w:beforeLines="50" w:line="240" w:lineRule="atLeast"/>
        <w:jc w:val="center"/>
        <w:rPr>
          <w:rFonts w:hint="default" w:ascii="Times New Roman" w:hAnsi="Times New Roman" w:eastAsia="宋体" w:cs="Times New Roman"/>
          <w:b/>
          <w:bCs/>
          <w:color w:val="auto"/>
          <w:kern w:val="0"/>
          <w:sz w:val="24"/>
        </w:rPr>
      </w:pPr>
    </w:p>
    <w:p>
      <w:pPr>
        <w:spacing w:before="120" w:beforeLines="50" w:line="240" w:lineRule="atLeast"/>
        <w:jc w:val="center"/>
        <w:rPr>
          <w:rFonts w:hint="default" w:ascii="Times New Roman" w:hAnsi="Times New Roman" w:eastAsia="宋体" w:cs="Times New Roman"/>
          <w:b/>
          <w:bCs/>
          <w:color w:val="auto"/>
          <w:kern w:val="0"/>
          <w:sz w:val="24"/>
        </w:rPr>
      </w:pPr>
    </w:p>
    <w:p>
      <w:pPr>
        <w:pStyle w:val="280"/>
        <w:spacing w:line="360" w:lineRule="auto"/>
        <w:ind w:firstLine="482" w:firstLineChars="200"/>
        <w:jc w:val="center"/>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4"/>
        </w:rPr>
        <w:t>附件表1-4甲基叔丁基醚（MTBE）MSDS数据表</w:t>
      </w:r>
    </w:p>
    <w:tbl>
      <w:tblPr>
        <w:tblStyle w:val="75"/>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
        <w:gridCol w:w="1960"/>
        <w:gridCol w:w="2519"/>
        <w:gridCol w:w="42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restart"/>
            <w:vAlign w:val="center"/>
          </w:tcPr>
          <w:p>
            <w:pPr>
              <w:spacing w:line="240" w:lineRule="atLeast"/>
              <w:rPr>
                <w:rFonts w:hint="default" w:ascii="Times New Roman" w:hAnsi="Times New Roman" w:eastAsia="宋体" w:cs="Times New Roman"/>
                <w:color w:val="auto"/>
                <w:szCs w:val="21"/>
              </w:rPr>
            </w:pPr>
          </w:p>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2411" w:type="pct"/>
            <w:gridSpan w:val="2"/>
            <w:vAlign w:val="center"/>
          </w:tcPr>
          <w:p>
            <w:pPr>
              <w:autoSpaceDE w:val="0"/>
              <w:autoSpaceDN w:val="0"/>
              <w:adjustRightIn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中文名：甲基叔丁基醚</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w:t>
            </w:r>
            <w:r>
              <w:rPr>
                <w:rFonts w:hint="default" w:ascii="Times New Roman" w:hAnsi="Times New Roman" w:eastAsia="宋体" w:cs="Times New Roman"/>
                <w:color w:val="auto"/>
                <w:szCs w:val="21"/>
                <w:lang w:val="en-GB"/>
              </w:rPr>
              <w:t>：</w:t>
            </w:r>
            <w:r>
              <w:rPr>
                <w:rFonts w:hint="default" w:ascii="Times New Roman" w:hAnsi="Times New Roman" w:eastAsia="宋体" w:cs="Times New Roman"/>
                <w:color w:val="auto"/>
                <w:kern w:val="0"/>
                <w:szCs w:val="21"/>
              </w:rPr>
              <w:t>methyl-reft-butylether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分子式:C</w:t>
            </w:r>
            <w:r>
              <w:rPr>
                <w:rFonts w:hint="default" w:ascii="Times New Roman" w:hAnsi="Times New Roman" w:eastAsia="宋体" w:cs="Times New Roman"/>
                <w:color w:val="auto"/>
                <w:kern w:val="0"/>
                <w:szCs w:val="21"/>
                <w:vertAlign w:val="subscript"/>
              </w:rPr>
              <w:t>5</w:t>
            </w:r>
            <w:r>
              <w:rPr>
                <w:rFonts w:hint="default" w:ascii="Times New Roman" w:hAnsi="Times New Roman" w:eastAsia="宋体" w:cs="Times New Roman"/>
                <w:color w:val="auto"/>
                <w:kern w:val="0"/>
                <w:szCs w:val="21"/>
              </w:rPr>
              <w:t>H</w:t>
            </w:r>
            <w:r>
              <w:rPr>
                <w:rFonts w:hint="default" w:ascii="Times New Roman" w:hAnsi="Times New Roman" w:eastAsia="宋体" w:cs="Times New Roman"/>
                <w:color w:val="auto"/>
                <w:kern w:val="0"/>
                <w:szCs w:val="21"/>
                <w:vertAlign w:val="subscript"/>
              </w:rPr>
              <w:t>12</w:t>
            </w:r>
            <w:r>
              <w:rPr>
                <w:rFonts w:hint="default" w:ascii="Times New Roman" w:hAnsi="Times New Roman" w:eastAsia="宋体" w:cs="Times New Roman"/>
                <w:color w:val="auto"/>
                <w:kern w:val="0"/>
                <w:szCs w:val="21"/>
              </w:rPr>
              <w:t>O</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 88.2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1055"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危规号:</w:t>
            </w:r>
          </w:p>
        </w:tc>
        <w:tc>
          <w:tcPr>
            <w:tcW w:w="1355"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UN编号：</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w:t>
            </w:r>
            <w:r>
              <w:rPr>
                <w:rFonts w:hint="default" w:ascii="Times New Roman" w:hAnsi="Times New Roman" w:eastAsia="宋体" w:cs="Times New Roman"/>
                <w:color w:val="auto"/>
                <w:kern w:val="0"/>
                <w:szCs w:val="21"/>
              </w:rPr>
              <w:t>1634-04-4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restar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理化性质</w:t>
            </w: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外观与形状:</w:t>
            </w:r>
            <w:r>
              <w:rPr>
                <w:rFonts w:hint="default" w:ascii="Times New Roman" w:hAnsi="Times New Roman" w:eastAsia="宋体" w:cs="Times New Roman"/>
                <w:color w:val="auto"/>
                <w:szCs w:val="21"/>
              </w:rPr>
              <w:t>无色液体，具有醚样气味</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溶解性:</w:t>
            </w:r>
            <w:r>
              <w:rPr>
                <w:rFonts w:hint="default" w:ascii="Times New Roman" w:hAnsi="Times New Roman" w:eastAsia="宋体" w:cs="Times New Roman"/>
                <w:color w:val="auto"/>
                <w:szCs w:val="21"/>
              </w:rPr>
              <w:t>不溶于水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熔点(℃):-109</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沸点(℃):</w:t>
            </w:r>
            <w:r>
              <w:rPr>
                <w:rFonts w:hint="default" w:ascii="Times New Roman" w:hAnsi="Times New Roman" w:eastAsia="宋体" w:cs="Times New Roman"/>
                <w:color w:val="auto"/>
                <w:szCs w:val="21"/>
              </w:rPr>
              <w:t>53～56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相对密度:(水=1)</w:t>
            </w:r>
            <w:r>
              <w:rPr>
                <w:rFonts w:hint="default" w:ascii="Times New Roman" w:hAnsi="Times New Roman" w:eastAsia="宋体" w:cs="Times New Roman"/>
                <w:color w:val="auto"/>
                <w:szCs w:val="21"/>
              </w:rPr>
              <w:t xml:space="preserve"> 0.76</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相对密度:(空气=1)3.1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饱和蒸汽压(KPa)：32.664（25℃）</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禁忌物: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临界压力(MPa)：</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临界温度(℃)：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稳定性:</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聚合危害: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restar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w:t>
            </w: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危险性类别:</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燃烧性:易燃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9"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引燃温度(℃):</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闪点(℃):</w:t>
            </w:r>
            <w:r>
              <w:rPr>
                <w:rFonts w:hint="default" w:ascii="Times New Roman" w:hAnsi="Times New Roman" w:eastAsia="宋体" w:cs="Times New Roman"/>
                <w:color w:val="auto"/>
                <w:szCs w:val="21"/>
              </w:rPr>
              <w:t>-28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爆炸下限(%):</w:t>
            </w:r>
            <w:r>
              <w:rPr>
                <w:rFonts w:hint="default" w:ascii="Times New Roman" w:hAnsi="Times New Roman" w:eastAsia="宋体" w:cs="Times New Roman"/>
                <w:color w:val="auto"/>
                <w:szCs w:val="21"/>
              </w:rPr>
              <w:t>1.6</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爆炸上限(%):</w:t>
            </w:r>
            <w:r>
              <w:rPr>
                <w:rFonts w:hint="default" w:ascii="Times New Roman" w:hAnsi="Times New Roman" w:eastAsia="宋体" w:cs="Times New Roman"/>
                <w:color w:val="auto"/>
                <w:szCs w:val="21"/>
              </w:rPr>
              <w:t>15.1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最小点火能(MJ):</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最大爆炸压力(MPa):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2411" w:type="pct"/>
            <w:gridSpan w:val="2"/>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燃烧热(kJ/mol):38.22</w:t>
            </w:r>
          </w:p>
        </w:tc>
        <w:tc>
          <w:tcPr>
            <w:tcW w:w="2296"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燃烧(分解)产物: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autoSpaceDE w:val="0"/>
              <w:autoSpaceDN w:val="0"/>
              <w:adjustRightInd w:val="0"/>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危险特性：易燃，其蒸气与空气可形成爆炸性混合物。遇明火、高热或与氧化剂接触，有引起燃烧爆炸的危险。与氧化剂接触会猛烈反应。气体比空气重，能在较低处扩散到相当远的地方，遇明火会引着回燃。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autoSpaceDE w:val="0"/>
              <w:autoSpaceDN w:val="0"/>
              <w:adjustRightInd w:val="0"/>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灭火方法: 尽可能将容器从火场移至空旷处。喷水保持火场容器冷却，直至灭火结束。处在火场中的容器若己变色或从安全泄压装置中产生声音，必须马上撤离。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autoSpaceDE w:val="0"/>
              <w:autoSpaceDN w:val="0"/>
              <w:adjustRightInd w:val="0"/>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灭火剂:抗溶性泡沫、干粉、二氧化碳、砂土。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restar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w:t>
            </w:r>
          </w:p>
        </w:tc>
        <w:tc>
          <w:tcPr>
            <w:tcW w:w="4708" w:type="pct"/>
            <w:gridSpan w:val="3"/>
            <w:vAlign w:val="center"/>
          </w:tcPr>
          <w:p>
            <w:pPr>
              <w:spacing w:line="2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侵入途径:吸入、食入、经皮吸收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autoSpaceDE w:val="0"/>
              <w:autoSpaceDN w:val="0"/>
              <w:adjustRightInd w:val="0"/>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健康危害: 本品蒸气或雾对眼睛、粘膜和上呼吸道有刺激作用，可引起化学性肺炎。对皮肤有刺激性。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spacing w:line="2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工作场所最高允许浓度：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spacing w:line="2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中毒表现：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restar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急救</w:t>
            </w:r>
          </w:p>
        </w:tc>
        <w:tc>
          <w:tcPr>
            <w:tcW w:w="4708" w:type="pct"/>
            <w:gridSpan w:val="3"/>
            <w:vAlign w:val="center"/>
          </w:tcPr>
          <w:p>
            <w:pPr>
              <w:spacing w:line="240" w:lineRule="atLeast"/>
              <w:ind w:firstLine="420" w:firstLineChars="200"/>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皮肤接触：脱去被污染的衣着，用肥皂水和清水彻底冲洗皮肤。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眼睛接触:提起眼睑，用大量流动清水或生理盐水冲洗，就医。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autoSpaceDE w:val="0"/>
              <w:autoSpaceDN w:val="0"/>
              <w:adjustRightInd w:val="0"/>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吸入: 迅速脱离现场至空气新鲜处。保持呼吸道通畅。如呼吸困难，给输氧。如呼吸停止，立即进行人工呼吸。就医。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291" w:type="pct"/>
            <w:vMerge w:val="continue"/>
            <w:vAlign w:val="center"/>
          </w:tcPr>
          <w:p>
            <w:pPr>
              <w:spacing w:line="240" w:lineRule="atLeast"/>
              <w:rPr>
                <w:rFonts w:hint="default" w:ascii="Times New Roman" w:hAnsi="Times New Roman" w:eastAsia="宋体" w:cs="Times New Roman"/>
                <w:color w:val="auto"/>
                <w:szCs w:val="21"/>
              </w:rPr>
            </w:pPr>
          </w:p>
        </w:tc>
        <w:tc>
          <w:tcPr>
            <w:tcW w:w="4708" w:type="pct"/>
            <w:gridSpan w:val="3"/>
            <w:vAlign w:val="center"/>
          </w:tcPr>
          <w:p>
            <w:pPr>
              <w:autoSpaceDE w:val="0"/>
              <w:autoSpaceDN w:val="0"/>
              <w:adjustRightInd w:val="0"/>
              <w:spacing w:line="240" w:lineRule="atLeast"/>
              <w:ind w:firstLine="420" w:firstLineChars="200"/>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食入:饮足量温水，催吐，就医。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91"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泄漏处理</w:t>
            </w:r>
          </w:p>
        </w:tc>
        <w:tc>
          <w:tcPr>
            <w:tcW w:w="4708" w:type="pct"/>
            <w:gridSpan w:val="3"/>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迅速撤离泄漏污染区人员至安全区，并进行隔离，严格限制出入。切断火源。建议应急处理人员戴自给正压式呼吸器，穿消防防护服。尽可能切断泄漏源。防止进入下水道、排洪沟等限制性空间。小量泄漏:用砂土、蛭石或其他惰性材料吸收。大量泄漏:构筑围堤或挖坑收容；用泡沫覆盖，降低蒸气灾害。用防爆泵转移至槽车或专用收集器内，回收或运至废液处理厂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 w:hRule="atLeast"/>
          <w:jc w:val="center"/>
        </w:trPr>
        <w:tc>
          <w:tcPr>
            <w:tcW w:w="291" w:type="pct"/>
            <w:vAlign w:val="center"/>
          </w:tcPr>
          <w:p>
            <w:pPr>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储运</w:t>
            </w:r>
          </w:p>
        </w:tc>
        <w:tc>
          <w:tcPr>
            <w:tcW w:w="4708" w:type="pct"/>
            <w:gridSpan w:val="3"/>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储存于阴凉、通风仓间内。远离火种、热源。仓间温度不宜超过30℃。防止阳光直射。包装要求密封，不可与空气接触。应与氧化剂分开存放。储存间内的照明、通风等设施应采用防爆型，开关设在仓外。罐储时要有防火防爆技术措施。禁止使用易产生火花的机械设备和工具。灌装时应注意流速（不超过3m/s）且有接地装置，防止静电积聚。搬运时轻装轻卸，防止包装及容器损坏。</w:t>
            </w:r>
          </w:p>
        </w:tc>
      </w:tr>
    </w:tbl>
    <w:p>
      <w:pPr>
        <w:spacing w:before="120" w:beforeLines="50" w:line="240" w:lineRule="atLeast"/>
        <w:rPr>
          <w:rFonts w:hint="default" w:ascii="Times New Roman" w:hAnsi="Times New Roman" w:eastAsia="宋体" w:cs="Times New Roman"/>
          <w:b/>
          <w:bCs/>
          <w:color w:val="auto"/>
          <w:kern w:val="0"/>
          <w:sz w:val="24"/>
        </w:rPr>
      </w:pPr>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附件表1-5 30%氢氧化钠（液碱）MSDS数据表</w:t>
      </w:r>
    </w:p>
    <w:tbl>
      <w:tblPr>
        <w:tblStyle w:val="75"/>
        <w:tblW w:w="89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3971"/>
        <w:gridCol w:w="39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Merge w:val="restart"/>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标识</w:t>
            </w:r>
          </w:p>
        </w:tc>
        <w:tc>
          <w:tcPr>
            <w:tcW w:w="3971"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化学品中文名称：30%氢氧化钠（液碱）</w:t>
            </w:r>
          </w:p>
        </w:tc>
        <w:tc>
          <w:tcPr>
            <w:tcW w:w="3967"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CAS No.：1310-73-2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3971"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分子式：NaOH</w:t>
            </w:r>
          </w:p>
        </w:tc>
        <w:tc>
          <w:tcPr>
            <w:tcW w:w="3967"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分子量：40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993" w:type="dxa"/>
            <w:vMerge w:val="restart"/>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理化</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性质</w:t>
            </w:r>
          </w:p>
        </w:tc>
        <w:tc>
          <w:tcPr>
            <w:tcW w:w="7938" w:type="dxa"/>
            <w:gridSpan w:val="2"/>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外观与性状: 无色透明状液体。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7938" w:type="dxa"/>
            <w:gridSpan w:val="2"/>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溶解性: 易溶于水、乙醇、甘油，不溶于丙酮。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5"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3971"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冻点(℃) : 1</w:t>
            </w:r>
          </w:p>
        </w:tc>
        <w:tc>
          <w:tcPr>
            <w:tcW w:w="3967" w:type="dxa"/>
            <w:vAlign w:val="center"/>
          </w:tcPr>
          <w:p>
            <w:pPr>
              <w:spacing w:line="240" w:lineRule="atLeast"/>
              <w:ind w:firstLine="420" w:firstLineChars="200"/>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沸点(℃) : 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3971"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相对密度(水=1) 1.332</w:t>
            </w:r>
          </w:p>
        </w:tc>
        <w:tc>
          <w:tcPr>
            <w:tcW w:w="3967" w:type="dxa"/>
            <w:vAlign w:val="center"/>
          </w:tcPr>
          <w:p>
            <w:pPr>
              <w:spacing w:line="240" w:lineRule="atLeast"/>
              <w:ind w:firstLine="420" w:firstLineChars="200"/>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蒸汽压: 无资料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993" w:type="dxa"/>
            <w:vMerge w:val="restart"/>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危险</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特性</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第8.2类碱性腐蚀品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燃爆危险: 本品不燃，具强腐蚀性、强刺激性，可致人体灼伤。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7938" w:type="dxa"/>
            <w:gridSpan w:val="2"/>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与酸发生中和反应并放热。遇潮时对铝、锌和锡有腐蚀性，并放出易燃易爆的氢气。本品不会燃烧。具有强腐蚀性。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Merge w:val="continue"/>
            <w:vAlign w:val="center"/>
          </w:tcPr>
          <w:p>
            <w:pPr>
              <w:spacing w:line="240" w:lineRule="atLeast"/>
              <w:jc w:val="center"/>
              <w:rPr>
                <w:rFonts w:hint="default" w:ascii="Times New Roman" w:hAnsi="Times New Roman" w:eastAsia="宋体" w:cs="Times New Roman"/>
                <w:bCs/>
                <w:color w:val="auto"/>
                <w:kern w:val="0"/>
                <w:szCs w:val="21"/>
              </w:rPr>
            </w:pPr>
          </w:p>
        </w:tc>
        <w:tc>
          <w:tcPr>
            <w:tcW w:w="7938" w:type="dxa"/>
            <w:gridSpan w:val="2"/>
            <w:vAlign w:val="center"/>
          </w:tcPr>
          <w:p>
            <w:pPr>
              <w:spacing w:line="240" w:lineRule="atLeast"/>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有害燃烧产物: 可能产生有害的毒性烟雾。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健康</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危害</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本品有强烈刺激和腐蚀性。粉尘刺激眼和呼吸道，腐蚀鼻中隔；皮肤和眼直接接触可引起灼伤；误服可造成消化道灼伤，粘膜糜烂、出血和休克。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接触</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限值</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2 mg/m</w:t>
            </w:r>
            <w:r>
              <w:rPr>
                <w:rFonts w:hint="default" w:ascii="Times New Roman" w:hAnsi="Times New Roman" w:eastAsia="宋体" w:cs="Times New Roman"/>
                <w:bCs/>
                <w:color w:val="auto"/>
                <w:kern w:val="0"/>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环境</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标准</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中国(TJ36-79)车间空气中有害物质的最高容许浓度15mg/m</w:t>
            </w:r>
            <w:r>
              <w:rPr>
                <w:rFonts w:hint="default" w:ascii="Times New Roman" w:hAnsi="Times New Roman" w:eastAsia="宋体" w:cs="Times New Roman"/>
                <w:bCs/>
                <w:color w:val="auto"/>
                <w:kern w:val="0"/>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急救</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吸入:迅速脱离现场至空气新鲜处。保持呼吸道通畅。如呼吸困难，给输氧。如呼吸停止，立即进行人工呼吸。就医。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5"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灭火</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方法</w:t>
            </w:r>
          </w:p>
        </w:tc>
        <w:tc>
          <w:tcPr>
            <w:tcW w:w="7938" w:type="dxa"/>
            <w:gridSpan w:val="2"/>
          </w:tcPr>
          <w:p>
            <w:pPr>
              <w:spacing w:line="360" w:lineRule="auto"/>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用水、砂土扑救，但须防止物品遇水产生飞溅，造成灼伤。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34"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防护</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呼吸系统防护：可能接触其粉尘时，必须佩戴头罩型电动送风过滤式防尘呼吸器。必要时，佩戴空气呼吸器。</w:t>
            </w:r>
          </w:p>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眼睛防护：呼吸系统防护中已作防护。</w:t>
            </w:r>
          </w:p>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身体防护：穿橡胶耐酸碱服。</w:t>
            </w:r>
          </w:p>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手防护：戴橡胶耐酸碱手套。</w:t>
            </w:r>
          </w:p>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其它：工作场所禁止吸烟、进食和饮水，饭前要洗手。工作完毕，淋浴更衣。注意个人清洁卫生。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6"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工程</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控制</w:t>
            </w:r>
          </w:p>
        </w:tc>
        <w:tc>
          <w:tcPr>
            <w:tcW w:w="7938" w:type="dxa"/>
            <w:gridSpan w:val="2"/>
            <w:vAlign w:val="center"/>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密闭操作。提供安全淋浴和洗眼设备。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泄漏</w:t>
            </w:r>
          </w:p>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处理</w:t>
            </w:r>
          </w:p>
        </w:tc>
        <w:tc>
          <w:tcPr>
            <w:tcW w:w="7938" w:type="dxa"/>
            <w:gridSpan w:val="2"/>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迅速撤离泄漏污染区人员至安全区，并进行隔离，严格限制出入。切断火源。建议应急处理人员戴自给正压式呼吸器，穿防酸碱工作服。尽可能切断泄漏源。防止流入下水道、排洪沟等限制性空间。小量泄漏：用砂土、干燥石灰或苏打灰混合。也可以用大量水冲洗，洗水稀释后放入废水系统。大量泄漏：构筑围堤或挖坑收容。用泵转移至槽车或专用收集器内，回收或运至废物处理厂所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废弃处置方法</w:t>
            </w:r>
          </w:p>
        </w:tc>
        <w:tc>
          <w:tcPr>
            <w:tcW w:w="7938" w:type="dxa"/>
            <w:gridSpan w:val="2"/>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处置前应参阅国家和地方有关法规。中和、稀释后，排入废水系统。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93" w:type="dxa"/>
            <w:vAlign w:val="center"/>
          </w:tcPr>
          <w:p>
            <w:pPr>
              <w:spacing w:line="240" w:lineRule="atLeast"/>
              <w:jc w:val="center"/>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操作注意事项</w:t>
            </w:r>
          </w:p>
        </w:tc>
        <w:tc>
          <w:tcPr>
            <w:tcW w:w="7938" w:type="dxa"/>
            <w:gridSpan w:val="2"/>
          </w:tcPr>
          <w:p>
            <w:pPr>
              <w:spacing w:line="240" w:lineRule="atLeast"/>
              <w:ind w:firstLine="420" w:firstLineChars="200"/>
              <w:jc w:val="left"/>
              <w:rPr>
                <w:rFonts w:hint="default" w:ascii="Times New Roman" w:hAnsi="Times New Roman" w:eastAsia="宋体" w:cs="Times New Roman"/>
                <w:bCs/>
                <w:color w:val="auto"/>
                <w:kern w:val="0"/>
                <w:szCs w:val="21"/>
              </w:rPr>
            </w:pPr>
            <w:r>
              <w:rPr>
                <w:rFonts w:hint="default" w:ascii="Times New Roman" w:hAnsi="Times New Roman" w:eastAsia="宋体" w:cs="Times New Roman"/>
                <w:bCs/>
                <w:color w:val="auto"/>
                <w:kern w:val="0"/>
                <w:szCs w:val="21"/>
              </w:rPr>
              <w:t>密闭操作，注意通风。操作人员必须经过专门培训，严格遵守操作规程。建议操作人员佩戴自吸过滤式防毒面具（半面罩），戴化学安全防护眼镜，穿橡胶耐酸碱服，戴橡胶耐酸碱手套。远离火种、热源，工作场所严禁吸烟。避免与酸类接触。搬运时要轻装轻卸，防止包装及容器损坏。配备相应品种和数量的消防器材及泄漏应急处理设备。倒空的容器可能残留有害物。</w:t>
            </w:r>
          </w:p>
        </w:tc>
      </w:tr>
      <w:bookmarkEnd w:id="236"/>
    </w:tbl>
    <w:p>
      <w:pPr>
        <w:spacing w:before="120" w:beforeLines="50" w:line="240" w:lineRule="atLeast"/>
        <w:jc w:val="center"/>
        <w:rPr>
          <w:rFonts w:hint="default" w:ascii="Times New Roman" w:hAnsi="Times New Roman" w:eastAsia="宋体" w:cs="Times New Roman"/>
          <w:b/>
          <w:color w:val="auto"/>
          <w:kern w:val="0"/>
          <w:sz w:val="24"/>
        </w:rPr>
      </w:pPr>
      <w:bookmarkStart w:id="239" w:name="_Toc512839439"/>
      <w:bookmarkStart w:id="240" w:name="_Toc511914906"/>
    </w:p>
    <w:p>
      <w:pPr>
        <w:pStyle w:val="280"/>
        <w:spacing w:line="360" w:lineRule="auto"/>
        <w:ind w:firstLine="422" w:firstLineChars="200"/>
        <w:jc w:val="center"/>
        <w:rPr>
          <w:rFonts w:hint="default" w:ascii="Times New Roman" w:hAnsi="Times New Roman" w:eastAsia="宋体" w:cs="Times New Roman"/>
          <w:b/>
          <w:color w:val="auto"/>
          <w:kern w:val="0"/>
          <w:sz w:val="21"/>
          <w:szCs w:val="21"/>
        </w:rPr>
      </w:pPr>
      <w:r>
        <w:rPr>
          <w:rFonts w:hint="default" w:ascii="Times New Roman" w:hAnsi="Times New Roman" w:eastAsia="宋体" w:cs="Times New Roman"/>
          <w:b/>
          <w:color w:val="auto"/>
          <w:kern w:val="0"/>
          <w:sz w:val="21"/>
          <w:szCs w:val="21"/>
        </w:rPr>
        <w:t>附件表1-6混合碳四主要成分理化性质及危险特性</w:t>
      </w:r>
    </w:p>
    <w:tbl>
      <w:tblPr>
        <w:tblStyle w:val="75"/>
        <w:tblW w:w="9122" w:type="dxa"/>
        <w:jc w:val="center"/>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Layout w:type="fixed"/>
        <w:tblCellMar>
          <w:top w:w="0" w:type="dxa"/>
          <w:left w:w="108" w:type="dxa"/>
          <w:bottom w:w="0" w:type="dxa"/>
          <w:right w:w="108" w:type="dxa"/>
        </w:tblCellMar>
      </w:tblPr>
      <w:tblGrid>
        <w:gridCol w:w="770"/>
        <w:gridCol w:w="2916"/>
        <w:gridCol w:w="3926"/>
        <w:gridCol w:w="151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9122"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一、异丁烷理化性质及危险特性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中文名：异丁烷</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英文名：isobutane；2-methylpropane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别名：2-甲基丙烷</w:t>
            </w:r>
          </w:p>
        </w:tc>
        <w:tc>
          <w:tcPr>
            <w:tcW w:w="392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分子式：C</w:t>
            </w:r>
            <w:r>
              <w:rPr>
                <w:rFonts w:hint="default" w:ascii="Times New Roman" w:hAnsi="Times New Roman" w:eastAsia="宋体" w:cs="Times New Roman"/>
                <w:color w:val="auto"/>
                <w:szCs w:val="21"/>
                <w:vertAlign w:val="subscript"/>
              </w:rPr>
              <w:t>4</w:t>
            </w:r>
            <w:r>
              <w:rPr>
                <w:rFonts w:hint="default" w:ascii="Times New Roman" w:hAnsi="Times New Roman" w:eastAsia="宋体" w:cs="Times New Roman"/>
                <w:color w:val="auto"/>
                <w:szCs w:val="21"/>
              </w:rPr>
              <w:t>H</w:t>
            </w:r>
            <w:r>
              <w:rPr>
                <w:rFonts w:hint="default" w:ascii="Times New Roman" w:hAnsi="Times New Roman" w:eastAsia="宋体" w:cs="Times New Roman"/>
                <w:color w:val="auto"/>
                <w:szCs w:val="21"/>
                <w:vertAlign w:val="subscript"/>
              </w:rPr>
              <w:t>10</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CH</w:t>
            </w:r>
          </w:p>
        </w:tc>
        <w:tc>
          <w:tcPr>
            <w:tcW w:w="1510"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分子量：58.12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危规号：21012</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CAS号：75-28-5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外观与形状：无色稍有气味的气体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溶解性：微溶于水，溶于乙醚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熔点(℃)：-159.6℃</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沸点(℃)：-11.8℃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蒸汽压：160.09kPa/0℃</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闪点(℃)：-82.8℃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相对密度(水=1)：0.56</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相对密度(空气=1)：2.01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稳定性：稳定</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主要用途：用于染料，化学合成致冷剂，合成橡胶、航空汽油、照明</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特性</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4(易燃气体)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燃烧(分解)产物：一氧化碳、二氧化碳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危险特性：易燃气体。与空气混合能形成爆炸性混合物，遇热源和明火有燃烧爆炸的危险。与氧化剂接触会猛烈反应。其蒸气比空气重，能在较低处扩散到相当远的地方，遇明火会引着回燃。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急性毒性：无资料</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灭火方法：雾状水、泡沫、二氧化碳、干粉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侵入途径：吸入。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健康危害：具有弱刺激性和麻醉作用。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9122"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二、正丁烷理化性质及危险特性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中文名：正丁烷</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w:t>
            </w:r>
            <w:r>
              <w:rPr>
                <w:rFonts w:hint="default" w:ascii="Times New Roman" w:hAnsi="Times New Roman" w:eastAsia="宋体" w:cs="Times New Roman"/>
                <w:color w:val="auto"/>
                <w:szCs w:val="21"/>
                <w:lang w:val="de-DE"/>
              </w:rPr>
              <w:t>：</w:t>
            </w:r>
            <w:r>
              <w:rPr>
                <w:rFonts w:hint="default" w:ascii="Times New Roman" w:hAnsi="Times New Roman" w:eastAsia="宋体" w:cs="Times New Roman"/>
                <w:color w:val="auto"/>
                <w:szCs w:val="21"/>
              </w:rPr>
              <w:t>n-butane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别名：丁烷</w:t>
            </w:r>
          </w:p>
        </w:tc>
        <w:tc>
          <w:tcPr>
            <w:tcW w:w="392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分子式：C</w:t>
            </w:r>
            <w:r>
              <w:rPr>
                <w:rFonts w:hint="default" w:ascii="Times New Roman" w:hAnsi="Times New Roman" w:eastAsia="宋体" w:cs="Times New Roman"/>
                <w:color w:val="auto"/>
                <w:szCs w:val="21"/>
                <w:vertAlign w:val="subscript"/>
              </w:rPr>
              <w:t>4</w:t>
            </w:r>
            <w:r>
              <w:rPr>
                <w:rFonts w:hint="default" w:ascii="Times New Roman" w:hAnsi="Times New Roman" w:eastAsia="宋体" w:cs="Times New Roman"/>
                <w:color w:val="auto"/>
                <w:szCs w:val="21"/>
              </w:rPr>
              <w:t>H</w:t>
            </w:r>
            <w:r>
              <w:rPr>
                <w:rFonts w:hint="default" w:ascii="Times New Roman" w:hAnsi="Times New Roman" w:eastAsia="宋体" w:cs="Times New Roman"/>
                <w:color w:val="auto"/>
                <w:szCs w:val="21"/>
                <w:vertAlign w:val="subscript"/>
              </w:rPr>
              <w:t>10</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3</w:t>
            </w:r>
          </w:p>
        </w:tc>
        <w:tc>
          <w:tcPr>
            <w:tcW w:w="1510"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分子量：58.12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危规号：21012</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CAS号：106-97-8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外观与形状：无色气体，有轻微的不愉快气味</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溶解性：易溶于水、醇、氯仿</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熔点(℃)：-138.4℃</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沸点(℃)：-0.5℃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蒸汽压：106.39kPa/0℃ </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闪点(℃)：-60℃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相对密度(水=1)：0.58</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相对密度(空气=1)：2.05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稳定性：稳定</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主要用途：用于有机合成和乙烯制造，仪器校正，也用作燃料等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特性</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4(易燃气体)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燃烧(分解)产物：一氧化碳、二氧化碳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危险特性：易燃。与空气混合能形成爆炸性混合物，遇热源和明火有燃烧爆炸的危险。与氧化剂接触会猛烈反应。气体比空气重，能在较低处扩散到相当远的地方，遇明火会引着回燃。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急性毒性：LC</w:t>
            </w:r>
            <w:r>
              <w:rPr>
                <w:rFonts w:hint="default" w:ascii="Times New Roman" w:hAnsi="Times New Roman" w:eastAsia="宋体" w:cs="Times New Roman"/>
                <w:color w:val="auto"/>
                <w:szCs w:val="21"/>
                <w:vertAlign w:val="subscript"/>
              </w:rPr>
              <w:t>50</w:t>
            </w:r>
            <w:r>
              <w:rPr>
                <w:rFonts w:hint="default" w:ascii="Times New Roman" w:hAnsi="Times New Roman" w:eastAsia="宋体" w:cs="Times New Roman"/>
                <w:color w:val="auto"/>
                <w:szCs w:val="21"/>
              </w:rPr>
              <w:t>658000ppm，4小时(大鼠吸入)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灭火方法：雾状水、泡沫、二氧化碳、干粉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侵入途径：吸入。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健康危害：高浓度有窒息和麻醉作用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标准</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vertAlign w:val="superscript"/>
              </w:rPr>
            </w:pPr>
            <w:r>
              <w:rPr>
                <w:rFonts w:hint="default" w:ascii="Times New Roman" w:hAnsi="Times New Roman" w:eastAsia="宋体" w:cs="Times New Roman"/>
                <w:color w:val="auto"/>
                <w:szCs w:val="21"/>
              </w:rPr>
              <w:t>车间空气中有害物质的最高容许浓度300mg/m</w:t>
            </w:r>
            <w:r>
              <w:rPr>
                <w:rFonts w:hint="default" w:ascii="Times New Roman" w:hAnsi="Times New Roman" w:eastAsia="宋体" w:cs="Times New Roman"/>
                <w:color w:val="auto"/>
                <w:szCs w:val="21"/>
                <w:vertAlign w:val="superscript"/>
              </w:rPr>
              <w:t>3</w:t>
            </w:r>
          </w:p>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居民区大气中有害物最大允许浓度200mg/m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(最大值)</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9122"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三、正丁烯理化性质及危险特性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中文名：1-丁烯</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w:t>
            </w:r>
            <w:r>
              <w:rPr>
                <w:rFonts w:hint="default" w:ascii="Times New Roman" w:hAnsi="Times New Roman" w:eastAsia="宋体" w:cs="Times New Roman"/>
                <w:color w:val="auto"/>
                <w:szCs w:val="21"/>
                <w:lang w:val="de-DE"/>
              </w:rPr>
              <w:t>：</w:t>
            </w:r>
            <w:r>
              <w:rPr>
                <w:rFonts w:hint="default" w:ascii="Times New Roman" w:hAnsi="Times New Roman" w:eastAsia="宋体" w:cs="Times New Roman"/>
                <w:color w:val="auto"/>
                <w:szCs w:val="21"/>
              </w:rPr>
              <w:t>1- butylene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别名：正丁烯</w:t>
            </w:r>
          </w:p>
        </w:tc>
        <w:tc>
          <w:tcPr>
            <w:tcW w:w="392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分子式：C</w:t>
            </w:r>
            <w:r>
              <w:rPr>
                <w:rFonts w:hint="default" w:ascii="Times New Roman" w:hAnsi="Times New Roman" w:eastAsia="宋体" w:cs="Times New Roman"/>
                <w:color w:val="auto"/>
                <w:szCs w:val="21"/>
                <w:vertAlign w:val="subscript"/>
              </w:rPr>
              <w:t>4</w:t>
            </w:r>
            <w:r>
              <w:rPr>
                <w:rFonts w:hint="default" w:ascii="Times New Roman" w:hAnsi="Times New Roman" w:eastAsia="宋体" w:cs="Times New Roman"/>
                <w:color w:val="auto"/>
                <w:szCs w:val="21"/>
              </w:rPr>
              <w:t>H</w:t>
            </w:r>
            <w:r>
              <w:rPr>
                <w:rFonts w:hint="default" w:ascii="Times New Roman" w:hAnsi="Times New Roman" w:eastAsia="宋体" w:cs="Times New Roman"/>
                <w:color w:val="auto"/>
                <w:szCs w:val="21"/>
                <w:vertAlign w:val="subscript"/>
              </w:rPr>
              <w:t>8</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CHCH</w:t>
            </w:r>
            <w:r>
              <w:rPr>
                <w:rFonts w:hint="default" w:ascii="Times New Roman" w:hAnsi="Times New Roman" w:eastAsia="宋体" w:cs="Times New Roman"/>
                <w:color w:val="auto"/>
                <w:szCs w:val="21"/>
                <w:vertAlign w:val="subscript"/>
              </w:rPr>
              <w:t>2</w:t>
            </w:r>
          </w:p>
        </w:tc>
        <w:tc>
          <w:tcPr>
            <w:tcW w:w="1510"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分子量：56.11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危规号：21019</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CAS号：106-98-9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外观与形状：无色气体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溶解性：不溶于水，微溶于苯，微溶于乙醇、乙醚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熔点(℃)：-185.3℃ </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沸点(℃)：-6.3℃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蒸汽压：189.48kPa/10℃</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闪点(℃)：-80℃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相对密度(水=1)：0.67</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相对密度(空气=1)：1.93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稳定性：稳定</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主要用途：用于制丁二烯、异戊二烯、合成橡胶等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特性</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4(易燃气体)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燃烧(分解)产物：一氧化碳、二氧化碳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易燃，与空气混合能形成爆炸性混合物。遇热源和明火有燃烧爆炸的危险。若遇高热，可发生聚合反应，放出大量热量而引起容器破裂和爆炸事故。与氧化剂接触会猛烈反应。气体比空气重，能在较低处扩散到相当远的地方，遇明火会引着回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急性毒性：LC</w:t>
            </w:r>
            <w:r>
              <w:rPr>
                <w:rFonts w:hint="default" w:ascii="Times New Roman" w:hAnsi="Times New Roman" w:eastAsia="宋体" w:cs="Times New Roman"/>
                <w:color w:val="auto"/>
                <w:szCs w:val="21"/>
                <w:vertAlign w:val="subscript"/>
              </w:rPr>
              <w:t>50</w:t>
            </w:r>
            <w:r>
              <w:rPr>
                <w:rFonts w:hint="default" w:ascii="Times New Roman" w:hAnsi="Times New Roman" w:eastAsia="宋体" w:cs="Times New Roman"/>
                <w:color w:val="auto"/>
                <w:szCs w:val="21"/>
              </w:rPr>
              <w:t>420000mg/m</w:t>
            </w:r>
            <w:r>
              <w:rPr>
                <w:rFonts w:hint="default" w:ascii="Times New Roman" w:hAnsi="Times New Roman" w:eastAsia="宋体" w:cs="Times New Roman"/>
                <w:color w:val="auto"/>
                <w:szCs w:val="21"/>
                <w:vertAlign w:val="superscript"/>
              </w:rPr>
              <w:t>3</w:t>
            </w:r>
            <w:r>
              <w:rPr>
                <w:rFonts w:hint="eastAsia" w:cs="Times New Roman"/>
                <w:color w:val="auto"/>
                <w:szCs w:val="21"/>
                <w:lang w:eastAsia="zh-CN"/>
              </w:rPr>
              <w:t>，</w:t>
            </w:r>
            <w:r>
              <w:rPr>
                <w:rFonts w:hint="default" w:ascii="Times New Roman" w:hAnsi="Times New Roman" w:eastAsia="宋体" w:cs="Times New Roman"/>
                <w:color w:val="auto"/>
                <w:szCs w:val="21"/>
              </w:rPr>
              <w:t>2小时</w:t>
            </w:r>
            <w:r>
              <w:rPr>
                <w:rFonts w:hint="eastAsia" w:cs="Times New Roman"/>
                <w:color w:val="auto"/>
                <w:szCs w:val="21"/>
                <w:lang w:eastAsia="zh-CN"/>
              </w:rPr>
              <w:t>，</w:t>
            </w:r>
            <w:r>
              <w:rPr>
                <w:rFonts w:hint="default" w:ascii="Times New Roman" w:hAnsi="Times New Roman" w:eastAsia="宋体" w:cs="Times New Roman"/>
                <w:color w:val="auto"/>
                <w:szCs w:val="21"/>
              </w:rPr>
              <w:t>(小鼠吸入)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灭火方法：雾状水、泡沫、二氧化碳、砂土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侵入途径：吸入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健康危害：有轻度麻醉和刺激作用，并可引起窒息。</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标准</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vertAlign w:val="superscript"/>
              </w:rPr>
            </w:pPr>
            <w:r>
              <w:rPr>
                <w:rFonts w:hint="default" w:ascii="Times New Roman" w:hAnsi="Times New Roman" w:eastAsia="宋体" w:cs="Times New Roman"/>
                <w:color w:val="auto"/>
                <w:szCs w:val="21"/>
              </w:rPr>
              <w:t>车间空气中有害物质的最高容许浓度100mg/m</w:t>
            </w:r>
            <w:r>
              <w:rPr>
                <w:rFonts w:hint="default" w:ascii="Times New Roman" w:hAnsi="Times New Roman" w:eastAsia="宋体" w:cs="Times New Roman"/>
                <w:color w:val="auto"/>
                <w:szCs w:val="21"/>
                <w:vertAlign w:val="superscript"/>
              </w:rPr>
              <w:t>3</w:t>
            </w:r>
          </w:p>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居民区大气中有害物最大允许浓度3mg/m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(最大值)</w:t>
            </w:r>
          </w:p>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嗅觉阈浓度59mg/m</w:t>
            </w:r>
            <w:r>
              <w:rPr>
                <w:rFonts w:hint="default" w:ascii="Times New Roman" w:hAnsi="Times New Roman" w:eastAsia="宋体" w:cs="Times New Roman"/>
                <w:color w:val="auto"/>
                <w:szCs w:val="21"/>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9122" w:type="dxa"/>
            <w:gridSpan w:val="4"/>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四、异丁烯理化性质及危险特性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中文名：异丁烯</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英文名：isobutylene；2-methyl propene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别名：2-甲基丙烯（有顺式和反式两种）</w:t>
            </w:r>
          </w:p>
        </w:tc>
        <w:tc>
          <w:tcPr>
            <w:tcW w:w="392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分子式：C</w:t>
            </w:r>
            <w:r>
              <w:rPr>
                <w:rFonts w:hint="default" w:ascii="Times New Roman" w:hAnsi="Times New Roman" w:eastAsia="宋体" w:cs="Times New Roman"/>
                <w:color w:val="auto"/>
                <w:szCs w:val="21"/>
                <w:vertAlign w:val="subscript"/>
              </w:rPr>
              <w:t>4</w:t>
            </w:r>
            <w:r>
              <w:rPr>
                <w:rFonts w:hint="default" w:ascii="Times New Roman" w:hAnsi="Times New Roman" w:eastAsia="宋体" w:cs="Times New Roman"/>
                <w:color w:val="auto"/>
                <w:szCs w:val="21"/>
              </w:rPr>
              <w:t>H</w:t>
            </w:r>
            <w:r>
              <w:rPr>
                <w:rFonts w:hint="default" w:ascii="Times New Roman" w:hAnsi="Times New Roman" w:eastAsia="宋体" w:cs="Times New Roman"/>
                <w:color w:val="auto"/>
                <w:szCs w:val="21"/>
                <w:vertAlign w:val="subscript"/>
              </w:rPr>
              <w:t>8</w:t>
            </w:r>
            <w:r>
              <w:rPr>
                <w:rFonts w:hint="default" w:ascii="Times New Roman" w:hAnsi="Times New Roman" w:eastAsia="宋体" w:cs="Times New Roman"/>
                <w:color w:val="auto"/>
                <w:szCs w:val="21"/>
              </w:rPr>
              <w:t>；(CH</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CCH</w:t>
            </w:r>
            <w:r>
              <w:rPr>
                <w:rFonts w:hint="default" w:ascii="Times New Roman" w:hAnsi="Times New Roman" w:eastAsia="宋体" w:cs="Times New Roman"/>
                <w:color w:val="auto"/>
                <w:szCs w:val="21"/>
                <w:vertAlign w:val="subscript"/>
              </w:rPr>
              <w:t>2</w:t>
            </w:r>
          </w:p>
        </w:tc>
        <w:tc>
          <w:tcPr>
            <w:tcW w:w="1510"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分子量：56.11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危规号：21020</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CAS号：115-11-7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外观与形状：无色气体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溶解性：不溶于水，易溶于多数有机溶剂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熔点（℃）：-140.3℃</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沸点（℃）：-6.9℃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蒸汽压：131.52kPa/0℃</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闪点（℃）：-77℃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相对密度(水=1)：0.67（-49℃）</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相对密度(空气=1)：2.0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稳定性：稳定</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主要用途：用于制合成橡胶和有机化学品</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特性</w:t>
            </w:r>
          </w:p>
        </w:tc>
        <w:tc>
          <w:tcPr>
            <w:tcW w:w="291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4（易燃气体）</w:t>
            </w:r>
          </w:p>
        </w:tc>
        <w:tc>
          <w:tcPr>
            <w:tcW w:w="5436"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燃烧(分解)产物：一氧化碳、二氧化碳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危险特性：与空气混合能形成爆炸性混合物，遇热源和明火有燃烧爆炸的危险。受热可能发生剧烈的聚合反应。与氧化剂接触会猛烈反应。气体比空气重，能在较低处扩散到相当远的地方，遇明火会引着回燃。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急性毒性：LC</w:t>
            </w:r>
            <w:r>
              <w:rPr>
                <w:rFonts w:hint="default" w:ascii="Times New Roman" w:hAnsi="Times New Roman" w:eastAsia="宋体" w:cs="Times New Roman"/>
                <w:color w:val="auto"/>
                <w:szCs w:val="21"/>
                <w:vertAlign w:val="subscript"/>
              </w:rPr>
              <w:t>50</w:t>
            </w:r>
            <w:r>
              <w:rPr>
                <w:rFonts w:hint="default" w:ascii="Times New Roman" w:hAnsi="Times New Roman" w:eastAsia="宋体" w:cs="Times New Roman"/>
                <w:color w:val="auto"/>
                <w:szCs w:val="21"/>
              </w:rPr>
              <w:t>620000mg/m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，4小时(大鼠吸入)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侵入途径：吸入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健康危害：主要作用是窒息、弱麻醉和强刺激。</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12" w:space="0"/>
          </w:tblBorders>
          <w:tblCellMar>
            <w:top w:w="0" w:type="dxa"/>
            <w:left w:w="108" w:type="dxa"/>
            <w:bottom w:w="0" w:type="dxa"/>
            <w:right w:w="108" w:type="dxa"/>
          </w:tblCellMar>
        </w:tblPrEx>
        <w:trPr>
          <w:jc w:val="center"/>
        </w:trPr>
        <w:tc>
          <w:tcPr>
            <w:tcW w:w="77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标准</w:t>
            </w:r>
          </w:p>
        </w:tc>
        <w:tc>
          <w:tcPr>
            <w:tcW w:w="8352" w:type="dxa"/>
            <w:gridSpan w:val="3"/>
            <w:tcBorders>
              <w:top w:val="single" w:color="auto" w:sz="4" w:space="0"/>
              <w:left w:val="single" w:color="auto" w:sz="4" w:space="0"/>
              <w:bottom w:val="single" w:color="auto" w:sz="4" w:space="0"/>
              <w:right w:val="single" w:color="auto" w:sz="4" w:space="0"/>
            </w:tcBorders>
          </w:tcPr>
          <w:p>
            <w:pPr>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车间空气中有害物质的最高容许浓度100mg/m</w:t>
            </w:r>
            <w:r>
              <w:rPr>
                <w:rFonts w:hint="default" w:ascii="Times New Roman" w:hAnsi="Times New Roman" w:eastAsia="宋体" w:cs="Times New Roman"/>
                <w:color w:val="auto"/>
                <w:szCs w:val="21"/>
                <w:vertAlign w:val="superscript"/>
              </w:rPr>
              <w:t>3</w:t>
            </w:r>
          </w:p>
        </w:tc>
      </w:tr>
    </w:tbl>
    <w:p>
      <w:pPr>
        <w:spacing w:before="120" w:beforeLines="50" w:line="360" w:lineRule="auto"/>
        <w:jc w:val="center"/>
        <w:rPr>
          <w:rFonts w:hint="default" w:ascii="Times New Roman" w:hAnsi="Times New Roman" w:eastAsia="宋体" w:cs="Times New Roman"/>
          <w:b/>
          <w:color w:val="auto"/>
          <w:kern w:val="0"/>
          <w:sz w:val="24"/>
        </w:rPr>
      </w:pPr>
      <w:r>
        <w:rPr>
          <w:rFonts w:hint="default" w:ascii="Times New Roman" w:hAnsi="Times New Roman" w:eastAsia="宋体" w:cs="Times New Roman"/>
          <w:b/>
          <w:color w:val="auto"/>
          <w:kern w:val="0"/>
          <w:sz w:val="21"/>
          <w:szCs w:val="21"/>
          <w:lang w:val="en-US" w:eastAsia="zh-CN" w:bidi="ar-SA"/>
        </w:rPr>
        <w:t>附件表1-7工业异辛烷理化性质及危险特性</w:t>
      </w:r>
    </w:p>
    <w:tbl>
      <w:tblPr>
        <w:tblStyle w:val="75"/>
        <w:tblW w:w="9174"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94"/>
        <w:gridCol w:w="4086"/>
        <w:gridCol w:w="439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restart"/>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中文名：异辛烷</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英文名：2</w:t>
            </w:r>
            <w:r>
              <w:rPr>
                <w:rFonts w:hint="eastAsia" w:cs="Times New Roman"/>
                <w:color w:val="auto"/>
                <w:szCs w:val="21"/>
                <w:lang w:eastAsia="zh-CN"/>
              </w:rPr>
              <w:t>，</w:t>
            </w:r>
            <w:r>
              <w:rPr>
                <w:rFonts w:hint="default" w:ascii="Times New Roman" w:hAnsi="Times New Roman" w:eastAsia="宋体" w:cs="Times New Roman"/>
                <w:color w:val="auto"/>
                <w:szCs w:val="21"/>
              </w:rPr>
              <w:t>2</w:t>
            </w:r>
            <w:r>
              <w:rPr>
                <w:rFonts w:hint="eastAsia" w:cs="Times New Roman"/>
                <w:color w:val="auto"/>
                <w:szCs w:val="21"/>
                <w:lang w:eastAsia="zh-CN"/>
              </w:rPr>
              <w:t>，</w:t>
            </w:r>
            <w:r>
              <w:rPr>
                <w:rFonts w:hint="default" w:ascii="Times New Roman" w:hAnsi="Times New Roman" w:eastAsia="宋体" w:cs="Times New Roman"/>
                <w:color w:val="auto"/>
                <w:szCs w:val="21"/>
              </w:rPr>
              <w:t>4-trimethylpentane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危规号：32009</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CAS号：540-84-1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分子式：(CH</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CCH</w:t>
            </w:r>
            <w:r>
              <w:rPr>
                <w:rFonts w:hint="default" w:ascii="Times New Roman" w:hAnsi="Times New Roman" w:eastAsia="宋体" w:cs="Times New Roman"/>
                <w:color w:val="auto"/>
                <w:szCs w:val="21"/>
                <w:vertAlign w:val="subscript"/>
              </w:rPr>
              <w:t>2</w:t>
            </w:r>
            <w:r>
              <w:rPr>
                <w:rFonts w:hint="default" w:ascii="Times New Roman" w:hAnsi="Times New Roman" w:eastAsia="宋体" w:cs="Times New Roman"/>
                <w:color w:val="auto"/>
                <w:szCs w:val="21"/>
              </w:rPr>
              <w:t>CH(CH</w:t>
            </w:r>
            <w:r>
              <w:rPr>
                <w:rFonts w:hint="default" w:ascii="Times New Roman" w:hAnsi="Times New Roman" w:eastAsia="宋体" w:cs="Times New Roman"/>
                <w:color w:val="auto"/>
                <w:szCs w:val="21"/>
                <w:vertAlign w:val="subscript"/>
              </w:rPr>
              <w:t>3</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zCs w:val="21"/>
                <w:vertAlign w:val="subscript"/>
              </w:rPr>
              <w:t>2</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restart"/>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无色、透明液体</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相对密度（空气=1）：</w:t>
            </w:r>
            <w:r>
              <w:rPr>
                <w:rFonts w:hint="default" w:ascii="Times New Roman" w:hAnsi="Times New Roman" w:eastAsia="宋体" w:cs="Times New Roman"/>
                <w:color w:val="auto"/>
                <w:spacing w:val="8"/>
                <w:szCs w:val="21"/>
              </w:rPr>
              <w:t>3.9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相对密度（水=1）：</w:t>
            </w:r>
            <w:r>
              <w:rPr>
                <w:rFonts w:hint="default" w:ascii="Times New Roman" w:hAnsi="Times New Roman" w:eastAsia="宋体" w:cs="Times New Roman"/>
                <w:color w:val="auto"/>
                <w:spacing w:val="8"/>
                <w:szCs w:val="21"/>
              </w:rPr>
              <w:t>0.69</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稳定性：稳定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熔点（℃）：</w:t>
            </w:r>
            <w:r>
              <w:rPr>
                <w:rFonts w:hint="default" w:ascii="Times New Roman" w:hAnsi="Times New Roman" w:eastAsia="宋体" w:cs="Times New Roman"/>
                <w:color w:val="auto"/>
                <w:spacing w:val="8"/>
                <w:szCs w:val="21"/>
              </w:rPr>
              <w:t>107.4</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沸点（℃）：</w:t>
            </w:r>
            <w:r>
              <w:rPr>
                <w:rFonts w:hint="default" w:ascii="Times New Roman" w:hAnsi="Times New Roman" w:eastAsia="宋体" w:cs="Times New Roman"/>
                <w:color w:val="auto"/>
                <w:spacing w:val="8"/>
                <w:szCs w:val="21"/>
              </w:rPr>
              <w:t>99.2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饱和蒸汽压（kpa）：</w:t>
            </w:r>
            <w:r>
              <w:rPr>
                <w:rFonts w:hint="default" w:ascii="Times New Roman" w:hAnsi="Times New Roman" w:eastAsia="宋体" w:cs="Times New Roman"/>
                <w:color w:val="auto"/>
                <w:spacing w:val="8"/>
                <w:szCs w:val="21"/>
              </w:rPr>
              <w:t>5.41（21.1</w:t>
            </w:r>
            <w:r>
              <w:rPr>
                <w:rFonts w:hint="default" w:ascii="Times New Roman" w:hAnsi="Times New Roman" w:eastAsia="宋体" w:cs="Times New Roman"/>
                <w:color w:val="auto"/>
                <w:szCs w:val="21"/>
              </w:rPr>
              <w:t>℃</w:t>
            </w:r>
            <w:r>
              <w:rPr>
                <w:rFonts w:hint="default" w:ascii="Times New Roman" w:hAnsi="Times New Roman" w:eastAsia="宋体" w:cs="Times New Roman"/>
                <w:color w:val="auto"/>
                <w:spacing w:val="8"/>
                <w:szCs w:val="21"/>
              </w:rPr>
              <w:t>）</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溶解性：不溶于水，溶于醚，易溶于醇、丙酮、苯、氯仿等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restart"/>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w:t>
            </w:r>
          </w:p>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特性</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危险性类别：中闪点易燃液体</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燃烧性：易燃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闪点（℃）：</w:t>
            </w:r>
            <w:r>
              <w:rPr>
                <w:rFonts w:hint="default" w:ascii="Times New Roman" w:hAnsi="Times New Roman" w:eastAsia="宋体" w:cs="Times New Roman"/>
                <w:color w:val="auto"/>
                <w:spacing w:val="8"/>
                <w:szCs w:val="21"/>
              </w:rPr>
              <w:t xml:space="preserve">-7 </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爆炸下限（%）：</w:t>
            </w:r>
            <w:r>
              <w:rPr>
                <w:rFonts w:hint="default" w:ascii="Times New Roman" w:hAnsi="Times New Roman" w:eastAsia="宋体" w:cs="Times New Roman"/>
                <w:color w:val="auto"/>
                <w:spacing w:val="8"/>
                <w:szCs w:val="21"/>
              </w:rPr>
              <w:t>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爆炸上限（%）：</w:t>
            </w:r>
            <w:r>
              <w:rPr>
                <w:rFonts w:hint="default" w:ascii="Times New Roman" w:hAnsi="Times New Roman" w:eastAsia="宋体" w:cs="Times New Roman"/>
                <w:color w:val="auto"/>
                <w:spacing w:val="8"/>
                <w:szCs w:val="21"/>
              </w:rPr>
              <w:t>6</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燃烧（分解）产物：</w:t>
            </w:r>
            <w:r>
              <w:rPr>
                <w:rFonts w:hint="default" w:ascii="Times New Roman" w:hAnsi="Times New Roman" w:eastAsia="宋体" w:cs="Times New Roman"/>
                <w:color w:val="auto"/>
                <w:spacing w:val="8"/>
                <w:szCs w:val="21"/>
              </w:rPr>
              <w:t>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848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危险特性：其蒸气与空气可形成爆炸性混合物。遇明火、高热能引起燃烧爆炸。遇强氧化剂会引起燃烧爆炸。其蒸气比空气重，能在较低处扩散到相当远的地方，遇明火会引着回燃。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848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灭火方法：喷水冷却容器，可能的话将容器从火场移至空旷处。处在火场中的容器若已变色或从安全泄压装置中产生声音，必须马上撤离。</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848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灭火剂：泡沫、干粉、二氧化碳、砂土。用水灭火无效。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restart"/>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w:t>
            </w:r>
          </w:p>
          <w:p>
            <w:pPr>
              <w:snapToGrid w:val="0"/>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w:t>
            </w:r>
          </w:p>
        </w:tc>
        <w:tc>
          <w:tcPr>
            <w:tcW w:w="848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侵入途径：吸入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tcBorders>
              <w:top w:val="single" w:color="auto" w:sz="4" w:space="0"/>
              <w:left w:val="single" w:color="auto" w:sz="4" w:space="0"/>
              <w:bottom w:val="single" w:color="auto" w:sz="4" w:space="0"/>
              <w:right w:val="single" w:color="auto" w:sz="4" w:space="0"/>
            </w:tcBorders>
            <w:vAlign w:val="center"/>
          </w:tcPr>
          <w:p>
            <w:pPr>
              <w:snapToGrid w:val="0"/>
              <w:jc w:val="center"/>
              <w:rPr>
                <w:rFonts w:hint="default" w:ascii="Times New Roman" w:hAnsi="Times New Roman" w:eastAsia="宋体" w:cs="Times New Roman"/>
                <w:color w:val="auto"/>
                <w:szCs w:val="21"/>
              </w:rPr>
            </w:pPr>
          </w:p>
        </w:tc>
        <w:tc>
          <w:tcPr>
            <w:tcW w:w="8480" w:type="dxa"/>
            <w:gridSpan w:val="2"/>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健康危害：吸入或口服对身体有害。对皮肤有刺激性。本品蒸气或雾对眼睛、粘膜和上呼吸道有刺激作用。</w:t>
            </w:r>
          </w:p>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毒性：具刺激作用。属低毒类。</w:t>
            </w:r>
          </w:p>
          <w:p>
            <w:pPr>
              <w:snapToGrid w:val="0"/>
              <w:spacing w:line="360" w:lineRule="auto"/>
              <w:rPr>
                <w:rFonts w:hint="default" w:ascii="Times New Roman" w:hAnsi="Times New Roman" w:eastAsia="宋体" w:cs="Times New Roman"/>
                <w:color w:val="auto"/>
                <w:spacing w:val="8"/>
                <w:szCs w:val="21"/>
              </w:rPr>
            </w:pPr>
            <w:r>
              <w:rPr>
                <w:rFonts w:hint="default" w:ascii="Times New Roman" w:hAnsi="Times New Roman" w:eastAsia="宋体" w:cs="Times New Roman"/>
                <w:color w:val="auto"/>
                <w:szCs w:val="21"/>
              </w:rPr>
              <w:t>急性毒性：LC80g/m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×2小时(小鼠吸入)；小鼠经口0.2ml/只，惊厥、呼吸麻痹、心脏停搏、死亡；人吸入1g/m</w:t>
            </w:r>
            <w:r>
              <w:rPr>
                <w:rFonts w:hint="default" w:ascii="Times New Roman" w:hAnsi="Times New Roman" w:eastAsia="宋体" w:cs="Times New Roman"/>
                <w:color w:val="auto"/>
                <w:szCs w:val="21"/>
                <w:vertAlign w:val="superscript"/>
              </w:rPr>
              <w:t>3</w:t>
            </w:r>
            <w:r>
              <w:rPr>
                <w:rFonts w:hint="default" w:ascii="Times New Roman" w:hAnsi="Times New Roman" w:eastAsia="宋体" w:cs="Times New Roman"/>
                <w:color w:val="auto"/>
                <w:szCs w:val="21"/>
              </w:rPr>
              <w:t>×5分钟，粘膜刺激症状。</w:t>
            </w:r>
          </w:p>
        </w:tc>
      </w:tr>
    </w:tbl>
    <w:p>
      <w:pPr>
        <w:spacing w:before="120" w:beforeLines="50" w:line="360" w:lineRule="auto"/>
        <w:jc w:val="center"/>
        <w:rPr>
          <w:rFonts w:hint="default" w:ascii="Times New Roman" w:hAnsi="Times New Roman" w:eastAsia="宋体" w:cs="Times New Roman"/>
          <w:b/>
          <w:color w:val="auto"/>
          <w:kern w:val="0"/>
          <w:sz w:val="21"/>
          <w:szCs w:val="21"/>
          <w:lang w:val="en-US" w:eastAsia="zh-CN" w:bidi="ar-SA"/>
        </w:rPr>
      </w:pPr>
      <w:r>
        <w:rPr>
          <w:rFonts w:hint="default" w:ascii="Times New Roman" w:hAnsi="Times New Roman" w:eastAsia="宋体" w:cs="Times New Roman"/>
          <w:b/>
          <w:color w:val="auto"/>
          <w:kern w:val="0"/>
          <w:sz w:val="21"/>
          <w:szCs w:val="21"/>
          <w:lang w:val="en-US" w:eastAsia="zh-CN" w:bidi="ar-SA"/>
        </w:rPr>
        <w:t>附件表1-8异丁烷理化性质及危险特性</w:t>
      </w:r>
    </w:p>
    <w:tbl>
      <w:tblPr>
        <w:tblStyle w:val="75"/>
        <w:tblW w:w="9174"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88"/>
        <w:gridCol w:w="6"/>
        <w:gridCol w:w="4086"/>
        <w:gridCol w:w="439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中文名：异丁烷</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英文名：</w:t>
            </w:r>
            <w:r>
              <w:rPr>
                <w:rFonts w:hint="default" w:ascii="Times New Roman" w:hAnsi="Times New Roman" w:eastAsia="宋体" w:cs="Times New Roman"/>
                <w:color w:val="auto"/>
                <w:spacing w:val="8"/>
                <w:kern w:val="0"/>
                <w:szCs w:val="21"/>
              </w:rPr>
              <w:t>2-methylpropane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CAS号：</w:t>
            </w:r>
            <w:r>
              <w:rPr>
                <w:rFonts w:hint="default" w:ascii="Times New Roman" w:hAnsi="Times New Roman" w:eastAsia="宋体" w:cs="Times New Roman"/>
                <w:color w:val="auto"/>
                <w:spacing w:val="8"/>
                <w:kern w:val="0"/>
                <w:szCs w:val="21"/>
              </w:rPr>
              <w:t>75-28-5</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分子式：</w:t>
            </w:r>
            <w:r>
              <w:rPr>
                <w:rFonts w:hint="default" w:ascii="Times New Roman" w:hAnsi="Times New Roman" w:eastAsia="宋体" w:cs="Times New Roman"/>
                <w:color w:val="auto"/>
                <w:spacing w:val="8"/>
                <w:kern w:val="0"/>
                <w:szCs w:val="21"/>
              </w:rPr>
              <w:t>C</w:t>
            </w:r>
            <w:r>
              <w:rPr>
                <w:rFonts w:hint="default" w:ascii="Times New Roman" w:hAnsi="Times New Roman" w:eastAsia="宋体" w:cs="Times New Roman"/>
                <w:color w:val="auto"/>
                <w:spacing w:val="8"/>
                <w:kern w:val="0"/>
                <w:szCs w:val="21"/>
                <w:vertAlign w:val="subscript"/>
              </w:rPr>
              <w:t>4</w:t>
            </w:r>
            <w:r>
              <w:rPr>
                <w:rFonts w:hint="default" w:ascii="Times New Roman" w:hAnsi="Times New Roman" w:eastAsia="宋体" w:cs="Times New Roman"/>
                <w:color w:val="auto"/>
                <w:spacing w:val="8"/>
                <w:kern w:val="0"/>
                <w:szCs w:val="21"/>
              </w:rPr>
              <w:t>H</w:t>
            </w:r>
            <w:r>
              <w:rPr>
                <w:rFonts w:hint="default" w:ascii="Times New Roman" w:hAnsi="Times New Roman" w:eastAsia="宋体" w:cs="Times New Roman"/>
                <w:color w:val="auto"/>
                <w:spacing w:val="8"/>
                <w:kern w:val="0"/>
                <w:szCs w:val="21"/>
                <w:vertAlign w:val="subscript"/>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分子量：58.12</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无色，稍有气味的气体</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相对密度（空气=1）：2.01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相对密度（水=1）：</w:t>
            </w:r>
            <w:r>
              <w:rPr>
                <w:rFonts w:hint="default" w:ascii="Times New Roman" w:hAnsi="Times New Roman" w:eastAsia="宋体" w:cs="Times New Roman"/>
                <w:color w:val="auto"/>
                <w:spacing w:val="8"/>
                <w:kern w:val="0"/>
                <w:szCs w:val="21"/>
              </w:rPr>
              <w:t>0.56</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熔点（℃）：</w:t>
            </w:r>
            <w:r>
              <w:rPr>
                <w:rFonts w:hint="default" w:ascii="Times New Roman" w:hAnsi="Times New Roman" w:eastAsia="宋体" w:cs="Times New Roman"/>
                <w:color w:val="auto"/>
                <w:spacing w:val="8"/>
                <w:kern w:val="0"/>
                <w:szCs w:val="21"/>
              </w:rPr>
              <w:t>-159.6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沸点（℃）：</w:t>
            </w:r>
            <w:r>
              <w:rPr>
                <w:rFonts w:hint="default" w:ascii="Times New Roman" w:hAnsi="Times New Roman" w:eastAsia="宋体" w:cs="Times New Roman"/>
                <w:color w:val="auto"/>
                <w:spacing w:val="8"/>
                <w:kern w:val="0"/>
                <w:szCs w:val="21"/>
              </w:rPr>
              <w:t>-11.8</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溶解性：微溶于水，溶于乙醚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pacing w:val="8"/>
                <w:kern w:val="0"/>
                <w:szCs w:val="21"/>
              </w:rPr>
              <w:t>引燃温度(℃)：460</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pacing w:val="8"/>
                <w:kern w:val="0"/>
                <w:szCs w:val="21"/>
              </w:rPr>
              <w:t>临界压力(MPa)：3.65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闪点（℃）：-82.8</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爆炸上限（%）：8.5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爆炸下限（%）：1.8</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燃烧热（kJ/mol）：2856.6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燃烧（分解）产物：一氧化碳、二氧化碳</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消防措施</w:t>
            </w: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危险特性：易燃气体。与空气混合能形成爆炸性混合物，遇热源和明火有燃烧爆炸的危险。与氧化剂接触猛烈反应。其蒸汽比空气重，能在较低处扩散到向党员的地方，与货源会着火回燃。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有害燃烧产物：一氧化碳、二氧化碳。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灭火方法：切断气源。若不能切断气源，则不允许熄灭泄漏处的火焰。喷水冷却容器，可能的话将容器从火场移至空旷处。</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灭火剂：雾状水、泡沫、二氧化碳、干粉。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危险性</w:t>
            </w: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燃爆危险：易燃。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健康危害：具有弱刺激和麻醉作用。急性中毒：主要表现为头痛、头晕、嗜睡、恶心、酒醉状态，严重者可出现昏迷。慢性影响：出现头痛、头晕、睡眠不佳、易疲倦。</w:t>
            </w:r>
          </w:p>
        </w:tc>
      </w:tr>
    </w:tbl>
    <w:p>
      <w:pPr>
        <w:spacing w:before="120" w:beforeLines="50" w:line="240" w:lineRule="atLeast"/>
        <w:jc w:val="center"/>
        <w:rPr>
          <w:rFonts w:hint="default" w:ascii="Times New Roman" w:hAnsi="Times New Roman" w:eastAsia="宋体" w:cs="Times New Roman"/>
          <w:b/>
          <w:color w:val="auto"/>
          <w:kern w:val="0"/>
          <w:sz w:val="24"/>
        </w:rPr>
      </w:pPr>
    </w:p>
    <w:p>
      <w:pPr>
        <w:spacing w:before="120" w:beforeLines="50" w:line="240" w:lineRule="atLeast"/>
        <w:jc w:val="center"/>
        <w:rPr>
          <w:rFonts w:hint="default" w:ascii="Times New Roman" w:hAnsi="Times New Roman" w:eastAsia="宋体" w:cs="Times New Roman"/>
          <w:b/>
          <w:color w:val="auto"/>
          <w:kern w:val="0"/>
          <w:sz w:val="24"/>
        </w:rPr>
      </w:pPr>
    </w:p>
    <w:p>
      <w:pPr>
        <w:spacing w:before="120" w:beforeLines="50" w:line="240" w:lineRule="atLeast"/>
        <w:jc w:val="center"/>
        <w:rPr>
          <w:rFonts w:hint="default" w:ascii="Times New Roman" w:hAnsi="Times New Roman" w:eastAsia="宋体" w:cs="Times New Roman"/>
          <w:b/>
          <w:color w:val="auto"/>
          <w:kern w:val="0"/>
          <w:sz w:val="24"/>
        </w:rPr>
      </w:pPr>
    </w:p>
    <w:p>
      <w:pPr>
        <w:spacing w:before="120" w:beforeLines="50" w:line="360" w:lineRule="auto"/>
        <w:jc w:val="center"/>
        <w:rPr>
          <w:rFonts w:hint="default" w:ascii="Times New Roman" w:hAnsi="Times New Roman" w:eastAsia="宋体" w:cs="Times New Roman"/>
          <w:b/>
          <w:color w:val="auto"/>
          <w:kern w:val="0"/>
          <w:sz w:val="21"/>
          <w:szCs w:val="21"/>
          <w:lang w:val="en-US" w:eastAsia="zh-CN" w:bidi="ar-SA"/>
        </w:rPr>
      </w:pPr>
      <w:r>
        <w:rPr>
          <w:rFonts w:hint="default" w:ascii="Times New Roman" w:hAnsi="Times New Roman" w:eastAsia="宋体" w:cs="Times New Roman"/>
          <w:b/>
          <w:color w:val="auto"/>
          <w:kern w:val="0"/>
          <w:sz w:val="21"/>
          <w:szCs w:val="21"/>
          <w:lang w:val="en-US" w:eastAsia="zh-CN" w:bidi="ar-SA"/>
        </w:rPr>
        <w:t>附件表1-9正丁烷理化性质及危险特性</w:t>
      </w:r>
    </w:p>
    <w:tbl>
      <w:tblPr>
        <w:tblStyle w:val="75"/>
        <w:tblW w:w="9174"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88"/>
        <w:gridCol w:w="6"/>
        <w:gridCol w:w="4086"/>
        <w:gridCol w:w="439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标识</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中文名：丁烷</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英文名：</w:t>
            </w:r>
            <w:r>
              <w:rPr>
                <w:rFonts w:hint="default" w:ascii="Times New Roman" w:hAnsi="Times New Roman" w:eastAsia="宋体" w:cs="Times New Roman"/>
                <w:color w:val="auto"/>
                <w:spacing w:val="8"/>
                <w:kern w:val="0"/>
                <w:szCs w:val="21"/>
              </w:rPr>
              <w:t>Butane</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危规号：</w:t>
            </w:r>
            <w:r>
              <w:rPr>
                <w:rFonts w:hint="default" w:ascii="Times New Roman" w:hAnsi="Times New Roman" w:eastAsia="宋体" w:cs="Times New Roman"/>
                <w:color w:val="auto"/>
                <w:spacing w:val="8"/>
                <w:kern w:val="0"/>
                <w:szCs w:val="21"/>
              </w:rPr>
              <w:t>21012</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CAS号：</w:t>
            </w:r>
            <w:r>
              <w:rPr>
                <w:rFonts w:hint="default" w:ascii="Times New Roman" w:hAnsi="Times New Roman" w:eastAsia="宋体" w:cs="Times New Roman"/>
                <w:color w:val="auto"/>
                <w:spacing w:val="8"/>
                <w:kern w:val="0"/>
                <w:szCs w:val="21"/>
              </w:rPr>
              <w:t xml:space="preserve">106-97-8 </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分子式：</w:t>
            </w:r>
            <w:r>
              <w:rPr>
                <w:rFonts w:hint="default" w:ascii="Times New Roman" w:hAnsi="Times New Roman" w:eastAsia="宋体" w:cs="Times New Roman"/>
                <w:color w:val="auto"/>
                <w:spacing w:val="8"/>
                <w:kern w:val="0"/>
                <w:szCs w:val="21"/>
              </w:rPr>
              <w:t>C</w:t>
            </w:r>
            <w:r>
              <w:rPr>
                <w:rFonts w:hint="default" w:ascii="Times New Roman" w:hAnsi="Times New Roman" w:eastAsia="宋体" w:cs="Times New Roman"/>
                <w:color w:val="auto"/>
                <w:spacing w:val="8"/>
                <w:kern w:val="0"/>
                <w:szCs w:val="21"/>
                <w:vertAlign w:val="subscript"/>
              </w:rPr>
              <w:t>4</w:t>
            </w:r>
            <w:r>
              <w:rPr>
                <w:rFonts w:hint="default" w:ascii="Times New Roman" w:hAnsi="Times New Roman" w:eastAsia="宋体" w:cs="Times New Roman"/>
                <w:color w:val="auto"/>
                <w:spacing w:val="8"/>
                <w:kern w:val="0"/>
                <w:szCs w:val="21"/>
              </w:rPr>
              <w:t>H</w:t>
            </w:r>
            <w:r>
              <w:rPr>
                <w:rFonts w:hint="default" w:ascii="Times New Roman" w:hAnsi="Times New Roman" w:eastAsia="宋体" w:cs="Times New Roman"/>
                <w:color w:val="auto"/>
                <w:spacing w:val="8"/>
                <w:kern w:val="0"/>
                <w:szCs w:val="21"/>
                <w:vertAlign w:val="subscript"/>
              </w:rPr>
              <w:t>10</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理化</w:t>
            </w:r>
          </w:p>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性质</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无色气体，有轻微的不愉快气味</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相对密度（空气=1）：</w:t>
            </w:r>
            <w:r>
              <w:rPr>
                <w:rFonts w:hint="default" w:ascii="Times New Roman" w:hAnsi="Times New Roman" w:eastAsia="宋体" w:cs="Times New Roman"/>
                <w:color w:val="auto"/>
                <w:spacing w:val="8"/>
                <w:kern w:val="0"/>
                <w:szCs w:val="21"/>
              </w:rPr>
              <w:t>2.05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相对密度（水=1）：</w:t>
            </w:r>
            <w:r>
              <w:rPr>
                <w:rFonts w:hint="default" w:ascii="Times New Roman" w:hAnsi="Times New Roman" w:eastAsia="宋体" w:cs="Times New Roman"/>
                <w:color w:val="auto"/>
                <w:spacing w:val="8"/>
                <w:kern w:val="0"/>
                <w:szCs w:val="21"/>
              </w:rPr>
              <w:t>0.58</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稳定性：稳定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熔点（℃）：</w:t>
            </w:r>
            <w:r>
              <w:rPr>
                <w:rFonts w:hint="default" w:ascii="Times New Roman" w:hAnsi="Times New Roman" w:eastAsia="宋体" w:cs="Times New Roman"/>
                <w:color w:val="auto"/>
                <w:spacing w:val="8"/>
                <w:kern w:val="0"/>
                <w:szCs w:val="21"/>
              </w:rPr>
              <w:t>-138.4</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沸点（℃）：</w:t>
            </w:r>
            <w:r>
              <w:rPr>
                <w:rFonts w:hint="default" w:ascii="Times New Roman" w:hAnsi="Times New Roman" w:eastAsia="宋体" w:cs="Times New Roman"/>
                <w:color w:val="auto"/>
                <w:spacing w:val="8"/>
                <w:kern w:val="0"/>
                <w:szCs w:val="21"/>
              </w:rPr>
              <w:t>-0.5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饱和蒸汽压（kpa）：</w:t>
            </w:r>
            <w:r>
              <w:rPr>
                <w:rFonts w:hint="default" w:ascii="Times New Roman" w:hAnsi="Times New Roman" w:eastAsia="宋体" w:cs="Times New Roman"/>
                <w:color w:val="auto"/>
                <w:spacing w:val="8"/>
                <w:kern w:val="0"/>
                <w:szCs w:val="21"/>
              </w:rPr>
              <w:t>106.39（O℃ ）</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溶解性：</w:t>
            </w:r>
            <w:r>
              <w:rPr>
                <w:rFonts w:hint="default" w:ascii="Times New Roman" w:hAnsi="Times New Roman" w:eastAsia="宋体" w:cs="Times New Roman"/>
                <w:color w:val="auto"/>
                <w:spacing w:val="8"/>
                <w:kern w:val="0"/>
                <w:szCs w:val="21"/>
              </w:rPr>
              <w:t>易溶于水、醇、氯仿</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pacing w:val="8"/>
                <w:kern w:val="0"/>
                <w:szCs w:val="21"/>
              </w:rPr>
              <w:t>临界温度(℃)：151.9</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pacing w:val="8"/>
                <w:kern w:val="0"/>
                <w:szCs w:val="21"/>
              </w:rPr>
              <w:t>临界压力(MPa)：3.79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w:t>
            </w:r>
          </w:p>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特性</w:t>
            </w: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危险性类别：易燃气体</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燃烧性：易燃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 xml:space="preserve">闪点（℃）：-60 </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爆炸下限（%）：1.5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gridSpan w:val="2"/>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4086"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爆炸上限（%）：8.5</w:t>
            </w:r>
          </w:p>
        </w:tc>
        <w:tc>
          <w:tcPr>
            <w:tcW w:w="4394" w:type="dxa"/>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燃烧（分解）产物：一氧化碳、二氧化碳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危险特性：与空气混合能形成爆炸性混合物，遇明火、高热能引起燃烧爆炸。其蒸气比空气重，能在较低处扩散到相当远的地方，遇火源引着回燃。若遇高热，容器内压增大，有开裂和爆炸的危险</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灭火方法：切断气源。若不能立即切断气源，则不允许熄灭正在燃烧的气体喷水冷却容器，可能的话将容器从火场移至空旷处</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灭火剂：雾状水、泡沫、二氧化碳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restart"/>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w:t>
            </w:r>
          </w:p>
          <w:p>
            <w:pPr>
              <w:snapToGrid w:val="0"/>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危害</w:t>
            </w: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侵入途径：吸入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88" w:type="dxa"/>
            <w:vMerge w:val="continue"/>
            <w:tcBorders>
              <w:top w:val="single" w:color="auto" w:sz="4" w:space="0"/>
              <w:left w:val="single" w:color="auto" w:sz="4" w:space="0"/>
              <w:bottom w:val="single" w:color="auto" w:sz="4" w:space="0"/>
              <w:right w:val="single" w:color="auto" w:sz="4" w:space="0"/>
            </w:tcBorders>
            <w:vAlign w:val="center"/>
          </w:tcPr>
          <w:p>
            <w:pPr>
              <w:snapToGrid w:val="0"/>
              <w:spacing w:line="360" w:lineRule="auto"/>
              <w:jc w:val="center"/>
              <w:rPr>
                <w:rFonts w:hint="default" w:ascii="Times New Roman" w:hAnsi="Times New Roman" w:eastAsia="宋体" w:cs="Times New Roman"/>
                <w:color w:val="auto"/>
                <w:szCs w:val="21"/>
              </w:rPr>
            </w:pPr>
          </w:p>
        </w:tc>
        <w:tc>
          <w:tcPr>
            <w:tcW w:w="8486" w:type="dxa"/>
            <w:gridSpan w:val="3"/>
            <w:tcBorders>
              <w:top w:val="single" w:color="auto" w:sz="4" w:space="0"/>
              <w:left w:val="single" w:color="auto" w:sz="4" w:space="0"/>
              <w:bottom w:val="single" w:color="auto" w:sz="4" w:space="0"/>
              <w:right w:val="single" w:color="auto" w:sz="4" w:space="0"/>
            </w:tcBorders>
            <w:vAlign w:val="center"/>
          </w:tcPr>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健康危害：高浓度有窒息和麻醉作用</w:t>
            </w:r>
          </w:p>
          <w:p>
            <w:pPr>
              <w:snapToGrid w:val="0"/>
              <w:spacing w:line="360" w:lineRule="auto"/>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急性中毒：主要表现为头痛、头晕、嗜睡、恶心、酒醉状态，严重者可出现昏迷</w:t>
            </w:r>
          </w:p>
          <w:p>
            <w:pPr>
              <w:snapToGrid w:val="0"/>
              <w:spacing w:line="360" w:lineRule="auto"/>
              <w:rPr>
                <w:rFonts w:hint="default" w:ascii="Times New Roman" w:hAnsi="Times New Roman" w:eastAsia="宋体" w:cs="Times New Roman"/>
                <w:color w:val="auto"/>
                <w:spacing w:val="8"/>
                <w:kern w:val="0"/>
                <w:szCs w:val="21"/>
              </w:rPr>
            </w:pPr>
            <w:r>
              <w:rPr>
                <w:rFonts w:hint="default" w:ascii="Times New Roman" w:hAnsi="Times New Roman" w:eastAsia="宋体" w:cs="Times New Roman"/>
                <w:color w:val="auto"/>
                <w:szCs w:val="21"/>
              </w:rPr>
              <w:t>慢性影响：出现头痛、头晕、睡眠不佳、易疲倦等症状</w:t>
            </w:r>
          </w:p>
        </w:tc>
      </w:tr>
    </w:tbl>
    <w:p>
      <w:pPr>
        <w:spacing w:before="120" w:beforeLines="50" w:line="360" w:lineRule="auto"/>
        <w:jc w:val="center"/>
        <w:rPr>
          <w:rFonts w:hint="default" w:ascii="Times New Roman" w:hAnsi="Times New Roman" w:eastAsia="宋体" w:cs="Times New Roman"/>
          <w:b/>
          <w:color w:val="auto"/>
          <w:kern w:val="0"/>
          <w:sz w:val="21"/>
          <w:szCs w:val="21"/>
          <w:lang w:val="en-US" w:eastAsia="zh-CN" w:bidi="ar-SA"/>
        </w:rPr>
      </w:pPr>
      <w:r>
        <w:rPr>
          <w:rFonts w:hint="default" w:ascii="Times New Roman" w:hAnsi="Times New Roman" w:eastAsia="宋体" w:cs="Times New Roman"/>
          <w:b/>
          <w:color w:val="auto"/>
          <w:kern w:val="0"/>
          <w:sz w:val="21"/>
          <w:szCs w:val="21"/>
          <w:lang w:val="en-US" w:eastAsia="zh-CN" w:bidi="ar-SA"/>
        </w:rPr>
        <w:t>附件表1-10硫酸理化性质及危险特性</w:t>
      </w:r>
    </w:p>
    <w:tbl>
      <w:tblPr>
        <w:tblStyle w:val="75"/>
        <w:tblW w:w="9174" w:type="dxa"/>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433"/>
        <w:gridCol w:w="1897"/>
        <w:gridCol w:w="2288"/>
        <w:gridCol w:w="455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标</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识</w:t>
            </w:r>
          </w:p>
        </w:tc>
        <w:tc>
          <w:tcPr>
            <w:tcW w:w="4185"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中文名：硫酸</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英文名：sulfuric acid</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4185"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vertAlign w:val="subscript"/>
              </w:rPr>
            </w:pPr>
            <w:r>
              <w:rPr>
                <w:rFonts w:hint="default" w:ascii="Times New Roman" w:hAnsi="Times New Roman" w:eastAsia="宋体" w:cs="Times New Roman"/>
                <w:color w:val="auto"/>
                <w:kern w:val="0"/>
                <w:szCs w:val="21"/>
              </w:rPr>
              <w:t>分子式：H</w:t>
            </w:r>
            <w:r>
              <w:rPr>
                <w:rFonts w:hint="default" w:ascii="Times New Roman" w:hAnsi="Times New Roman" w:eastAsia="宋体" w:cs="Times New Roman"/>
                <w:color w:val="auto"/>
                <w:kern w:val="0"/>
                <w:szCs w:val="21"/>
                <w:vertAlign w:val="subscript"/>
              </w:rPr>
              <w:t>2</w:t>
            </w:r>
            <w:r>
              <w:rPr>
                <w:rFonts w:hint="default" w:ascii="Times New Roman" w:hAnsi="Times New Roman" w:eastAsia="宋体" w:cs="Times New Roman"/>
                <w:color w:val="auto"/>
                <w:kern w:val="0"/>
                <w:szCs w:val="21"/>
              </w:rPr>
              <w:t>SO</w:t>
            </w:r>
            <w:r>
              <w:rPr>
                <w:rFonts w:hint="default" w:ascii="Times New Roman" w:hAnsi="Times New Roman" w:eastAsia="宋体" w:cs="Times New Roman"/>
                <w:color w:val="auto"/>
                <w:kern w:val="0"/>
                <w:szCs w:val="21"/>
                <w:vertAlign w:val="subscript"/>
              </w:rPr>
              <w:t>4</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分子量：98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1897"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危规号：</w:t>
            </w:r>
          </w:p>
        </w:tc>
        <w:tc>
          <w:tcPr>
            <w:tcW w:w="2288"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UN编号：</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CAS号：7664-93-9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理</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化</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性</w:t>
            </w:r>
          </w:p>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质</w:t>
            </w:r>
          </w:p>
        </w:tc>
        <w:tc>
          <w:tcPr>
            <w:tcW w:w="4185"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外观与形状：纯品为无色透明油状液体</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溶解性：与水混溶</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4185"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熔点(℃)：10.5</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沸点(℃)：330.0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4185"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相对密度：(水=1)1.83</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相对密度：(空气=1)3.4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4185" w:type="dxa"/>
            <w:gridSpan w:val="2"/>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饱和蒸汽压(kPa)0.13(145.8℃)</w:t>
            </w:r>
          </w:p>
        </w:tc>
        <w:tc>
          <w:tcPr>
            <w:tcW w:w="4556" w:type="dxa"/>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禁忌物：</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危险特性</w:t>
            </w:r>
          </w:p>
        </w:tc>
        <w:tc>
          <w:tcPr>
            <w:tcW w:w="8741"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危险特性：遇水大量放热，可发生沸溅。与易燃物和可燃物接触会发生剧烈反应，甚至引起燃烧。遇电石、高氯酸盐、硝酸盐、金属粉末等猛烈反应，发生爆炸或燃烧。有强烈的腐蚀性和吸水性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741"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灭火方法：消防人员必须穿全身耐酸碱消防服</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741"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灭火剂：干粉、二氧化碳、砂土。避免水流冲击物品，以免遇水会放出大量热量发生喷溅而灼伤皮肤</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健康危害</w:t>
            </w:r>
          </w:p>
        </w:tc>
        <w:tc>
          <w:tcPr>
            <w:tcW w:w="8741"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侵入途径：吸入、食入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Times New Roman" w:hAnsi="Times New Roman" w:eastAsia="宋体" w:cs="Times New Roman"/>
                <w:color w:val="auto"/>
                <w:szCs w:val="21"/>
              </w:rPr>
            </w:pPr>
          </w:p>
        </w:tc>
        <w:tc>
          <w:tcPr>
            <w:tcW w:w="8741" w:type="dxa"/>
            <w:gridSpan w:val="3"/>
            <w:tcBorders>
              <w:top w:val="single" w:color="auto" w:sz="4" w:space="0"/>
              <w:left w:val="single" w:color="auto" w:sz="4" w:space="0"/>
              <w:bottom w:val="single" w:color="auto" w:sz="4" w:space="0"/>
              <w:right w:val="single" w:color="auto" w:sz="4" w:space="0"/>
            </w:tcBorders>
          </w:tcPr>
          <w:p>
            <w:pPr>
              <w:spacing w:line="360" w:lineRule="auto"/>
              <w:jc w:val="left"/>
              <w:rPr>
                <w:rFonts w:hint="default" w:ascii="Times New Roman" w:hAnsi="Times New Roman" w:eastAsia="宋体" w:cs="Times New Roman"/>
                <w:color w:val="auto"/>
                <w:szCs w:val="21"/>
              </w:rPr>
            </w:pPr>
            <w:r>
              <w:rPr>
                <w:rFonts w:hint="default" w:ascii="Times New Roman" w:hAnsi="Times New Roman" w:eastAsia="宋体" w:cs="Times New Roman"/>
                <w:color w:val="auto"/>
                <w:kern w:val="0"/>
                <w:szCs w:val="21"/>
              </w:rPr>
              <w:t>健康危害：对皮肤、粘膜等组织有强烈刺激和腐蚀性。蒸汽或雾可引起结膜炎、结膜水肿、角膜混浊，以致失明；引起呼吸道刺激，重者发生呼吸困难和肺水肿；高浓度引起喉痉挛或声门水肿而窒息死亡。皮肤灼伤轻者出现红斑，重者形成溃疡。溅入眼内可造成灼伤，甚至角膜穿孔、全眼炎以致失明。慢性影响：牙齿酸蚀症、慢性支气管害炎、肺气肿和肺硬化</w:t>
            </w:r>
          </w:p>
        </w:tc>
      </w:tr>
    </w:tbl>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sz w:val="30"/>
          <w:szCs w:val="30"/>
        </w:rPr>
      </w:pPr>
    </w:p>
    <w:bookmarkEnd w:id="239"/>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bookmarkStart w:id="241" w:name="_Toc523580113"/>
      <w:bookmarkStart w:id="242" w:name="_Toc512839440"/>
      <w:bookmarkStart w:id="243" w:name="_Toc511720454"/>
      <w:bookmarkStart w:id="244" w:name="_Toc511719973"/>
      <w:bookmarkStart w:id="245" w:name="_Toc497594726"/>
      <w:bookmarkStart w:id="246" w:name="_Toc511720768"/>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9"/>
        <w:rPr>
          <w:rFonts w:hint="default" w:ascii="Times New Roman" w:hAnsi="Times New Roman" w:eastAsia="宋体" w:cs="Times New Roman"/>
          <w:b/>
          <w:bCs/>
          <w:color w:val="auto"/>
          <w:kern w:val="0"/>
          <w:sz w:val="30"/>
          <w:szCs w:val="30"/>
        </w:rPr>
      </w:pPr>
    </w:p>
    <w:p>
      <w:pPr>
        <w:spacing w:before="240" w:beforeLines="100" w:after="240" w:afterLines="100" w:line="360" w:lineRule="auto"/>
        <w:jc w:val="center"/>
        <w:outlineLvl w:val="0"/>
        <w:rPr>
          <w:rFonts w:hint="default" w:ascii="Times New Roman" w:hAnsi="Times New Roman" w:eastAsia="宋体" w:cs="Times New Roman"/>
          <w:b/>
          <w:bCs/>
          <w:color w:val="auto"/>
          <w:kern w:val="0"/>
          <w:sz w:val="30"/>
          <w:szCs w:val="30"/>
        </w:rPr>
      </w:pPr>
      <w:bookmarkStart w:id="247" w:name="_Toc4638"/>
      <w:r>
        <w:rPr>
          <w:rFonts w:hint="default" w:ascii="Times New Roman" w:hAnsi="Times New Roman" w:eastAsia="宋体" w:cs="Times New Roman"/>
          <w:b/>
          <w:bCs/>
          <w:color w:val="auto"/>
          <w:kern w:val="0"/>
          <w:sz w:val="30"/>
          <w:szCs w:val="30"/>
        </w:rPr>
        <w:t>附件</w:t>
      </w:r>
      <w:r>
        <w:rPr>
          <w:rFonts w:hint="default" w:ascii="Times New Roman" w:hAnsi="Times New Roman" w:eastAsia="宋体" w:cs="Times New Roman"/>
          <w:b/>
          <w:bCs/>
          <w:color w:val="auto"/>
          <w:sz w:val="30"/>
          <w:szCs w:val="30"/>
        </w:rPr>
        <w:t>2</w:t>
      </w:r>
      <w:r>
        <w:rPr>
          <w:rFonts w:hint="default" w:ascii="Times New Roman" w:hAnsi="Times New Roman" w:eastAsia="宋体" w:cs="Times New Roman"/>
          <w:b/>
          <w:bCs/>
          <w:color w:val="auto"/>
          <w:kern w:val="0"/>
          <w:sz w:val="30"/>
          <w:szCs w:val="30"/>
        </w:rPr>
        <w:t>附表</w:t>
      </w:r>
      <w:bookmarkEnd w:id="241"/>
      <w:bookmarkEnd w:id="247"/>
    </w:p>
    <w:p>
      <w:pPr>
        <w:spacing w:before="120" w:beforeLines="50" w:line="360" w:lineRule="auto"/>
        <w:jc w:val="center"/>
        <w:rPr>
          <w:rFonts w:hint="default" w:ascii="Times New Roman" w:hAnsi="Times New Roman" w:eastAsia="宋体" w:cs="Times New Roman"/>
          <w:b/>
          <w:color w:val="auto"/>
          <w:kern w:val="0"/>
          <w:sz w:val="21"/>
          <w:szCs w:val="21"/>
          <w:lang w:val="en-US" w:eastAsia="zh-CN" w:bidi="ar-SA"/>
        </w:rPr>
      </w:pPr>
      <w:bookmarkStart w:id="248" w:name="_Toc514166829"/>
      <w:bookmarkStart w:id="249" w:name="_Toc523580114"/>
      <w:bookmarkStart w:id="250" w:name="_Toc514075305"/>
      <w:r>
        <w:rPr>
          <w:rFonts w:hint="default" w:ascii="Times New Roman" w:hAnsi="Times New Roman" w:eastAsia="宋体" w:cs="Times New Roman"/>
          <w:b/>
          <w:color w:val="auto"/>
          <w:kern w:val="0"/>
          <w:sz w:val="21"/>
          <w:szCs w:val="21"/>
          <w:lang w:val="en-US" w:eastAsia="zh-CN" w:bidi="ar-SA"/>
        </w:rPr>
        <w:t>附表2-1突发环境事件应急管理隐患排查表</w:t>
      </w:r>
      <w:bookmarkEnd w:id="242"/>
      <w:bookmarkEnd w:id="243"/>
      <w:bookmarkEnd w:id="244"/>
      <w:bookmarkEnd w:id="245"/>
      <w:bookmarkEnd w:id="246"/>
      <w:bookmarkEnd w:id="248"/>
      <w:bookmarkEnd w:id="249"/>
      <w:bookmarkEnd w:id="250"/>
    </w:p>
    <w:p>
      <w:pPr>
        <w:adjustRightInd w:val="0"/>
        <w:snapToGrid w:val="0"/>
        <w:spacing w:after="120" w:afterLines="50"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排查时间：年月日现场排查负责人（签字）：</w:t>
      </w:r>
    </w:p>
    <w:tbl>
      <w:tblPr>
        <w:tblStyle w:val="75"/>
        <w:tblW w:w="9169"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57" w:type="dxa"/>
          <w:left w:w="108" w:type="dxa"/>
          <w:bottom w:w="57" w:type="dxa"/>
          <w:right w:w="108" w:type="dxa"/>
        </w:tblCellMar>
      </w:tblPr>
      <w:tblGrid>
        <w:gridCol w:w="1275"/>
        <w:gridCol w:w="5201"/>
        <w:gridCol w:w="992"/>
        <w:gridCol w:w="942"/>
        <w:gridCol w:w="759"/>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289" w:hRule="atLeast"/>
          <w:tblHeader/>
          <w:jc w:val="center"/>
        </w:trPr>
        <w:tc>
          <w:tcPr>
            <w:tcW w:w="1275" w:type="dxa"/>
            <w:vMerge w:val="restart"/>
            <w:tcBorders>
              <w:top w:val="single" w:color="auto" w:sz="8" w:space="0"/>
            </w:tcBorders>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排查内容</w:t>
            </w:r>
          </w:p>
        </w:tc>
        <w:tc>
          <w:tcPr>
            <w:tcW w:w="5201" w:type="dxa"/>
            <w:vMerge w:val="restart"/>
            <w:tcBorders>
              <w:top w:val="single" w:color="auto" w:sz="8" w:space="0"/>
            </w:tcBorders>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spacing w:val="20"/>
                <w:kern w:val="0"/>
                <w:szCs w:val="21"/>
              </w:rPr>
              <w:t>具体排查内</w:t>
            </w:r>
            <w:r>
              <w:rPr>
                <w:rFonts w:hint="default" w:ascii="Times New Roman" w:hAnsi="Times New Roman" w:eastAsia="宋体" w:cs="Times New Roman"/>
                <w:b/>
                <w:color w:val="auto"/>
                <w:kern w:val="0"/>
                <w:szCs w:val="21"/>
              </w:rPr>
              <w:t>容</w:t>
            </w:r>
          </w:p>
        </w:tc>
        <w:tc>
          <w:tcPr>
            <w:tcW w:w="2693" w:type="dxa"/>
            <w:gridSpan w:val="3"/>
            <w:tcBorders>
              <w:top w:val="single" w:color="auto" w:sz="8" w:space="0"/>
            </w:tcBorders>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排查结果</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04" w:hRule="atLeast"/>
          <w:tblHeade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p>
        </w:tc>
        <w:tc>
          <w:tcPr>
            <w:tcW w:w="5201"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p>
        </w:tc>
        <w:tc>
          <w:tcPr>
            <w:tcW w:w="992" w:type="dxa"/>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是，证明材料</w:t>
            </w:r>
          </w:p>
        </w:tc>
        <w:tc>
          <w:tcPr>
            <w:tcW w:w="942" w:type="dxa"/>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否，具体问题</w:t>
            </w:r>
          </w:p>
        </w:tc>
        <w:tc>
          <w:tcPr>
            <w:tcW w:w="759" w:type="dxa"/>
            <w:vAlign w:val="center"/>
          </w:tcPr>
          <w:p>
            <w:pPr>
              <w:autoSpaceDE w:val="0"/>
              <w:autoSpaceDN w:val="0"/>
              <w:adjustRightInd w:val="0"/>
              <w:snapToGrid w:val="0"/>
              <w:spacing w:line="240" w:lineRule="atLeast"/>
              <w:jc w:val="center"/>
              <w:rPr>
                <w:rFonts w:hint="default" w:ascii="Times New Roman" w:hAnsi="Times New Roman" w:eastAsia="宋体" w:cs="Times New Roman"/>
                <w:b/>
                <w:color w:val="auto"/>
                <w:kern w:val="0"/>
                <w:szCs w:val="21"/>
              </w:rPr>
            </w:pPr>
            <w:r>
              <w:rPr>
                <w:rFonts w:hint="default" w:ascii="Times New Roman" w:hAnsi="Times New Roman" w:eastAsia="宋体" w:cs="Times New Roman"/>
                <w:b/>
                <w:color w:val="auto"/>
                <w:kern w:val="0"/>
                <w:szCs w:val="21"/>
              </w:rPr>
              <w:t>其他情况</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60" w:hRule="atLeast"/>
          <w:jc w:val="center"/>
        </w:trPr>
        <w:tc>
          <w:tcPr>
            <w:tcW w:w="1275" w:type="dxa"/>
            <w:vMerge w:val="restart"/>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1.是否按规定开展突发环境事件风险评估，确定风险等级</w:t>
            </w: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（1）是否编制突发环境事件风险评估报告，并与预案一起备案。</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（2）企业现有突发环境事件风险物质种类和风险评估报告相比是否发生变化。</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（3）企业现有突发环境事件风险物质数量和风险评估报告相比是否发生变化。</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72" w:hRule="atLeast"/>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（4）企业突发环境事件风险物质种类、数量变化是否影响风险等级。</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（5）突发环境事件风险等级确定是否正确合理。</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354" w:hRule="atLeast"/>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（6）突发环境事件风险评估是否通过评审。</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43" w:hRule="atLeast"/>
          <w:jc w:val="center"/>
        </w:trPr>
        <w:tc>
          <w:tcPr>
            <w:tcW w:w="1275" w:type="dxa"/>
            <w:vMerge w:val="restart"/>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2.是否按规定制定突发环境事件应</w:t>
            </w:r>
            <w:r>
              <w:rPr>
                <w:rFonts w:hint="default" w:ascii="Times New Roman" w:hAnsi="Times New Roman" w:eastAsia="宋体" w:cs="Times New Roman"/>
                <w:color w:val="auto"/>
                <w:spacing w:val="4"/>
                <w:kern w:val="0"/>
                <w:szCs w:val="21"/>
              </w:rPr>
              <w:t>急预案并备案</w:t>
            </w: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（7）是否按要求对预案进行评审，评审意见是否及时落实。</w:t>
            </w:r>
          </w:p>
        </w:tc>
        <w:tc>
          <w:tcPr>
            <w:tcW w:w="992" w:type="dxa"/>
            <w:vMerge w:val="restart"/>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Merge w:val="restart"/>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Merge w:val="restart"/>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62" w:hRule="atLeast"/>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（8）是否将预案进行了备案，是否每三年进行回顾性评估。</w:t>
            </w:r>
          </w:p>
        </w:tc>
        <w:tc>
          <w:tcPr>
            <w:tcW w:w="992" w:type="dxa"/>
            <w:vMerge w:val="continue"/>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Merge w:val="continue"/>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Merge w:val="continue"/>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583" w:hRule="atLeast"/>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（9）出现下列情况预案是否进行了及时修订。</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1）面临的突发环境事件风险发生重大变化，需要重新进行风险评估；</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2）应急管理组织指挥体系与职责发生重大变化；</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3）环境应急监测预警机制发生重大变化，报告联络信息及机制发生重大变化；</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4）环境应急应对流程体系和措施发生重大变化；</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5）环境应急保障措施及保障体系发生重大变化；</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6）重要应急资源发生重大变化；</w:t>
            </w:r>
          </w:p>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7）在突发环境事件实际应对和应急演练中发现问题，需要对环境应急预案作出重大调整的。</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restart"/>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3.是否建立环境隐患排查制度和建立档案</w:t>
            </w: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（10）是否建立隐患排查治理责任制。</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（11）是否制定本单位的隐患分级规定。</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（12）是否有隐患排查治理年度计划。</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（13）是否建立隐患记录报告制度，是否制定隐患排查表。</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（14）重大隐患是否制定治理方案。</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（15）是否建立重大隐患督办制度。</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jc w:val="center"/>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（16）是否建立隐患排查治理档案。</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restart"/>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4.是否按规定开展突发环境事件应急培训，如实记录培训情况</w:t>
            </w: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（17）是否将应急培训纳入单位工作计划。</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（18）是否开展应急知识和技能培训。</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（19）是否健全培训档案，如实记录培训时间、内容、人员等情况。</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restart"/>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5.是否按规定储备必要的环境应急装备和物资</w:t>
            </w: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（20）是否按规定配备足以应对预设事件情景的环境应急装备和物资。</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（21）是否已设置专职或兼职人员组成的应急救援队伍。</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649" w:hRule="atLeast"/>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（22）是否与其他组织或单位签订应急救援协议或互救协议。</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1275" w:type="dxa"/>
            <w:vMerge w:val="continue"/>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p>
        </w:tc>
        <w:tc>
          <w:tcPr>
            <w:tcW w:w="5201" w:type="dxa"/>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（23）是否对现有物资进行定期检查，对已消耗或耗损的物资装备进行及时补充。</w:t>
            </w:r>
          </w:p>
        </w:tc>
        <w:tc>
          <w:tcPr>
            <w:tcW w:w="99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rHeight w:val="1031" w:hRule="atLeast"/>
          <w:jc w:val="center"/>
        </w:trPr>
        <w:tc>
          <w:tcPr>
            <w:tcW w:w="1275" w:type="dxa"/>
            <w:tcBorders>
              <w:bottom w:val="single" w:color="auto" w:sz="8" w:space="0"/>
            </w:tcBorders>
            <w:vAlign w:val="center"/>
          </w:tcPr>
          <w:p>
            <w:pPr>
              <w:autoSpaceDE w:val="0"/>
              <w:autoSpaceDN w:val="0"/>
              <w:adjustRightInd w:val="0"/>
              <w:snapToGrid w:val="0"/>
              <w:spacing w:line="240" w:lineRule="atLeas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6.是否按规定公开突发环境事件应急预案及演练情况</w:t>
            </w:r>
          </w:p>
        </w:tc>
        <w:tc>
          <w:tcPr>
            <w:tcW w:w="5201" w:type="dxa"/>
            <w:tcBorders>
              <w:bottom w:val="single" w:color="auto" w:sz="8" w:space="0"/>
            </w:tcBorders>
            <w:vAlign w:val="center"/>
          </w:tcPr>
          <w:p>
            <w:pPr>
              <w:spacing w:line="240" w:lineRule="atLeast"/>
              <w:ind w:firstLine="420" w:firstLineChars="200"/>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（24）是否按规定公开突发环境事件应急预案及演练情况。</w:t>
            </w:r>
          </w:p>
        </w:tc>
        <w:tc>
          <w:tcPr>
            <w:tcW w:w="992" w:type="dxa"/>
            <w:tcBorders>
              <w:bottom w:val="single" w:color="auto" w:sz="8" w:space="0"/>
            </w:tcBorders>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942" w:type="dxa"/>
            <w:tcBorders>
              <w:bottom w:val="single" w:color="auto" w:sz="8" w:space="0"/>
            </w:tcBorders>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c>
          <w:tcPr>
            <w:tcW w:w="759" w:type="dxa"/>
            <w:tcBorders>
              <w:bottom w:val="single" w:color="auto" w:sz="8" w:space="0"/>
            </w:tcBorders>
            <w:vAlign w:val="center"/>
          </w:tcPr>
          <w:p>
            <w:pPr>
              <w:autoSpaceDE w:val="0"/>
              <w:autoSpaceDN w:val="0"/>
              <w:adjustRightInd w:val="0"/>
              <w:snapToGrid w:val="0"/>
              <w:spacing w:line="240" w:lineRule="atLeast"/>
              <w:jc w:val="left"/>
              <w:rPr>
                <w:rFonts w:hint="default" w:ascii="Times New Roman" w:hAnsi="Times New Roman" w:eastAsia="宋体" w:cs="Times New Roman"/>
                <w:color w:val="auto"/>
                <w:kern w:val="0"/>
                <w:szCs w:val="21"/>
              </w:rPr>
            </w:pPr>
          </w:p>
        </w:tc>
      </w:tr>
    </w:tbl>
    <w:p>
      <w:pPr>
        <w:adjustRightInd w:val="0"/>
        <w:snapToGrid w:val="0"/>
        <w:spacing w:line="240" w:lineRule="atLeast"/>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bookmarkStart w:id="251" w:name="_Toc497594727"/>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pStyle w:val="2"/>
        <w:outlineLvl w:val="9"/>
        <w:rPr>
          <w:rFonts w:hint="default"/>
          <w:color w:val="auto"/>
        </w:rPr>
      </w:pPr>
    </w:p>
    <w:p>
      <w:pPr>
        <w:widowControl/>
        <w:spacing w:before="120" w:beforeLines="50" w:after="120" w:afterLines="50" w:line="240" w:lineRule="atLeast"/>
        <w:jc w:val="center"/>
        <w:outlineLvl w:val="9"/>
        <w:rPr>
          <w:rFonts w:hint="default" w:ascii="Times New Roman" w:hAnsi="Times New Roman" w:eastAsia="宋体" w:cs="Times New Roman"/>
          <w:b/>
          <w:bCs/>
          <w:color w:val="auto"/>
          <w:sz w:val="28"/>
          <w:szCs w:val="28"/>
        </w:rPr>
      </w:pPr>
    </w:p>
    <w:p>
      <w:pPr>
        <w:spacing w:before="120" w:beforeLines="50" w:line="360" w:lineRule="auto"/>
        <w:jc w:val="center"/>
        <w:rPr>
          <w:rFonts w:hint="default" w:ascii="Times New Roman" w:hAnsi="Times New Roman" w:eastAsia="宋体" w:cs="Times New Roman"/>
          <w:b/>
          <w:color w:val="auto"/>
          <w:kern w:val="0"/>
          <w:sz w:val="21"/>
          <w:szCs w:val="21"/>
          <w:lang w:val="en-US" w:eastAsia="zh-CN" w:bidi="ar-SA"/>
        </w:rPr>
      </w:pPr>
      <w:bookmarkStart w:id="252" w:name="_Toc511719974"/>
      <w:bookmarkStart w:id="253" w:name="_Toc511720455"/>
      <w:bookmarkStart w:id="254" w:name="_Toc523580115"/>
      <w:bookmarkStart w:id="255" w:name="_Toc514166830"/>
      <w:bookmarkStart w:id="256" w:name="_Toc511720769"/>
      <w:bookmarkStart w:id="257" w:name="_Toc514075306"/>
      <w:bookmarkStart w:id="258" w:name="_Toc512839441"/>
    </w:p>
    <w:p>
      <w:pPr>
        <w:spacing w:before="120" w:beforeLines="50" w:line="360" w:lineRule="auto"/>
        <w:jc w:val="center"/>
        <w:rPr>
          <w:rFonts w:hint="default" w:ascii="Times New Roman" w:hAnsi="Times New Roman" w:eastAsia="宋体" w:cs="Times New Roman"/>
          <w:b/>
          <w:color w:val="auto"/>
          <w:kern w:val="0"/>
          <w:sz w:val="21"/>
          <w:szCs w:val="21"/>
          <w:lang w:val="en-US" w:eastAsia="zh-CN" w:bidi="ar-SA"/>
        </w:rPr>
      </w:pPr>
      <w:r>
        <w:rPr>
          <w:rFonts w:hint="default" w:ascii="Times New Roman" w:hAnsi="Times New Roman" w:eastAsia="宋体" w:cs="Times New Roman"/>
          <w:b/>
          <w:color w:val="auto"/>
          <w:kern w:val="0"/>
          <w:sz w:val="21"/>
          <w:szCs w:val="21"/>
          <w:lang w:val="en-US" w:eastAsia="zh-CN" w:bidi="ar-SA"/>
        </w:rPr>
        <w:t>附表 2-2突发环境事件风险防控措施隐患排查表</w:t>
      </w:r>
      <w:bookmarkEnd w:id="251"/>
      <w:bookmarkEnd w:id="252"/>
      <w:bookmarkEnd w:id="253"/>
      <w:bookmarkEnd w:id="254"/>
      <w:bookmarkEnd w:id="255"/>
      <w:bookmarkEnd w:id="256"/>
      <w:bookmarkEnd w:id="257"/>
      <w:bookmarkEnd w:id="258"/>
    </w:p>
    <w:p>
      <w:pPr>
        <w:adjustRightInd w:val="0"/>
        <w:snapToGrid w:val="0"/>
        <w:spacing w:after="120" w:afterLines="50" w:line="240" w:lineRule="atLeast"/>
        <w:jc w:val="left"/>
        <w:rPr>
          <w:rFonts w:hint="default" w:ascii="Times New Roman" w:hAnsi="Times New Roman" w:eastAsia="宋体" w:cs="Times New Roman"/>
          <w:color w:val="auto"/>
          <w:kern w:val="0"/>
          <w:szCs w:val="21"/>
        </w:rPr>
      </w:pPr>
      <w:r>
        <w:rPr>
          <w:rFonts w:hint="default" w:ascii="Times New Roman" w:hAnsi="Times New Roman" w:eastAsia="宋体" w:cs="Times New Roman"/>
          <w:color w:val="auto"/>
          <w:kern w:val="0"/>
          <w:szCs w:val="21"/>
        </w:rPr>
        <w:t>排查时间：年月日现场排查负责人（签字）</w:t>
      </w:r>
    </w:p>
    <w:tbl>
      <w:tblPr>
        <w:tblStyle w:val="75"/>
        <w:tblW w:w="9112"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57" w:type="dxa"/>
          <w:left w:w="108" w:type="dxa"/>
          <w:bottom w:w="57" w:type="dxa"/>
          <w:right w:w="108" w:type="dxa"/>
        </w:tblCellMar>
      </w:tblPr>
      <w:tblGrid>
        <w:gridCol w:w="4821"/>
        <w:gridCol w:w="677"/>
        <w:gridCol w:w="1598"/>
        <w:gridCol w:w="670"/>
        <w:gridCol w:w="674"/>
        <w:gridCol w:w="672"/>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tblHeader/>
          <w:jc w:val="center"/>
        </w:trPr>
        <w:tc>
          <w:tcPr>
            <w:tcW w:w="4821" w:type="dxa"/>
            <w:tcBorders>
              <w:top w:val="single" w:color="auto" w:sz="8" w:space="0"/>
            </w:tcBorders>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pacing w:val="60"/>
                <w:szCs w:val="21"/>
              </w:rPr>
              <w:t>排查项</w:t>
            </w:r>
            <w:r>
              <w:rPr>
                <w:rFonts w:hint="default" w:ascii="Times New Roman" w:hAnsi="Times New Roman" w:eastAsia="宋体" w:cs="Times New Roman"/>
                <w:b/>
                <w:color w:val="auto"/>
                <w:szCs w:val="21"/>
              </w:rPr>
              <w:t>目</w:t>
            </w:r>
          </w:p>
        </w:tc>
        <w:tc>
          <w:tcPr>
            <w:tcW w:w="677" w:type="dxa"/>
            <w:tcBorders>
              <w:top w:val="single" w:color="auto" w:sz="8" w:space="0"/>
            </w:tcBorders>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现状</w:t>
            </w:r>
          </w:p>
        </w:tc>
        <w:tc>
          <w:tcPr>
            <w:tcW w:w="1598" w:type="dxa"/>
            <w:tcBorders>
              <w:top w:val="single" w:color="auto" w:sz="8" w:space="0"/>
            </w:tcBorders>
            <w:vAlign w:val="center"/>
          </w:tcPr>
          <w:p>
            <w:pPr>
              <w:adjustRightInd w:val="0"/>
              <w:snapToGrid w:val="0"/>
              <w:spacing w:line="240" w:lineRule="atLeast"/>
              <w:jc w:val="center"/>
              <w:rPr>
                <w:rFonts w:hint="default" w:ascii="Times New Roman" w:hAnsi="Times New Roman" w:eastAsia="宋体" w:cs="Times New Roman"/>
                <w:b/>
                <w:color w:val="auto"/>
                <w:spacing w:val="-10"/>
                <w:szCs w:val="21"/>
              </w:rPr>
            </w:pPr>
            <w:r>
              <w:rPr>
                <w:rFonts w:hint="default" w:ascii="Times New Roman" w:hAnsi="Times New Roman" w:eastAsia="宋体" w:cs="Times New Roman"/>
                <w:b/>
                <w:color w:val="auto"/>
                <w:spacing w:val="-10"/>
                <w:szCs w:val="21"/>
              </w:rPr>
              <w:t>可能导致的危害</w:t>
            </w:r>
          </w:p>
          <w:p>
            <w:pPr>
              <w:adjustRightInd w:val="0"/>
              <w:snapToGrid w:val="0"/>
              <w:spacing w:line="240" w:lineRule="atLeast"/>
              <w:jc w:val="center"/>
              <w:rPr>
                <w:rFonts w:hint="default" w:ascii="Times New Roman" w:hAnsi="Times New Roman" w:eastAsia="宋体" w:cs="Times New Roman"/>
                <w:b/>
                <w:color w:val="auto"/>
                <w:spacing w:val="-10"/>
                <w:szCs w:val="21"/>
              </w:rPr>
            </w:pPr>
            <w:r>
              <w:rPr>
                <w:rFonts w:hint="default" w:ascii="Times New Roman" w:hAnsi="Times New Roman" w:eastAsia="宋体" w:cs="Times New Roman"/>
                <w:b/>
                <w:color w:val="auto"/>
                <w:spacing w:val="-10"/>
                <w:szCs w:val="21"/>
              </w:rPr>
              <w:t>(是隐患的填写)</w:t>
            </w:r>
          </w:p>
        </w:tc>
        <w:tc>
          <w:tcPr>
            <w:tcW w:w="670" w:type="dxa"/>
            <w:tcBorders>
              <w:top w:val="single" w:color="auto" w:sz="8" w:space="0"/>
            </w:tcBorders>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隐患</w:t>
            </w:r>
          </w:p>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级别</w:t>
            </w:r>
          </w:p>
        </w:tc>
        <w:tc>
          <w:tcPr>
            <w:tcW w:w="674" w:type="dxa"/>
            <w:tcBorders>
              <w:top w:val="single" w:color="auto" w:sz="8" w:space="0"/>
            </w:tcBorders>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治理</w:t>
            </w:r>
          </w:p>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期限</w:t>
            </w:r>
          </w:p>
        </w:tc>
        <w:tc>
          <w:tcPr>
            <w:tcW w:w="672" w:type="dxa"/>
            <w:tcBorders>
              <w:top w:val="single" w:color="auto" w:sz="8" w:space="0"/>
            </w:tcBorders>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备注</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9112" w:type="dxa"/>
            <w:gridSpan w:val="6"/>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一、中间事故缓冲设施、事故应急水池或事故存液池（以下统称应急池）</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utoSpaceDE w:val="0"/>
              <w:autoSpaceDN w:val="0"/>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1.是否设置应急池。</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utoSpaceDE w:val="0"/>
              <w:autoSpaceDN w:val="0"/>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2.应急池容积是否满足环评文件及批复等相关文件要求。</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utoSpaceDE w:val="0"/>
              <w:autoSpaceDN w:val="0"/>
              <w:adjustRightInd w:val="0"/>
              <w:snapToGrid w:val="0"/>
              <w:spacing w:line="240" w:lineRule="atLeast"/>
              <w:rPr>
                <w:rFonts w:hint="default" w:ascii="Times New Roman" w:hAnsi="Times New Roman" w:eastAsia="宋体" w:cs="Times New Roman"/>
                <w:color w:val="auto"/>
                <w:spacing w:val="-4"/>
                <w:szCs w:val="21"/>
              </w:rPr>
            </w:pPr>
            <w:r>
              <w:rPr>
                <w:rFonts w:hint="default" w:ascii="Times New Roman" w:hAnsi="Times New Roman" w:eastAsia="宋体" w:cs="Times New Roman"/>
                <w:color w:val="auto"/>
                <w:spacing w:val="-4"/>
                <w:szCs w:val="21"/>
              </w:rPr>
              <w:t>3.应急池在非事故状态下需占用时，是否符合相关要求，并设有在事故时可以紧急排空的技术措施。</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utoSpaceDE w:val="0"/>
              <w:autoSpaceDN w:val="0"/>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4.应急池位置是否合理，消防水和泄漏物是否能自流进入应急池；如消防水和泄漏物不能自流进入应急池，是否配备有足够能力的排水管和泵，确保泄漏物和消防水能够全部收集。</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utoSpaceDE w:val="0"/>
              <w:autoSpaceDN w:val="0"/>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5.接纳消防水的排水系统是否具有接纳最大消防水量的能力，是否设有防止消防水和泄漏物排出厂外的措施。</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utoSpaceDE w:val="0"/>
              <w:autoSpaceDN w:val="0"/>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6.是否通过厂区内部管线或协议单位，将所收集的废（污）水送至污水处理设施处理。</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9112" w:type="dxa"/>
            <w:gridSpan w:val="6"/>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二、厂内排水系统</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7.装置区围堰、罐区防火堤外是否设置排水切换阀，正常情况下通向雨水系统的阀门是否关闭，通向应急池或污水处理系统的阀门是否打开。</w:t>
            </w:r>
          </w:p>
        </w:tc>
        <w:tc>
          <w:tcPr>
            <w:tcW w:w="677"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8.所有生产装置、罐区、油品及化学原料装卸台、作业场所和危险废物贮存设施（场所）的墙壁、地面冲洗水和受污染的雨水（初期雨水）、消防水，是否都能排入生产废水系统或独立的处理系统。</w:t>
            </w:r>
          </w:p>
        </w:tc>
        <w:tc>
          <w:tcPr>
            <w:tcW w:w="677"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adjustRightInd w:val="0"/>
              <w:snapToGrid w:val="0"/>
              <w:spacing w:line="240" w:lineRule="atLeast"/>
              <w:rPr>
                <w:rFonts w:hint="default" w:ascii="Times New Roman" w:hAnsi="Times New Roman" w:eastAsia="宋体" w:cs="Times New Roman"/>
                <w:color w:val="auto"/>
                <w:szCs w:val="21"/>
              </w:rPr>
            </w:pPr>
            <w:r>
              <w:rPr>
                <w:rFonts w:hint="default" w:ascii="Times New Roman" w:hAnsi="Times New Roman" w:eastAsia="宋体" w:cs="Times New Roman"/>
                <w:color w:val="auto"/>
                <w:szCs w:val="21"/>
              </w:rPr>
              <w:t>9.是否有防止受污染的冷却水、雨水进入雨水系统的措施，受污染的冷却水是否都能排入生产废水系统或独立的处理系统。</w:t>
            </w:r>
          </w:p>
        </w:tc>
        <w:tc>
          <w:tcPr>
            <w:tcW w:w="677"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kern w:val="2"/>
                <w:sz w:val="21"/>
                <w:szCs w:val="21"/>
              </w:rPr>
              <w:t>10.各种装卸区（包括厂区码头、铁路、公路）产生的事故液、作业面污水是否设置污水和事故液收集系统，是否有防止事故液、作业面污水进入雨水系统或水域的措施。</w:t>
            </w:r>
          </w:p>
        </w:tc>
        <w:tc>
          <w:tcPr>
            <w:tcW w:w="677"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11.有排洪沟（排洪涵洞）或河道穿过厂区时，排洪沟（排洪涵洞）是否与渗漏观察井、生产废水、清净下水排放管道连通。</w:t>
            </w:r>
          </w:p>
        </w:tc>
        <w:tc>
          <w:tcPr>
            <w:tcW w:w="677"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b/>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9112" w:type="dxa"/>
            <w:gridSpan w:val="6"/>
            <w:vAlign w:val="center"/>
          </w:tcPr>
          <w:p>
            <w:pPr>
              <w:adjustRightInd w:val="0"/>
              <w:snapToGrid w:val="0"/>
              <w:spacing w:line="240" w:lineRule="atLeast"/>
              <w:jc w:val="center"/>
              <w:rPr>
                <w:rFonts w:hint="default" w:ascii="Times New Roman" w:hAnsi="Times New Roman" w:eastAsia="宋体" w:cs="Times New Roman"/>
                <w:color w:val="auto"/>
                <w:szCs w:val="21"/>
              </w:rPr>
            </w:pPr>
            <w:r>
              <w:rPr>
                <w:rFonts w:hint="default" w:ascii="Times New Roman" w:hAnsi="Times New Roman" w:eastAsia="宋体" w:cs="Times New Roman"/>
                <w:b/>
                <w:color w:val="auto"/>
                <w:szCs w:val="21"/>
              </w:rPr>
              <w:t>三、雨水、清净下水和污（废）水的总排口</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12.雨水、清净下水、排洪沟的厂区总排口是否设置监视及关闭闸（阀），是否设专人负责在紧急情况下关闭总排口，确保受污染的雨水、消防水和泄漏物等排出厂界。</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13.污（废）水的排水总出口是否设置监视及关闭闸（阀），是否设专人负责关闭总排口，确保不合格废水、受污染的消防水和泄漏物等不会排出厂界。</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9112" w:type="dxa"/>
            <w:gridSpan w:val="6"/>
            <w:vAlign w:val="center"/>
          </w:tcPr>
          <w:p>
            <w:pPr>
              <w:adjustRightInd w:val="0"/>
              <w:snapToGrid w:val="0"/>
              <w:spacing w:line="240" w:lineRule="atLeast"/>
              <w:jc w:val="center"/>
              <w:rPr>
                <w:rFonts w:hint="default" w:ascii="Times New Roman" w:hAnsi="Times New Roman" w:eastAsia="宋体" w:cs="Times New Roman"/>
                <w:b/>
                <w:color w:val="auto"/>
                <w:szCs w:val="21"/>
              </w:rPr>
            </w:pPr>
            <w:r>
              <w:rPr>
                <w:rFonts w:hint="default" w:ascii="Times New Roman" w:hAnsi="Times New Roman" w:eastAsia="宋体" w:cs="Times New Roman"/>
                <w:b/>
                <w:color w:val="auto"/>
                <w:szCs w:val="21"/>
              </w:rPr>
              <w:t>四、突发大气环境事件风险防控措施</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14.企业与周边重要环境风险受体的各种防护距离是否符合环境影响评价文件及批复的要求。</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15.涉有毒有害大气污染物名录的企业是否在厂界建设针对有毒有害污染物的环境风险预警体系。</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16.涉有毒有害大气污染物名录的企业是否定期监测或委托监测有毒有害大气特征污染物。</w:t>
            </w:r>
          </w:p>
        </w:tc>
        <w:tc>
          <w:tcPr>
            <w:tcW w:w="677"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1598"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0"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4"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2" w:type="dxa"/>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108" w:type="dxa"/>
            <w:bottom w:w="57" w:type="dxa"/>
            <w:right w:w="108" w:type="dxa"/>
          </w:tblCellMar>
        </w:tblPrEx>
        <w:trPr>
          <w:jc w:val="center"/>
        </w:trPr>
        <w:tc>
          <w:tcPr>
            <w:tcW w:w="4821" w:type="dxa"/>
            <w:tcBorders>
              <w:bottom w:val="single" w:color="auto" w:sz="8" w:space="0"/>
            </w:tcBorders>
            <w:vAlign w:val="center"/>
          </w:tcPr>
          <w:p>
            <w:pPr>
              <w:pStyle w:val="271"/>
              <w:snapToGrid w:val="0"/>
              <w:spacing w:line="240" w:lineRule="atLeast"/>
              <w:jc w:val="both"/>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17.突发环境事件信息通报机制建立情况，是否能在突发环境事件发生后及时通报可能受到污染危害的单位和居民。</w:t>
            </w:r>
          </w:p>
        </w:tc>
        <w:tc>
          <w:tcPr>
            <w:tcW w:w="677" w:type="dxa"/>
            <w:tcBorders>
              <w:bottom w:val="single" w:color="auto" w:sz="8"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1598" w:type="dxa"/>
            <w:tcBorders>
              <w:bottom w:val="single" w:color="auto" w:sz="8"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0" w:type="dxa"/>
            <w:tcBorders>
              <w:bottom w:val="single" w:color="auto" w:sz="8"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4" w:type="dxa"/>
            <w:tcBorders>
              <w:bottom w:val="single" w:color="auto" w:sz="8"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c>
          <w:tcPr>
            <w:tcW w:w="672" w:type="dxa"/>
            <w:tcBorders>
              <w:bottom w:val="single" w:color="auto" w:sz="8" w:space="0"/>
            </w:tcBorders>
            <w:vAlign w:val="center"/>
          </w:tcPr>
          <w:p>
            <w:pPr>
              <w:adjustRightInd w:val="0"/>
              <w:snapToGrid w:val="0"/>
              <w:spacing w:line="240" w:lineRule="atLeast"/>
              <w:jc w:val="center"/>
              <w:rPr>
                <w:rFonts w:hint="default" w:ascii="Times New Roman" w:hAnsi="Times New Roman" w:eastAsia="宋体" w:cs="Times New Roman"/>
                <w:color w:val="auto"/>
                <w:kern w:val="0"/>
                <w:szCs w:val="21"/>
              </w:rPr>
            </w:pPr>
          </w:p>
        </w:tc>
      </w:tr>
    </w:tbl>
    <w:p>
      <w:pPr>
        <w:widowControl/>
        <w:spacing w:before="240" w:beforeLines="100" w:after="240" w:afterLines="100" w:line="360" w:lineRule="auto"/>
        <w:jc w:val="both"/>
        <w:outlineLvl w:val="9"/>
        <w:rPr>
          <w:rFonts w:hint="default" w:ascii="Times New Roman" w:hAnsi="Times New Roman" w:eastAsia="宋体" w:cs="Times New Roman"/>
          <w:b/>
          <w:bCs/>
          <w:color w:val="auto"/>
          <w:sz w:val="30"/>
          <w:szCs w:val="30"/>
        </w:rPr>
        <w:sectPr>
          <w:headerReference r:id="rId6" w:type="default"/>
          <w:footerReference r:id="rId7" w:type="default"/>
          <w:pgSz w:w="11906" w:h="16838"/>
          <w:pgMar w:top="1418" w:right="1701" w:bottom="1701" w:left="1134" w:header="851" w:footer="992" w:gutter="0"/>
          <w:pgNumType w:fmt="decimal"/>
          <w:cols w:space="720" w:num="1"/>
          <w:docGrid w:linePitch="312" w:charSpace="0"/>
        </w:sectPr>
      </w:pPr>
    </w:p>
    <w:bookmarkEnd w:id="0"/>
    <w:bookmarkEnd w:id="39"/>
    <w:bookmarkEnd w:id="40"/>
    <w:bookmarkEnd w:id="41"/>
    <w:bookmarkEnd w:id="240"/>
    <w:p>
      <w:pPr>
        <w:jc w:val="left"/>
        <w:outlineLvl w:val="9"/>
        <w:rPr>
          <w:rFonts w:hint="default" w:ascii="Times New Roman" w:hAnsi="Times New Roman" w:eastAsia="宋体" w:cs="Times New Roman"/>
          <w:b/>
          <w:bCs/>
          <w:color w:val="auto"/>
          <w:sz w:val="28"/>
          <w:szCs w:val="28"/>
        </w:rPr>
      </w:pPr>
      <w:bookmarkStart w:id="259" w:name="_GoBack"/>
      <w:bookmarkEnd w:id="259"/>
    </w:p>
    <w:sectPr>
      <w:headerReference r:id="rId8" w:type="default"/>
      <w:pgSz w:w="16838" w:h="11906" w:orient="landscape"/>
      <w:pgMar w:top="1797" w:right="1440" w:bottom="1797" w:left="1440" w:header="851" w:footer="992" w:gutter="0"/>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0D"/>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
    <w:altName w:val="Times New Roman"/>
    <w:panose1 w:val="00000000000000000000"/>
    <w:charset w:val="00"/>
    <w:family w:val="roman"/>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MS Shell Dlg">
    <w:altName w:val="Microsoft Sans Serif"/>
    <w:panose1 w:val="020B0604020202020204"/>
    <w:charset w:val="00"/>
    <w:family w:val="swiss"/>
    <w:pitch w:val="default"/>
    <w:sig w:usb0="00000000" w:usb1="00000000" w:usb2="00000008" w:usb3="00000000" w:csb0="000101FF" w:csb1="00000000"/>
  </w:font>
  <w:font w:name="Microsoft Sans Serif">
    <w:panose1 w:val="020B0604020202020204"/>
    <w:charset w:val="00"/>
    <w:family w:val="auto"/>
    <w:pitch w:val="default"/>
    <w:sig w:usb0="E5002EFF" w:usb1="C000605B" w:usb2="00000029" w:usb3="00000000" w:csb0="200101FF" w:csb1="20280000"/>
  </w:font>
  <w:font w:name="華康中楷體">
    <w:altName w:val="Microsoft JhengHei"/>
    <w:panose1 w:val="00000000000000000000"/>
    <w:charset w:val="88"/>
    <w:family w:val="modern"/>
    <w:pitch w:val="default"/>
    <w:sig w:usb0="00000000" w:usb1="00000000" w:usb2="00000010" w:usb3="00000000" w:csb0="00100000" w:csb1="00000000"/>
  </w:font>
  <w:font w:name="Microsoft JhengHei">
    <w:panose1 w:val="020B0604030504040204"/>
    <w:charset w:val="88"/>
    <w:family w:val="auto"/>
    <w:pitch w:val="default"/>
    <w:sig w:usb0="000002A7" w:usb1="28CF4400" w:usb2="00000016" w:usb3="00000000" w:csb0="00100009" w:csb1="00000000"/>
  </w:font>
  <w:font w:name="仿宋体">
    <w:altName w:val="宋体"/>
    <w:panose1 w:val="00000000000000000000"/>
    <w:charset w:val="86"/>
    <w:family w:val="roman"/>
    <w:pitch w:val="default"/>
    <w:sig w:usb0="00000000" w:usb1="00000000" w:usb2="00000010" w:usb3="00000000" w:csb0="00040000" w:csb1="00000000"/>
  </w:font>
  <w:font w:name="Arial Unicode MS">
    <w:panose1 w:val="020B0604020202020204"/>
    <w:charset w:val="86"/>
    <w:family w:val="swiss"/>
    <w:pitch w:val="default"/>
    <w:sig w:usb0="FFFFFFFF" w:usb1="E9FFFFFF" w:usb2="0000003F" w:usb3="00000000" w:csb0="603F01FF" w:csb1="FFFF0000"/>
  </w:font>
  <w:font w:name="Verdana">
    <w:panose1 w:val="020B0604030504040204"/>
    <w:charset w:val="00"/>
    <w:family w:val="swiss"/>
    <w:pitch w:val="default"/>
    <w:sig w:usb0="A00006FF" w:usb1="4000205B" w:usb2="00000010" w:usb3="00000000" w:csb0="2000019F" w:csb1="00000000"/>
  </w:font>
  <w:font w:name="”“Times New Roman”“">
    <w:altName w:val="宋体"/>
    <w:panose1 w:val="00000000000000000000"/>
    <w:charset w:val="86"/>
    <w:family w:val="roman"/>
    <w:pitch w:val="default"/>
    <w:sig w:usb0="00000000" w:usb1="00000000" w:usb2="00000010" w:usb3="00000000" w:csb0="00040000" w:csb1="00000000"/>
  </w:font>
  <w:font w:name="TimesNewRoman">
    <w:altName w:val="Times New Roman"/>
    <w:panose1 w:val="00000000000000000000"/>
    <w:charset w:val="00"/>
    <w:family w:val="roman"/>
    <w:pitch w:val="default"/>
    <w:sig w:usb0="00000000" w:usb1="00000000" w:usb2="00000000" w:usb3="00000000" w:csb0="00000001" w:csb1="00000000"/>
  </w:font>
  <w:font w:name="华文行楷">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4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OH7cf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E4ftx90CAAAmBgAADgAAAAAAAAABACAAAAAfAQAAZHJzL2Uyb0RvYy54bWxQSwUG&#10;AAAAAAYABgBZAQAAbgYAAAAA&#10;">
              <v:fill on="f" focussize="0,0"/>
              <v:stroke on="f" weight="0.5pt"/>
              <v:imagedata o:title=""/>
              <o:lock v:ext="edit" aspectratio="f"/>
              <v:textbox inset="0mm,0mm,0mm,0mm" style="mso-fit-shape-to-text:t;">
                <w:txbxContent>
                  <w:p>
                    <w:pPr>
                      <w:pStyle w:val="4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7"/>
      <w:spacing w:before="120" w:after="120"/>
      <w:ind w:right="360"/>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47"/>
                          </w:pPr>
                          <w:r>
                            <w:fldChar w:fldCharType="begin"/>
                          </w:r>
                          <w:r>
                            <w:instrText xml:space="preserve"> PAGE  \* MERGEFORMAT </w:instrText>
                          </w:r>
                          <w:r>
                            <w:fldChar w:fldCharType="separate"/>
                          </w:r>
                          <w:r>
                            <w:t>80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v/gSN0CAAAmBgAADgAAAAAAAAABACAAAAAfAQAAZHJzL2Uyb0RvYy54bWxQSwUG&#10;AAAAAAYABgBZAQAAbgYAAAAA&#10;">
              <v:fill on="f" focussize="0,0"/>
              <v:stroke on="f" weight="0.5pt"/>
              <v:imagedata o:title=""/>
              <o:lock v:ext="edit" aspectratio="f"/>
              <v:textbox inset="0mm,0mm,0mm,0mm" style="mso-fit-shape-to-text:t;">
                <w:txbxContent>
                  <w:p>
                    <w:pPr>
                      <w:pStyle w:val="47"/>
                    </w:pPr>
                    <w:r>
                      <w:fldChar w:fldCharType="begin"/>
                    </w:r>
                    <w:r>
                      <w:instrText xml:space="preserve"> PAGE  \* MERGEFORMAT </w:instrText>
                    </w:r>
                    <w:r>
                      <w:fldChar w:fldCharType="separate"/>
                    </w:r>
                    <w:r>
                      <w:t>80</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none" w:color="auto" w:sz="0" w:space="0"/>
      </w:pBdr>
      <w:jc w:val="both"/>
      <w:rPr>
        <w:rFonts w:ascii="宋体"/>
        <w:b/>
        <w:bCs/>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single" w:color="auto" w:sz="4" w:space="0"/>
      </w:pBdr>
      <w:jc w:val="both"/>
      <w:rPr>
        <w:rFonts w:ascii="宋体"/>
        <w:b/>
        <w:bCs/>
        <w:szCs w:val="21"/>
      </w:rPr>
    </w:pPr>
    <w:r>
      <w:rPr>
        <w:rFonts w:hint="eastAsia" w:ascii="宋体" w:hAnsi="宋体"/>
        <w:sz w:val="21"/>
        <w:szCs w:val="21"/>
      </w:rPr>
      <w:t>咸阳石油化工有限公司                                                                                      突发环境事件风险评估报告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single" w:color="auto" w:sz="4" w:space="0"/>
      </w:pBdr>
      <w:jc w:val="both"/>
      <w:rPr>
        <w:rFonts w:ascii="宋体"/>
        <w:bCs/>
        <w:kern w:val="0"/>
        <w:sz w:val="21"/>
        <w:szCs w:val="21"/>
      </w:rPr>
    </w:pPr>
    <w:r>
      <w:rPr>
        <w:rFonts w:hint="eastAsia" w:ascii="宋体" w:hAnsi="宋体"/>
        <w:sz w:val="21"/>
        <w:szCs w:val="21"/>
      </w:rPr>
      <w:t xml:space="preserve">咸阳石油化工有限公司                                        </w:t>
    </w:r>
    <w:r>
      <w:rPr>
        <w:rFonts w:hint="eastAsia" w:ascii="宋体" w:hAnsi="宋体"/>
        <w:bCs/>
        <w:kern w:val="0"/>
        <w:sz w:val="21"/>
        <w:szCs w:val="21"/>
      </w:rPr>
      <w:t>突发环境事件风险评估报告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9"/>
      <w:pBdr>
        <w:bottom w:val="single" w:color="auto" w:sz="4" w:space="0"/>
      </w:pBdr>
      <w:jc w:val="both"/>
      <w:rPr>
        <w:rFonts w:ascii="宋体"/>
        <w:bCs/>
        <w:kern w:val="0"/>
        <w:sz w:val="21"/>
        <w:szCs w:val="21"/>
      </w:rPr>
    </w:pPr>
    <w:r>
      <w:rPr>
        <w:rFonts w:hint="eastAsia" w:ascii="宋体" w:hAnsi="宋体"/>
        <w:sz w:val="21"/>
        <w:szCs w:val="21"/>
      </w:rPr>
      <w:t xml:space="preserve">咸阳石油化工有限公司                                                                                       </w:t>
    </w:r>
    <w:r>
      <w:rPr>
        <w:rFonts w:hint="eastAsia" w:ascii="宋体" w:hAnsi="宋体"/>
        <w:bCs/>
        <w:kern w:val="0"/>
        <w:sz w:val="21"/>
        <w:szCs w:val="21"/>
      </w:rPr>
      <w:t>突发环境事件风险评估报告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109399"/>
    <w:multiLevelType w:val="singleLevel"/>
    <w:tmpl w:val="AD10939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isplayBackgroundShape w:val="1"/>
  <w:bordersDoNotSurroundHeader w:val="0"/>
  <w:bordersDoNotSurroundFooter w:val="0"/>
  <w:hideSpellingErrors/>
  <w:documentProtection w:enforcement="0"/>
  <w:defaultTabStop w:val="420"/>
  <w:drawingGridHorizontalSpacing w:val="105"/>
  <w:drawingGridVerticalSpacing w:val="381"/>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FB5"/>
    <w:rsid w:val="00002445"/>
    <w:rsid w:val="00002C1C"/>
    <w:rsid w:val="00002FBF"/>
    <w:rsid w:val="0000774A"/>
    <w:rsid w:val="00007B9D"/>
    <w:rsid w:val="000103CD"/>
    <w:rsid w:val="00010524"/>
    <w:rsid w:val="000109AB"/>
    <w:rsid w:val="000133F5"/>
    <w:rsid w:val="00014F7E"/>
    <w:rsid w:val="00014F9E"/>
    <w:rsid w:val="000158A4"/>
    <w:rsid w:val="00016872"/>
    <w:rsid w:val="000171A0"/>
    <w:rsid w:val="00017DC1"/>
    <w:rsid w:val="00020D77"/>
    <w:rsid w:val="00020E72"/>
    <w:rsid w:val="000217A7"/>
    <w:rsid w:val="00021F66"/>
    <w:rsid w:val="0002295F"/>
    <w:rsid w:val="00023473"/>
    <w:rsid w:val="00023A01"/>
    <w:rsid w:val="000256F8"/>
    <w:rsid w:val="00027215"/>
    <w:rsid w:val="00031767"/>
    <w:rsid w:val="000319A3"/>
    <w:rsid w:val="0003304A"/>
    <w:rsid w:val="00033583"/>
    <w:rsid w:val="000336C9"/>
    <w:rsid w:val="00033B7F"/>
    <w:rsid w:val="00035CA8"/>
    <w:rsid w:val="00036265"/>
    <w:rsid w:val="00036329"/>
    <w:rsid w:val="00036762"/>
    <w:rsid w:val="0003697B"/>
    <w:rsid w:val="00036F46"/>
    <w:rsid w:val="00037083"/>
    <w:rsid w:val="00037DBE"/>
    <w:rsid w:val="00040278"/>
    <w:rsid w:val="0004033A"/>
    <w:rsid w:val="0004106B"/>
    <w:rsid w:val="0004111D"/>
    <w:rsid w:val="000411AC"/>
    <w:rsid w:val="00041A78"/>
    <w:rsid w:val="00045286"/>
    <w:rsid w:val="0004638A"/>
    <w:rsid w:val="000469CA"/>
    <w:rsid w:val="0005055B"/>
    <w:rsid w:val="00050560"/>
    <w:rsid w:val="00050A13"/>
    <w:rsid w:val="00050A49"/>
    <w:rsid w:val="00051B14"/>
    <w:rsid w:val="0005316F"/>
    <w:rsid w:val="00053B8D"/>
    <w:rsid w:val="00054268"/>
    <w:rsid w:val="0005509F"/>
    <w:rsid w:val="0005584A"/>
    <w:rsid w:val="00055992"/>
    <w:rsid w:val="00055A2F"/>
    <w:rsid w:val="00055BA3"/>
    <w:rsid w:val="00055E71"/>
    <w:rsid w:val="000560D6"/>
    <w:rsid w:val="0005709C"/>
    <w:rsid w:val="00057B73"/>
    <w:rsid w:val="00057BD3"/>
    <w:rsid w:val="00057C41"/>
    <w:rsid w:val="00061846"/>
    <w:rsid w:val="00062237"/>
    <w:rsid w:val="0006250C"/>
    <w:rsid w:val="0006257E"/>
    <w:rsid w:val="000650BB"/>
    <w:rsid w:val="00065E15"/>
    <w:rsid w:val="00071112"/>
    <w:rsid w:val="000716EF"/>
    <w:rsid w:val="0007201E"/>
    <w:rsid w:val="00072FF3"/>
    <w:rsid w:val="00073750"/>
    <w:rsid w:val="000737D2"/>
    <w:rsid w:val="00073ECB"/>
    <w:rsid w:val="00076587"/>
    <w:rsid w:val="00076C70"/>
    <w:rsid w:val="00076D6B"/>
    <w:rsid w:val="00076EB9"/>
    <w:rsid w:val="00080305"/>
    <w:rsid w:val="00080800"/>
    <w:rsid w:val="00081CD9"/>
    <w:rsid w:val="00082913"/>
    <w:rsid w:val="000829BB"/>
    <w:rsid w:val="00082CAB"/>
    <w:rsid w:val="000835ED"/>
    <w:rsid w:val="000842C3"/>
    <w:rsid w:val="00084515"/>
    <w:rsid w:val="00086357"/>
    <w:rsid w:val="00087358"/>
    <w:rsid w:val="00093545"/>
    <w:rsid w:val="00093CC2"/>
    <w:rsid w:val="000941B3"/>
    <w:rsid w:val="000941D9"/>
    <w:rsid w:val="0009452B"/>
    <w:rsid w:val="000949B5"/>
    <w:rsid w:val="00096D72"/>
    <w:rsid w:val="00097A72"/>
    <w:rsid w:val="000A04A4"/>
    <w:rsid w:val="000A051A"/>
    <w:rsid w:val="000A0DAD"/>
    <w:rsid w:val="000A1555"/>
    <w:rsid w:val="000A1E6B"/>
    <w:rsid w:val="000A2704"/>
    <w:rsid w:val="000A3A57"/>
    <w:rsid w:val="000A3D70"/>
    <w:rsid w:val="000A5AF3"/>
    <w:rsid w:val="000A6D1F"/>
    <w:rsid w:val="000A7241"/>
    <w:rsid w:val="000A751A"/>
    <w:rsid w:val="000A7A8B"/>
    <w:rsid w:val="000B1777"/>
    <w:rsid w:val="000B195A"/>
    <w:rsid w:val="000B1BE2"/>
    <w:rsid w:val="000B1D7E"/>
    <w:rsid w:val="000B1F21"/>
    <w:rsid w:val="000B2081"/>
    <w:rsid w:val="000B2278"/>
    <w:rsid w:val="000B2B28"/>
    <w:rsid w:val="000B39DE"/>
    <w:rsid w:val="000B47A0"/>
    <w:rsid w:val="000B6F58"/>
    <w:rsid w:val="000B731F"/>
    <w:rsid w:val="000B7722"/>
    <w:rsid w:val="000B7EFC"/>
    <w:rsid w:val="000C00E9"/>
    <w:rsid w:val="000C0A81"/>
    <w:rsid w:val="000C3142"/>
    <w:rsid w:val="000C39E8"/>
    <w:rsid w:val="000C4F57"/>
    <w:rsid w:val="000C517A"/>
    <w:rsid w:val="000C66F0"/>
    <w:rsid w:val="000C6945"/>
    <w:rsid w:val="000C7965"/>
    <w:rsid w:val="000C7A94"/>
    <w:rsid w:val="000C7F75"/>
    <w:rsid w:val="000D00FE"/>
    <w:rsid w:val="000D1956"/>
    <w:rsid w:val="000D392E"/>
    <w:rsid w:val="000D3932"/>
    <w:rsid w:val="000D41B9"/>
    <w:rsid w:val="000D5429"/>
    <w:rsid w:val="000D5E42"/>
    <w:rsid w:val="000D6118"/>
    <w:rsid w:val="000D63E6"/>
    <w:rsid w:val="000D7231"/>
    <w:rsid w:val="000E0146"/>
    <w:rsid w:val="000E24C1"/>
    <w:rsid w:val="000E280D"/>
    <w:rsid w:val="000E3041"/>
    <w:rsid w:val="000E321A"/>
    <w:rsid w:val="000E33D8"/>
    <w:rsid w:val="000E385C"/>
    <w:rsid w:val="000E6D51"/>
    <w:rsid w:val="000E72CA"/>
    <w:rsid w:val="000E7D40"/>
    <w:rsid w:val="000F0377"/>
    <w:rsid w:val="000F0E42"/>
    <w:rsid w:val="000F11EB"/>
    <w:rsid w:val="000F1278"/>
    <w:rsid w:val="000F2970"/>
    <w:rsid w:val="000F2C45"/>
    <w:rsid w:val="000F465B"/>
    <w:rsid w:val="000F566A"/>
    <w:rsid w:val="000F574B"/>
    <w:rsid w:val="000F6EEB"/>
    <w:rsid w:val="00100A28"/>
    <w:rsid w:val="0010181D"/>
    <w:rsid w:val="00101DE7"/>
    <w:rsid w:val="00102451"/>
    <w:rsid w:val="0010482C"/>
    <w:rsid w:val="001059A2"/>
    <w:rsid w:val="00105BC9"/>
    <w:rsid w:val="00107165"/>
    <w:rsid w:val="001071CF"/>
    <w:rsid w:val="00111766"/>
    <w:rsid w:val="00111B0A"/>
    <w:rsid w:val="00114F9B"/>
    <w:rsid w:val="00115E0F"/>
    <w:rsid w:val="00115F20"/>
    <w:rsid w:val="0011711A"/>
    <w:rsid w:val="0011794B"/>
    <w:rsid w:val="00117D7B"/>
    <w:rsid w:val="00120186"/>
    <w:rsid w:val="001212D2"/>
    <w:rsid w:val="001214E2"/>
    <w:rsid w:val="00121E7F"/>
    <w:rsid w:val="001228C3"/>
    <w:rsid w:val="00123572"/>
    <w:rsid w:val="00123891"/>
    <w:rsid w:val="0012401E"/>
    <w:rsid w:val="001241F7"/>
    <w:rsid w:val="00125116"/>
    <w:rsid w:val="001252DB"/>
    <w:rsid w:val="00126347"/>
    <w:rsid w:val="001266B9"/>
    <w:rsid w:val="001302D9"/>
    <w:rsid w:val="00130F56"/>
    <w:rsid w:val="001315F0"/>
    <w:rsid w:val="001321B7"/>
    <w:rsid w:val="0013343F"/>
    <w:rsid w:val="00134D33"/>
    <w:rsid w:val="00134EFA"/>
    <w:rsid w:val="0013594D"/>
    <w:rsid w:val="00137018"/>
    <w:rsid w:val="0013793D"/>
    <w:rsid w:val="00137EA6"/>
    <w:rsid w:val="001401B6"/>
    <w:rsid w:val="00140219"/>
    <w:rsid w:val="00141571"/>
    <w:rsid w:val="00141948"/>
    <w:rsid w:val="0014197D"/>
    <w:rsid w:val="00141998"/>
    <w:rsid w:val="0014226A"/>
    <w:rsid w:val="0014538C"/>
    <w:rsid w:val="00145A07"/>
    <w:rsid w:val="00146F07"/>
    <w:rsid w:val="001508BA"/>
    <w:rsid w:val="00150F4F"/>
    <w:rsid w:val="00151128"/>
    <w:rsid w:val="001512A7"/>
    <w:rsid w:val="00152FA1"/>
    <w:rsid w:val="0015300E"/>
    <w:rsid w:val="001531C3"/>
    <w:rsid w:val="0015348D"/>
    <w:rsid w:val="00153AD5"/>
    <w:rsid w:val="001540BE"/>
    <w:rsid w:val="00154434"/>
    <w:rsid w:val="00154444"/>
    <w:rsid w:val="00157341"/>
    <w:rsid w:val="00161212"/>
    <w:rsid w:val="00161290"/>
    <w:rsid w:val="0016141E"/>
    <w:rsid w:val="00163135"/>
    <w:rsid w:val="00167639"/>
    <w:rsid w:val="00167FB8"/>
    <w:rsid w:val="00170FA2"/>
    <w:rsid w:val="0017216F"/>
    <w:rsid w:val="00172205"/>
    <w:rsid w:val="0017252A"/>
    <w:rsid w:val="00172A27"/>
    <w:rsid w:val="00173059"/>
    <w:rsid w:val="00173364"/>
    <w:rsid w:val="0017366A"/>
    <w:rsid w:val="00173B36"/>
    <w:rsid w:val="0017449D"/>
    <w:rsid w:val="0017460E"/>
    <w:rsid w:val="00174B42"/>
    <w:rsid w:val="0017559F"/>
    <w:rsid w:val="00175E9D"/>
    <w:rsid w:val="001762AE"/>
    <w:rsid w:val="00176D6C"/>
    <w:rsid w:val="00176F6C"/>
    <w:rsid w:val="00177517"/>
    <w:rsid w:val="00177C4F"/>
    <w:rsid w:val="0018072C"/>
    <w:rsid w:val="00180973"/>
    <w:rsid w:val="00180E60"/>
    <w:rsid w:val="0018199F"/>
    <w:rsid w:val="00181BC8"/>
    <w:rsid w:val="001827D2"/>
    <w:rsid w:val="001827DF"/>
    <w:rsid w:val="001831E3"/>
    <w:rsid w:val="00183527"/>
    <w:rsid w:val="0018443D"/>
    <w:rsid w:val="00184704"/>
    <w:rsid w:val="00184A8A"/>
    <w:rsid w:val="00184C28"/>
    <w:rsid w:val="001851DD"/>
    <w:rsid w:val="001857BC"/>
    <w:rsid w:val="001868F0"/>
    <w:rsid w:val="00186B6A"/>
    <w:rsid w:val="00187E36"/>
    <w:rsid w:val="00190466"/>
    <w:rsid w:val="001905D6"/>
    <w:rsid w:val="00190803"/>
    <w:rsid w:val="00190F80"/>
    <w:rsid w:val="00191649"/>
    <w:rsid w:val="00191C0A"/>
    <w:rsid w:val="00191CDE"/>
    <w:rsid w:val="001928E4"/>
    <w:rsid w:val="00194DDE"/>
    <w:rsid w:val="00195D8C"/>
    <w:rsid w:val="00196DF8"/>
    <w:rsid w:val="0019743F"/>
    <w:rsid w:val="001A238C"/>
    <w:rsid w:val="001A24E2"/>
    <w:rsid w:val="001A3205"/>
    <w:rsid w:val="001A3A3E"/>
    <w:rsid w:val="001A4D85"/>
    <w:rsid w:val="001A603E"/>
    <w:rsid w:val="001A669B"/>
    <w:rsid w:val="001A69E1"/>
    <w:rsid w:val="001A754E"/>
    <w:rsid w:val="001A79A4"/>
    <w:rsid w:val="001A7A50"/>
    <w:rsid w:val="001A7E71"/>
    <w:rsid w:val="001B0AD5"/>
    <w:rsid w:val="001B170F"/>
    <w:rsid w:val="001B20C1"/>
    <w:rsid w:val="001B21C2"/>
    <w:rsid w:val="001B32C5"/>
    <w:rsid w:val="001B40D5"/>
    <w:rsid w:val="001B46AF"/>
    <w:rsid w:val="001B4D77"/>
    <w:rsid w:val="001B4F5B"/>
    <w:rsid w:val="001B5995"/>
    <w:rsid w:val="001B6592"/>
    <w:rsid w:val="001B6D2F"/>
    <w:rsid w:val="001B7140"/>
    <w:rsid w:val="001B779B"/>
    <w:rsid w:val="001B7A31"/>
    <w:rsid w:val="001C0DC5"/>
    <w:rsid w:val="001C1399"/>
    <w:rsid w:val="001C2384"/>
    <w:rsid w:val="001C299A"/>
    <w:rsid w:val="001C308A"/>
    <w:rsid w:val="001C31CA"/>
    <w:rsid w:val="001C32B6"/>
    <w:rsid w:val="001C44A3"/>
    <w:rsid w:val="001C48E5"/>
    <w:rsid w:val="001C49AB"/>
    <w:rsid w:val="001C61CC"/>
    <w:rsid w:val="001C6553"/>
    <w:rsid w:val="001C6B8F"/>
    <w:rsid w:val="001D020A"/>
    <w:rsid w:val="001D045C"/>
    <w:rsid w:val="001D0C35"/>
    <w:rsid w:val="001D197F"/>
    <w:rsid w:val="001D2023"/>
    <w:rsid w:val="001D2994"/>
    <w:rsid w:val="001D2CD6"/>
    <w:rsid w:val="001D3904"/>
    <w:rsid w:val="001D39EC"/>
    <w:rsid w:val="001D3F39"/>
    <w:rsid w:val="001D4091"/>
    <w:rsid w:val="001D43BD"/>
    <w:rsid w:val="001D57AD"/>
    <w:rsid w:val="001D58AD"/>
    <w:rsid w:val="001D5996"/>
    <w:rsid w:val="001D62AE"/>
    <w:rsid w:val="001D782F"/>
    <w:rsid w:val="001E0A4B"/>
    <w:rsid w:val="001E1127"/>
    <w:rsid w:val="001E39BB"/>
    <w:rsid w:val="001E3C9B"/>
    <w:rsid w:val="001E4A6A"/>
    <w:rsid w:val="001E4B86"/>
    <w:rsid w:val="001E57D3"/>
    <w:rsid w:val="001E580F"/>
    <w:rsid w:val="001E6DB8"/>
    <w:rsid w:val="001E753F"/>
    <w:rsid w:val="001E78BE"/>
    <w:rsid w:val="001E79EF"/>
    <w:rsid w:val="001E7C38"/>
    <w:rsid w:val="001F0A9A"/>
    <w:rsid w:val="001F1313"/>
    <w:rsid w:val="001F1D48"/>
    <w:rsid w:val="001F2232"/>
    <w:rsid w:val="001F39A2"/>
    <w:rsid w:val="001F3A7D"/>
    <w:rsid w:val="001F3DEA"/>
    <w:rsid w:val="001F42C7"/>
    <w:rsid w:val="001F4520"/>
    <w:rsid w:val="001F643E"/>
    <w:rsid w:val="001F67E2"/>
    <w:rsid w:val="001F689A"/>
    <w:rsid w:val="001F68B0"/>
    <w:rsid w:val="001F720E"/>
    <w:rsid w:val="00201157"/>
    <w:rsid w:val="002032E3"/>
    <w:rsid w:val="0020430A"/>
    <w:rsid w:val="002047E3"/>
    <w:rsid w:val="0020506E"/>
    <w:rsid w:val="00205920"/>
    <w:rsid w:val="0020594F"/>
    <w:rsid w:val="00210392"/>
    <w:rsid w:val="00210426"/>
    <w:rsid w:val="00211DB9"/>
    <w:rsid w:val="0021210F"/>
    <w:rsid w:val="0021358E"/>
    <w:rsid w:val="00213753"/>
    <w:rsid w:val="00215CD6"/>
    <w:rsid w:val="002163DD"/>
    <w:rsid w:val="0021677C"/>
    <w:rsid w:val="00216840"/>
    <w:rsid w:val="002169D6"/>
    <w:rsid w:val="0021722D"/>
    <w:rsid w:val="00217D49"/>
    <w:rsid w:val="00217F98"/>
    <w:rsid w:val="00220B08"/>
    <w:rsid w:val="002211AD"/>
    <w:rsid w:val="00221500"/>
    <w:rsid w:val="002217E2"/>
    <w:rsid w:val="00222530"/>
    <w:rsid w:val="00224F30"/>
    <w:rsid w:val="0022693F"/>
    <w:rsid w:val="00227098"/>
    <w:rsid w:val="00230057"/>
    <w:rsid w:val="00230AB4"/>
    <w:rsid w:val="0023144A"/>
    <w:rsid w:val="00232623"/>
    <w:rsid w:val="00232C86"/>
    <w:rsid w:val="00232FDF"/>
    <w:rsid w:val="00233258"/>
    <w:rsid w:val="00233CB1"/>
    <w:rsid w:val="00235E73"/>
    <w:rsid w:val="00235F35"/>
    <w:rsid w:val="00237B46"/>
    <w:rsid w:val="00242BC6"/>
    <w:rsid w:val="00243133"/>
    <w:rsid w:val="002433A4"/>
    <w:rsid w:val="00243B59"/>
    <w:rsid w:val="00244149"/>
    <w:rsid w:val="00245B3E"/>
    <w:rsid w:val="00245F9D"/>
    <w:rsid w:val="002460AC"/>
    <w:rsid w:val="002466C3"/>
    <w:rsid w:val="00247027"/>
    <w:rsid w:val="00247D31"/>
    <w:rsid w:val="00247FAF"/>
    <w:rsid w:val="00250173"/>
    <w:rsid w:val="002501C1"/>
    <w:rsid w:val="00252134"/>
    <w:rsid w:val="002530D4"/>
    <w:rsid w:val="00253339"/>
    <w:rsid w:val="00255CCA"/>
    <w:rsid w:val="0025625B"/>
    <w:rsid w:val="00257667"/>
    <w:rsid w:val="0026131D"/>
    <w:rsid w:val="00261B0A"/>
    <w:rsid w:val="00262B91"/>
    <w:rsid w:val="0026365C"/>
    <w:rsid w:val="002647D3"/>
    <w:rsid w:val="002656DB"/>
    <w:rsid w:val="00265F94"/>
    <w:rsid w:val="002662C1"/>
    <w:rsid w:val="002708D2"/>
    <w:rsid w:val="00270DEF"/>
    <w:rsid w:val="00271418"/>
    <w:rsid w:val="00271DEF"/>
    <w:rsid w:val="00272646"/>
    <w:rsid w:val="002734D4"/>
    <w:rsid w:val="0027434A"/>
    <w:rsid w:val="00275605"/>
    <w:rsid w:val="00275F2D"/>
    <w:rsid w:val="002768FB"/>
    <w:rsid w:val="00277BCB"/>
    <w:rsid w:val="0028005E"/>
    <w:rsid w:val="002809DE"/>
    <w:rsid w:val="002818BB"/>
    <w:rsid w:val="00282374"/>
    <w:rsid w:val="00283D4E"/>
    <w:rsid w:val="0028408D"/>
    <w:rsid w:val="00286EC9"/>
    <w:rsid w:val="00287884"/>
    <w:rsid w:val="00287A77"/>
    <w:rsid w:val="00287E96"/>
    <w:rsid w:val="002905F5"/>
    <w:rsid w:val="002909E3"/>
    <w:rsid w:val="00290F7D"/>
    <w:rsid w:val="002916A8"/>
    <w:rsid w:val="00292127"/>
    <w:rsid w:val="00292585"/>
    <w:rsid w:val="002941AC"/>
    <w:rsid w:val="00294DBC"/>
    <w:rsid w:val="00294E96"/>
    <w:rsid w:val="00296105"/>
    <w:rsid w:val="00296E63"/>
    <w:rsid w:val="002A000C"/>
    <w:rsid w:val="002A003E"/>
    <w:rsid w:val="002A29C5"/>
    <w:rsid w:val="002A343D"/>
    <w:rsid w:val="002A3B4A"/>
    <w:rsid w:val="002A4551"/>
    <w:rsid w:val="002A4BC9"/>
    <w:rsid w:val="002A5E77"/>
    <w:rsid w:val="002A6E4A"/>
    <w:rsid w:val="002A78C7"/>
    <w:rsid w:val="002B0573"/>
    <w:rsid w:val="002B2173"/>
    <w:rsid w:val="002B2BE7"/>
    <w:rsid w:val="002B36FA"/>
    <w:rsid w:val="002B54F9"/>
    <w:rsid w:val="002B61A0"/>
    <w:rsid w:val="002B6B34"/>
    <w:rsid w:val="002B7638"/>
    <w:rsid w:val="002B78AF"/>
    <w:rsid w:val="002B7CAA"/>
    <w:rsid w:val="002C0860"/>
    <w:rsid w:val="002C173C"/>
    <w:rsid w:val="002C2F73"/>
    <w:rsid w:val="002C3B9D"/>
    <w:rsid w:val="002C46E2"/>
    <w:rsid w:val="002C4B2F"/>
    <w:rsid w:val="002C53E9"/>
    <w:rsid w:val="002C5921"/>
    <w:rsid w:val="002C59D3"/>
    <w:rsid w:val="002C61C3"/>
    <w:rsid w:val="002C6AE2"/>
    <w:rsid w:val="002C6F4C"/>
    <w:rsid w:val="002C74B1"/>
    <w:rsid w:val="002C7988"/>
    <w:rsid w:val="002D033C"/>
    <w:rsid w:val="002D07A4"/>
    <w:rsid w:val="002D0A79"/>
    <w:rsid w:val="002D1243"/>
    <w:rsid w:val="002D3BA3"/>
    <w:rsid w:val="002D4612"/>
    <w:rsid w:val="002D4998"/>
    <w:rsid w:val="002D49A0"/>
    <w:rsid w:val="002D5CE5"/>
    <w:rsid w:val="002D600F"/>
    <w:rsid w:val="002D670E"/>
    <w:rsid w:val="002D7863"/>
    <w:rsid w:val="002E164E"/>
    <w:rsid w:val="002E1FEC"/>
    <w:rsid w:val="002E2039"/>
    <w:rsid w:val="002E253D"/>
    <w:rsid w:val="002E2A57"/>
    <w:rsid w:val="002E33AA"/>
    <w:rsid w:val="002E5B38"/>
    <w:rsid w:val="002E737B"/>
    <w:rsid w:val="002E74D3"/>
    <w:rsid w:val="002E7AC8"/>
    <w:rsid w:val="002F0AAD"/>
    <w:rsid w:val="002F110A"/>
    <w:rsid w:val="002F154B"/>
    <w:rsid w:val="002F32B6"/>
    <w:rsid w:val="002F330C"/>
    <w:rsid w:val="002F3C6F"/>
    <w:rsid w:val="002F4A86"/>
    <w:rsid w:val="002F4C5C"/>
    <w:rsid w:val="002F516B"/>
    <w:rsid w:val="002F568A"/>
    <w:rsid w:val="002F5A1F"/>
    <w:rsid w:val="002F700A"/>
    <w:rsid w:val="002F733D"/>
    <w:rsid w:val="002F7AE7"/>
    <w:rsid w:val="002F7ED5"/>
    <w:rsid w:val="00300B7C"/>
    <w:rsid w:val="003013AC"/>
    <w:rsid w:val="003015C7"/>
    <w:rsid w:val="00302649"/>
    <w:rsid w:val="00302798"/>
    <w:rsid w:val="00305886"/>
    <w:rsid w:val="00305C94"/>
    <w:rsid w:val="0030655C"/>
    <w:rsid w:val="00311029"/>
    <w:rsid w:val="0031250E"/>
    <w:rsid w:val="003133A7"/>
    <w:rsid w:val="00313509"/>
    <w:rsid w:val="00313DB0"/>
    <w:rsid w:val="00314111"/>
    <w:rsid w:val="00314965"/>
    <w:rsid w:val="003156AF"/>
    <w:rsid w:val="003158A9"/>
    <w:rsid w:val="00315DB5"/>
    <w:rsid w:val="00316076"/>
    <w:rsid w:val="00316CA3"/>
    <w:rsid w:val="00316D56"/>
    <w:rsid w:val="0031732B"/>
    <w:rsid w:val="00320059"/>
    <w:rsid w:val="003202E5"/>
    <w:rsid w:val="00320DE8"/>
    <w:rsid w:val="00321E76"/>
    <w:rsid w:val="0032400A"/>
    <w:rsid w:val="00324F0F"/>
    <w:rsid w:val="003255D5"/>
    <w:rsid w:val="00325C85"/>
    <w:rsid w:val="00325D95"/>
    <w:rsid w:val="003276F3"/>
    <w:rsid w:val="003310D6"/>
    <w:rsid w:val="0033148C"/>
    <w:rsid w:val="003314D3"/>
    <w:rsid w:val="00331DFD"/>
    <w:rsid w:val="00331EC3"/>
    <w:rsid w:val="003337EF"/>
    <w:rsid w:val="00335491"/>
    <w:rsid w:val="00336E3B"/>
    <w:rsid w:val="00337A04"/>
    <w:rsid w:val="0034053B"/>
    <w:rsid w:val="003410ED"/>
    <w:rsid w:val="00343BC3"/>
    <w:rsid w:val="0034444F"/>
    <w:rsid w:val="00346097"/>
    <w:rsid w:val="003466F0"/>
    <w:rsid w:val="00350C59"/>
    <w:rsid w:val="00351110"/>
    <w:rsid w:val="00351E9D"/>
    <w:rsid w:val="00352395"/>
    <w:rsid w:val="00353F27"/>
    <w:rsid w:val="0035569E"/>
    <w:rsid w:val="00355B8D"/>
    <w:rsid w:val="00356BA4"/>
    <w:rsid w:val="003577C6"/>
    <w:rsid w:val="00357D15"/>
    <w:rsid w:val="003614CD"/>
    <w:rsid w:val="00361F19"/>
    <w:rsid w:val="0036327B"/>
    <w:rsid w:val="00363F3B"/>
    <w:rsid w:val="003650BA"/>
    <w:rsid w:val="0036534E"/>
    <w:rsid w:val="00365AD0"/>
    <w:rsid w:val="00365CF8"/>
    <w:rsid w:val="00365E79"/>
    <w:rsid w:val="00366D1F"/>
    <w:rsid w:val="00367E25"/>
    <w:rsid w:val="0037089A"/>
    <w:rsid w:val="00370F87"/>
    <w:rsid w:val="00371013"/>
    <w:rsid w:val="00371E82"/>
    <w:rsid w:val="003725B2"/>
    <w:rsid w:val="00372803"/>
    <w:rsid w:val="003738E0"/>
    <w:rsid w:val="00373937"/>
    <w:rsid w:val="00374FA0"/>
    <w:rsid w:val="00375A16"/>
    <w:rsid w:val="00375FCD"/>
    <w:rsid w:val="0037635B"/>
    <w:rsid w:val="003767EB"/>
    <w:rsid w:val="00376F1D"/>
    <w:rsid w:val="00377CBE"/>
    <w:rsid w:val="00381075"/>
    <w:rsid w:val="0038182A"/>
    <w:rsid w:val="00381E1D"/>
    <w:rsid w:val="003820C2"/>
    <w:rsid w:val="003821BA"/>
    <w:rsid w:val="0038278C"/>
    <w:rsid w:val="003827F0"/>
    <w:rsid w:val="00382B21"/>
    <w:rsid w:val="0038400F"/>
    <w:rsid w:val="003851E1"/>
    <w:rsid w:val="00385908"/>
    <w:rsid w:val="003905AE"/>
    <w:rsid w:val="003905E9"/>
    <w:rsid w:val="00390D6E"/>
    <w:rsid w:val="00390D9E"/>
    <w:rsid w:val="0039160E"/>
    <w:rsid w:val="00391F24"/>
    <w:rsid w:val="00392618"/>
    <w:rsid w:val="00392AB5"/>
    <w:rsid w:val="0039328B"/>
    <w:rsid w:val="00393623"/>
    <w:rsid w:val="00395EC7"/>
    <w:rsid w:val="00395F6F"/>
    <w:rsid w:val="003962BC"/>
    <w:rsid w:val="003963C1"/>
    <w:rsid w:val="00396B4D"/>
    <w:rsid w:val="0039740A"/>
    <w:rsid w:val="00397C27"/>
    <w:rsid w:val="00397FCF"/>
    <w:rsid w:val="003A035E"/>
    <w:rsid w:val="003A06E5"/>
    <w:rsid w:val="003A0A74"/>
    <w:rsid w:val="003A16E2"/>
    <w:rsid w:val="003A1A1A"/>
    <w:rsid w:val="003A1F67"/>
    <w:rsid w:val="003A2202"/>
    <w:rsid w:val="003A2AEF"/>
    <w:rsid w:val="003A3A62"/>
    <w:rsid w:val="003A3E32"/>
    <w:rsid w:val="003A464E"/>
    <w:rsid w:val="003A4AA7"/>
    <w:rsid w:val="003A50EF"/>
    <w:rsid w:val="003A53E6"/>
    <w:rsid w:val="003A5FFA"/>
    <w:rsid w:val="003A79C8"/>
    <w:rsid w:val="003B0834"/>
    <w:rsid w:val="003B0B3C"/>
    <w:rsid w:val="003B224E"/>
    <w:rsid w:val="003B38B3"/>
    <w:rsid w:val="003B4397"/>
    <w:rsid w:val="003B44E8"/>
    <w:rsid w:val="003B4F6E"/>
    <w:rsid w:val="003B6070"/>
    <w:rsid w:val="003B6A62"/>
    <w:rsid w:val="003B6C2D"/>
    <w:rsid w:val="003B7A6A"/>
    <w:rsid w:val="003C147B"/>
    <w:rsid w:val="003C15B0"/>
    <w:rsid w:val="003C1D93"/>
    <w:rsid w:val="003C224C"/>
    <w:rsid w:val="003C3419"/>
    <w:rsid w:val="003C4029"/>
    <w:rsid w:val="003C40E3"/>
    <w:rsid w:val="003C5408"/>
    <w:rsid w:val="003C5D6C"/>
    <w:rsid w:val="003C6999"/>
    <w:rsid w:val="003C77C2"/>
    <w:rsid w:val="003D176F"/>
    <w:rsid w:val="003D21E4"/>
    <w:rsid w:val="003D32FA"/>
    <w:rsid w:val="003D4F56"/>
    <w:rsid w:val="003D5026"/>
    <w:rsid w:val="003D6A0A"/>
    <w:rsid w:val="003D6B72"/>
    <w:rsid w:val="003D7631"/>
    <w:rsid w:val="003E02A3"/>
    <w:rsid w:val="003E0F9E"/>
    <w:rsid w:val="003E1D27"/>
    <w:rsid w:val="003E1EE1"/>
    <w:rsid w:val="003E2602"/>
    <w:rsid w:val="003E389E"/>
    <w:rsid w:val="003E3928"/>
    <w:rsid w:val="003E4C17"/>
    <w:rsid w:val="003E5C64"/>
    <w:rsid w:val="003E6C07"/>
    <w:rsid w:val="003E7088"/>
    <w:rsid w:val="003F04DA"/>
    <w:rsid w:val="003F1014"/>
    <w:rsid w:val="003F1229"/>
    <w:rsid w:val="003F2146"/>
    <w:rsid w:val="003F3608"/>
    <w:rsid w:val="003F7509"/>
    <w:rsid w:val="004003B0"/>
    <w:rsid w:val="00400595"/>
    <w:rsid w:val="004006CB"/>
    <w:rsid w:val="00400E54"/>
    <w:rsid w:val="00400EF6"/>
    <w:rsid w:val="00400F75"/>
    <w:rsid w:val="00402476"/>
    <w:rsid w:val="00402810"/>
    <w:rsid w:val="004042CD"/>
    <w:rsid w:val="00404721"/>
    <w:rsid w:val="00405F5E"/>
    <w:rsid w:val="00406A77"/>
    <w:rsid w:val="00407651"/>
    <w:rsid w:val="00407AC2"/>
    <w:rsid w:val="00407FE7"/>
    <w:rsid w:val="00410768"/>
    <w:rsid w:val="004110D3"/>
    <w:rsid w:val="004116B5"/>
    <w:rsid w:val="00412474"/>
    <w:rsid w:val="0041294E"/>
    <w:rsid w:val="00413FA0"/>
    <w:rsid w:val="00415680"/>
    <w:rsid w:val="004168DB"/>
    <w:rsid w:val="00416C44"/>
    <w:rsid w:val="00416CEE"/>
    <w:rsid w:val="004170E5"/>
    <w:rsid w:val="00417238"/>
    <w:rsid w:val="00420702"/>
    <w:rsid w:val="004209B9"/>
    <w:rsid w:val="004220C2"/>
    <w:rsid w:val="00424B92"/>
    <w:rsid w:val="00426EBE"/>
    <w:rsid w:val="00427CA0"/>
    <w:rsid w:val="00430799"/>
    <w:rsid w:val="00430F14"/>
    <w:rsid w:val="00430FC0"/>
    <w:rsid w:val="00431BB0"/>
    <w:rsid w:val="00432CC9"/>
    <w:rsid w:val="00432E06"/>
    <w:rsid w:val="00432F7A"/>
    <w:rsid w:val="00433B62"/>
    <w:rsid w:val="004340BA"/>
    <w:rsid w:val="0043425C"/>
    <w:rsid w:val="00434815"/>
    <w:rsid w:val="00434AF5"/>
    <w:rsid w:val="00434C53"/>
    <w:rsid w:val="00434DBE"/>
    <w:rsid w:val="0043542E"/>
    <w:rsid w:val="00435542"/>
    <w:rsid w:val="0043638A"/>
    <w:rsid w:val="00436CA2"/>
    <w:rsid w:val="00436EE8"/>
    <w:rsid w:val="004371F9"/>
    <w:rsid w:val="00437819"/>
    <w:rsid w:val="00441348"/>
    <w:rsid w:val="00443910"/>
    <w:rsid w:val="00443DCC"/>
    <w:rsid w:val="0044442D"/>
    <w:rsid w:val="0044597B"/>
    <w:rsid w:val="00446523"/>
    <w:rsid w:val="004467BE"/>
    <w:rsid w:val="004470EA"/>
    <w:rsid w:val="00447554"/>
    <w:rsid w:val="00450C57"/>
    <w:rsid w:val="00451121"/>
    <w:rsid w:val="0045161F"/>
    <w:rsid w:val="004516F3"/>
    <w:rsid w:val="00452779"/>
    <w:rsid w:val="004531C5"/>
    <w:rsid w:val="00453715"/>
    <w:rsid w:val="0045374A"/>
    <w:rsid w:val="00454501"/>
    <w:rsid w:val="004546F4"/>
    <w:rsid w:val="00455D36"/>
    <w:rsid w:val="00455D95"/>
    <w:rsid w:val="00455FBF"/>
    <w:rsid w:val="004568E2"/>
    <w:rsid w:val="004569F0"/>
    <w:rsid w:val="00456C4C"/>
    <w:rsid w:val="004608DA"/>
    <w:rsid w:val="00461595"/>
    <w:rsid w:val="00461ED5"/>
    <w:rsid w:val="00463EF7"/>
    <w:rsid w:val="00465CAE"/>
    <w:rsid w:val="0046628B"/>
    <w:rsid w:val="00466721"/>
    <w:rsid w:val="00466D3E"/>
    <w:rsid w:val="00466DA9"/>
    <w:rsid w:val="00470BC7"/>
    <w:rsid w:val="00472C60"/>
    <w:rsid w:val="00472EF1"/>
    <w:rsid w:val="00473D13"/>
    <w:rsid w:val="00474062"/>
    <w:rsid w:val="004746C0"/>
    <w:rsid w:val="0047491E"/>
    <w:rsid w:val="00474EED"/>
    <w:rsid w:val="00475AD5"/>
    <w:rsid w:val="00475FE7"/>
    <w:rsid w:val="00476E11"/>
    <w:rsid w:val="00480FDD"/>
    <w:rsid w:val="00481FC4"/>
    <w:rsid w:val="004820AF"/>
    <w:rsid w:val="00484350"/>
    <w:rsid w:val="00484C38"/>
    <w:rsid w:val="00485875"/>
    <w:rsid w:val="00485E1A"/>
    <w:rsid w:val="00486162"/>
    <w:rsid w:val="004866F0"/>
    <w:rsid w:val="0048680C"/>
    <w:rsid w:val="00486CE5"/>
    <w:rsid w:val="004870E1"/>
    <w:rsid w:val="00487108"/>
    <w:rsid w:val="00487F93"/>
    <w:rsid w:val="00490510"/>
    <w:rsid w:val="00491050"/>
    <w:rsid w:val="00493C01"/>
    <w:rsid w:val="00494255"/>
    <w:rsid w:val="00496BB3"/>
    <w:rsid w:val="00497775"/>
    <w:rsid w:val="00497F59"/>
    <w:rsid w:val="004A0287"/>
    <w:rsid w:val="004A0D14"/>
    <w:rsid w:val="004A0FD1"/>
    <w:rsid w:val="004A2333"/>
    <w:rsid w:val="004A2A32"/>
    <w:rsid w:val="004A2F0B"/>
    <w:rsid w:val="004A2FF6"/>
    <w:rsid w:val="004A3AD8"/>
    <w:rsid w:val="004A3B26"/>
    <w:rsid w:val="004A3BF4"/>
    <w:rsid w:val="004A3F30"/>
    <w:rsid w:val="004A49F9"/>
    <w:rsid w:val="004A4A92"/>
    <w:rsid w:val="004A50BE"/>
    <w:rsid w:val="004A549A"/>
    <w:rsid w:val="004A5C0A"/>
    <w:rsid w:val="004A640F"/>
    <w:rsid w:val="004A66FE"/>
    <w:rsid w:val="004A676A"/>
    <w:rsid w:val="004A6B19"/>
    <w:rsid w:val="004A717E"/>
    <w:rsid w:val="004B0904"/>
    <w:rsid w:val="004B147A"/>
    <w:rsid w:val="004B2626"/>
    <w:rsid w:val="004B288E"/>
    <w:rsid w:val="004B2AD4"/>
    <w:rsid w:val="004B2B76"/>
    <w:rsid w:val="004B2D99"/>
    <w:rsid w:val="004B359B"/>
    <w:rsid w:val="004B3DD5"/>
    <w:rsid w:val="004B42DF"/>
    <w:rsid w:val="004B4F0D"/>
    <w:rsid w:val="004B51F2"/>
    <w:rsid w:val="004B52D1"/>
    <w:rsid w:val="004B6999"/>
    <w:rsid w:val="004B6DE4"/>
    <w:rsid w:val="004B7111"/>
    <w:rsid w:val="004C03DC"/>
    <w:rsid w:val="004C0D58"/>
    <w:rsid w:val="004C1589"/>
    <w:rsid w:val="004C1637"/>
    <w:rsid w:val="004C2FE1"/>
    <w:rsid w:val="004C31A0"/>
    <w:rsid w:val="004C34CB"/>
    <w:rsid w:val="004C3695"/>
    <w:rsid w:val="004C743F"/>
    <w:rsid w:val="004C7FBD"/>
    <w:rsid w:val="004D1C72"/>
    <w:rsid w:val="004D30FA"/>
    <w:rsid w:val="004D31D0"/>
    <w:rsid w:val="004D38FC"/>
    <w:rsid w:val="004D4459"/>
    <w:rsid w:val="004D5378"/>
    <w:rsid w:val="004D6C0A"/>
    <w:rsid w:val="004D6DC3"/>
    <w:rsid w:val="004E05DD"/>
    <w:rsid w:val="004E13E9"/>
    <w:rsid w:val="004E1A41"/>
    <w:rsid w:val="004E1A79"/>
    <w:rsid w:val="004E1A8C"/>
    <w:rsid w:val="004E1AB7"/>
    <w:rsid w:val="004E2091"/>
    <w:rsid w:val="004E20EA"/>
    <w:rsid w:val="004E21AB"/>
    <w:rsid w:val="004E2AB4"/>
    <w:rsid w:val="004E2AB8"/>
    <w:rsid w:val="004E2FDB"/>
    <w:rsid w:val="004E50DE"/>
    <w:rsid w:val="004E57C6"/>
    <w:rsid w:val="004E7769"/>
    <w:rsid w:val="004F00A3"/>
    <w:rsid w:val="004F2077"/>
    <w:rsid w:val="004F400F"/>
    <w:rsid w:val="004F523E"/>
    <w:rsid w:val="004F65AB"/>
    <w:rsid w:val="004F6C92"/>
    <w:rsid w:val="004F6EB8"/>
    <w:rsid w:val="004F6F65"/>
    <w:rsid w:val="004F76EB"/>
    <w:rsid w:val="00500EF4"/>
    <w:rsid w:val="00501C8E"/>
    <w:rsid w:val="00502357"/>
    <w:rsid w:val="0050280E"/>
    <w:rsid w:val="00504192"/>
    <w:rsid w:val="00505DD7"/>
    <w:rsid w:val="00506575"/>
    <w:rsid w:val="00506F01"/>
    <w:rsid w:val="005076ED"/>
    <w:rsid w:val="0050783F"/>
    <w:rsid w:val="00507FC0"/>
    <w:rsid w:val="00510E06"/>
    <w:rsid w:val="00512EE7"/>
    <w:rsid w:val="00513D27"/>
    <w:rsid w:val="005141AD"/>
    <w:rsid w:val="00514885"/>
    <w:rsid w:val="00516A14"/>
    <w:rsid w:val="00517A9C"/>
    <w:rsid w:val="00520A26"/>
    <w:rsid w:val="00521284"/>
    <w:rsid w:val="00521CA0"/>
    <w:rsid w:val="00522E39"/>
    <w:rsid w:val="005238FA"/>
    <w:rsid w:val="005242AA"/>
    <w:rsid w:val="00524726"/>
    <w:rsid w:val="005252BA"/>
    <w:rsid w:val="005252F4"/>
    <w:rsid w:val="0052534C"/>
    <w:rsid w:val="005254BA"/>
    <w:rsid w:val="0052598B"/>
    <w:rsid w:val="005272C9"/>
    <w:rsid w:val="005275C4"/>
    <w:rsid w:val="00527DB4"/>
    <w:rsid w:val="00532C44"/>
    <w:rsid w:val="00533C32"/>
    <w:rsid w:val="00533CF4"/>
    <w:rsid w:val="0053402D"/>
    <w:rsid w:val="00535090"/>
    <w:rsid w:val="00535406"/>
    <w:rsid w:val="00536AB2"/>
    <w:rsid w:val="00537571"/>
    <w:rsid w:val="005415D5"/>
    <w:rsid w:val="00541A47"/>
    <w:rsid w:val="00541EAB"/>
    <w:rsid w:val="00542567"/>
    <w:rsid w:val="005430BE"/>
    <w:rsid w:val="00543A88"/>
    <w:rsid w:val="00544E4B"/>
    <w:rsid w:val="00547019"/>
    <w:rsid w:val="00550AA6"/>
    <w:rsid w:val="005524B5"/>
    <w:rsid w:val="00552800"/>
    <w:rsid w:val="0055337E"/>
    <w:rsid w:val="0055352B"/>
    <w:rsid w:val="005536FD"/>
    <w:rsid w:val="005543BA"/>
    <w:rsid w:val="00554823"/>
    <w:rsid w:val="0055493D"/>
    <w:rsid w:val="00557A1D"/>
    <w:rsid w:val="0056002D"/>
    <w:rsid w:val="005602AB"/>
    <w:rsid w:val="0056135B"/>
    <w:rsid w:val="005630A9"/>
    <w:rsid w:val="00563CDA"/>
    <w:rsid w:val="005642BB"/>
    <w:rsid w:val="0056449B"/>
    <w:rsid w:val="0056480F"/>
    <w:rsid w:val="005648A3"/>
    <w:rsid w:val="00565215"/>
    <w:rsid w:val="00565D71"/>
    <w:rsid w:val="00565E03"/>
    <w:rsid w:val="00565EF7"/>
    <w:rsid w:val="00567569"/>
    <w:rsid w:val="00567751"/>
    <w:rsid w:val="00567845"/>
    <w:rsid w:val="00567866"/>
    <w:rsid w:val="00571C32"/>
    <w:rsid w:val="00571E61"/>
    <w:rsid w:val="00572648"/>
    <w:rsid w:val="00573F20"/>
    <w:rsid w:val="005744C0"/>
    <w:rsid w:val="005772EA"/>
    <w:rsid w:val="00580D1D"/>
    <w:rsid w:val="00581100"/>
    <w:rsid w:val="00581D1B"/>
    <w:rsid w:val="005822F4"/>
    <w:rsid w:val="00583B6F"/>
    <w:rsid w:val="005866F4"/>
    <w:rsid w:val="00586AC0"/>
    <w:rsid w:val="005870C8"/>
    <w:rsid w:val="0058795A"/>
    <w:rsid w:val="00590751"/>
    <w:rsid w:val="00590AE5"/>
    <w:rsid w:val="00591D72"/>
    <w:rsid w:val="005928AF"/>
    <w:rsid w:val="00593745"/>
    <w:rsid w:val="00594259"/>
    <w:rsid w:val="00595725"/>
    <w:rsid w:val="00595911"/>
    <w:rsid w:val="0059673F"/>
    <w:rsid w:val="005A08FD"/>
    <w:rsid w:val="005A0DBF"/>
    <w:rsid w:val="005A2101"/>
    <w:rsid w:val="005A24E4"/>
    <w:rsid w:val="005A3188"/>
    <w:rsid w:val="005A3478"/>
    <w:rsid w:val="005A3D5E"/>
    <w:rsid w:val="005A3E13"/>
    <w:rsid w:val="005A557B"/>
    <w:rsid w:val="005A6509"/>
    <w:rsid w:val="005A6BC6"/>
    <w:rsid w:val="005A6E9A"/>
    <w:rsid w:val="005A765A"/>
    <w:rsid w:val="005A7908"/>
    <w:rsid w:val="005A7FBD"/>
    <w:rsid w:val="005B1E7D"/>
    <w:rsid w:val="005B2877"/>
    <w:rsid w:val="005B34A0"/>
    <w:rsid w:val="005B3F37"/>
    <w:rsid w:val="005B4268"/>
    <w:rsid w:val="005B46C1"/>
    <w:rsid w:val="005B4A32"/>
    <w:rsid w:val="005B630B"/>
    <w:rsid w:val="005B64AC"/>
    <w:rsid w:val="005B729C"/>
    <w:rsid w:val="005C0090"/>
    <w:rsid w:val="005C23B1"/>
    <w:rsid w:val="005C24AA"/>
    <w:rsid w:val="005C24DB"/>
    <w:rsid w:val="005C2C6C"/>
    <w:rsid w:val="005C3FBF"/>
    <w:rsid w:val="005C560A"/>
    <w:rsid w:val="005C674F"/>
    <w:rsid w:val="005C68EC"/>
    <w:rsid w:val="005C6B80"/>
    <w:rsid w:val="005D0882"/>
    <w:rsid w:val="005D19E0"/>
    <w:rsid w:val="005D1C67"/>
    <w:rsid w:val="005D2097"/>
    <w:rsid w:val="005D2B3B"/>
    <w:rsid w:val="005D32DF"/>
    <w:rsid w:val="005D3407"/>
    <w:rsid w:val="005D387D"/>
    <w:rsid w:val="005D3D54"/>
    <w:rsid w:val="005D5AE1"/>
    <w:rsid w:val="005D798A"/>
    <w:rsid w:val="005D7DDC"/>
    <w:rsid w:val="005D7E65"/>
    <w:rsid w:val="005E173A"/>
    <w:rsid w:val="005E2662"/>
    <w:rsid w:val="005E2967"/>
    <w:rsid w:val="005E36A7"/>
    <w:rsid w:val="005E4688"/>
    <w:rsid w:val="005E48C6"/>
    <w:rsid w:val="005E4A37"/>
    <w:rsid w:val="005F07B0"/>
    <w:rsid w:val="005F1737"/>
    <w:rsid w:val="005F2C84"/>
    <w:rsid w:val="005F3131"/>
    <w:rsid w:val="005F36FB"/>
    <w:rsid w:val="005F440C"/>
    <w:rsid w:val="005F5DFA"/>
    <w:rsid w:val="005F6E9A"/>
    <w:rsid w:val="005F7082"/>
    <w:rsid w:val="005F77CE"/>
    <w:rsid w:val="005F7C1C"/>
    <w:rsid w:val="00600553"/>
    <w:rsid w:val="006009C8"/>
    <w:rsid w:val="0060151D"/>
    <w:rsid w:val="00601640"/>
    <w:rsid w:val="00603B50"/>
    <w:rsid w:val="00604739"/>
    <w:rsid w:val="00604CF2"/>
    <w:rsid w:val="00605761"/>
    <w:rsid w:val="00605DA8"/>
    <w:rsid w:val="0060616C"/>
    <w:rsid w:val="00606704"/>
    <w:rsid w:val="00610B25"/>
    <w:rsid w:val="0061127F"/>
    <w:rsid w:val="0061214F"/>
    <w:rsid w:val="00612350"/>
    <w:rsid w:val="00612949"/>
    <w:rsid w:val="00612C3B"/>
    <w:rsid w:val="00615F3A"/>
    <w:rsid w:val="006164A5"/>
    <w:rsid w:val="006175AD"/>
    <w:rsid w:val="006179DF"/>
    <w:rsid w:val="00620A99"/>
    <w:rsid w:val="00621D28"/>
    <w:rsid w:val="006238FF"/>
    <w:rsid w:val="00624653"/>
    <w:rsid w:val="00624AA2"/>
    <w:rsid w:val="00624CB1"/>
    <w:rsid w:val="006254DB"/>
    <w:rsid w:val="00627F34"/>
    <w:rsid w:val="00627F90"/>
    <w:rsid w:val="00630E77"/>
    <w:rsid w:val="006311D9"/>
    <w:rsid w:val="00631481"/>
    <w:rsid w:val="00631F06"/>
    <w:rsid w:val="00632060"/>
    <w:rsid w:val="00633147"/>
    <w:rsid w:val="00633E7D"/>
    <w:rsid w:val="00633FBA"/>
    <w:rsid w:val="0063530A"/>
    <w:rsid w:val="00635600"/>
    <w:rsid w:val="00635A29"/>
    <w:rsid w:val="006363BF"/>
    <w:rsid w:val="006374E0"/>
    <w:rsid w:val="00637C62"/>
    <w:rsid w:val="00640114"/>
    <w:rsid w:val="00640336"/>
    <w:rsid w:val="00640E30"/>
    <w:rsid w:val="00641764"/>
    <w:rsid w:val="00642392"/>
    <w:rsid w:val="006431C9"/>
    <w:rsid w:val="00643A80"/>
    <w:rsid w:val="00643ADD"/>
    <w:rsid w:val="00643B8A"/>
    <w:rsid w:val="006451E0"/>
    <w:rsid w:val="00645C75"/>
    <w:rsid w:val="0064625B"/>
    <w:rsid w:val="00647795"/>
    <w:rsid w:val="00647C22"/>
    <w:rsid w:val="00650135"/>
    <w:rsid w:val="00650705"/>
    <w:rsid w:val="00650AE4"/>
    <w:rsid w:val="00651242"/>
    <w:rsid w:val="00652666"/>
    <w:rsid w:val="00652A0A"/>
    <w:rsid w:val="006531EB"/>
    <w:rsid w:val="006547E7"/>
    <w:rsid w:val="00654B01"/>
    <w:rsid w:val="006613B7"/>
    <w:rsid w:val="00662454"/>
    <w:rsid w:val="006625E2"/>
    <w:rsid w:val="00665063"/>
    <w:rsid w:val="006655AD"/>
    <w:rsid w:val="006667A2"/>
    <w:rsid w:val="0066791E"/>
    <w:rsid w:val="00671124"/>
    <w:rsid w:val="00671A8A"/>
    <w:rsid w:val="00671C8C"/>
    <w:rsid w:val="00672777"/>
    <w:rsid w:val="00672AA7"/>
    <w:rsid w:val="00672ECF"/>
    <w:rsid w:val="00673718"/>
    <w:rsid w:val="0067397D"/>
    <w:rsid w:val="00673E31"/>
    <w:rsid w:val="00674027"/>
    <w:rsid w:val="00674A1D"/>
    <w:rsid w:val="00674A91"/>
    <w:rsid w:val="0067615C"/>
    <w:rsid w:val="00676A61"/>
    <w:rsid w:val="00676FDD"/>
    <w:rsid w:val="00676FEB"/>
    <w:rsid w:val="0067792B"/>
    <w:rsid w:val="00677A05"/>
    <w:rsid w:val="00677E5A"/>
    <w:rsid w:val="0068208F"/>
    <w:rsid w:val="00682354"/>
    <w:rsid w:val="0068256B"/>
    <w:rsid w:val="00682894"/>
    <w:rsid w:val="00682B1C"/>
    <w:rsid w:val="00683B8D"/>
    <w:rsid w:val="006855BA"/>
    <w:rsid w:val="006861C3"/>
    <w:rsid w:val="00686271"/>
    <w:rsid w:val="00687181"/>
    <w:rsid w:val="00687AFF"/>
    <w:rsid w:val="00690E3F"/>
    <w:rsid w:val="00691247"/>
    <w:rsid w:val="0069140A"/>
    <w:rsid w:val="00691F1A"/>
    <w:rsid w:val="00692106"/>
    <w:rsid w:val="0069218F"/>
    <w:rsid w:val="006937DA"/>
    <w:rsid w:val="00694674"/>
    <w:rsid w:val="006947E4"/>
    <w:rsid w:val="006948A1"/>
    <w:rsid w:val="0069520C"/>
    <w:rsid w:val="00695FBD"/>
    <w:rsid w:val="00696FC1"/>
    <w:rsid w:val="006974D5"/>
    <w:rsid w:val="00697E47"/>
    <w:rsid w:val="006A125A"/>
    <w:rsid w:val="006A149D"/>
    <w:rsid w:val="006A1C86"/>
    <w:rsid w:val="006A32B4"/>
    <w:rsid w:val="006A4CAF"/>
    <w:rsid w:val="006A5B8A"/>
    <w:rsid w:val="006A6B18"/>
    <w:rsid w:val="006A7296"/>
    <w:rsid w:val="006A77AF"/>
    <w:rsid w:val="006A7B00"/>
    <w:rsid w:val="006A7EB9"/>
    <w:rsid w:val="006A7F7D"/>
    <w:rsid w:val="006A7FCD"/>
    <w:rsid w:val="006B11ED"/>
    <w:rsid w:val="006B1990"/>
    <w:rsid w:val="006B2074"/>
    <w:rsid w:val="006B315E"/>
    <w:rsid w:val="006B383F"/>
    <w:rsid w:val="006B3C26"/>
    <w:rsid w:val="006B4391"/>
    <w:rsid w:val="006B445A"/>
    <w:rsid w:val="006B4915"/>
    <w:rsid w:val="006B4C5A"/>
    <w:rsid w:val="006C037F"/>
    <w:rsid w:val="006C0D02"/>
    <w:rsid w:val="006C1BD3"/>
    <w:rsid w:val="006C205E"/>
    <w:rsid w:val="006C23B9"/>
    <w:rsid w:val="006C5AEB"/>
    <w:rsid w:val="006C638C"/>
    <w:rsid w:val="006C6780"/>
    <w:rsid w:val="006C6840"/>
    <w:rsid w:val="006C6B44"/>
    <w:rsid w:val="006C6DE7"/>
    <w:rsid w:val="006D0313"/>
    <w:rsid w:val="006D155B"/>
    <w:rsid w:val="006D16D9"/>
    <w:rsid w:val="006D2874"/>
    <w:rsid w:val="006D28A7"/>
    <w:rsid w:val="006D29B4"/>
    <w:rsid w:val="006D39A0"/>
    <w:rsid w:val="006D43A6"/>
    <w:rsid w:val="006D4B29"/>
    <w:rsid w:val="006D5141"/>
    <w:rsid w:val="006D74E2"/>
    <w:rsid w:val="006D7B9C"/>
    <w:rsid w:val="006E01C1"/>
    <w:rsid w:val="006E1FE8"/>
    <w:rsid w:val="006E32F1"/>
    <w:rsid w:val="006E4745"/>
    <w:rsid w:val="006E5AB2"/>
    <w:rsid w:val="006E619B"/>
    <w:rsid w:val="006E6A8A"/>
    <w:rsid w:val="006E6CB7"/>
    <w:rsid w:val="006E6F2B"/>
    <w:rsid w:val="006E7361"/>
    <w:rsid w:val="006F0121"/>
    <w:rsid w:val="006F0ACB"/>
    <w:rsid w:val="006F115D"/>
    <w:rsid w:val="006F3174"/>
    <w:rsid w:val="006F349E"/>
    <w:rsid w:val="006F42F0"/>
    <w:rsid w:val="006F4A13"/>
    <w:rsid w:val="006F5AAF"/>
    <w:rsid w:val="006F67D8"/>
    <w:rsid w:val="006F7977"/>
    <w:rsid w:val="007001DE"/>
    <w:rsid w:val="00701602"/>
    <w:rsid w:val="007018CE"/>
    <w:rsid w:val="00701F25"/>
    <w:rsid w:val="00703BE1"/>
    <w:rsid w:val="00704797"/>
    <w:rsid w:val="00704EFF"/>
    <w:rsid w:val="007050FA"/>
    <w:rsid w:val="007056C5"/>
    <w:rsid w:val="007075C0"/>
    <w:rsid w:val="007076B5"/>
    <w:rsid w:val="0071035E"/>
    <w:rsid w:val="00710E5B"/>
    <w:rsid w:val="007125BA"/>
    <w:rsid w:val="00712A86"/>
    <w:rsid w:val="00712C49"/>
    <w:rsid w:val="00715122"/>
    <w:rsid w:val="007153B2"/>
    <w:rsid w:val="00715B5A"/>
    <w:rsid w:val="00715C39"/>
    <w:rsid w:val="00715EE3"/>
    <w:rsid w:val="00715F21"/>
    <w:rsid w:val="00717720"/>
    <w:rsid w:val="00717CF8"/>
    <w:rsid w:val="007200D1"/>
    <w:rsid w:val="00720C9A"/>
    <w:rsid w:val="00721579"/>
    <w:rsid w:val="007232E9"/>
    <w:rsid w:val="00723E46"/>
    <w:rsid w:val="00724B88"/>
    <w:rsid w:val="00726D91"/>
    <w:rsid w:val="007273B9"/>
    <w:rsid w:val="00727E37"/>
    <w:rsid w:val="00730554"/>
    <w:rsid w:val="007306A8"/>
    <w:rsid w:val="007307D4"/>
    <w:rsid w:val="007318B6"/>
    <w:rsid w:val="007321B4"/>
    <w:rsid w:val="00733EB5"/>
    <w:rsid w:val="00734274"/>
    <w:rsid w:val="00734F4D"/>
    <w:rsid w:val="0073573F"/>
    <w:rsid w:val="00736788"/>
    <w:rsid w:val="007372A1"/>
    <w:rsid w:val="007375F4"/>
    <w:rsid w:val="007406C5"/>
    <w:rsid w:val="007423D6"/>
    <w:rsid w:val="00742490"/>
    <w:rsid w:val="00742EC7"/>
    <w:rsid w:val="00743134"/>
    <w:rsid w:val="007437B7"/>
    <w:rsid w:val="00744AB2"/>
    <w:rsid w:val="00744C2A"/>
    <w:rsid w:val="00745E58"/>
    <w:rsid w:val="00747A41"/>
    <w:rsid w:val="00750CA7"/>
    <w:rsid w:val="00751284"/>
    <w:rsid w:val="007520A6"/>
    <w:rsid w:val="007534A7"/>
    <w:rsid w:val="00753740"/>
    <w:rsid w:val="007558C0"/>
    <w:rsid w:val="00757578"/>
    <w:rsid w:val="007605F7"/>
    <w:rsid w:val="0076299B"/>
    <w:rsid w:val="007634BA"/>
    <w:rsid w:val="00763660"/>
    <w:rsid w:val="00765C56"/>
    <w:rsid w:val="0076652B"/>
    <w:rsid w:val="007671EF"/>
    <w:rsid w:val="007677E2"/>
    <w:rsid w:val="007704DF"/>
    <w:rsid w:val="00770B03"/>
    <w:rsid w:val="00770C8A"/>
    <w:rsid w:val="00771351"/>
    <w:rsid w:val="00771A58"/>
    <w:rsid w:val="00772FA2"/>
    <w:rsid w:val="00773336"/>
    <w:rsid w:val="00774AEE"/>
    <w:rsid w:val="00774B14"/>
    <w:rsid w:val="0077536C"/>
    <w:rsid w:val="00776BF3"/>
    <w:rsid w:val="0077766E"/>
    <w:rsid w:val="0078026C"/>
    <w:rsid w:val="0078163E"/>
    <w:rsid w:val="007821CE"/>
    <w:rsid w:val="00782AFA"/>
    <w:rsid w:val="00783C0E"/>
    <w:rsid w:val="00783E4B"/>
    <w:rsid w:val="00784960"/>
    <w:rsid w:val="0078507C"/>
    <w:rsid w:val="007851F9"/>
    <w:rsid w:val="00785249"/>
    <w:rsid w:val="00785747"/>
    <w:rsid w:val="00785C2E"/>
    <w:rsid w:val="00786183"/>
    <w:rsid w:val="00786D45"/>
    <w:rsid w:val="00786DC0"/>
    <w:rsid w:val="00786FEF"/>
    <w:rsid w:val="007901E5"/>
    <w:rsid w:val="00790F7B"/>
    <w:rsid w:val="00791B74"/>
    <w:rsid w:val="00792511"/>
    <w:rsid w:val="007953C0"/>
    <w:rsid w:val="007955EE"/>
    <w:rsid w:val="00795901"/>
    <w:rsid w:val="00795E6A"/>
    <w:rsid w:val="007968C0"/>
    <w:rsid w:val="0079706E"/>
    <w:rsid w:val="0079781F"/>
    <w:rsid w:val="00797E07"/>
    <w:rsid w:val="007A0735"/>
    <w:rsid w:val="007A09A9"/>
    <w:rsid w:val="007A0FCA"/>
    <w:rsid w:val="007A3B94"/>
    <w:rsid w:val="007A3FA1"/>
    <w:rsid w:val="007A48A7"/>
    <w:rsid w:val="007A53B3"/>
    <w:rsid w:val="007A53D8"/>
    <w:rsid w:val="007A5D0A"/>
    <w:rsid w:val="007A602B"/>
    <w:rsid w:val="007A643E"/>
    <w:rsid w:val="007A67D8"/>
    <w:rsid w:val="007A7B8E"/>
    <w:rsid w:val="007B0E58"/>
    <w:rsid w:val="007B1EE4"/>
    <w:rsid w:val="007B2197"/>
    <w:rsid w:val="007B2600"/>
    <w:rsid w:val="007B52AA"/>
    <w:rsid w:val="007B5940"/>
    <w:rsid w:val="007B5DA2"/>
    <w:rsid w:val="007B611B"/>
    <w:rsid w:val="007B6484"/>
    <w:rsid w:val="007B6B98"/>
    <w:rsid w:val="007B6C07"/>
    <w:rsid w:val="007B796E"/>
    <w:rsid w:val="007C113A"/>
    <w:rsid w:val="007C1BC8"/>
    <w:rsid w:val="007C1C4B"/>
    <w:rsid w:val="007C1F45"/>
    <w:rsid w:val="007C2AF1"/>
    <w:rsid w:val="007C4C50"/>
    <w:rsid w:val="007C4E62"/>
    <w:rsid w:val="007C537A"/>
    <w:rsid w:val="007C57F3"/>
    <w:rsid w:val="007C6B0E"/>
    <w:rsid w:val="007C7432"/>
    <w:rsid w:val="007C75FD"/>
    <w:rsid w:val="007D0FA8"/>
    <w:rsid w:val="007D1039"/>
    <w:rsid w:val="007D3E6C"/>
    <w:rsid w:val="007D3F61"/>
    <w:rsid w:val="007D54C6"/>
    <w:rsid w:val="007D5B77"/>
    <w:rsid w:val="007D7245"/>
    <w:rsid w:val="007D74C3"/>
    <w:rsid w:val="007E0E50"/>
    <w:rsid w:val="007E1BC8"/>
    <w:rsid w:val="007E2FA1"/>
    <w:rsid w:val="007E3DDB"/>
    <w:rsid w:val="007E456C"/>
    <w:rsid w:val="007E5666"/>
    <w:rsid w:val="007E7173"/>
    <w:rsid w:val="007F0476"/>
    <w:rsid w:val="007F060B"/>
    <w:rsid w:val="007F114D"/>
    <w:rsid w:val="007F36E8"/>
    <w:rsid w:val="007F3E7A"/>
    <w:rsid w:val="007F4252"/>
    <w:rsid w:val="007F42A3"/>
    <w:rsid w:val="007F54B7"/>
    <w:rsid w:val="007F5751"/>
    <w:rsid w:val="007F682C"/>
    <w:rsid w:val="007F6D2D"/>
    <w:rsid w:val="007F7113"/>
    <w:rsid w:val="007F75EF"/>
    <w:rsid w:val="0080119A"/>
    <w:rsid w:val="00801F8B"/>
    <w:rsid w:val="0080300E"/>
    <w:rsid w:val="00804F81"/>
    <w:rsid w:val="0080595D"/>
    <w:rsid w:val="00805C3F"/>
    <w:rsid w:val="00805D79"/>
    <w:rsid w:val="00805D92"/>
    <w:rsid w:val="00807BAD"/>
    <w:rsid w:val="00810602"/>
    <w:rsid w:val="00811002"/>
    <w:rsid w:val="00811372"/>
    <w:rsid w:val="0081169A"/>
    <w:rsid w:val="00811BD6"/>
    <w:rsid w:val="00811FB1"/>
    <w:rsid w:val="008123F4"/>
    <w:rsid w:val="00812879"/>
    <w:rsid w:val="00812AD3"/>
    <w:rsid w:val="00812B6D"/>
    <w:rsid w:val="0081332F"/>
    <w:rsid w:val="00813397"/>
    <w:rsid w:val="0081557E"/>
    <w:rsid w:val="0081611F"/>
    <w:rsid w:val="00816CDF"/>
    <w:rsid w:val="00817329"/>
    <w:rsid w:val="0081733F"/>
    <w:rsid w:val="008177BC"/>
    <w:rsid w:val="00820E5E"/>
    <w:rsid w:val="008220EE"/>
    <w:rsid w:val="00822667"/>
    <w:rsid w:val="0082286D"/>
    <w:rsid w:val="00823776"/>
    <w:rsid w:val="00824458"/>
    <w:rsid w:val="008244B7"/>
    <w:rsid w:val="00825CCD"/>
    <w:rsid w:val="00825D9F"/>
    <w:rsid w:val="00826FD2"/>
    <w:rsid w:val="00827344"/>
    <w:rsid w:val="0082762E"/>
    <w:rsid w:val="00827F1C"/>
    <w:rsid w:val="0083033B"/>
    <w:rsid w:val="00831127"/>
    <w:rsid w:val="0083253C"/>
    <w:rsid w:val="008334CB"/>
    <w:rsid w:val="00835558"/>
    <w:rsid w:val="008357B0"/>
    <w:rsid w:val="00835D52"/>
    <w:rsid w:val="00836644"/>
    <w:rsid w:val="008366EF"/>
    <w:rsid w:val="00836E12"/>
    <w:rsid w:val="008400DE"/>
    <w:rsid w:val="00840244"/>
    <w:rsid w:val="0084069F"/>
    <w:rsid w:val="00841774"/>
    <w:rsid w:val="008417B2"/>
    <w:rsid w:val="0084225F"/>
    <w:rsid w:val="00842E2D"/>
    <w:rsid w:val="0084307D"/>
    <w:rsid w:val="00843CE3"/>
    <w:rsid w:val="00845185"/>
    <w:rsid w:val="008464B1"/>
    <w:rsid w:val="00846E44"/>
    <w:rsid w:val="00846EFB"/>
    <w:rsid w:val="00846FBC"/>
    <w:rsid w:val="00847996"/>
    <w:rsid w:val="008479E3"/>
    <w:rsid w:val="00847CB4"/>
    <w:rsid w:val="00851617"/>
    <w:rsid w:val="00852278"/>
    <w:rsid w:val="00852FE9"/>
    <w:rsid w:val="00853B81"/>
    <w:rsid w:val="0085435D"/>
    <w:rsid w:val="00854920"/>
    <w:rsid w:val="00855F9F"/>
    <w:rsid w:val="008565C2"/>
    <w:rsid w:val="00856CD1"/>
    <w:rsid w:val="00856F99"/>
    <w:rsid w:val="008601A0"/>
    <w:rsid w:val="00860BA9"/>
    <w:rsid w:val="008612DC"/>
    <w:rsid w:val="00861CCE"/>
    <w:rsid w:val="0086247E"/>
    <w:rsid w:val="00862BF9"/>
    <w:rsid w:val="00863500"/>
    <w:rsid w:val="0086508C"/>
    <w:rsid w:val="00865A78"/>
    <w:rsid w:val="00866312"/>
    <w:rsid w:val="008663DA"/>
    <w:rsid w:val="0086680A"/>
    <w:rsid w:val="00867EC9"/>
    <w:rsid w:val="0087048C"/>
    <w:rsid w:val="0087060D"/>
    <w:rsid w:val="008707A7"/>
    <w:rsid w:val="008720A5"/>
    <w:rsid w:val="008723F7"/>
    <w:rsid w:val="008746A6"/>
    <w:rsid w:val="00874987"/>
    <w:rsid w:val="00876FE6"/>
    <w:rsid w:val="0088138A"/>
    <w:rsid w:val="0088142A"/>
    <w:rsid w:val="00882139"/>
    <w:rsid w:val="00882D7C"/>
    <w:rsid w:val="00882ECD"/>
    <w:rsid w:val="00885FF7"/>
    <w:rsid w:val="00886FA0"/>
    <w:rsid w:val="00887D4D"/>
    <w:rsid w:val="00891673"/>
    <w:rsid w:val="008920E0"/>
    <w:rsid w:val="008936ED"/>
    <w:rsid w:val="00893ABD"/>
    <w:rsid w:val="008951E3"/>
    <w:rsid w:val="00895ABC"/>
    <w:rsid w:val="00895D4A"/>
    <w:rsid w:val="00895EF9"/>
    <w:rsid w:val="00896655"/>
    <w:rsid w:val="0089737B"/>
    <w:rsid w:val="008A0B33"/>
    <w:rsid w:val="008A13E6"/>
    <w:rsid w:val="008A1D49"/>
    <w:rsid w:val="008A23DC"/>
    <w:rsid w:val="008A274F"/>
    <w:rsid w:val="008A356B"/>
    <w:rsid w:val="008A455C"/>
    <w:rsid w:val="008A5936"/>
    <w:rsid w:val="008A611A"/>
    <w:rsid w:val="008A64DA"/>
    <w:rsid w:val="008A68C2"/>
    <w:rsid w:val="008A6AD9"/>
    <w:rsid w:val="008A722E"/>
    <w:rsid w:val="008A77B0"/>
    <w:rsid w:val="008B0571"/>
    <w:rsid w:val="008B1998"/>
    <w:rsid w:val="008B1A9F"/>
    <w:rsid w:val="008B24C0"/>
    <w:rsid w:val="008B2E44"/>
    <w:rsid w:val="008B4613"/>
    <w:rsid w:val="008B480E"/>
    <w:rsid w:val="008B4B43"/>
    <w:rsid w:val="008B4E41"/>
    <w:rsid w:val="008B50F6"/>
    <w:rsid w:val="008B53DF"/>
    <w:rsid w:val="008B5E10"/>
    <w:rsid w:val="008B71AD"/>
    <w:rsid w:val="008B7B5A"/>
    <w:rsid w:val="008C0B18"/>
    <w:rsid w:val="008C0C0D"/>
    <w:rsid w:val="008C0F05"/>
    <w:rsid w:val="008C2FEB"/>
    <w:rsid w:val="008C3DDD"/>
    <w:rsid w:val="008C48EF"/>
    <w:rsid w:val="008C5670"/>
    <w:rsid w:val="008C5ABF"/>
    <w:rsid w:val="008C7AC3"/>
    <w:rsid w:val="008D03C7"/>
    <w:rsid w:val="008D0538"/>
    <w:rsid w:val="008D091F"/>
    <w:rsid w:val="008D0C09"/>
    <w:rsid w:val="008D13AE"/>
    <w:rsid w:val="008D184B"/>
    <w:rsid w:val="008D1F51"/>
    <w:rsid w:val="008D32A1"/>
    <w:rsid w:val="008D39F9"/>
    <w:rsid w:val="008D4763"/>
    <w:rsid w:val="008D600C"/>
    <w:rsid w:val="008D6315"/>
    <w:rsid w:val="008D7727"/>
    <w:rsid w:val="008E0890"/>
    <w:rsid w:val="008E0BBF"/>
    <w:rsid w:val="008E0DF7"/>
    <w:rsid w:val="008E12C2"/>
    <w:rsid w:val="008E140B"/>
    <w:rsid w:val="008E196D"/>
    <w:rsid w:val="008E2F27"/>
    <w:rsid w:val="008E304F"/>
    <w:rsid w:val="008E3158"/>
    <w:rsid w:val="008E3AAB"/>
    <w:rsid w:val="008E5938"/>
    <w:rsid w:val="008E5D9C"/>
    <w:rsid w:val="008E5E23"/>
    <w:rsid w:val="008E729E"/>
    <w:rsid w:val="008E757F"/>
    <w:rsid w:val="008E7C8D"/>
    <w:rsid w:val="008F0AE1"/>
    <w:rsid w:val="008F0D3C"/>
    <w:rsid w:val="008F1010"/>
    <w:rsid w:val="008F110A"/>
    <w:rsid w:val="008F14EA"/>
    <w:rsid w:val="008F1B90"/>
    <w:rsid w:val="008F20F3"/>
    <w:rsid w:val="008F22ED"/>
    <w:rsid w:val="008F2880"/>
    <w:rsid w:val="008F2B8E"/>
    <w:rsid w:val="008F3A71"/>
    <w:rsid w:val="008F3D55"/>
    <w:rsid w:val="008F49D2"/>
    <w:rsid w:val="008F4A8B"/>
    <w:rsid w:val="008F5CDD"/>
    <w:rsid w:val="008F6934"/>
    <w:rsid w:val="008F78EA"/>
    <w:rsid w:val="0090027B"/>
    <w:rsid w:val="00900851"/>
    <w:rsid w:val="009022A2"/>
    <w:rsid w:val="0090241F"/>
    <w:rsid w:val="00902C00"/>
    <w:rsid w:val="00903723"/>
    <w:rsid w:val="009043CA"/>
    <w:rsid w:val="00905465"/>
    <w:rsid w:val="00905AA1"/>
    <w:rsid w:val="0090655C"/>
    <w:rsid w:val="00906A04"/>
    <w:rsid w:val="009073C2"/>
    <w:rsid w:val="0090755A"/>
    <w:rsid w:val="00907B8D"/>
    <w:rsid w:val="00910BA8"/>
    <w:rsid w:val="0091171E"/>
    <w:rsid w:val="00913841"/>
    <w:rsid w:val="009138D3"/>
    <w:rsid w:val="00913C11"/>
    <w:rsid w:val="009140D7"/>
    <w:rsid w:val="00916625"/>
    <w:rsid w:val="00916B05"/>
    <w:rsid w:val="00917054"/>
    <w:rsid w:val="00917398"/>
    <w:rsid w:val="00917B90"/>
    <w:rsid w:val="009201EB"/>
    <w:rsid w:val="00921540"/>
    <w:rsid w:val="00922193"/>
    <w:rsid w:val="00924705"/>
    <w:rsid w:val="00924908"/>
    <w:rsid w:val="0093048C"/>
    <w:rsid w:val="00930F78"/>
    <w:rsid w:val="009325FE"/>
    <w:rsid w:val="00932BFD"/>
    <w:rsid w:val="00932E4E"/>
    <w:rsid w:val="00934030"/>
    <w:rsid w:val="009342EA"/>
    <w:rsid w:val="00935215"/>
    <w:rsid w:val="0093563B"/>
    <w:rsid w:val="00935712"/>
    <w:rsid w:val="00935DC0"/>
    <w:rsid w:val="009369C0"/>
    <w:rsid w:val="00936E09"/>
    <w:rsid w:val="00936FDB"/>
    <w:rsid w:val="00937C42"/>
    <w:rsid w:val="009406F5"/>
    <w:rsid w:val="00941374"/>
    <w:rsid w:val="00943411"/>
    <w:rsid w:val="009444DC"/>
    <w:rsid w:val="00944D3F"/>
    <w:rsid w:val="00944E35"/>
    <w:rsid w:val="00944FE2"/>
    <w:rsid w:val="009472EC"/>
    <w:rsid w:val="009478EC"/>
    <w:rsid w:val="00950BEF"/>
    <w:rsid w:val="0095137F"/>
    <w:rsid w:val="00951D08"/>
    <w:rsid w:val="00952183"/>
    <w:rsid w:val="00952199"/>
    <w:rsid w:val="00952E29"/>
    <w:rsid w:val="00953CEC"/>
    <w:rsid w:val="00953D0E"/>
    <w:rsid w:val="009552AA"/>
    <w:rsid w:val="009553A5"/>
    <w:rsid w:val="00955955"/>
    <w:rsid w:val="00955E7C"/>
    <w:rsid w:val="009565E9"/>
    <w:rsid w:val="009568FD"/>
    <w:rsid w:val="00956B92"/>
    <w:rsid w:val="00957C6E"/>
    <w:rsid w:val="00960E0E"/>
    <w:rsid w:val="00963395"/>
    <w:rsid w:val="0096390A"/>
    <w:rsid w:val="00963CF3"/>
    <w:rsid w:val="00964E1A"/>
    <w:rsid w:val="00965D76"/>
    <w:rsid w:val="00966445"/>
    <w:rsid w:val="00966BB2"/>
    <w:rsid w:val="00966C7E"/>
    <w:rsid w:val="00967EC3"/>
    <w:rsid w:val="00970B9B"/>
    <w:rsid w:val="00970C99"/>
    <w:rsid w:val="00970F47"/>
    <w:rsid w:val="00971D49"/>
    <w:rsid w:val="00972372"/>
    <w:rsid w:val="00972973"/>
    <w:rsid w:val="00973F49"/>
    <w:rsid w:val="00975B00"/>
    <w:rsid w:val="00976709"/>
    <w:rsid w:val="0097769D"/>
    <w:rsid w:val="00977A5E"/>
    <w:rsid w:val="00977E18"/>
    <w:rsid w:val="00980529"/>
    <w:rsid w:val="0098269A"/>
    <w:rsid w:val="00983830"/>
    <w:rsid w:val="00983DD8"/>
    <w:rsid w:val="00983EE7"/>
    <w:rsid w:val="00985621"/>
    <w:rsid w:val="009857CD"/>
    <w:rsid w:val="00985D43"/>
    <w:rsid w:val="009868C8"/>
    <w:rsid w:val="009868E5"/>
    <w:rsid w:val="00986DFE"/>
    <w:rsid w:val="00987865"/>
    <w:rsid w:val="00987B8F"/>
    <w:rsid w:val="009923BE"/>
    <w:rsid w:val="00992A60"/>
    <w:rsid w:val="00992EAA"/>
    <w:rsid w:val="00993357"/>
    <w:rsid w:val="00995B4E"/>
    <w:rsid w:val="0099654E"/>
    <w:rsid w:val="00996A8D"/>
    <w:rsid w:val="00996CDC"/>
    <w:rsid w:val="009A10C6"/>
    <w:rsid w:val="009A1FDC"/>
    <w:rsid w:val="009A23A9"/>
    <w:rsid w:val="009A4732"/>
    <w:rsid w:val="009A4B80"/>
    <w:rsid w:val="009A4E3D"/>
    <w:rsid w:val="009A589F"/>
    <w:rsid w:val="009A60FD"/>
    <w:rsid w:val="009A6C7E"/>
    <w:rsid w:val="009A7A49"/>
    <w:rsid w:val="009A7F51"/>
    <w:rsid w:val="009B2D94"/>
    <w:rsid w:val="009B348E"/>
    <w:rsid w:val="009B4170"/>
    <w:rsid w:val="009B45D0"/>
    <w:rsid w:val="009B49E1"/>
    <w:rsid w:val="009B52A2"/>
    <w:rsid w:val="009B669E"/>
    <w:rsid w:val="009B6709"/>
    <w:rsid w:val="009B6FFC"/>
    <w:rsid w:val="009B709B"/>
    <w:rsid w:val="009B72F0"/>
    <w:rsid w:val="009B754B"/>
    <w:rsid w:val="009C01D4"/>
    <w:rsid w:val="009C02EE"/>
    <w:rsid w:val="009C03D1"/>
    <w:rsid w:val="009C1AA2"/>
    <w:rsid w:val="009C2581"/>
    <w:rsid w:val="009C3FA4"/>
    <w:rsid w:val="009C4B3C"/>
    <w:rsid w:val="009C4B7B"/>
    <w:rsid w:val="009C68A3"/>
    <w:rsid w:val="009C70D9"/>
    <w:rsid w:val="009C7A57"/>
    <w:rsid w:val="009D00D5"/>
    <w:rsid w:val="009D0238"/>
    <w:rsid w:val="009D1068"/>
    <w:rsid w:val="009D11BB"/>
    <w:rsid w:val="009D181E"/>
    <w:rsid w:val="009D1DFB"/>
    <w:rsid w:val="009D2896"/>
    <w:rsid w:val="009D2F21"/>
    <w:rsid w:val="009D3C60"/>
    <w:rsid w:val="009D45E6"/>
    <w:rsid w:val="009D513D"/>
    <w:rsid w:val="009D581E"/>
    <w:rsid w:val="009D59F0"/>
    <w:rsid w:val="009D67DD"/>
    <w:rsid w:val="009D6F4E"/>
    <w:rsid w:val="009D728E"/>
    <w:rsid w:val="009D7487"/>
    <w:rsid w:val="009D77EF"/>
    <w:rsid w:val="009E0E99"/>
    <w:rsid w:val="009E1275"/>
    <w:rsid w:val="009E19AC"/>
    <w:rsid w:val="009E1C41"/>
    <w:rsid w:val="009E28AC"/>
    <w:rsid w:val="009E320F"/>
    <w:rsid w:val="009E3493"/>
    <w:rsid w:val="009E38A7"/>
    <w:rsid w:val="009E3A4C"/>
    <w:rsid w:val="009E5F3F"/>
    <w:rsid w:val="009E776D"/>
    <w:rsid w:val="009F045F"/>
    <w:rsid w:val="009F1384"/>
    <w:rsid w:val="009F19A4"/>
    <w:rsid w:val="009F1C4E"/>
    <w:rsid w:val="009F1CCD"/>
    <w:rsid w:val="009F28A0"/>
    <w:rsid w:val="009F4BEF"/>
    <w:rsid w:val="009F545A"/>
    <w:rsid w:val="009F6990"/>
    <w:rsid w:val="009F7F6F"/>
    <w:rsid w:val="00A01DC5"/>
    <w:rsid w:val="00A02385"/>
    <w:rsid w:val="00A027B0"/>
    <w:rsid w:val="00A03704"/>
    <w:rsid w:val="00A03BD5"/>
    <w:rsid w:val="00A05367"/>
    <w:rsid w:val="00A05866"/>
    <w:rsid w:val="00A0670C"/>
    <w:rsid w:val="00A06DC4"/>
    <w:rsid w:val="00A10A91"/>
    <w:rsid w:val="00A11A79"/>
    <w:rsid w:val="00A1311A"/>
    <w:rsid w:val="00A1426C"/>
    <w:rsid w:val="00A14722"/>
    <w:rsid w:val="00A14BEE"/>
    <w:rsid w:val="00A17373"/>
    <w:rsid w:val="00A1744A"/>
    <w:rsid w:val="00A17605"/>
    <w:rsid w:val="00A20A32"/>
    <w:rsid w:val="00A214EF"/>
    <w:rsid w:val="00A218FC"/>
    <w:rsid w:val="00A23020"/>
    <w:rsid w:val="00A237D8"/>
    <w:rsid w:val="00A23E95"/>
    <w:rsid w:val="00A25179"/>
    <w:rsid w:val="00A26AE1"/>
    <w:rsid w:val="00A27DBD"/>
    <w:rsid w:val="00A345A2"/>
    <w:rsid w:val="00A3467A"/>
    <w:rsid w:val="00A3551A"/>
    <w:rsid w:val="00A35D2A"/>
    <w:rsid w:val="00A36586"/>
    <w:rsid w:val="00A377ED"/>
    <w:rsid w:val="00A37B15"/>
    <w:rsid w:val="00A37F99"/>
    <w:rsid w:val="00A40545"/>
    <w:rsid w:val="00A409EB"/>
    <w:rsid w:val="00A41856"/>
    <w:rsid w:val="00A431BF"/>
    <w:rsid w:val="00A433E9"/>
    <w:rsid w:val="00A43B07"/>
    <w:rsid w:val="00A44114"/>
    <w:rsid w:val="00A44661"/>
    <w:rsid w:val="00A45476"/>
    <w:rsid w:val="00A45DD1"/>
    <w:rsid w:val="00A47AFF"/>
    <w:rsid w:val="00A47EEA"/>
    <w:rsid w:val="00A510ED"/>
    <w:rsid w:val="00A51541"/>
    <w:rsid w:val="00A51A8C"/>
    <w:rsid w:val="00A520E9"/>
    <w:rsid w:val="00A525BE"/>
    <w:rsid w:val="00A525FC"/>
    <w:rsid w:val="00A52862"/>
    <w:rsid w:val="00A52A0B"/>
    <w:rsid w:val="00A53473"/>
    <w:rsid w:val="00A53C66"/>
    <w:rsid w:val="00A53D75"/>
    <w:rsid w:val="00A54E03"/>
    <w:rsid w:val="00A557F1"/>
    <w:rsid w:val="00A55AC1"/>
    <w:rsid w:val="00A565EF"/>
    <w:rsid w:val="00A60B97"/>
    <w:rsid w:val="00A61FF5"/>
    <w:rsid w:val="00A638F4"/>
    <w:rsid w:val="00A64606"/>
    <w:rsid w:val="00A657D5"/>
    <w:rsid w:val="00A661EC"/>
    <w:rsid w:val="00A66CFB"/>
    <w:rsid w:val="00A67A0D"/>
    <w:rsid w:val="00A7018E"/>
    <w:rsid w:val="00A70459"/>
    <w:rsid w:val="00A7148B"/>
    <w:rsid w:val="00A74046"/>
    <w:rsid w:val="00A757F3"/>
    <w:rsid w:val="00A7683F"/>
    <w:rsid w:val="00A77FE2"/>
    <w:rsid w:val="00A80114"/>
    <w:rsid w:val="00A805E8"/>
    <w:rsid w:val="00A80866"/>
    <w:rsid w:val="00A80D58"/>
    <w:rsid w:val="00A80EA8"/>
    <w:rsid w:val="00A81334"/>
    <w:rsid w:val="00A820C8"/>
    <w:rsid w:val="00A82778"/>
    <w:rsid w:val="00A832CE"/>
    <w:rsid w:val="00A837F1"/>
    <w:rsid w:val="00A85355"/>
    <w:rsid w:val="00A85539"/>
    <w:rsid w:val="00A85C92"/>
    <w:rsid w:val="00A860D3"/>
    <w:rsid w:val="00A877AB"/>
    <w:rsid w:val="00A901AA"/>
    <w:rsid w:val="00A901D3"/>
    <w:rsid w:val="00A91103"/>
    <w:rsid w:val="00A915A3"/>
    <w:rsid w:val="00A9184D"/>
    <w:rsid w:val="00A9419F"/>
    <w:rsid w:val="00A947BA"/>
    <w:rsid w:val="00A95093"/>
    <w:rsid w:val="00A95842"/>
    <w:rsid w:val="00AA010A"/>
    <w:rsid w:val="00AA07F8"/>
    <w:rsid w:val="00AA0A24"/>
    <w:rsid w:val="00AA0ABF"/>
    <w:rsid w:val="00AA44DC"/>
    <w:rsid w:val="00AA7D3C"/>
    <w:rsid w:val="00AB0EE8"/>
    <w:rsid w:val="00AB1ED7"/>
    <w:rsid w:val="00AB2221"/>
    <w:rsid w:val="00AB34D8"/>
    <w:rsid w:val="00AB3A2B"/>
    <w:rsid w:val="00AB4124"/>
    <w:rsid w:val="00AB492D"/>
    <w:rsid w:val="00AB4A42"/>
    <w:rsid w:val="00AB6964"/>
    <w:rsid w:val="00AB76D2"/>
    <w:rsid w:val="00AB7EAA"/>
    <w:rsid w:val="00AC043E"/>
    <w:rsid w:val="00AC07D1"/>
    <w:rsid w:val="00AC118F"/>
    <w:rsid w:val="00AC2995"/>
    <w:rsid w:val="00AC2BEE"/>
    <w:rsid w:val="00AC2DA9"/>
    <w:rsid w:val="00AC2F17"/>
    <w:rsid w:val="00AC31E5"/>
    <w:rsid w:val="00AC3D9A"/>
    <w:rsid w:val="00AC4157"/>
    <w:rsid w:val="00AC579E"/>
    <w:rsid w:val="00AC6A3F"/>
    <w:rsid w:val="00AC6C51"/>
    <w:rsid w:val="00AC6D39"/>
    <w:rsid w:val="00AC6DA8"/>
    <w:rsid w:val="00AC72B8"/>
    <w:rsid w:val="00AD3710"/>
    <w:rsid w:val="00AD4A81"/>
    <w:rsid w:val="00AD51FA"/>
    <w:rsid w:val="00AD5360"/>
    <w:rsid w:val="00AD5928"/>
    <w:rsid w:val="00AD6396"/>
    <w:rsid w:val="00AD63AA"/>
    <w:rsid w:val="00AD6559"/>
    <w:rsid w:val="00AD6898"/>
    <w:rsid w:val="00AD7928"/>
    <w:rsid w:val="00AE0663"/>
    <w:rsid w:val="00AE129E"/>
    <w:rsid w:val="00AE26C9"/>
    <w:rsid w:val="00AE35F1"/>
    <w:rsid w:val="00AE3895"/>
    <w:rsid w:val="00AE4008"/>
    <w:rsid w:val="00AE7AC3"/>
    <w:rsid w:val="00AF0168"/>
    <w:rsid w:val="00AF01F1"/>
    <w:rsid w:val="00AF2831"/>
    <w:rsid w:val="00AF288D"/>
    <w:rsid w:val="00AF34FA"/>
    <w:rsid w:val="00AF3708"/>
    <w:rsid w:val="00AF40C8"/>
    <w:rsid w:val="00AF4424"/>
    <w:rsid w:val="00AF4595"/>
    <w:rsid w:val="00AF4D25"/>
    <w:rsid w:val="00AF5AF2"/>
    <w:rsid w:val="00AF5F37"/>
    <w:rsid w:val="00AF657F"/>
    <w:rsid w:val="00AF68E2"/>
    <w:rsid w:val="00AF7165"/>
    <w:rsid w:val="00B01684"/>
    <w:rsid w:val="00B01F1B"/>
    <w:rsid w:val="00B01F8E"/>
    <w:rsid w:val="00B024A7"/>
    <w:rsid w:val="00B02688"/>
    <w:rsid w:val="00B03738"/>
    <w:rsid w:val="00B03BB3"/>
    <w:rsid w:val="00B03F9F"/>
    <w:rsid w:val="00B03FCF"/>
    <w:rsid w:val="00B043B3"/>
    <w:rsid w:val="00B047B4"/>
    <w:rsid w:val="00B04D6E"/>
    <w:rsid w:val="00B05083"/>
    <w:rsid w:val="00B05786"/>
    <w:rsid w:val="00B05CA8"/>
    <w:rsid w:val="00B05ECD"/>
    <w:rsid w:val="00B060BF"/>
    <w:rsid w:val="00B06375"/>
    <w:rsid w:val="00B06C56"/>
    <w:rsid w:val="00B101E2"/>
    <w:rsid w:val="00B1072A"/>
    <w:rsid w:val="00B10CDE"/>
    <w:rsid w:val="00B14287"/>
    <w:rsid w:val="00B144FE"/>
    <w:rsid w:val="00B14A2B"/>
    <w:rsid w:val="00B164D7"/>
    <w:rsid w:val="00B1662E"/>
    <w:rsid w:val="00B16D6C"/>
    <w:rsid w:val="00B2015F"/>
    <w:rsid w:val="00B216B2"/>
    <w:rsid w:val="00B220B4"/>
    <w:rsid w:val="00B22830"/>
    <w:rsid w:val="00B23304"/>
    <w:rsid w:val="00B237DC"/>
    <w:rsid w:val="00B24C3F"/>
    <w:rsid w:val="00B24D51"/>
    <w:rsid w:val="00B24FD3"/>
    <w:rsid w:val="00B26318"/>
    <w:rsid w:val="00B26C48"/>
    <w:rsid w:val="00B277D5"/>
    <w:rsid w:val="00B308B6"/>
    <w:rsid w:val="00B30E5E"/>
    <w:rsid w:val="00B31E02"/>
    <w:rsid w:val="00B337FC"/>
    <w:rsid w:val="00B3462B"/>
    <w:rsid w:val="00B349CF"/>
    <w:rsid w:val="00B3545B"/>
    <w:rsid w:val="00B35629"/>
    <w:rsid w:val="00B35D74"/>
    <w:rsid w:val="00B35EE9"/>
    <w:rsid w:val="00B3650D"/>
    <w:rsid w:val="00B37227"/>
    <w:rsid w:val="00B3758C"/>
    <w:rsid w:val="00B37880"/>
    <w:rsid w:val="00B37FF9"/>
    <w:rsid w:val="00B40BF2"/>
    <w:rsid w:val="00B410D4"/>
    <w:rsid w:val="00B418D5"/>
    <w:rsid w:val="00B41BAB"/>
    <w:rsid w:val="00B42397"/>
    <w:rsid w:val="00B4246B"/>
    <w:rsid w:val="00B430CA"/>
    <w:rsid w:val="00B44BD6"/>
    <w:rsid w:val="00B44C73"/>
    <w:rsid w:val="00B46B04"/>
    <w:rsid w:val="00B473AD"/>
    <w:rsid w:val="00B51973"/>
    <w:rsid w:val="00B51B97"/>
    <w:rsid w:val="00B53CDA"/>
    <w:rsid w:val="00B542DE"/>
    <w:rsid w:val="00B54AC2"/>
    <w:rsid w:val="00B54B51"/>
    <w:rsid w:val="00B55E06"/>
    <w:rsid w:val="00B56513"/>
    <w:rsid w:val="00B5675F"/>
    <w:rsid w:val="00B601CD"/>
    <w:rsid w:val="00B604D1"/>
    <w:rsid w:val="00B61835"/>
    <w:rsid w:val="00B61AA0"/>
    <w:rsid w:val="00B631FC"/>
    <w:rsid w:val="00B6389D"/>
    <w:rsid w:val="00B63AFE"/>
    <w:rsid w:val="00B63C1F"/>
    <w:rsid w:val="00B643DF"/>
    <w:rsid w:val="00B646A7"/>
    <w:rsid w:val="00B646D9"/>
    <w:rsid w:val="00B6569F"/>
    <w:rsid w:val="00B66161"/>
    <w:rsid w:val="00B667D1"/>
    <w:rsid w:val="00B6682B"/>
    <w:rsid w:val="00B668B6"/>
    <w:rsid w:val="00B6699A"/>
    <w:rsid w:val="00B66B9F"/>
    <w:rsid w:val="00B66CBD"/>
    <w:rsid w:val="00B66DD2"/>
    <w:rsid w:val="00B67210"/>
    <w:rsid w:val="00B6765B"/>
    <w:rsid w:val="00B67909"/>
    <w:rsid w:val="00B67F06"/>
    <w:rsid w:val="00B70470"/>
    <w:rsid w:val="00B70B27"/>
    <w:rsid w:val="00B71BDE"/>
    <w:rsid w:val="00B7379D"/>
    <w:rsid w:val="00B74ABE"/>
    <w:rsid w:val="00B75610"/>
    <w:rsid w:val="00B75BF5"/>
    <w:rsid w:val="00B76276"/>
    <w:rsid w:val="00B7772B"/>
    <w:rsid w:val="00B81333"/>
    <w:rsid w:val="00B8278E"/>
    <w:rsid w:val="00B82FF3"/>
    <w:rsid w:val="00B83CE8"/>
    <w:rsid w:val="00B848C8"/>
    <w:rsid w:val="00B84DFF"/>
    <w:rsid w:val="00B84F80"/>
    <w:rsid w:val="00B85B20"/>
    <w:rsid w:val="00B87327"/>
    <w:rsid w:val="00B90164"/>
    <w:rsid w:val="00B91C6F"/>
    <w:rsid w:val="00B91E40"/>
    <w:rsid w:val="00B924F0"/>
    <w:rsid w:val="00B9257F"/>
    <w:rsid w:val="00B927AD"/>
    <w:rsid w:val="00B92B20"/>
    <w:rsid w:val="00B92FD7"/>
    <w:rsid w:val="00B93275"/>
    <w:rsid w:val="00B946A2"/>
    <w:rsid w:val="00B94CAA"/>
    <w:rsid w:val="00B94E93"/>
    <w:rsid w:val="00B95AF3"/>
    <w:rsid w:val="00B961F7"/>
    <w:rsid w:val="00B97683"/>
    <w:rsid w:val="00B97BAA"/>
    <w:rsid w:val="00BA0848"/>
    <w:rsid w:val="00BA0EBE"/>
    <w:rsid w:val="00BA2285"/>
    <w:rsid w:val="00BA245A"/>
    <w:rsid w:val="00BA3050"/>
    <w:rsid w:val="00BA45C6"/>
    <w:rsid w:val="00BA48D5"/>
    <w:rsid w:val="00BA54F8"/>
    <w:rsid w:val="00BA5583"/>
    <w:rsid w:val="00BA6991"/>
    <w:rsid w:val="00BA6CC2"/>
    <w:rsid w:val="00BA6D16"/>
    <w:rsid w:val="00BA6E10"/>
    <w:rsid w:val="00BA744E"/>
    <w:rsid w:val="00BA76E9"/>
    <w:rsid w:val="00BA7CF7"/>
    <w:rsid w:val="00BA7F3A"/>
    <w:rsid w:val="00BB2A75"/>
    <w:rsid w:val="00BB2C13"/>
    <w:rsid w:val="00BB2D47"/>
    <w:rsid w:val="00BB33A1"/>
    <w:rsid w:val="00BB4CAA"/>
    <w:rsid w:val="00BB5CAE"/>
    <w:rsid w:val="00BB797E"/>
    <w:rsid w:val="00BB7F82"/>
    <w:rsid w:val="00BC076C"/>
    <w:rsid w:val="00BC218F"/>
    <w:rsid w:val="00BC25EE"/>
    <w:rsid w:val="00BC28F7"/>
    <w:rsid w:val="00BC3FD0"/>
    <w:rsid w:val="00BC45DB"/>
    <w:rsid w:val="00BC5C44"/>
    <w:rsid w:val="00BC75BE"/>
    <w:rsid w:val="00BC7F0C"/>
    <w:rsid w:val="00BD0609"/>
    <w:rsid w:val="00BD0CBF"/>
    <w:rsid w:val="00BD0F15"/>
    <w:rsid w:val="00BD1EC5"/>
    <w:rsid w:val="00BD2A67"/>
    <w:rsid w:val="00BD51BF"/>
    <w:rsid w:val="00BD590D"/>
    <w:rsid w:val="00BD5D78"/>
    <w:rsid w:val="00BD610F"/>
    <w:rsid w:val="00BD6110"/>
    <w:rsid w:val="00BD66B7"/>
    <w:rsid w:val="00BD6AAB"/>
    <w:rsid w:val="00BE1BEA"/>
    <w:rsid w:val="00BE33C6"/>
    <w:rsid w:val="00BE3C87"/>
    <w:rsid w:val="00BE4E2E"/>
    <w:rsid w:val="00BE5219"/>
    <w:rsid w:val="00BE64C6"/>
    <w:rsid w:val="00BE651F"/>
    <w:rsid w:val="00BF18A8"/>
    <w:rsid w:val="00BF2403"/>
    <w:rsid w:val="00BF3825"/>
    <w:rsid w:val="00BF4125"/>
    <w:rsid w:val="00BF5073"/>
    <w:rsid w:val="00BF551A"/>
    <w:rsid w:val="00BF5923"/>
    <w:rsid w:val="00BF62CF"/>
    <w:rsid w:val="00BF6753"/>
    <w:rsid w:val="00BF7BE0"/>
    <w:rsid w:val="00C0062B"/>
    <w:rsid w:val="00C02A2D"/>
    <w:rsid w:val="00C05894"/>
    <w:rsid w:val="00C06EB9"/>
    <w:rsid w:val="00C07EBF"/>
    <w:rsid w:val="00C114A0"/>
    <w:rsid w:val="00C115EB"/>
    <w:rsid w:val="00C1164A"/>
    <w:rsid w:val="00C1191A"/>
    <w:rsid w:val="00C11A00"/>
    <w:rsid w:val="00C12356"/>
    <w:rsid w:val="00C12DD6"/>
    <w:rsid w:val="00C12EB5"/>
    <w:rsid w:val="00C135B4"/>
    <w:rsid w:val="00C139CA"/>
    <w:rsid w:val="00C13CB7"/>
    <w:rsid w:val="00C13D17"/>
    <w:rsid w:val="00C13D37"/>
    <w:rsid w:val="00C140F6"/>
    <w:rsid w:val="00C15B1B"/>
    <w:rsid w:val="00C173D6"/>
    <w:rsid w:val="00C17B55"/>
    <w:rsid w:val="00C21C4F"/>
    <w:rsid w:val="00C222E4"/>
    <w:rsid w:val="00C2371F"/>
    <w:rsid w:val="00C23A7F"/>
    <w:rsid w:val="00C24765"/>
    <w:rsid w:val="00C24FB8"/>
    <w:rsid w:val="00C25599"/>
    <w:rsid w:val="00C261DA"/>
    <w:rsid w:val="00C26B54"/>
    <w:rsid w:val="00C27B85"/>
    <w:rsid w:val="00C30093"/>
    <w:rsid w:val="00C30285"/>
    <w:rsid w:val="00C306F0"/>
    <w:rsid w:val="00C339FB"/>
    <w:rsid w:val="00C34565"/>
    <w:rsid w:val="00C35623"/>
    <w:rsid w:val="00C35A23"/>
    <w:rsid w:val="00C3664B"/>
    <w:rsid w:val="00C37018"/>
    <w:rsid w:val="00C37E33"/>
    <w:rsid w:val="00C37FE0"/>
    <w:rsid w:val="00C40483"/>
    <w:rsid w:val="00C40A2B"/>
    <w:rsid w:val="00C422A5"/>
    <w:rsid w:val="00C4364F"/>
    <w:rsid w:val="00C43A5D"/>
    <w:rsid w:val="00C43C28"/>
    <w:rsid w:val="00C44DF9"/>
    <w:rsid w:val="00C45549"/>
    <w:rsid w:val="00C45668"/>
    <w:rsid w:val="00C45A14"/>
    <w:rsid w:val="00C4717F"/>
    <w:rsid w:val="00C4747A"/>
    <w:rsid w:val="00C515D5"/>
    <w:rsid w:val="00C519A9"/>
    <w:rsid w:val="00C51B32"/>
    <w:rsid w:val="00C51CE5"/>
    <w:rsid w:val="00C52455"/>
    <w:rsid w:val="00C526D7"/>
    <w:rsid w:val="00C52B32"/>
    <w:rsid w:val="00C541DB"/>
    <w:rsid w:val="00C541F4"/>
    <w:rsid w:val="00C55C13"/>
    <w:rsid w:val="00C55F67"/>
    <w:rsid w:val="00C5619E"/>
    <w:rsid w:val="00C5627F"/>
    <w:rsid w:val="00C5640B"/>
    <w:rsid w:val="00C56FBC"/>
    <w:rsid w:val="00C5775A"/>
    <w:rsid w:val="00C57885"/>
    <w:rsid w:val="00C57E22"/>
    <w:rsid w:val="00C57E68"/>
    <w:rsid w:val="00C57F3D"/>
    <w:rsid w:val="00C60AA0"/>
    <w:rsid w:val="00C634C5"/>
    <w:rsid w:val="00C63C41"/>
    <w:rsid w:val="00C63ED7"/>
    <w:rsid w:val="00C64296"/>
    <w:rsid w:val="00C6539D"/>
    <w:rsid w:val="00C667D5"/>
    <w:rsid w:val="00C66898"/>
    <w:rsid w:val="00C66D50"/>
    <w:rsid w:val="00C67723"/>
    <w:rsid w:val="00C72039"/>
    <w:rsid w:val="00C72F8F"/>
    <w:rsid w:val="00C73F88"/>
    <w:rsid w:val="00C73FD3"/>
    <w:rsid w:val="00C74B47"/>
    <w:rsid w:val="00C74B8B"/>
    <w:rsid w:val="00C74F12"/>
    <w:rsid w:val="00C75151"/>
    <w:rsid w:val="00C75750"/>
    <w:rsid w:val="00C76EC2"/>
    <w:rsid w:val="00C76F66"/>
    <w:rsid w:val="00C77688"/>
    <w:rsid w:val="00C77BDF"/>
    <w:rsid w:val="00C818B4"/>
    <w:rsid w:val="00C82249"/>
    <w:rsid w:val="00C822E5"/>
    <w:rsid w:val="00C842C2"/>
    <w:rsid w:val="00C8585E"/>
    <w:rsid w:val="00C863AF"/>
    <w:rsid w:val="00C86748"/>
    <w:rsid w:val="00C868C9"/>
    <w:rsid w:val="00C874D0"/>
    <w:rsid w:val="00C87898"/>
    <w:rsid w:val="00C9079D"/>
    <w:rsid w:val="00C90F22"/>
    <w:rsid w:val="00C91644"/>
    <w:rsid w:val="00C91E24"/>
    <w:rsid w:val="00C92B2D"/>
    <w:rsid w:val="00C92F12"/>
    <w:rsid w:val="00C931E3"/>
    <w:rsid w:val="00C9389B"/>
    <w:rsid w:val="00C93C92"/>
    <w:rsid w:val="00C942CA"/>
    <w:rsid w:val="00C953F9"/>
    <w:rsid w:val="00C957A9"/>
    <w:rsid w:val="00C95E97"/>
    <w:rsid w:val="00CA250A"/>
    <w:rsid w:val="00CA26D1"/>
    <w:rsid w:val="00CA4197"/>
    <w:rsid w:val="00CA594E"/>
    <w:rsid w:val="00CA59C3"/>
    <w:rsid w:val="00CA6A1E"/>
    <w:rsid w:val="00CA7697"/>
    <w:rsid w:val="00CB0C2A"/>
    <w:rsid w:val="00CB1D10"/>
    <w:rsid w:val="00CB25E1"/>
    <w:rsid w:val="00CB2A6C"/>
    <w:rsid w:val="00CB37D0"/>
    <w:rsid w:val="00CB6ED0"/>
    <w:rsid w:val="00CB7752"/>
    <w:rsid w:val="00CB79ED"/>
    <w:rsid w:val="00CC1496"/>
    <w:rsid w:val="00CC15FA"/>
    <w:rsid w:val="00CC43FE"/>
    <w:rsid w:val="00CC516D"/>
    <w:rsid w:val="00CC561A"/>
    <w:rsid w:val="00CC7B1E"/>
    <w:rsid w:val="00CC7C02"/>
    <w:rsid w:val="00CC7F68"/>
    <w:rsid w:val="00CD00C9"/>
    <w:rsid w:val="00CD044A"/>
    <w:rsid w:val="00CD1EF1"/>
    <w:rsid w:val="00CD2746"/>
    <w:rsid w:val="00CD2EEC"/>
    <w:rsid w:val="00CD405C"/>
    <w:rsid w:val="00CD5E74"/>
    <w:rsid w:val="00CD5F94"/>
    <w:rsid w:val="00CD640C"/>
    <w:rsid w:val="00CD657B"/>
    <w:rsid w:val="00CE0AC2"/>
    <w:rsid w:val="00CE0DD4"/>
    <w:rsid w:val="00CE12F7"/>
    <w:rsid w:val="00CE1789"/>
    <w:rsid w:val="00CE2159"/>
    <w:rsid w:val="00CE2996"/>
    <w:rsid w:val="00CE4627"/>
    <w:rsid w:val="00CE4D20"/>
    <w:rsid w:val="00CE4DA3"/>
    <w:rsid w:val="00CF0710"/>
    <w:rsid w:val="00CF1510"/>
    <w:rsid w:val="00CF1C73"/>
    <w:rsid w:val="00CF1E94"/>
    <w:rsid w:val="00CF3CAF"/>
    <w:rsid w:val="00CF4116"/>
    <w:rsid w:val="00CF5DCB"/>
    <w:rsid w:val="00CF5DF8"/>
    <w:rsid w:val="00CF6F7E"/>
    <w:rsid w:val="00CF7557"/>
    <w:rsid w:val="00D00FE0"/>
    <w:rsid w:val="00D01527"/>
    <w:rsid w:val="00D015D5"/>
    <w:rsid w:val="00D01C6D"/>
    <w:rsid w:val="00D01E65"/>
    <w:rsid w:val="00D01F02"/>
    <w:rsid w:val="00D02099"/>
    <w:rsid w:val="00D024E4"/>
    <w:rsid w:val="00D0313B"/>
    <w:rsid w:val="00D0381E"/>
    <w:rsid w:val="00D03F92"/>
    <w:rsid w:val="00D0526C"/>
    <w:rsid w:val="00D107BB"/>
    <w:rsid w:val="00D123CA"/>
    <w:rsid w:val="00D14067"/>
    <w:rsid w:val="00D14269"/>
    <w:rsid w:val="00D1438E"/>
    <w:rsid w:val="00D14F92"/>
    <w:rsid w:val="00D15971"/>
    <w:rsid w:val="00D17798"/>
    <w:rsid w:val="00D17F0F"/>
    <w:rsid w:val="00D20892"/>
    <w:rsid w:val="00D20FB7"/>
    <w:rsid w:val="00D218BB"/>
    <w:rsid w:val="00D230B9"/>
    <w:rsid w:val="00D23361"/>
    <w:rsid w:val="00D2468A"/>
    <w:rsid w:val="00D24A1B"/>
    <w:rsid w:val="00D24C31"/>
    <w:rsid w:val="00D24E0B"/>
    <w:rsid w:val="00D25923"/>
    <w:rsid w:val="00D261F4"/>
    <w:rsid w:val="00D2634A"/>
    <w:rsid w:val="00D266A0"/>
    <w:rsid w:val="00D269B1"/>
    <w:rsid w:val="00D27626"/>
    <w:rsid w:val="00D30BCF"/>
    <w:rsid w:val="00D320AD"/>
    <w:rsid w:val="00D32829"/>
    <w:rsid w:val="00D33D39"/>
    <w:rsid w:val="00D3401B"/>
    <w:rsid w:val="00D34467"/>
    <w:rsid w:val="00D3469C"/>
    <w:rsid w:val="00D34DDD"/>
    <w:rsid w:val="00D3542C"/>
    <w:rsid w:val="00D35D70"/>
    <w:rsid w:val="00D363FB"/>
    <w:rsid w:val="00D36639"/>
    <w:rsid w:val="00D37DE4"/>
    <w:rsid w:val="00D37E62"/>
    <w:rsid w:val="00D405D4"/>
    <w:rsid w:val="00D40692"/>
    <w:rsid w:val="00D406BC"/>
    <w:rsid w:val="00D40C01"/>
    <w:rsid w:val="00D4120D"/>
    <w:rsid w:val="00D41490"/>
    <w:rsid w:val="00D4168D"/>
    <w:rsid w:val="00D416E2"/>
    <w:rsid w:val="00D41896"/>
    <w:rsid w:val="00D42434"/>
    <w:rsid w:val="00D4276A"/>
    <w:rsid w:val="00D43244"/>
    <w:rsid w:val="00D438EE"/>
    <w:rsid w:val="00D44CAC"/>
    <w:rsid w:val="00D44DD7"/>
    <w:rsid w:val="00D44FF7"/>
    <w:rsid w:val="00D45117"/>
    <w:rsid w:val="00D4590A"/>
    <w:rsid w:val="00D4598E"/>
    <w:rsid w:val="00D46CCF"/>
    <w:rsid w:val="00D505B7"/>
    <w:rsid w:val="00D50876"/>
    <w:rsid w:val="00D508A3"/>
    <w:rsid w:val="00D512E5"/>
    <w:rsid w:val="00D51830"/>
    <w:rsid w:val="00D521F0"/>
    <w:rsid w:val="00D536CD"/>
    <w:rsid w:val="00D538DB"/>
    <w:rsid w:val="00D5511D"/>
    <w:rsid w:val="00D55905"/>
    <w:rsid w:val="00D56540"/>
    <w:rsid w:val="00D573A0"/>
    <w:rsid w:val="00D60A8E"/>
    <w:rsid w:val="00D6143D"/>
    <w:rsid w:val="00D61E2D"/>
    <w:rsid w:val="00D623DE"/>
    <w:rsid w:val="00D627E8"/>
    <w:rsid w:val="00D62FB6"/>
    <w:rsid w:val="00D6357A"/>
    <w:rsid w:val="00D635D7"/>
    <w:rsid w:val="00D638F6"/>
    <w:rsid w:val="00D66700"/>
    <w:rsid w:val="00D72A8D"/>
    <w:rsid w:val="00D73DC4"/>
    <w:rsid w:val="00D745EA"/>
    <w:rsid w:val="00D7466E"/>
    <w:rsid w:val="00D7497B"/>
    <w:rsid w:val="00D74A64"/>
    <w:rsid w:val="00D74E38"/>
    <w:rsid w:val="00D74F85"/>
    <w:rsid w:val="00D75FC3"/>
    <w:rsid w:val="00D7659D"/>
    <w:rsid w:val="00D76841"/>
    <w:rsid w:val="00D768AB"/>
    <w:rsid w:val="00D771C7"/>
    <w:rsid w:val="00D77BCB"/>
    <w:rsid w:val="00D77C08"/>
    <w:rsid w:val="00D77F6B"/>
    <w:rsid w:val="00D80034"/>
    <w:rsid w:val="00D80675"/>
    <w:rsid w:val="00D80ED6"/>
    <w:rsid w:val="00D80FA3"/>
    <w:rsid w:val="00D81C9D"/>
    <w:rsid w:val="00D81D14"/>
    <w:rsid w:val="00D8201A"/>
    <w:rsid w:val="00D833B0"/>
    <w:rsid w:val="00D839A8"/>
    <w:rsid w:val="00D83B6C"/>
    <w:rsid w:val="00D83EC2"/>
    <w:rsid w:val="00D85455"/>
    <w:rsid w:val="00D9078F"/>
    <w:rsid w:val="00D91463"/>
    <w:rsid w:val="00D9171C"/>
    <w:rsid w:val="00D91930"/>
    <w:rsid w:val="00D91943"/>
    <w:rsid w:val="00D91ACD"/>
    <w:rsid w:val="00D92780"/>
    <w:rsid w:val="00D929B5"/>
    <w:rsid w:val="00D93CA1"/>
    <w:rsid w:val="00D9435C"/>
    <w:rsid w:val="00D9583D"/>
    <w:rsid w:val="00D96699"/>
    <w:rsid w:val="00D97BBB"/>
    <w:rsid w:val="00DA1B0E"/>
    <w:rsid w:val="00DA1BDE"/>
    <w:rsid w:val="00DA31DC"/>
    <w:rsid w:val="00DA340A"/>
    <w:rsid w:val="00DA420A"/>
    <w:rsid w:val="00DA4550"/>
    <w:rsid w:val="00DA70E7"/>
    <w:rsid w:val="00DA7DBF"/>
    <w:rsid w:val="00DB0027"/>
    <w:rsid w:val="00DB174E"/>
    <w:rsid w:val="00DB1811"/>
    <w:rsid w:val="00DB1F1D"/>
    <w:rsid w:val="00DB65B8"/>
    <w:rsid w:val="00DB6D5D"/>
    <w:rsid w:val="00DB71F0"/>
    <w:rsid w:val="00DC15A0"/>
    <w:rsid w:val="00DC3942"/>
    <w:rsid w:val="00DC3CE5"/>
    <w:rsid w:val="00DC4E2C"/>
    <w:rsid w:val="00DC5BFB"/>
    <w:rsid w:val="00DC644C"/>
    <w:rsid w:val="00DC6EA4"/>
    <w:rsid w:val="00DC6EC6"/>
    <w:rsid w:val="00DC73E4"/>
    <w:rsid w:val="00DD068C"/>
    <w:rsid w:val="00DD0780"/>
    <w:rsid w:val="00DD26E2"/>
    <w:rsid w:val="00DD38FD"/>
    <w:rsid w:val="00DD3B81"/>
    <w:rsid w:val="00DD3E62"/>
    <w:rsid w:val="00DD4414"/>
    <w:rsid w:val="00DD4AA1"/>
    <w:rsid w:val="00DD6C5C"/>
    <w:rsid w:val="00DD7004"/>
    <w:rsid w:val="00DD77A6"/>
    <w:rsid w:val="00DD7800"/>
    <w:rsid w:val="00DD7DBD"/>
    <w:rsid w:val="00DE0F8A"/>
    <w:rsid w:val="00DE3A07"/>
    <w:rsid w:val="00DE4F52"/>
    <w:rsid w:val="00DE5068"/>
    <w:rsid w:val="00DE50AF"/>
    <w:rsid w:val="00DE55FE"/>
    <w:rsid w:val="00DE668C"/>
    <w:rsid w:val="00DE66B3"/>
    <w:rsid w:val="00DE77E5"/>
    <w:rsid w:val="00DE7A5B"/>
    <w:rsid w:val="00DF0F03"/>
    <w:rsid w:val="00DF0FFA"/>
    <w:rsid w:val="00DF1713"/>
    <w:rsid w:val="00DF1837"/>
    <w:rsid w:val="00DF212C"/>
    <w:rsid w:val="00DF3026"/>
    <w:rsid w:val="00DF44E6"/>
    <w:rsid w:val="00DF682F"/>
    <w:rsid w:val="00DF689E"/>
    <w:rsid w:val="00DF6BF7"/>
    <w:rsid w:val="00DF6F41"/>
    <w:rsid w:val="00DF7046"/>
    <w:rsid w:val="00DF79DC"/>
    <w:rsid w:val="00DF7D0E"/>
    <w:rsid w:val="00DF7DA8"/>
    <w:rsid w:val="00E00142"/>
    <w:rsid w:val="00E00825"/>
    <w:rsid w:val="00E00961"/>
    <w:rsid w:val="00E03760"/>
    <w:rsid w:val="00E0384A"/>
    <w:rsid w:val="00E0391C"/>
    <w:rsid w:val="00E04E3B"/>
    <w:rsid w:val="00E04F98"/>
    <w:rsid w:val="00E052FF"/>
    <w:rsid w:val="00E062D7"/>
    <w:rsid w:val="00E06F9C"/>
    <w:rsid w:val="00E07514"/>
    <w:rsid w:val="00E075FE"/>
    <w:rsid w:val="00E07BBA"/>
    <w:rsid w:val="00E10F45"/>
    <w:rsid w:val="00E11CE8"/>
    <w:rsid w:val="00E13842"/>
    <w:rsid w:val="00E14369"/>
    <w:rsid w:val="00E17BB3"/>
    <w:rsid w:val="00E20105"/>
    <w:rsid w:val="00E20ADA"/>
    <w:rsid w:val="00E213BD"/>
    <w:rsid w:val="00E23AA4"/>
    <w:rsid w:val="00E246E6"/>
    <w:rsid w:val="00E251D7"/>
    <w:rsid w:val="00E25755"/>
    <w:rsid w:val="00E257D0"/>
    <w:rsid w:val="00E25E08"/>
    <w:rsid w:val="00E279A0"/>
    <w:rsid w:val="00E31220"/>
    <w:rsid w:val="00E3198B"/>
    <w:rsid w:val="00E320E7"/>
    <w:rsid w:val="00E3265A"/>
    <w:rsid w:val="00E32A33"/>
    <w:rsid w:val="00E32A5F"/>
    <w:rsid w:val="00E32E43"/>
    <w:rsid w:val="00E33C8D"/>
    <w:rsid w:val="00E33E0B"/>
    <w:rsid w:val="00E362F3"/>
    <w:rsid w:val="00E36502"/>
    <w:rsid w:val="00E36DCE"/>
    <w:rsid w:val="00E37293"/>
    <w:rsid w:val="00E375C1"/>
    <w:rsid w:val="00E404AB"/>
    <w:rsid w:val="00E41537"/>
    <w:rsid w:val="00E41738"/>
    <w:rsid w:val="00E418BD"/>
    <w:rsid w:val="00E42314"/>
    <w:rsid w:val="00E42A77"/>
    <w:rsid w:val="00E437FE"/>
    <w:rsid w:val="00E44308"/>
    <w:rsid w:val="00E4623D"/>
    <w:rsid w:val="00E46836"/>
    <w:rsid w:val="00E46878"/>
    <w:rsid w:val="00E468B3"/>
    <w:rsid w:val="00E469E3"/>
    <w:rsid w:val="00E4793F"/>
    <w:rsid w:val="00E47BCF"/>
    <w:rsid w:val="00E50131"/>
    <w:rsid w:val="00E503D4"/>
    <w:rsid w:val="00E508EF"/>
    <w:rsid w:val="00E50ABB"/>
    <w:rsid w:val="00E52201"/>
    <w:rsid w:val="00E53032"/>
    <w:rsid w:val="00E53196"/>
    <w:rsid w:val="00E53CC5"/>
    <w:rsid w:val="00E55631"/>
    <w:rsid w:val="00E55DB3"/>
    <w:rsid w:val="00E564F5"/>
    <w:rsid w:val="00E569F8"/>
    <w:rsid w:val="00E56A36"/>
    <w:rsid w:val="00E56EBD"/>
    <w:rsid w:val="00E60283"/>
    <w:rsid w:val="00E60D82"/>
    <w:rsid w:val="00E61CD5"/>
    <w:rsid w:val="00E622F4"/>
    <w:rsid w:val="00E62E16"/>
    <w:rsid w:val="00E62E61"/>
    <w:rsid w:val="00E6472E"/>
    <w:rsid w:val="00E64890"/>
    <w:rsid w:val="00E64B46"/>
    <w:rsid w:val="00E64C7C"/>
    <w:rsid w:val="00E659C2"/>
    <w:rsid w:val="00E70000"/>
    <w:rsid w:val="00E70953"/>
    <w:rsid w:val="00E72519"/>
    <w:rsid w:val="00E73351"/>
    <w:rsid w:val="00E7350A"/>
    <w:rsid w:val="00E73629"/>
    <w:rsid w:val="00E7397D"/>
    <w:rsid w:val="00E80BE5"/>
    <w:rsid w:val="00E811F9"/>
    <w:rsid w:val="00E81833"/>
    <w:rsid w:val="00E829AD"/>
    <w:rsid w:val="00E8310D"/>
    <w:rsid w:val="00E83427"/>
    <w:rsid w:val="00E8379D"/>
    <w:rsid w:val="00E839F0"/>
    <w:rsid w:val="00E84081"/>
    <w:rsid w:val="00E844A6"/>
    <w:rsid w:val="00E84746"/>
    <w:rsid w:val="00E849DF"/>
    <w:rsid w:val="00E85624"/>
    <w:rsid w:val="00E86EC9"/>
    <w:rsid w:val="00E87709"/>
    <w:rsid w:val="00E90004"/>
    <w:rsid w:val="00E90660"/>
    <w:rsid w:val="00E9192C"/>
    <w:rsid w:val="00E92F83"/>
    <w:rsid w:val="00E93C99"/>
    <w:rsid w:val="00E94878"/>
    <w:rsid w:val="00E9490A"/>
    <w:rsid w:val="00E954AD"/>
    <w:rsid w:val="00E95D6F"/>
    <w:rsid w:val="00E96725"/>
    <w:rsid w:val="00E97A8F"/>
    <w:rsid w:val="00EA1E99"/>
    <w:rsid w:val="00EA23A8"/>
    <w:rsid w:val="00EA3C67"/>
    <w:rsid w:val="00EA4FA5"/>
    <w:rsid w:val="00EA554B"/>
    <w:rsid w:val="00EA5700"/>
    <w:rsid w:val="00EA67C5"/>
    <w:rsid w:val="00EA6D1C"/>
    <w:rsid w:val="00EA7627"/>
    <w:rsid w:val="00EA7674"/>
    <w:rsid w:val="00EB0FBC"/>
    <w:rsid w:val="00EB2107"/>
    <w:rsid w:val="00EB227E"/>
    <w:rsid w:val="00EB229B"/>
    <w:rsid w:val="00EB3CB8"/>
    <w:rsid w:val="00EB4BF0"/>
    <w:rsid w:val="00EB5D08"/>
    <w:rsid w:val="00EB5E94"/>
    <w:rsid w:val="00EB628C"/>
    <w:rsid w:val="00EB714C"/>
    <w:rsid w:val="00EB7747"/>
    <w:rsid w:val="00EC076B"/>
    <w:rsid w:val="00EC2038"/>
    <w:rsid w:val="00EC2779"/>
    <w:rsid w:val="00EC2EC0"/>
    <w:rsid w:val="00EC3334"/>
    <w:rsid w:val="00EC3455"/>
    <w:rsid w:val="00EC34F0"/>
    <w:rsid w:val="00EC386A"/>
    <w:rsid w:val="00EC403B"/>
    <w:rsid w:val="00EC414A"/>
    <w:rsid w:val="00EC4B41"/>
    <w:rsid w:val="00EC54A0"/>
    <w:rsid w:val="00EC5B4F"/>
    <w:rsid w:val="00EC6081"/>
    <w:rsid w:val="00EC6F40"/>
    <w:rsid w:val="00ED12FD"/>
    <w:rsid w:val="00ED19EA"/>
    <w:rsid w:val="00ED2A9E"/>
    <w:rsid w:val="00ED4164"/>
    <w:rsid w:val="00ED462A"/>
    <w:rsid w:val="00ED4759"/>
    <w:rsid w:val="00ED48A8"/>
    <w:rsid w:val="00ED5134"/>
    <w:rsid w:val="00ED52D1"/>
    <w:rsid w:val="00ED610A"/>
    <w:rsid w:val="00ED74CA"/>
    <w:rsid w:val="00ED7790"/>
    <w:rsid w:val="00EE1B0F"/>
    <w:rsid w:val="00EE31CB"/>
    <w:rsid w:val="00EE3EA7"/>
    <w:rsid w:val="00EE405A"/>
    <w:rsid w:val="00EE4ADF"/>
    <w:rsid w:val="00EE4D46"/>
    <w:rsid w:val="00EE521E"/>
    <w:rsid w:val="00EE5D9E"/>
    <w:rsid w:val="00EE5ED7"/>
    <w:rsid w:val="00EE60AA"/>
    <w:rsid w:val="00EE62D7"/>
    <w:rsid w:val="00EE6542"/>
    <w:rsid w:val="00EE682F"/>
    <w:rsid w:val="00EE7374"/>
    <w:rsid w:val="00EE7510"/>
    <w:rsid w:val="00EE76E9"/>
    <w:rsid w:val="00EE7D99"/>
    <w:rsid w:val="00EF0090"/>
    <w:rsid w:val="00EF0ECC"/>
    <w:rsid w:val="00EF10F5"/>
    <w:rsid w:val="00EF22CE"/>
    <w:rsid w:val="00EF2A67"/>
    <w:rsid w:val="00EF3423"/>
    <w:rsid w:val="00EF3C9B"/>
    <w:rsid w:val="00EF3EFD"/>
    <w:rsid w:val="00EF466E"/>
    <w:rsid w:val="00EF4C56"/>
    <w:rsid w:val="00EF5173"/>
    <w:rsid w:val="00EF5644"/>
    <w:rsid w:val="00EF6F98"/>
    <w:rsid w:val="00F00C39"/>
    <w:rsid w:val="00F00C48"/>
    <w:rsid w:val="00F013FA"/>
    <w:rsid w:val="00F01D63"/>
    <w:rsid w:val="00F041B7"/>
    <w:rsid w:val="00F0471A"/>
    <w:rsid w:val="00F04A69"/>
    <w:rsid w:val="00F06544"/>
    <w:rsid w:val="00F11AF3"/>
    <w:rsid w:val="00F1299F"/>
    <w:rsid w:val="00F12B2F"/>
    <w:rsid w:val="00F1408E"/>
    <w:rsid w:val="00F15833"/>
    <w:rsid w:val="00F15A70"/>
    <w:rsid w:val="00F15F0C"/>
    <w:rsid w:val="00F1623C"/>
    <w:rsid w:val="00F1671C"/>
    <w:rsid w:val="00F170CD"/>
    <w:rsid w:val="00F17FD6"/>
    <w:rsid w:val="00F21F6B"/>
    <w:rsid w:val="00F22131"/>
    <w:rsid w:val="00F23345"/>
    <w:rsid w:val="00F2436D"/>
    <w:rsid w:val="00F25909"/>
    <w:rsid w:val="00F27657"/>
    <w:rsid w:val="00F27E10"/>
    <w:rsid w:val="00F300DC"/>
    <w:rsid w:val="00F3094E"/>
    <w:rsid w:val="00F30B7C"/>
    <w:rsid w:val="00F30DF5"/>
    <w:rsid w:val="00F32586"/>
    <w:rsid w:val="00F3262D"/>
    <w:rsid w:val="00F32A96"/>
    <w:rsid w:val="00F32ABD"/>
    <w:rsid w:val="00F32C06"/>
    <w:rsid w:val="00F34461"/>
    <w:rsid w:val="00F35471"/>
    <w:rsid w:val="00F35EB2"/>
    <w:rsid w:val="00F36251"/>
    <w:rsid w:val="00F37359"/>
    <w:rsid w:val="00F37874"/>
    <w:rsid w:val="00F37913"/>
    <w:rsid w:val="00F411D8"/>
    <w:rsid w:val="00F41DFD"/>
    <w:rsid w:val="00F439B7"/>
    <w:rsid w:val="00F457F8"/>
    <w:rsid w:val="00F45D74"/>
    <w:rsid w:val="00F46316"/>
    <w:rsid w:val="00F50383"/>
    <w:rsid w:val="00F50FA4"/>
    <w:rsid w:val="00F51193"/>
    <w:rsid w:val="00F53755"/>
    <w:rsid w:val="00F53CFF"/>
    <w:rsid w:val="00F54964"/>
    <w:rsid w:val="00F54ABF"/>
    <w:rsid w:val="00F55162"/>
    <w:rsid w:val="00F5633F"/>
    <w:rsid w:val="00F56354"/>
    <w:rsid w:val="00F5790C"/>
    <w:rsid w:val="00F60B94"/>
    <w:rsid w:val="00F61744"/>
    <w:rsid w:val="00F61C72"/>
    <w:rsid w:val="00F649E7"/>
    <w:rsid w:val="00F650CC"/>
    <w:rsid w:val="00F650F7"/>
    <w:rsid w:val="00F652CC"/>
    <w:rsid w:val="00F65442"/>
    <w:rsid w:val="00F65D63"/>
    <w:rsid w:val="00F662F8"/>
    <w:rsid w:val="00F66CB7"/>
    <w:rsid w:val="00F66EAD"/>
    <w:rsid w:val="00F6717E"/>
    <w:rsid w:val="00F67875"/>
    <w:rsid w:val="00F701CA"/>
    <w:rsid w:val="00F7181B"/>
    <w:rsid w:val="00F71AAE"/>
    <w:rsid w:val="00F7247B"/>
    <w:rsid w:val="00F738FB"/>
    <w:rsid w:val="00F73C8D"/>
    <w:rsid w:val="00F74043"/>
    <w:rsid w:val="00F763F8"/>
    <w:rsid w:val="00F763FD"/>
    <w:rsid w:val="00F76D4F"/>
    <w:rsid w:val="00F77D7D"/>
    <w:rsid w:val="00F80ADB"/>
    <w:rsid w:val="00F82414"/>
    <w:rsid w:val="00F82CFF"/>
    <w:rsid w:val="00F86726"/>
    <w:rsid w:val="00F86804"/>
    <w:rsid w:val="00F86F45"/>
    <w:rsid w:val="00F873C7"/>
    <w:rsid w:val="00F907D1"/>
    <w:rsid w:val="00F91886"/>
    <w:rsid w:val="00F92066"/>
    <w:rsid w:val="00F92127"/>
    <w:rsid w:val="00F95891"/>
    <w:rsid w:val="00F9675A"/>
    <w:rsid w:val="00F967D4"/>
    <w:rsid w:val="00F96F30"/>
    <w:rsid w:val="00FA0C87"/>
    <w:rsid w:val="00FA122B"/>
    <w:rsid w:val="00FA21C2"/>
    <w:rsid w:val="00FA26F4"/>
    <w:rsid w:val="00FA2C85"/>
    <w:rsid w:val="00FA3457"/>
    <w:rsid w:val="00FA53B2"/>
    <w:rsid w:val="00FA642C"/>
    <w:rsid w:val="00FA6F79"/>
    <w:rsid w:val="00FA6F7F"/>
    <w:rsid w:val="00FB06B4"/>
    <w:rsid w:val="00FB10BC"/>
    <w:rsid w:val="00FB1D58"/>
    <w:rsid w:val="00FB52DE"/>
    <w:rsid w:val="00FB6656"/>
    <w:rsid w:val="00FC1479"/>
    <w:rsid w:val="00FC1595"/>
    <w:rsid w:val="00FC1715"/>
    <w:rsid w:val="00FC184D"/>
    <w:rsid w:val="00FC189F"/>
    <w:rsid w:val="00FC1DF8"/>
    <w:rsid w:val="00FC230A"/>
    <w:rsid w:val="00FC28ED"/>
    <w:rsid w:val="00FC329A"/>
    <w:rsid w:val="00FC3E20"/>
    <w:rsid w:val="00FC4ABA"/>
    <w:rsid w:val="00FC505A"/>
    <w:rsid w:val="00FC51AE"/>
    <w:rsid w:val="00FC60A0"/>
    <w:rsid w:val="00FC60E9"/>
    <w:rsid w:val="00FC6BE9"/>
    <w:rsid w:val="00FC6F1E"/>
    <w:rsid w:val="00FC70F6"/>
    <w:rsid w:val="00FC7DEB"/>
    <w:rsid w:val="00FC7E1E"/>
    <w:rsid w:val="00FC7E64"/>
    <w:rsid w:val="00FD1D0E"/>
    <w:rsid w:val="00FD2A22"/>
    <w:rsid w:val="00FD37F1"/>
    <w:rsid w:val="00FD4CB2"/>
    <w:rsid w:val="00FD4ECF"/>
    <w:rsid w:val="00FD54A7"/>
    <w:rsid w:val="00FD63C8"/>
    <w:rsid w:val="00FD6B93"/>
    <w:rsid w:val="00FD7CC2"/>
    <w:rsid w:val="00FE0B44"/>
    <w:rsid w:val="00FE1711"/>
    <w:rsid w:val="00FE1728"/>
    <w:rsid w:val="00FE1AF3"/>
    <w:rsid w:val="00FE20EA"/>
    <w:rsid w:val="00FE29F8"/>
    <w:rsid w:val="00FE2B5F"/>
    <w:rsid w:val="00FE2DF8"/>
    <w:rsid w:val="00FE2E3D"/>
    <w:rsid w:val="00FE3A3D"/>
    <w:rsid w:val="00FE4697"/>
    <w:rsid w:val="00FE64EF"/>
    <w:rsid w:val="00FE6DC8"/>
    <w:rsid w:val="00FE7B2C"/>
    <w:rsid w:val="00FE7E41"/>
    <w:rsid w:val="00FF03C2"/>
    <w:rsid w:val="00FF040A"/>
    <w:rsid w:val="00FF0FC8"/>
    <w:rsid w:val="00FF0FF0"/>
    <w:rsid w:val="00FF12A0"/>
    <w:rsid w:val="00FF1F7B"/>
    <w:rsid w:val="00FF2340"/>
    <w:rsid w:val="00FF2681"/>
    <w:rsid w:val="00FF28DF"/>
    <w:rsid w:val="00FF2F34"/>
    <w:rsid w:val="00FF45CB"/>
    <w:rsid w:val="00FF4B85"/>
    <w:rsid w:val="00FF60B1"/>
    <w:rsid w:val="00FF756A"/>
    <w:rsid w:val="00FF7F85"/>
    <w:rsid w:val="01854104"/>
    <w:rsid w:val="01E101D0"/>
    <w:rsid w:val="028E1FDE"/>
    <w:rsid w:val="03432A90"/>
    <w:rsid w:val="03641628"/>
    <w:rsid w:val="036B5796"/>
    <w:rsid w:val="045A32BD"/>
    <w:rsid w:val="046E25B6"/>
    <w:rsid w:val="049970B6"/>
    <w:rsid w:val="049D4C2C"/>
    <w:rsid w:val="04D87E39"/>
    <w:rsid w:val="05A724F3"/>
    <w:rsid w:val="06203D85"/>
    <w:rsid w:val="07B0027A"/>
    <w:rsid w:val="08942C47"/>
    <w:rsid w:val="08A66A50"/>
    <w:rsid w:val="09577C6F"/>
    <w:rsid w:val="0977458F"/>
    <w:rsid w:val="09784192"/>
    <w:rsid w:val="0B1C541B"/>
    <w:rsid w:val="0BA23F50"/>
    <w:rsid w:val="0BB379DB"/>
    <w:rsid w:val="0C6A4114"/>
    <w:rsid w:val="0CB0498E"/>
    <w:rsid w:val="0D1410FB"/>
    <w:rsid w:val="0D913669"/>
    <w:rsid w:val="0ED85DE6"/>
    <w:rsid w:val="0EF3473B"/>
    <w:rsid w:val="0FA34C5A"/>
    <w:rsid w:val="0FCD7C1E"/>
    <w:rsid w:val="10F408DA"/>
    <w:rsid w:val="11212652"/>
    <w:rsid w:val="128D5FCF"/>
    <w:rsid w:val="129C3EAF"/>
    <w:rsid w:val="13185A77"/>
    <w:rsid w:val="13807DB8"/>
    <w:rsid w:val="13C46EE2"/>
    <w:rsid w:val="1432261F"/>
    <w:rsid w:val="14654C55"/>
    <w:rsid w:val="14BD7D48"/>
    <w:rsid w:val="16265023"/>
    <w:rsid w:val="16467C19"/>
    <w:rsid w:val="16A35179"/>
    <w:rsid w:val="17271D0A"/>
    <w:rsid w:val="18104A8B"/>
    <w:rsid w:val="18B87C15"/>
    <w:rsid w:val="18C87045"/>
    <w:rsid w:val="191E139B"/>
    <w:rsid w:val="195A5814"/>
    <w:rsid w:val="1AAF693D"/>
    <w:rsid w:val="1AD46E7B"/>
    <w:rsid w:val="1B00142B"/>
    <w:rsid w:val="1B5E37A7"/>
    <w:rsid w:val="1B854F4B"/>
    <w:rsid w:val="1BB34F19"/>
    <w:rsid w:val="1CA81AF1"/>
    <w:rsid w:val="1CFE2644"/>
    <w:rsid w:val="1D4F54D1"/>
    <w:rsid w:val="1DEE7143"/>
    <w:rsid w:val="1E1F181B"/>
    <w:rsid w:val="1E3E1D1F"/>
    <w:rsid w:val="1E4C3779"/>
    <w:rsid w:val="1E6747FA"/>
    <w:rsid w:val="1EC004DF"/>
    <w:rsid w:val="1EE338E6"/>
    <w:rsid w:val="1F112AB9"/>
    <w:rsid w:val="1F4B7FAB"/>
    <w:rsid w:val="1F9C4158"/>
    <w:rsid w:val="200D4023"/>
    <w:rsid w:val="20D574C2"/>
    <w:rsid w:val="21165423"/>
    <w:rsid w:val="21794576"/>
    <w:rsid w:val="21C449E0"/>
    <w:rsid w:val="21EB2363"/>
    <w:rsid w:val="2299370C"/>
    <w:rsid w:val="25494CD6"/>
    <w:rsid w:val="25D92485"/>
    <w:rsid w:val="25DF1819"/>
    <w:rsid w:val="2619040C"/>
    <w:rsid w:val="2647670C"/>
    <w:rsid w:val="26735429"/>
    <w:rsid w:val="268123F3"/>
    <w:rsid w:val="275D00BF"/>
    <w:rsid w:val="289A1F58"/>
    <w:rsid w:val="28E615BB"/>
    <w:rsid w:val="28FB727A"/>
    <w:rsid w:val="29074206"/>
    <w:rsid w:val="291D3AA8"/>
    <w:rsid w:val="298534C4"/>
    <w:rsid w:val="2A784368"/>
    <w:rsid w:val="2AD03D74"/>
    <w:rsid w:val="2B62226D"/>
    <w:rsid w:val="2BC136E3"/>
    <w:rsid w:val="2C446F8B"/>
    <w:rsid w:val="2C505229"/>
    <w:rsid w:val="2E835225"/>
    <w:rsid w:val="2EB27EC0"/>
    <w:rsid w:val="2F5A106B"/>
    <w:rsid w:val="2F9448F4"/>
    <w:rsid w:val="30375284"/>
    <w:rsid w:val="30496F47"/>
    <w:rsid w:val="3178086D"/>
    <w:rsid w:val="317921E5"/>
    <w:rsid w:val="31E0782B"/>
    <w:rsid w:val="32A52EFB"/>
    <w:rsid w:val="3304358D"/>
    <w:rsid w:val="344F559C"/>
    <w:rsid w:val="35D45970"/>
    <w:rsid w:val="36077E55"/>
    <w:rsid w:val="360D0A60"/>
    <w:rsid w:val="362B05A0"/>
    <w:rsid w:val="37556A5A"/>
    <w:rsid w:val="385A693E"/>
    <w:rsid w:val="38C347C0"/>
    <w:rsid w:val="38DF0488"/>
    <w:rsid w:val="391F56EC"/>
    <w:rsid w:val="394579D7"/>
    <w:rsid w:val="398B3DE5"/>
    <w:rsid w:val="39962694"/>
    <w:rsid w:val="3BCE4792"/>
    <w:rsid w:val="3C86504D"/>
    <w:rsid w:val="3D35415F"/>
    <w:rsid w:val="3E202FBC"/>
    <w:rsid w:val="3EE34F0E"/>
    <w:rsid w:val="3F980E6F"/>
    <w:rsid w:val="40045647"/>
    <w:rsid w:val="4008502D"/>
    <w:rsid w:val="409C6423"/>
    <w:rsid w:val="415E266F"/>
    <w:rsid w:val="41606FC2"/>
    <w:rsid w:val="41ED1222"/>
    <w:rsid w:val="421573CD"/>
    <w:rsid w:val="42DD5B93"/>
    <w:rsid w:val="43096538"/>
    <w:rsid w:val="437F6AE2"/>
    <w:rsid w:val="450A2240"/>
    <w:rsid w:val="46876FA1"/>
    <w:rsid w:val="468E018D"/>
    <w:rsid w:val="46A54DD9"/>
    <w:rsid w:val="47272999"/>
    <w:rsid w:val="472C139D"/>
    <w:rsid w:val="47A27D95"/>
    <w:rsid w:val="48CF6950"/>
    <w:rsid w:val="4A5F1C17"/>
    <w:rsid w:val="4C1419D1"/>
    <w:rsid w:val="4C706DA2"/>
    <w:rsid w:val="4CB052E1"/>
    <w:rsid w:val="4DA611DE"/>
    <w:rsid w:val="4E62780B"/>
    <w:rsid w:val="4F631562"/>
    <w:rsid w:val="4F7C5A63"/>
    <w:rsid w:val="4FD81889"/>
    <w:rsid w:val="4FF24FA4"/>
    <w:rsid w:val="500A2337"/>
    <w:rsid w:val="51137F9B"/>
    <w:rsid w:val="513E7072"/>
    <w:rsid w:val="521A0C91"/>
    <w:rsid w:val="542647CB"/>
    <w:rsid w:val="547F6269"/>
    <w:rsid w:val="549321EE"/>
    <w:rsid w:val="54FD51AA"/>
    <w:rsid w:val="559B7DC3"/>
    <w:rsid w:val="567045E4"/>
    <w:rsid w:val="56784AAC"/>
    <w:rsid w:val="568F41F9"/>
    <w:rsid w:val="56943454"/>
    <w:rsid w:val="570F05E4"/>
    <w:rsid w:val="574818F5"/>
    <w:rsid w:val="57570B39"/>
    <w:rsid w:val="585523A3"/>
    <w:rsid w:val="58CD30AC"/>
    <w:rsid w:val="596773F3"/>
    <w:rsid w:val="5A1D77A7"/>
    <w:rsid w:val="5A3868C9"/>
    <w:rsid w:val="5A432251"/>
    <w:rsid w:val="5A795A2D"/>
    <w:rsid w:val="5ADE6961"/>
    <w:rsid w:val="5B5711F8"/>
    <w:rsid w:val="5BCE6905"/>
    <w:rsid w:val="5BFD280A"/>
    <w:rsid w:val="5C2425A3"/>
    <w:rsid w:val="5C331272"/>
    <w:rsid w:val="5C6F1D59"/>
    <w:rsid w:val="5C8C4480"/>
    <w:rsid w:val="5D593E2B"/>
    <w:rsid w:val="5E9B7054"/>
    <w:rsid w:val="5F003BE4"/>
    <w:rsid w:val="5FAA473D"/>
    <w:rsid w:val="602C7DEA"/>
    <w:rsid w:val="61E0695C"/>
    <w:rsid w:val="61EE6110"/>
    <w:rsid w:val="62030B1E"/>
    <w:rsid w:val="63C73B7D"/>
    <w:rsid w:val="64010247"/>
    <w:rsid w:val="647667B3"/>
    <w:rsid w:val="64AD2336"/>
    <w:rsid w:val="6559034B"/>
    <w:rsid w:val="66514436"/>
    <w:rsid w:val="667A1AB1"/>
    <w:rsid w:val="66974DDE"/>
    <w:rsid w:val="672F4727"/>
    <w:rsid w:val="6766726F"/>
    <w:rsid w:val="687E0910"/>
    <w:rsid w:val="68B751F6"/>
    <w:rsid w:val="68CC4EC4"/>
    <w:rsid w:val="68EA2A22"/>
    <w:rsid w:val="691D12BC"/>
    <w:rsid w:val="69C36111"/>
    <w:rsid w:val="6A78711F"/>
    <w:rsid w:val="6B453C09"/>
    <w:rsid w:val="6C2F654D"/>
    <w:rsid w:val="6CDE63B2"/>
    <w:rsid w:val="6FF45561"/>
    <w:rsid w:val="70032FD9"/>
    <w:rsid w:val="70864E91"/>
    <w:rsid w:val="70BB50AD"/>
    <w:rsid w:val="70F1119B"/>
    <w:rsid w:val="71271ADC"/>
    <w:rsid w:val="717741DC"/>
    <w:rsid w:val="72B809B0"/>
    <w:rsid w:val="72C828B0"/>
    <w:rsid w:val="73437CF0"/>
    <w:rsid w:val="735F2BC6"/>
    <w:rsid w:val="73607907"/>
    <w:rsid w:val="74133BBD"/>
    <w:rsid w:val="741930DF"/>
    <w:rsid w:val="744D79B0"/>
    <w:rsid w:val="745C48E1"/>
    <w:rsid w:val="753F3DB4"/>
    <w:rsid w:val="75F64B33"/>
    <w:rsid w:val="760F610D"/>
    <w:rsid w:val="76631B0E"/>
    <w:rsid w:val="76D371B6"/>
    <w:rsid w:val="776903A4"/>
    <w:rsid w:val="78455217"/>
    <w:rsid w:val="795B613E"/>
    <w:rsid w:val="796B7F61"/>
    <w:rsid w:val="797E2694"/>
    <w:rsid w:val="7C555827"/>
    <w:rsid w:val="7C6F37F5"/>
    <w:rsid w:val="7CA17433"/>
    <w:rsid w:val="7D136E1A"/>
    <w:rsid w:val="7D4064DF"/>
    <w:rsid w:val="7D794CA2"/>
    <w:rsid w:val="7D804AB2"/>
    <w:rsid w:val="7DB45371"/>
    <w:rsid w:val="7DCB372E"/>
    <w:rsid w:val="7DF56A47"/>
    <w:rsid w:val="7EF743B9"/>
    <w:rsid w:val="7F510B0C"/>
    <w:rsid w:val="7F8F2217"/>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qFormat="1" w:unhideWhenUsed="0"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0" w:semiHidden="0" w:name="Normal Indent"/>
    <w:lsdException w:qFormat="1" w:unhideWhenUsed="0"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uiPriority="99" w:name="table of figures"/>
    <w:lsdException w:qFormat="1" w:unhideWhenUsed="0" w:uiPriority="99" w:name="envelope address"/>
    <w:lsdException w:qFormat="1" w:unhideWhenUsed="0" w:uiPriority="99" w:name="envelope return"/>
    <w:lsdException w:qFormat="1" w:unhideWhenUsed="0" w:uiPriority="99" w:name="footnote reference"/>
    <w:lsdException w:qFormat="1" w:unhideWhenUsed="0" w:uiPriority="99" w:semiHidden="0" w:name="annotation reference"/>
    <w:lsdException w:qFormat="1" w:unhideWhenUsed="0"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name="List 2"/>
    <w:lsdException w:qFormat="1" w:unhideWhenUsed="0" w:uiPriority="99" w:name="List 3"/>
    <w:lsdException w:qFormat="1" w:unhideWhenUsed="0" w:uiPriority="99" w:name="List 4"/>
    <w:lsdException w:qFormat="1" w:unhideWhenUsed="0" w:uiPriority="99" w:name="List 5"/>
    <w:lsdException w:qFormat="1" w:unhideWhenUsed="0" w:uiPriority="99" w:name="List Bullet 2"/>
    <w:lsdException w:qFormat="1" w:unhideWhenUsed="0" w:uiPriority="99" w:name="List Bullet 3"/>
    <w:lsdException w:qFormat="1" w:unhideWhenUsed="0" w:uiPriority="99" w:name="List Bullet 4"/>
    <w:lsdException w:qFormat="1" w:unhideWhenUsed="0" w:uiPriority="99" w:name="List Bullet 5"/>
    <w:lsdException w:qFormat="1" w:unhideWhenUsed="0" w:uiPriority="99" w:name="List Number 2"/>
    <w:lsdException w:qFormat="1" w:unhideWhenUsed="0" w:uiPriority="99" w:name="List Number 3"/>
    <w:lsdException w:qFormat="1" w:unhideWhenUsed="0" w:uiPriority="99" w:name="List Number 4"/>
    <w:lsdException w:qFormat="1" w:unhideWhenUsed="0" w:uiPriority="99" w:name="List Number 5"/>
    <w:lsdException w:qFormat="1" w:unhideWhenUsed="0" w:uiPriority="99" w:semiHidden="0" w:name="Title"/>
    <w:lsdException w:qFormat="1" w:unhideWhenUsed="0" w:uiPriority="99" w:name="Closing"/>
    <w:lsdException w:qFormat="1" w:unhideWhenUsed="0" w:uiPriority="99" w:name="Signature"/>
    <w:lsdException w:qFormat="1" w:uiPriority="1" w:semiHidden="0" w:name="Default Paragraph Font"/>
    <w:lsdException w:qFormat="1" w:unhideWhenUsed="0" w:uiPriority="99" w:semiHidden="0" w:name="Body Text"/>
    <w:lsdException w:qFormat="1" w:unhideWhenUsed="0" w:uiPriority="99" w:semiHidden="0" w:name="Body Text Indent"/>
    <w:lsdException w:qFormat="1" w:unhideWhenUsed="0" w:uiPriority="99" w:name="List Continue"/>
    <w:lsdException w:qFormat="1" w:unhideWhenUsed="0" w:uiPriority="99" w:name="List Continue 2"/>
    <w:lsdException w:qFormat="1" w:unhideWhenUsed="0" w:uiPriority="99" w:name="List Continue 3"/>
    <w:lsdException w:qFormat="1" w:unhideWhenUsed="0" w:uiPriority="99" w:name="List Continue 4"/>
    <w:lsdException w:qFormat="1" w:unhideWhenUsed="0" w:uiPriority="99" w:name="List Continue 5"/>
    <w:lsdException w:qFormat="1" w:unhideWhenUsed="0" w:uiPriority="99" w:name="Message Header"/>
    <w:lsdException w:qFormat="1" w:unhideWhenUsed="0" w:uiPriority="99" w:semiHidden="0" w:name="Subtitle"/>
    <w:lsdException w:qFormat="1" w:unhideWhenUsed="0" w:uiPriority="99" w:name="Salutation"/>
    <w:lsdException w:qFormat="1" w:unhideWhenUsed="0" w:uiPriority="99" w:semiHidden="0" w:name="Date"/>
    <w:lsdException w:qFormat="1" w:unhideWhenUsed="0" w:uiPriority="99" w:semiHidden="0" w:name="Body Text First Indent"/>
    <w:lsdException w:qFormat="1" w:unhideWhenUsed="0" w:uiPriority="99" w:name="Body Text First Indent 2"/>
    <w:lsdException w:qFormat="1" w:unhideWhenUsed="0" w:uiPriority="99" w:semiHidden="0"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qFormat="1" w:unhideWhenUsed="0" w:uiPriority="0" w:semiHidden="0" w:name="Plain Text"/>
    <w:lsdException w:qFormat="1" w:unhideWhenUsed="0" w:uiPriority="99" w:name="E-mail Signature"/>
    <w:lsdException w:qFormat="1" w:unhideWhenUsed="0" w:uiPriority="99" w:semiHidden="0" w:name="Normal (Web)"/>
    <w:lsdException w:qFormat="1" w:unhideWhenUsed="0" w:uiPriority="99" w:name="HTML Acronym"/>
    <w:lsdException w:qFormat="1" w:unhideWhenUsed="0" w:uiPriority="99" w:name="HTML Address"/>
    <w:lsdException w:qFormat="1" w:unhideWhenUsed="0" w:uiPriority="99" w:name="HTML Cite"/>
    <w:lsdException w:qFormat="1" w:unhideWhenUsed="0" w:uiPriority="99" w:name="HTML Code"/>
    <w:lsdException w:qFormat="1" w:unhideWhenUsed="0" w:uiPriority="99" w:name="HTML Definition"/>
    <w:lsdException w:qFormat="1" w:unhideWhenUsed="0" w:uiPriority="99" w:name="HTML Keyboard"/>
    <w:lsdException w:qFormat="1" w:unhideWhenUsed="0" w:uiPriority="99" w:semiHidden="0" w:name="HTML Preformatted"/>
    <w:lsdException w:qFormat="1" w:unhideWhenUsed="0" w:uiPriority="99" w:name="HTML Sample"/>
    <w:lsdException w:qFormat="1" w:unhideWhenUsed="0" w:uiPriority="99" w:name="HTML Typewriter"/>
    <w:lsdException w:qFormat="1" w:unhideWhenUsed="0"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94"/>
    <w:qFormat/>
    <w:uiPriority w:val="99"/>
    <w:pPr>
      <w:widowControl/>
      <w:spacing w:before="340" w:after="330" w:line="576" w:lineRule="auto"/>
      <w:outlineLvl w:val="0"/>
    </w:pPr>
    <w:rPr>
      <w:b/>
      <w:bCs/>
      <w:kern w:val="36"/>
      <w:sz w:val="44"/>
      <w:szCs w:val="44"/>
    </w:rPr>
  </w:style>
  <w:style w:type="paragraph" w:styleId="2">
    <w:name w:val="heading 2"/>
    <w:basedOn w:val="1"/>
    <w:next w:val="1"/>
    <w:link w:val="95"/>
    <w:qFormat/>
    <w:uiPriority w:val="99"/>
    <w:pPr>
      <w:widowControl/>
      <w:spacing w:before="260" w:after="260" w:line="415" w:lineRule="auto"/>
      <w:outlineLvl w:val="1"/>
    </w:pPr>
    <w:rPr>
      <w:rFonts w:ascii="Arial" w:hAnsi="Arial" w:cs="Arial"/>
      <w:b/>
      <w:bCs/>
      <w:kern w:val="0"/>
      <w:sz w:val="32"/>
      <w:szCs w:val="32"/>
    </w:rPr>
  </w:style>
  <w:style w:type="paragraph" w:styleId="4">
    <w:name w:val="heading 3"/>
    <w:basedOn w:val="1"/>
    <w:next w:val="1"/>
    <w:link w:val="96"/>
    <w:qFormat/>
    <w:uiPriority w:val="9"/>
    <w:pPr>
      <w:keepNext/>
      <w:keepLines/>
      <w:spacing w:before="260" w:after="260" w:line="416" w:lineRule="auto"/>
      <w:outlineLvl w:val="2"/>
    </w:pPr>
    <w:rPr>
      <w:b/>
      <w:bCs/>
      <w:sz w:val="32"/>
      <w:szCs w:val="32"/>
    </w:rPr>
  </w:style>
  <w:style w:type="paragraph" w:styleId="5">
    <w:name w:val="heading 4"/>
    <w:basedOn w:val="1"/>
    <w:next w:val="1"/>
    <w:link w:val="97"/>
    <w:qFormat/>
    <w:uiPriority w:val="99"/>
    <w:pPr>
      <w:keepNext/>
      <w:keepLines/>
      <w:spacing w:before="280" w:after="290" w:line="376" w:lineRule="auto"/>
      <w:outlineLvl w:val="3"/>
    </w:pPr>
    <w:rPr>
      <w:rFonts w:ascii="Arial" w:hAnsi="Arial" w:eastAsia="黑体"/>
      <w:b/>
      <w:bCs/>
      <w:sz w:val="28"/>
      <w:szCs w:val="28"/>
    </w:rPr>
  </w:style>
  <w:style w:type="paragraph" w:styleId="6">
    <w:name w:val="heading 5"/>
    <w:basedOn w:val="1"/>
    <w:next w:val="7"/>
    <w:link w:val="98"/>
    <w:qFormat/>
    <w:uiPriority w:val="99"/>
    <w:pPr>
      <w:keepNext/>
      <w:keepLines/>
      <w:tabs>
        <w:tab w:val="left" w:pos="1440"/>
      </w:tabs>
      <w:adjustRightInd w:val="0"/>
      <w:spacing w:before="120" w:after="120" w:line="377" w:lineRule="auto"/>
      <w:ind w:left="2100" w:hanging="420"/>
      <w:textAlignment w:val="baseline"/>
      <w:outlineLvl w:val="4"/>
    </w:pPr>
    <w:rPr>
      <w:b/>
      <w:kern w:val="0"/>
      <w:sz w:val="28"/>
      <w:szCs w:val="20"/>
    </w:rPr>
  </w:style>
  <w:style w:type="paragraph" w:styleId="8">
    <w:name w:val="heading 6"/>
    <w:basedOn w:val="1"/>
    <w:next w:val="1"/>
    <w:link w:val="99"/>
    <w:qFormat/>
    <w:uiPriority w:val="99"/>
    <w:pPr>
      <w:keepNext/>
      <w:tabs>
        <w:tab w:val="left" w:pos="1152"/>
      </w:tabs>
      <w:spacing w:line="320" w:lineRule="exact"/>
      <w:ind w:left="2520" w:hanging="420"/>
      <w:outlineLvl w:val="5"/>
    </w:pPr>
    <w:rPr>
      <w:sz w:val="28"/>
    </w:rPr>
  </w:style>
  <w:style w:type="paragraph" w:styleId="9">
    <w:name w:val="heading 7"/>
    <w:basedOn w:val="1"/>
    <w:next w:val="1"/>
    <w:link w:val="100"/>
    <w:qFormat/>
    <w:uiPriority w:val="99"/>
    <w:pPr>
      <w:keepNext/>
      <w:keepLines/>
      <w:tabs>
        <w:tab w:val="left" w:pos="1296"/>
      </w:tabs>
      <w:spacing w:before="240" w:after="64" w:line="320" w:lineRule="auto"/>
      <w:ind w:left="2940" w:hanging="420"/>
      <w:outlineLvl w:val="6"/>
    </w:pPr>
    <w:rPr>
      <w:b/>
      <w:bCs/>
      <w:sz w:val="24"/>
    </w:rPr>
  </w:style>
  <w:style w:type="paragraph" w:styleId="10">
    <w:name w:val="heading 8"/>
    <w:basedOn w:val="1"/>
    <w:next w:val="1"/>
    <w:link w:val="101"/>
    <w:qFormat/>
    <w:uiPriority w:val="99"/>
    <w:pPr>
      <w:keepNext/>
      <w:keepLines/>
      <w:tabs>
        <w:tab w:val="left" w:pos="0"/>
      </w:tabs>
      <w:autoSpaceDE w:val="0"/>
      <w:autoSpaceDN w:val="0"/>
      <w:adjustRightInd w:val="0"/>
      <w:spacing w:before="240" w:after="64" w:line="320" w:lineRule="atLeast"/>
      <w:ind w:left="3360" w:hanging="420"/>
      <w:textAlignment w:val="baseline"/>
      <w:outlineLvl w:val="7"/>
    </w:pPr>
    <w:rPr>
      <w:rFonts w:ascii="Arial" w:hAnsi="Arial"/>
      <w:kern w:val="0"/>
      <w:sz w:val="24"/>
      <w:szCs w:val="20"/>
    </w:rPr>
  </w:style>
  <w:style w:type="paragraph" w:styleId="11">
    <w:name w:val="heading 9"/>
    <w:basedOn w:val="1"/>
    <w:next w:val="1"/>
    <w:link w:val="102"/>
    <w:qFormat/>
    <w:uiPriority w:val="99"/>
    <w:pPr>
      <w:keepNext/>
      <w:keepLines/>
      <w:tabs>
        <w:tab w:val="left" w:pos="1584"/>
      </w:tabs>
      <w:spacing w:before="240" w:after="64" w:line="320" w:lineRule="auto"/>
      <w:ind w:left="3780" w:hanging="420"/>
      <w:outlineLvl w:val="8"/>
    </w:pPr>
    <w:rPr>
      <w:rFonts w:ascii="Arial" w:hAnsi="Arial" w:eastAsia="黑体"/>
      <w:szCs w:val="21"/>
    </w:rPr>
  </w:style>
  <w:style w:type="character" w:default="1" w:styleId="77">
    <w:name w:val="Default Paragraph Font"/>
    <w:unhideWhenUsed/>
    <w:qFormat/>
    <w:uiPriority w:val="1"/>
  </w:style>
  <w:style w:type="table" w:default="1" w:styleId="75">
    <w:name w:val="Normal Table"/>
    <w:semiHidden/>
    <w:unhideWhenUsed/>
    <w:qFormat/>
    <w:uiPriority w:val="99"/>
    <w:tblPr>
      <w:tblCellMar>
        <w:top w:w="0" w:type="dxa"/>
        <w:left w:w="108" w:type="dxa"/>
        <w:bottom w:w="0" w:type="dxa"/>
        <w:right w:w="108" w:type="dxa"/>
      </w:tblCellMar>
    </w:tblPr>
  </w:style>
  <w:style w:type="paragraph" w:styleId="7">
    <w:name w:val="Normal Indent"/>
    <w:basedOn w:val="1"/>
    <w:link w:val="184"/>
    <w:qFormat/>
    <w:uiPriority w:val="0"/>
    <w:pPr>
      <w:ind w:firstLine="420" w:firstLineChars="200"/>
    </w:pPr>
    <w:rPr>
      <w:sz w:val="24"/>
      <w:szCs w:val="20"/>
    </w:rPr>
  </w:style>
  <w:style w:type="paragraph" w:styleId="12">
    <w:name w:val="List 3"/>
    <w:basedOn w:val="1"/>
    <w:semiHidden/>
    <w:qFormat/>
    <w:uiPriority w:val="99"/>
    <w:pPr>
      <w:spacing w:line="360" w:lineRule="auto"/>
      <w:ind w:left="100" w:leftChars="400" w:hanging="200" w:hangingChars="200"/>
    </w:pPr>
    <w:rPr>
      <w:sz w:val="24"/>
    </w:rPr>
  </w:style>
  <w:style w:type="paragraph" w:styleId="13">
    <w:name w:val="toc 7"/>
    <w:basedOn w:val="1"/>
    <w:next w:val="1"/>
    <w:qFormat/>
    <w:uiPriority w:val="99"/>
    <w:pPr>
      <w:ind w:left="1260"/>
      <w:jc w:val="left"/>
    </w:pPr>
    <w:rPr>
      <w:sz w:val="18"/>
      <w:szCs w:val="18"/>
    </w:rPr>
  </w:style>
  <w:style w:type="paragraph" w:styleId="14">
    <w:name w:val="List Number 2"/>
    <w:basedOn w:val="1"/>
    <w:semiHidden/>
    <w:qFormat/>
    <w:uiPriority w:val="99"/>
    <w:pPr>
      <w:tabs>
        <w:tab w:val="left" w:pos="780"/>
      </w:tabs>
      <w:spacing w:line="360" w:lineRule="auto"/>
      <w:ind w:left="360" w:hanging="360"/>
    </w:pPr>
    <w:rPr>
      <w:sz w:val="24"/>
    </w:rPr>
  </w:style>
  <w:style w:type="paragraph" w:styleId="15">
    <w:name w:val="Note Heading"/>
    <w:basedOn w:val="1"/>
    <w:next w:val="1"/>
    <w:link w:val="107"/>
    <w:qFormat/>
    <w:uiPriority w:val="99"/>
    <w:pPr>
      <w:spacing w:line="360" w:lineRule="auto"/>
      <w:jc w:val="center"/>
    </w:pPr>
    <w:rPr>
      <w:sz w:val="24"/>
    </w:rPr>
  </w:style>
  <w:style w:type="paragraph" w:styleId="16">
    <w:name w:val="List Bullet 4"/>
    <w:basedOn w:val="1"/>
    <w:semiHidden/>
    <w:qFormat/>
    <w:uiPriority w:val="99"/>
    <w:pPr>
      <w:tabs>
        <w:tab w:val="left" w:pos="1620"/>
      </w:tabs>
      <w:spacing w:line="360" w:lineRule="auto"/>
      <w:ind w:left="360" w:hanging="360"/>
    </w:pPr>
    <w:rPr>
      <w:sz w:val="24"/>
    </w:rPr>
  </w:style>
  <w:style w:type="paragraph" w:styleId="17">
    <w:name w:val="E-mail Signature"/>
    <w:basedOn w:val="1"/>
    <w:link w:val="108"/>
    <w:semiHidden/>
    <w:qFormat/>
    <w:uiPriority w:val="99"/>
    <w:pPr>
      <w:spacing w:line="360" w:lineRule="auto"/>
    </w:pPr>
    <w:rPr>
      <w:sz w:val="24"/>
    </w:rPr>
  </w:style>
  <w:style w:type="paragraph" w:styleId="18">
    <w:name w:val="List Number"/>
    <w:basedOn w:val="1"/>
    <w:qFormat/>
    <w:uiPriority w:val="99"/>
    <w:pPr>
      <w:tabs>
        <w:tab w:val="left" w:pos="964"/>
      </w:tabs>
      <w:spacing w:before="240" w:line="240" w:lineRule="atLeast"/>
      <w:ind w:left="964" w:hanging="482"/>
      <w:jc w:val="left"/>
    </w:pPr>
    <w:rPr>
      <w:rFonts w:ascii="Arial" w:hAnsi="Arial"/>
      <w:sz w:val="24"/>
      <w:szCs w:val="20"/>
    </w:rPr>
  </w:style>
  <w:style w:type="paragraph" w:styleId="19">
    <w:name w:val="caption"/>
    <w:basedOn w:val="1"/>
    <w:next w:val="1"/>
    <w:link w:val="154"/>
    <w:qFormat/>
    <w:uiPriority w:val="99"/>
    <w:pPr>
      <w:spacing w:line="360" w:lineRule="auto"/>
      <w:ind w:firstLine="200" w:firstLineChars="200"/>
    </w:pPr>
    <w:rPr>
      <w:rFonts w:eastAsia="黑体"/>
      <w:sz w:val="20"/>
      <w:szCs w:val="20"/>
    </w:rPr>
  </w:style>
  <w:style w:type="paragraph" w:styleId="20">
    <w:name w:val="List Bullet"/>
    <w:basedOn w:val="21"/>
    <w:qFormat/>
    <w:uiPriority w:val="99"/>
    <w:pPr>
      <w:tabs>
        <w:tab w:val="left" w:pos="720"/>
      </w:tabs>
      <w:spacing w:after="160"/>
      <w:ind w:left="0" w:firstLine="0"/>
    </w:pPr>
  </w:style>
  <w:style w:type="paragraph" w:styleId="21">
    <w:name w:val="List"/>
    <w:basedOn w:val="22"/>
    <w:qFormat/>
    <w:uiPriority w:val="99"/>
    <w:pPr>
      <w:widowControl/>
      <w:tabs>
        <w:tab w:val="left" w:pos="720"/>
      </w:tabs>
      <w:overflowPunct w:val="0"/>
      <w:autoSpaceDE w:val="0"/>
      <w:autoSpaceDN w:val="0"/>
      <w:adjustRightInd w:val="0"/>
      <w:spacing w:after="80"/>
      <w:ind w:left="720" w:hanging="360"/>
      <w:jc w:val="left"/>
      <w:textAlignment w:val="baseline"/>
    </w:pPr>
    <w:rPr>
      <w:kern w:val="0"/>
      <w:sz w:val="20"/>
    </w:rPr>
  </w:style>
  <w:style w:type="paragraph" w:styleId="22">
    <w:name w:val="Body Text"/>
    <w:basedOn w:val="1"/>
    <w:link w:val="105"/>
    <w:qFormat/>
    <w:uiPriority w:val="99"/>
    <w:pPr>
      <w:spacing w:after="120"/>
    </w:pPr>
    <w:rPr>
      <w:szCs w:val="20"/>
    </w:rPr>
  </w:style>
  <w:style w:type="paragraph" w:styleId="23">
    <w:name w:val="envelope address"/>
    <w:basedOn w:val="1"/>
    <w:semiHidden/>
    <w:qFormat/>
    <w:uiPriority w:val="99"/>
    <w:pPr>
      <w:framePr w:w="7920" w:h="1980" w:hRule="exact" w:hSpace="180" w:wrap="around" w:vAnchor="margin" w:hAnchor="page" w:xAlign="center" w:yAlign="bottom"/>
      <w:snapToGrid w:val="0"/>
      <w:spacing w:line="360" w:lineRule="auto"/>
      <w:ind w:left="100" w:leftChars="1400"/>
    </w:pPr>
    <w:rPr>
      <w:rFonts w:ascii="Arial" w:hAnsi="Arial" w:cs="Arial"/>
      <w:sz w:val="24"/>
    </w:rPr>
  </w:style>
  <w:style w:type="paragraph" w:styleId="24">
    <w:name w:val="Document Map"/>
    <w:basedOn w:val="1"/>
    <w:link w:val="109"/>
    <w:qFormat/>
    <w:uiPriority w:val="99"/>
    <w:pPr>
      <w:shd w:val="clear" w:color="auto" w:fill="000080"/>
      <w:adjustRightInd w:val="0"/>
      <w:spacing w:line="312" w:lineRule="atLeast"/>
      <w:textAlignment w:val="baseline"/>
    </w:pPr>
    <w:rPr>
      <w:kern w:val="0"/>
      <w:szCs w:val="20"/>
    </w:rPr>
  </w:style>
  <w:style w:type="paragraph" w:styleId="25">
    <w:name w:val="annotation text"/>
    <w:basedOn w:val="1"/>
    <w:link w:val="103"/>
    <w:qFormat/>
    <w:uiPriority w:val="99"/>
    <w:pPr>
      <w:jc w:val="left"/>
    </w:pPr>
  </w:style>
  <w:style w:type="paragraph" w:styleId="26">
    <w:name w:val="Salutation"/>
    <w:basedOn w:val="1"/>
    <w:next w:val="1"/>
    <w:link w:val="110"/>
    <w:semiHidden/>
    <w:qFormat/>
    <w:uiPriority w:val="99"/>
    <w:pPr>
      <w:spacing w:line="360" w:lineRule="auto"/>
    </w:pPr>
    <w:rPr>
      <w:sz w:val="24"/>
    </w:rPr>
  </w:style>
  <w:style w:type="paragraph" w:styleId="27">
    <w:name w:val="Body Text 3"/>
    <w:basedOn w:val="1"/>
    <w:link w:val="111"/>
    <w:qFormat/>
    <w:uiPriority w:val="99"/>
    <w:pPr>
      <w:spacing w:line="400" w:lineRule="exact"/>
    </w:pPr>
    <w:rPr>
      <w:b/>
      <w:bCs/>
      <w:sz w:val="24"/>
    </w:rPr>
  </w:style>
  <w:style w:type="paragraph" w:styleId="28">
    <w:name w:val="Closing"/>
    <w:basedOn w:val="1"/>
    <w:link w:val="112"/>
    <w:semiHidden/>
    <w:qFormat/>
    <w:uiPriority w:val="99"/>
    <w:pPr>
      <w:spacing w:line="360" w:lineRule="auto"/>
      <w:ind w:left="100" w:leftChars="2100"/>
    </w:pPr>
    <w:rPr>
      <w:sz w:val="24"/>
    </w:rPr>
  </w:style>
  <w:style w:type="paragraph" w:styleId="29">
    <w:name w:val="List Bullet 3"/>
    <w:basedOn w:val="1"/>
    <w:semiHidden/>
    <w:qFormat/>
    <w:uiPriority w:val="99"/>
    <w:pPr>
      <w:tabs>
        <w:tab w:val="left" w:pos="1200"/>
      </w:tabs>
      <w:spacing w:line="360" w:lineRule="auto"/>
      <w:ind w:left="360" w:hanging="360"/>
    </w:pPr>
    <w:rPr>
      <w:sz w:val="24"/>
    </w:rPr>
  </w:style>
  <w:style w:type="paragraph" w:styleId="30">
    <w:name w:val="Body Text Indent"/>
    <w:basedOn w:val="1"/>
    <w:link w:val="113"/>
    <w:qFormat/>
    <w:uiPriority w:val="99"/>
    <w:pPr>
      <w:ind w:firstLine="540" w:firstLineChars="225"/>
    </w:pPr>
    <w:rPr>
      <w:sz w:val="24"/>
    </w:rPr>
  </w:style>
  <w:style w:type="paragraph" w:styleId="31">
    <w:name w:val="List Number 3"/>
    <w:basedOn w:val="1"/>
    <w:semiHidden/>
    <w:qFormat/>
    <w:uiPriority w:val="99"/>
    <w:pPr>
      <w:tabs>
        <w:tab w:val="left" w:pos="1200"/>
      </w:tabs>
      <w:spacing w:line="360" w:lineRule="auto"/>
      <w:ind w:left="360" w:hanging="360"/>
    </w:pPr>
    <w:rPr>
      <w:sz w:val="24"/>
    </w:rPr>
  </w:style>
  <w:style w:type="paragraph" w:styleId="32">
    <w:name w:val="List 2"/>
    <w:basedOn w:val="1"/>
    <w:semiHidden/>
    <w:qFormat/>
    <w:uiPriority w:val="99"/>
    <w:pPr>
      <w:spacing w:line="360" w:lineRule="auto"/>
      <w:ind w:left="100" w:leftChars="200" w:hanging="200" w:hangingChars="200"/>
    </w:pPr>
    <w:rPr>
      <w:sz w:val="24"/>
    </w:rPr>
  </w:style>
  <w:style w:type="paragraph" w:styleId="33">
    <w:name w:val="List Continue"/>
    <w:basedOn w:val="1"/>
    <w:semiHidden/>
    <w:qFormat/>
    <w:uiPriority w:val="99"/>
    <w:pPr>
      <w:spacing w:after="120" w:line="360" w:lineRule="auto"/>
      <w:ind w:left="420" w:leftChars="200"/>
    </w:pPr>
    <w:rPr>
      <w:sz w:val="24"/>
    </w:rPr>
  </w:style>
  <w:style w:type="paragraph" w:styleId="34">
    <w:name w:val="Block Text"/>
    <w:basedOn w:val="1"/>
    <w:qFormat/>
    <w:uiPriority w:val="99"/>
    <w:pPr>
      <w:autoSpaceDE w:val="0"/>
      <w:autoSpaceDN w:val="0"/>
      <w:adjustRightInd w:val="0"/>
      <w:ind w:left="11" w:right="57" w:firstLine="567"/>
    </w:pPr>
    <w:rPr>
      <w:b/>
      <w:bCs/>
      <w:kern w:val="0"/>
      <w:sz w:val="32"/>
      <w:szCs w:val="20"/>
    </w:rPr>
  </w:style>
  <w:style w:type="paragraph" w:styleId="35">
    <w:name w:val="List Bullet 2"/>
    <w:basedOn w:val="1"/>
    <w:semiHidden/>
    <w:qFormat/>
    <w:uiPriority w:val="99"/>
    <w:pPr>
      <w:tabs>
        <w:tab w:val="left" w:pos="780"/>
      </w:tabs>
      <w:spacing w:line="360" w:lineRule="auto"/>
      <w:ind w:left="360" w:hanging="360"/>
    </w:pPr>
    <w:rPr>
      <w:sz w:val="24"/>
    </w:rPr>
  </w:style>
  <w:style w:type="paragraph" w:styleId="36">
    <w:name w:val="HTML Address"/>
    <w:basedOn w:val="1"/>
    <w:link w:val="114"/>
    <w:semiHidden/>
    <w:qFormat/>
    <w:uiPriority w:val="99"/>
    <w:pPr>
      <w:spacing w:line="360" w:lineRule="auto"/>
    </w:pPr>
    <w:rPr>
      <w:i/>
      <w:iCs/>
      <w:sz w:val="24"/>
    </w:rPr>
  </w:style>
  <w:style w:type="paragraph" w:styleId="37">
    <w:name w:val="toc 5"/>
    <w:basedOn w:val="1"/>
    <w:next w:val="1"/>
    <w:qFormat/>
    <w:uiPriority w:val="99"/>
    <w:pPr>
      <w:ind w:left="840"/>
      <w:jc w:val="left"/>
    </w:pPr>
    <w:rPr>
      <w:sz w:val="18"/>
      <w:szCs w:val="18"/>
    </w:rPr>
  </w:style>
  <w:style w:type="paragraph" w:styleId="38">
    <w:name w:val="toc 3"/>
    <w:basedOn w:val="1"/>
    <w:next w:val="1"/>
    <w:qFormat/>
    <w:uiPriority w:val="99"/>
    <w:pPr>
      <w:ind w:left="420"/>
      <w:jc w:val="left"/>
    </w:pPr>
    <w:rPr>
      <w:i/>
      <w:iCs/>
      <w:sz w:val="20"/>
      <w:szCs w:val="20"/>
    </w:rPr>
  </w:style>
  <w:style w:type="paragraph" w:styleId="39">
    <w:name w:val="Plain Text"/>
    <w:basedOn w:val="1"/>
    <w:link w:val="115"/>
    <w:qFormat/>
    <w:uiPriority w:val="0"/>
    <w:rPr>
      <w:rFonts w:ascii="宋体" w:hAnsi="Courier New"/>
    </w:rPr>
  </w:style>
  <w:style w:type="paragraph" w:styleId="40">
    <w:name w:val="List Bullet 5"/>
    <w:basedOn w:val="1"/>
    <w:semiHidden/>
    <w:qFormat/>
    <w:uiPriority w:val="99"/>
    <w:pPr>
      <w:tabs>
        <w:tab w:val="left" w:pos="2040"/>
      </w:tabs>
      <w:ind w:left="2040" w:leftChars="800" w:hanging="360" w:hangingChars="200"/>
    </w:pPr>
    <w:rPr>
      <w:rFonts w:ascii="宋体" w:hAnsi="宋体"/>
      <w:sz w:val="24"/>
    </w:rPr>
  </w:style>
  <w:style w:type="paragraph" w:styleId="41">
    <w:name w:val="List Number 4"/>
    <w:basedOn w:val="1"/>
    <w:semiHidden/>
    <w:qFormat/>
    <w:uiPriority w:val="99"/>
    <w:pPr>
      <w:tabs>
        <w:tab w:val="left" w:pos="1620"/>
      </w:tabs>
      <w:spacing w:line="360" w:lineRule="auto"/>
      <w:ind w:left="360" w:hanging="360"/>
    </w:pPr>
    <w:rPr>
      <w:sz w:val="24"/>
    </w:rPr>
  </w:style>
  <w:style w:type="paragraph" w:styleId="42">
    <w:name w:val="toc 8"/>
    <w:basedOn w:val="1"/>
    <w:next w:val="1"/>
    <w:qFormat/>
    <w:uiPriority w:val="99"/>
    <w:pPr>
      <w:ind w:left="1470"/>
      <w:jc w:val="left"/>
    </w:pPr>
    <w:rPr>
      <w:sz w:val="18"/>
      <w:szCs w:val="18"/>
    </w:rPr>
  </w:style>
  <w:style w:type="paragraph" w:styleId="43">
    <w:name w:val="Date"/>
    <w:basedOn w:val="1"/>
    <w:next w:val="1"/>
    <w:link w:val="116"/>
    <w:qFormat/>
    <w:uiPriority w:val="99"/>
    <w:rPr>
      <w:sz w:val="28"/>
      <w:szCs w:val="20"/>
    </w:rPr>
  </w:style>
  <w:style w:type="paragraph" w:styleId="44">
    <w:name w:val="Body Text Indent 2"/>
    <w:basedOn w:val="1"/>
    <w:link w:val="117"/>
    <w:qFormat/>
    <w:uiPriority w:val="99"/>
    <w:pPr>
      <w:spacing w:after="120" w:line="480" w:lineRule="auto"/>
      <w:ind w:left="420" w:leftChars="200"/>
    </w:pPr>
  </w:style>
  <w:style w:type="paragraph" w:styleId="45">
    <w:name w:val="List Continue 5"/>
    <w:basedOn w:val="1"/>
    <w:semiHidden/>
    <w:qFormat/>
    <w:uiPriority w:val="99"/>
    <w:pPr>
      <w:spacing w:after="120" w:line="360" w:lineRule="auto"/>
      <w:ind w:left="2100" w:leftChars="1000"/>
    </w:pPr>
    <w:rPr>
      <w:sz w:val="24"/>
    </w:rPr>
  </w:style>
  <w:style w:type="paragraph" w:styleId="46">
    <w:name w:val="Balloon Text"/>
    <w:basedOn w:val="1"/>
    <w:link w:val="118"/>
    <w:qFormat/>
    <w:uiPriority w:val="0"/>
    <w:pPr>
      <w:spacing w:line="360" w:lineRule="auto"/>
      <w:ind w:firstLine="200" w:firstLineChars="200"/>
    </w:pPr>
    <w:rPr>
      <w:sz w:val="18"/>
      <w:szCs w:val="18"/>
    </w:rPr>
  </w:style>
  <w:style w:type="paragraph" w:styleId="47">
    <w:name w:val="footer"/>
    <w:basedOn w:val="1"/>
    <w:link w:val="119"/>
    <w:qFormat/>
    <w:uiPriority w:val="99"/>
    <w:pPr>
      <w:tabs>
        <w:tab w:val="center" w:pos="4153"/>
        <w:tab w:val="right" w:pos="8306"/>
      </w:tabs>
      <w:snapToGrid w:val="0"/>
      <w:jc w:val="left"/>
    </w:pPr>
    <w:rPr>
      <w:sz w:val="18"/>
      <w:szCs w:val="18"/>
    </w:rPr>
  </w:style>
  <w:style w:type="paragraph" w:styleId="48">
    <w:name w:val="envelope return"/>
    <w:basedOn w:val="1"/>
    <w:semiHidden/>
    <w:qFormat/>
    <w:uiPriority w:val="99"/>
    <w:pPr>
      <w:snapToGrid w:val="0"/>
      <w:spacing w:line="360" w:lineRule="auto"/>
    </w:pPr>
    <w:rPr>
      <w:rFonts w:ascii="Arial" w:hAnsi="Arial" w:cs="Arial"/>
      <w:sz w:val="24"/>
    </w:rPr>
  </w:style>
  <w:style w:type="paragraph" w:styleId="49">
    <w:name w:val="header"/>
    <w:basedOn w:val="1"/>
    <w:link w:val="121"/>
    <w:qFormat/>
    <w:uiPriority w:val="99"/>
    <w:pPr>
      <w:tabs>
        <w:tab w:val="center" w:pos="4153"/>
        <w:tab w:val="right" w:pos="8306"/>
      </w:tabs>
      <w:snapToGrid w:val="0"/>
      <w:jc w:val="center"/>
    </w:pPr>
    <w:rPr>
      <w:sz w:val="18"/>
    </w:rPr>
  </w:style>
  <w:style w:type="paragraph" w:styleId="50">
    <w:name w:val="Signature"/>
    <w:basedOn w:val="1"/>
    <w:link w:val="122"/>
    <w:semiHidden/>
    <w:qFormat/>
    <w:uiPriority w:val="99"/>
    <w:pPr>
      <w:spacing w:line="360" w:lineRule="auto"/>
      <w:ind w:left="100" w:leftChars="2100"/>
    </w:pPr>
    <w:rPr>
      <w:sz w:val="24"/>
    </w:rPr>
  </w:style>
  <w:style w:type="paragraph" w:styleId="51">
    <w:name w:val="toc 1"/>
    <w:basedOn w:val="1"/>
    <w:next w:val="1"/>
    <w:qFormat/>
    <w:uiPriority w:val="39"/>
    <w:pPr>
      <w:spacing w:before="120" w:after="120"/>
      <w:jc w:val="left"/>
    </w:pPr>
    <w:rPr>
      <w:b/>
      <w:bCs/>
      <w:caps/>
      <w:sz w:val="20"/>
      <w:szCs w:val="20"/>
    </w:rPr>
  </w:style>
  <w:style w:type="paragraph" w:styleId="52">
    <w:name w:val="List Continue 4"/>
    <w:basedOn w:val="1"/>
    <w:semiHidden/>
    <w:qFormat/>
    <w:uiPriority w:val="99"/>
    <w:pPr>
      <w:spacing w:after="120" w:line="360" w:lineRule="auto"/>
      <w:ind w:left="1680" w:leftChars="800"/>
    </w:pPr>
    <w:rPr>
      <w:sz w:val="24"/>
    </w:rPr>
  </w:style>
  <w:style w:type="paragraph" w:styleId="53">
    <w:name w:val="toc 4"/>
    <w:basedOn w:val="1"/>
    <w:next w:val="1"/>
    <w:qFormat/>
    <w:uiPriority w:val="99"/>
    <w:pPr>
      <w:ind w:left="630"/>
      <w:jc w:val="left"/>
    </w:pPr>
    <w:rPr>
      <w:sz w:val="18"/>
      <w:szCs w:val="18"/>
    </w:rPr>
  </w:style>
  <w:style w:type="paragraph" w:styleId="54">
    <w:name w:val="Subtitle"/>
    <w:basedOn w:val="1"/>
    <w:link w:val="123"/>
    <w:qFormat/>
    <w:uiPriority w:val="99"/>
    <w:pPr>
      <w:spacing w:before="240" w:after="60" w:line="312" w:lineRule="auto"/>
      <w:jc w:val="center"/>
      <w:outlineLvl w:val="1"/>
    </w:pPr>
    <w:rPr>
      <w:rFonts w:ascii="Arial" w:hAnsi="Arial" w:cs="Arial"/>
      <w:b/>
      <w:bCs/>
      <w:kern w:val="28"/>
      <w:sz w:val="32"/>
      <w:szCs w:val="32"/>
    </w:rPr>
  </w:style>
  <w:style w:type="paragraph" w:styleId="55">
    <w:name w:val="List Number 5"/>
    <w:basedOn w:val="1"/>
    <w:semiHidden/>
    <w:qFormat/>
    <w:uiPriority w:val="99"/>
    <w:pPr>
      <w:tabs>
        <w:tab w:val="left" w:pos="2040"/>
      </w:tabs>
      <w:spacing w:line="360" w:lineRule="auto"/>
      <w:ind w:left="360" w:hanging="360"/>
    </w:pPr>
    <w:rPr>
      <w:sz w:val="24"/>
    </w:rPr>
  </w:style>
  <w:style w:type="paragraph" w:styleId="56">
    <w:name w:val="footnote text"/>
    <w:basedOn w:val="1"/>
    <w:link w:val="124"/>
    <w:semiHidden/>
    <w:qFormat/>
    <w:uiPriority w:val="99"/>
    <w:pPr>
      <w:snapToGrid w:val="0"/>
      <w:jc w:val="left"/>
    </w:pPr>
    <w:rPr>
      <w:sz w:val="18"/>
      <w:szCs w:val="18"/>
    </w:rPr>
  </w:style>
  <w:style w:type="paragraph" w:styleId="57">
    <w:name w:val="toc 6"/>
    <w:basedOn w:val="1"/>
    <w:next w:val="1"/>
    <w:qFormat/>
    <w:uiPriority w:val="99"/>
    <w:pPr>
      <w:ind w:left="1050"/>
      <w:jc w:val="left"/>
    </w:pPr>
    <w:rPr>
      <w:sz w:val="18"/>
      <w:szCs w:val="18"/>
    </w:rPr>
  </w:style>
  <w:style w:type="paragraph" w:styleId="58">
    <w:name w:val="List 5"/>
    <w:basedOn w:val="1"/>
    <w:semiHidden/>
    <w:qFormat/>
    <w:uiPriority w:val="99"/>
    <w:pPr>
      <w:spacing w:line="360" w:lineRule="auto"/>
      <w:ind w:left="100" w:leftChars="800" w:hanging="200" w:hangingChars="200"/>
    </w:pPr>
    <w:rPr>
      <w:sz w:val="24"/>
    </w:rPr>
  </w:style>
  <w:style w:type="paragraph" w:styleId="59">
    <w:name w:val="Body Text Indent 3"/>
    <w:basedOn w:val="1"/>
    <w:link w:val="125"/>
    <w:qFormat/>
    <w:uiPriority w:val="99"/>
    <w:pPr>
      <w:spacing w:after="120"/>
      <w:ind w:left="420" w:leftChars="200"/>
    </w:pPr>
    <w:rPr>
      <w:sz w:val="16"/>
      <w:szCs w:val="16"/>
    </w:rPr>
  </w:style>
  <w:style w:type="paragraph" w:styleId="60">
    <w:name w:val="toc 2"/>
    <w:basedOn w:val="1"/>
    <w:next w:val="1"/>
    <w:qFormat/>
    <w:uiPriority w:val="39"/>
    <w:pPr>
      <w:ind w:left="210"/>
      <w:jc w:val="left"/>
    </w:pPr>
    <w:rPr>
      <w:smallCaps/>
      <w:sz w:val="20"/>
      <w:szCs w:val="20"/>
    </w:rPr>
  </w:style>
  <w:style w:type="paragraph" w:styleId="61">
    <w:name w:val="toc 9"/>
    <w:basedOn w:val="1"/>
    <w:next w:val="1"/>
    <w:qFormat/>
    <w:uiPriority w:val="99"/>
    <w:pPr>
      <w:ind w:left="1680"/>
      <w:jc w:val="left"/>
    </w:pPr>
    <w:rPr>
      <w:sz w:val="18"/>
      <w:szCs w:val="18"/>
    </w:rPr>
  </w:style>
  <w:style w:type="paragraph" w:styleId="62">
    <w:name w:val="Body Text 2"/>
    <w:basedOn w:val="1"/>
    <w:link w:val="126"/>
    <w:qFormat/>
    <w:uiPriority w:val="99"/>
    <w:pPr>
      <w:spacing w:after="120" w:line="480" w:lineRule="auto"/>
    </w:pPr>
  </w:style>
  <w:style w:type="paragraph" w:styleId="63">
    <w:name w:val="List 4"/>
    <w:basedOn w:val="1"/>
    <w:semiHidden/>
    <w:qFormat/>
    <w:uiPriority w:val="99"/>
    <w:pPr>
      <w:spacing w:line="360" w:lineRule="auto"/>
      <w:ind w:left="100" w:leftChars="600" w:hanging="200" w:hangingChars="200"/>
    </w:pPr>
    <w:rPr>
      <w:sz w:val="24"/>
    </w:rPr>
  </w:style>
  <w:style w:type="paragraph" w:styleId="64">
    <w:name w:val="List Continue 2"/>
    <w:basedOn w:val="1"/>
    <w:semiHidden/>
    <w:qFormat/>
    <w:uiPriority w:val="99"/>
    <w:pPr>
      <w:spacing w:after="120" w:line="360" w:lineRule="auto"/>
      <w:ind w:left="840" w:leftChars="400"/>
    </w:pPr>
    <w:rPr>
      <w:sz w:val="24"/>
    </w:rPr>
  </w:style>
  <w:style w:type="paragraph" w:styleId="65">
    <w:name w:val="Message Header"/>
    <w:basedOn w:val="1"/>
    <w:link w:val="127"/>
    <w:semiHidden/>
    <w:qFormat/>
    <w:uiPriority w:val="99"/>
    <w:pPr>
      <w:pBdr>
        <w:top w:val="single" w:color="auto" w:sz="6" w:space="1"/>
        <w:left w:val="single" w:color="auto" w:sz="6" w:space="1"/>
        <w:bottom w:val="single" w:color="auto" w:sz="6" w:space="1"/>
        <w:right w:val="single" w:color="auto" w:sz="6" w:space="1"/>
      </w:pBdr>
      <w:shd w:val="pct20" w:color="auto" w:fill="auto"/>
      <w:spacing w:line="360" w:lineRule="auto"/>
      <w:ind w:left="1080" w:leftChars="500" w:hanging="1080" w:hangingChars="500"/>
    </w:pPr>
    <w:rPr>
      <w:rFonts w:ascii="Arial" w:hAnsi="Arial" w:cs="Arial"/>
      <w:sz w:val="24"/>
    </w:rPr>
  </w:style>
  <w:style w:type="paragraph" w:styleId="66">
    <w:name w:val="HTML Preformatted"/>
    <w:basedOn w:val="1"/>
    <w:link w:val="128"/>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67">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68">
    <w:name w:val="List Continue 3"/>
    <w:basedOn w:val="1"/>
    <w:semiHidden/>
    <w:qFormat/>
    <w:uiPriority w:val="99"/>
    <w:pPr>
      <w:spacing w:after="120" w:line="360" w:lineRule="auto"/>
      <w:ind w:left="1260" w:leftChars="600"/>
    </w:pPr>
    <w:rPr>
      <w:sz w:val="24"/>
    </w:rPr>
  </w:style>
  <w:style w:type="paragraph" w:styleId="69">
    <w:name w:val="index 1"/>
    <w:basedOn w:val="1"/>
    <w:next w:val="1"/>
    <w:qFormat/>
    <w:uiPriority w:val="99"/>
    <w:pPr>
      <w:spacing w:line="700" w:lineRule="exact"/>
    </w:pPr>
    <w:rPr>
      <w:sz w:val="28"/>
      <w:szCs w:val="28"/>
    </w:rPr>
  </w:style>
  <w:style w:type="paragraph" w:styleId="70">
    <w:name w:val="index 2"/>
    <w:basedOn w:val="1"/>
    <w:next w:val="1"/>
    <w:semiHidden/>
    <w:qFormat/>
    <w:uiPriority w:val="99"/>
    <w:pPr>
      <w:tabs>
        <w:tab w:val="left" w:pos="907"/>
      </w:tabs>
      <w:adjustRightInd w:val="0"/>
      <w:spacing w:line="280" w:lineRule="exact"/>
      <w:jc w:val="center"/>
      <w:textAlignment w:val="baseline"/>
    </w:pPr>
    <w:rPr>
      <w:rFonts w:ascii="宋体" w:hAnsi="宋体"/>
      <w:color w:val="000000"/>
      <w:kern w:val="0"/>
      <w:szCs w:val="20"/>
    </w:rPr>
  </w:style>
  <w:style w:type="paragraph" w:styleId="71">
    <w:name w:val="Title"/>
    <w:basedOn w:val="1"/>
    <w:next w:val="1"/>
    <w:link w:val="129"/>
    <w:qFormat/>
    <w:uiPriority w:val="99"/>
    <w:pPr>
      <w:spacing w:before="240" w:after="60"/>
      <w:jc w:val="center"/>
      <w:outlineLvl w:val="0"/>
    </w:pPr>
    <w:rPr>
      <w:rFonts w:ascii="Arial" w:hAnsi="Arial" w:cs="Arial"/>
      <w:b/>
      <w:bCs/>
      <w:sz w:val="32"/>
      <w:szCs w:val="32"/>
    </w:rPr>
  </w:style>
  <w:style w:type="paragraph" w:styleId="72">
    <w:name w:val="annotation subject"/>
    <w:basedOn w:val="1"/>
    <w:next w:val="25"/>
    <w:link w:val="104"/>
    <w:qFormat/>
    <w:uiPriority w:val="99"/>
    <w:pPr>
      <w:jc w:val="left"/>
    </w:pPr>
    <w:rPr>
      <w:b/>
      <w:bCs/>
    </w:rPr>
  </w:style>
  <w:style w:type="paragraph" w:styleId="73">
    <w:name w:val="Body Text First Indent"/>
    <w:basedOn w:val="1"/>
    <w:link w:val="106"/>
    <w:qFormat/>
    <w:uiPriority w:val="99"/>
    <w:pPr>
      <w:spacing w:after="120" w:line="360" w:lineRule="auto"/>
      <w:ind w:firstLine="420" w:firstLineChars="100"/>
    </w:pPr>
    <w:rPr>
      <w:sz w:val="24"/>
    </w:rPr>
  </w:style>
  <w:style w:type="paragraph" w:styleId="74">
    <w:name w:val="Body Text First Indent 2"/>
    <w:basedOn w:val="30"/>
    <w:next w:val="22"/>
    <w:link w:val="120"/>
    <w:semiHidden/>
    <w:qFormat/>
    <w:uiPriority w:val="99"/>
    <w:pPr>
      <w:spacing w:after="120" w:line="360" w:lineRule="auto"/>
      <w:ind w:left="420" w:leftChars="200" w:firstLine="420" w:firstLineChars="200"/>
    </w:pPr>
  </w:style>
  <w:style w:type="table" w:styleId="76">
    <w:name w:val="Table Grid"/>
    <w:basedOn w:val="75"/>
    <w:qFormat/>
    <w:locked/>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8">
    <w:name w:val="Strong"/>
    <w:basedOn w:val="77"/>
    <w:qFormat/>
    <w:uiPriority w:val="99"/>
    <w:rPr>
      <w:rFonts w:cs="Times New Roman"/>
      <w:b/>
    </w:rPr>
  </w:style>
  <w:style w:type="character" w:styleId="79">
    <w:name w:val="page number"/>
    <w:basedOn w:val="77"/>
    <w:qFormat/>
    <w:uiPriority w:val="99"/>
    <w:rPr>
      <w:rFonts w:cs="Times New Roman"/>
    </w:rPr>
  </w:style>
  <w:style w:type="character" w:styleId="80">
    <w:name w:val="FollowedHyperlink"/>
    <w:basedOn w:val="77"/>
    <w:qFormat/>
    <w:uiPriority w:val="99"/>
    <w:rPr>
      <w:rFonts w:cs="Times New Roman"/>
      <w:color w:val="800080"/>
      <w:u w:val="single"/>
    </w:rPr>
  </w:style>
  <w:style w:type="character" w:styleId="81">
    <w:name w:val="Emphasis"/>
    <w:basedOn w:val="77"/>
    <w:qFormat/>
    <w:uiPriority w:val="99"/>
    <w:rPr>
      <w:rFonts w:cs="Times New Roman"/>
      <w:i/>
    </w:rPr>
  </w:style>
  <w:style w:type="character" w:styleId="82">
    <w:name w:val="line number"/>
    <w:basedOn w:val="77"/>
    <w:semiHidden/>
    <w:qFormat/>
    <w:uiPriority w:val="99"/>
    <w:rPr>
      <w:rFonts w:cs="Times New Roman"/>
    </w:rPr>
  </w:style>
  <w:style w:type="character" w:styleId="83">
    <w:name w:val="HTML Definition"/>
    <w:basedOn w:val="77"/>
    <w:semiHidden/>
    <w:qFormat/>
    <w:uiPriority w:val="99"/>
    <w:rPr>
      <w:rFonts w:cs="Times New Roman"/>
      <w:i/>
    </w:rPr>
  </w:style>
  <w:style w:type="character" w:styleId="84">
    <w:name w:val="HTML Typewriter"/>
    <w:basedOn w:val="77"/>
    <w:semiHidden/>
    <w:qFormat/>
    <w:uiPriority w:val="99"/>
    <w:rPr>
      <w:rFonts w:ascii="Courier New" w:hAnsi="Courier New" w:cs="Times New Roman"/>
      <w:sz w:val="20"/>
    </w:rPr>
  </w:style>
  <w:style w:type="character" w:styleId="85">
    <w:name w:val="HTML Acronym"/>
    <w:basedOn w:val="77"/>
    <w:semiHidden/>
    <w:qFormat/>
    <w:uiPriority w:val="99"/>
    <w:rPr>
      <w:rFonts w:cs="Times New Roman"/>
    </w:rPr>
  </w:style>
  <w:style w:type="character" w:styleId="86">
    <w:name w:val="HTML Variable"/>
    <w:basedOn w:val="77"/>
    <w:semiHidden/>
    <w:qFormat/>
    <w:uiPriority w:val="99"/>
    <w:rPr>
      <w:rFonts w:cs="Times New Roman"/>
      <w:i/>
    </w:rPr>
  </w:style>
  <w:style w:type="character" w:styleId="87">
    <w:name w:val="Hyperlink"/>
    <w:basedOn w:val="77"/>
    <w:qFormat/>
    <w:uiPriority w:val="99"/>
    <w:rPr>
      <w:rFonts w:cs="Times New Roman"/>
      <w:color w:val="0000FF"/>
      <w:u w:val="single"/>
    </w:rPr>
  </w:style>
  <w:style w:type="character" w:styleId="88">
    <w:name w:val="HTML Code"/>
    <w:basedOn w:val="77"/>
    <w:semiHidden/>
    <w:qFormat/>
    <w:uiPriority w:val="99"/>
    <w:rPr>
      <w:rFonts w:ascii="Courier New" w:hAnsi="Courier New" w:cs="Times New Roman"/>
      <w:sz w:val="20"/>
    </w:rPr>
  </w:style>
  <w:style w:type="character" w:styleId="89">
    <w:name w:val="annotation reference"/>
    <w:basedOn w:val="77"/>
    <w:qFormat/>
    <w:uiPriority w:val="99"/>
    <w:rPr>
      <w:rFonts w:cs="Times New Roman"/>
      <w:sz w:val="21"/>
    </w:rPr>
  </w:style>
  <w:style w:type="character" w:styleId="90">
    <w:name w:val="HTML Cite"/>
    <w:basedOn w:val="77"/>
    <w:semiHidden/>
    <w:qFormat/>
    <w:uiPriority w:val="99"/>
    <w:rPr>
      <w:rFonts w:cs="Times New Roman"/>
      <w:i/>
    </w:rPr>
  </w:style>
  <w:style w:type="character" w:styleId="91">
    <w:name w:val="footnote reference"/>
    <w:basedOn w:val="77"/>
    <w:semiHidden/>
    <w:qFormat/>
    <w:uiPriority w:val="99"/>
    <w:rPr>
      <w:rFonts w:cs="Times New Roman"/>
      <w:vertAlign w:val="superscript"/>
    </w:rPr>
  </w:style>
  <w:style w:type="character" w:styleId="92">
    <w:name w:val="HTML Keyboard"/>
    <w:basedOn w:val="77"/>
    <w:semiHidden/>
    <w:qFormat/>
    <w:uiPriority w:val="99"/>
    <w:rPr>
      <w:rFonts w:ascii="Courier New" w:hAnsi="Courier New" w:cs="Times New Roman"/>
      <w:sz w:val="20"/>
    </w:rPr>
  </w:style>
  <w:style w:type="character" w:styleId="93">
    <w:name w:val="HTML Sample"/>
    <w:basedOn w:val="77"/>
    <w:semiHidden/>
    <w:qFormat/>
    <w:uiPriority w:val="99"/>
    <w:rPr>
      <w:rFonts w:ascii="Courier New" w:hAnsi="Courier New" w:cs="Times New Roman"/>
    </w:rPr>
  </w:style>
  <w:style w:type="character" w:customStyle="1" w:styleId="94">
    <w:name w:val="标题 1 Char"/>
    <w:basedOn w:val="77"/>
    <w:link w:val="3"/>
    <w:qFormat/>
    <w:locked/>
    <w:uiPriority w:val="99"/>
    <w:rPr>
      <w:rFonts w:eastAsia="宋体" w:cs="Times New Roman"/>
      <w:b/>
      <w:kern w:val="36"/>
      <w:sz w:val="44"/>
      <w:lang w:val="en-US" w:eastAsia="zh-CN"/>
    </w:rPr>
  </w:style>
  <w:style w:type="character" w:customStyle="1" w:styleId="95">
    <w:name w:val="标题 2 Char"/>
    <w:basedOn w:val="77"/>
    <w:link w:val="2"/>
    <w:qFormat/>
    <w:locked/>
    <w:uiPriority w:val="99"/>
    <w:rPr>
      <w:rFonts w:ascii="Arial" w:hAnsi="Arial" w:eastAsia="宋体" w:cs="Times New Roman"/>
      <w:b/>
      <w:sz w:val="32"/>
      <w:lang w:val="en-US" w:eastAsia="zh-CN"/>
    </w:rPr>
  </w:style>
  <w:style w:type="character" w:customStyle="1" w:styleId="96">
    <w:name w:val="标题 3 Char1"/>
    <w:basedOn w:val="77"/>
    <w:link w:val="4"/>
    <w:qFormat/>
    <w:locked/>
    <w:uiPriority w:val="99"/>
    <w:rPr>
      <w:rFonts w:eastAsia="宋体" w:cs="Times New Roman"/>
      <w:b/>
      <w:kern w:val="2"/>
      <w:sz w:val="32"/>
      <w:lang w:val="en-US" w:eastAsia="zh-CN"/>
    </w:rPr>
  </w:style>
  <w:style w:type="character" w:customStyle="1" w:styleId="97">
    <w:name w:val="标题 4 Char1"/>
    <w:basedOn w:val="77"/>
    <w:link w:val="5"/>
    <w:semiHidden/>
    <w:qFormat/>
    <w:locked/>
    <w:uiPriority w:val="99"/>
    <w:rPr>
      <w:rFonts w:ascii="Cambria" w:hAnsi="Cambria" w:eastAsia="宋体" w:cs="Times New Roman"/>
      <w:b/>
      <w:bCs/>
      <w:sz w:val="28"/>
      <w:szCs w:val="28"/>
    </w:rPr>
  </w:style>
  <w:style w:type="character" w:customStyle="1" w:styleId="98">
    <w:name w:val="标题 5 Char"/>
    <w:basedOn w:val="77"/>
    <w:link w:val="6"/>
    <w:semiHidden/>
    <w:qFormat/>
    <w:locked/>
    <w:uiPriority w:val="99"/>
    <w:rPr>
      <w:rFonts w:cs="Times New Roman"/>
      <w:b/>
      <w:bCs/>
      <w:sz w:val="28"/>
      <w:szCs w:val="28"/>
    </w:rPr>
  </w:style>
  <w:style w:type="character" w:customStyle="1" w:styleId="99">
    <w:name w:val="标题 6 Char"/>
    <w:basedOn w:val="77"/>
    <w:link w:val="8"/>
    <w:semiHidden/>
    <w:qFormat/>
    <w:locked/>
    <w:uiPriority w:val="99"/>
    <w:rPr>
      <w:rFonts w:ascii="Cambria" w:hAnsi="Cambria" w:eastAsia="宋体" w:cs="Times New Roman"/>
      <w:b/>
      <w:bCs/>
      <w:sz w:val="24"/>
      <w:szCs w:val="24"/>
    </w:rPr>
  </w:style>
  <w:style w:type="character" w:customStyle="1" w:styleId="100">
    <w:name w:val="标题 7 Char"/>
    <w:basedOn w:val="77"/>
    <w:link w:val="9"/>
    <w:semiHidden/>
    <w:qFormat/>
    <w:locked/>
    <w:uiPriority w:val="99"/>
    <w:rPr>
      <w:rFonts w:cs="Times New Roman"/>
      <w:b/>
      <w:bCs/>
      <w:sz w:val="24"/>
      <w:szCs w:val="24"/>
    </w:rPr>
  </w:style>
  <w:style w:type="character" w:customStyle="1" w:styleId="101">
    <w:name w:val="标题 8 Char"/>
    <w:basedOn w:val="77"/>
    <w:link w:val="10"/>
    <w:semiHidden/>
    <w:qFormat/>
    <w:locked/>
    <w:uiPriority w:val="99"/>
    <w:rPr>
      <w:rFonts w:ascii="Cambria" w:hAnsi="Cambria" w:eastAsia="宋体" w:cs="Times New Roman"/>
      <w:sz w:val="24"/>
      <w:szCs w:val="24"/>
    </w:rPr>
  </w:style>
  <w:style w:type="character" w:customStyle="1" w:styleId="102">
    <w:name w:val="标题 9 Char"/>
    <w:basedOn w:val="77"/>
    <w:link w:val="11"/>
    <w:semiHidden/>
    <w:qFormat/>
    <w:locked/>
    <w:uiPriority w:val="99"/>
    <w:rPr>
      <w:rFonts w:ascii="Cambria" w:hAnsi="Cambria" w:eastAsia="宋体" w:cs="Times New Roman"/>
      <w:sz w:val="21"/>
      <w:szCs w:val="21"/>
    </w:rPr>
  </w:style>
  <w:style w:type="character" w:customStyle="1" w:styleId="103">
    <w:name w:val="批注文字 Char"/>
    <w:basedOn w:val="77"/>
    <w:link w:val="25"/>
    <w:semiHidden/>
    <w:qFormat/>
    <w:locked/>
    <w:uiPriority w:val="99"/>
    <w:rPr>
      <w:rFonts w:cs="Times New Roman"/>
      <w:sz w:val="24"/>
      <w:szCs w:val="24"/>
    </w:rPr>
  </w:style>
  <w:style w:type="character" w:customStyle="1" w:styleId="104">
    <w:name w:val="批注主题 Char"/>
    <w:basedOn w:val="103"/>
    <w:link w:val="72"/>
    <w:semiHidden/>
    <w:qFormat/>
    <w:locked/>
    <w:uiPriority w:val="99"/>
    <w:rPr>
      <w:rFonts w:cs="Times New Roman"/>
      <w:b/>
      <w:bCs/>
      <w:sz w:val="24"/>
      <w:szCs w:val="24"/>
    </w:rPr>
  </w:style>
  <w:style w:type="character" w:customStyle="1" w:styleId="105">
    <w:name w:val="正文文本 Char"/>
    <w:basedOn w:val="77"/>
    <w:link w:val="22"/>
    <w:qFormat/>
    <w:locked/>
    <w:uiPriority w:val="99"/>
    <w:rPr>
      <w:rFonts w:cs="Times New Roman"/>
      <w:kern w:val="2"/>
      <w:sz w:val="21"/>
    </w:rPr>
  </w:style>
  <w:style w:type="character" w:customStyle="1" w:styleId="106">
    <w:name w:val="正文首行缩进 Char1"/>
    <w:basedOn w:val="105"/>
    <w:link w:val="73"/>
    <w:qFormat/>
    <w:locked/>
    <w:uiPriority w:val="99"/>
    <w:rPr>
      <w:rFonts w:eastAsia="宋体" w:cs="Times New Roman"/>
      <w:kern w:val="2"/>
      <w:sz w:val="24"/>
      <w:lang w:val="en-US" w:eastAsia="zh-CN"/>
    </w:rPr>
  </w:style>
  <w:style w:type="character" w:customStyle="1" w:styleId="107">
    <w:name w:val="注释标题 Char"/>
    <w:basedOn w:val="77"/>
    <w:link w:val="15"/>
    <w:semiHidden/>
    <w:qFormat/>
    <w:locked/>
    <w:uiPriority w:val="99"/>
    <w:rPr>
      <w:rFonts w:cs="Times New Roman"/>
      <w:sz w:val="24"/>
      <w:szCs w:val="24"/>
    </w:rPr>
  </w:style>
  <w:style w:type="character" w:customStyle="1" w:styleId="108">
    <w:name w:val="电子邮件签名 Char"/>
    <w:basedOn w:val="77"/>
    <w:link w:val="17"/>
    <w:semiHidden/>
    <w:qFormat/>
    <w:locked/>
    <w:uiPriority w:val="99"/>
    <w:rPr>
      <w:rFonts w:cs="Times New Roman"/>
      <w:sz w:val="24"/>
      <w:szCs w:val="24"/>
    </w:rPr>
  </w:style>
  <w:style w:type="character" w:customStyle="1" w:styleId="109">
    <w:name w:val="文档结构图 Char"/>
    <w:basedOn w:val="77"/>
    <w:link w:val="24"/>
    <w:qFormat/>
    <w:locked/>
    <w:uiPriority w:val="99"/>
    <w:rPr>
      <w:rFonts w:cs="Times New Roman"/>
      <w:sz w:val="21"/>
      <w:shd w:val="clear" w:color="auto" w:fill="000080"/>
    </w:rPr>
  </w:style>
  <w:style w:type="character" w:customStyle="1" w:styleId="110">
    <w:name w:val="称呼 Char"/>
    <w:basedOn w:val="77"/>
    <w:link w:val="26"/>
    <w:semiHidden/>
    <w:qFormat/>
    <w:locked/>
    <w:uiPriority w:val="99"/>
    <w:rPr>
      <w:rFonts w:cs="Times New Roman"/>
      <w:sz w:val="24"/>
      <w:szCs w:val="24"/>
    </w:rPr>
  </w:style>
  <w:style w:type="character" w:customStyle="1" w:styleId="111">
    <w:name w:val="正文文本 3 Char"/>
    <w:basedOn w:val="77"/>
    <w:link w:val="27"/>
    <w:semiHidden/>
    <w:qFormat/>
    <w:locked/>
    <w:uiPriority w:val="99"/>
    <w:rPr>
      <w:rFonts w:cs="Times New Roman"/>
      <w:sz w:val="16"/>
      <w:szCs w:val="16"/>
    </w:rPr>
  </w:style>
  <w:style w:type="character" w:customStyle="1" w:styleId="112">
    <w:name w:val="结束语 Char"/>
    <w:basedOn w:val="77"/>
    <w:link w:val="28"/>
    <w:semiHidden/>
    <w:qFormat/>
    <w:locked/>
    <w:uiPriority w:val="99"/>
    <w:rPr>
      <w:rFonts w:cs="Times New Roman"/>
      <w:sz w:val="24"/>
      <w:szCs w:val="24"/>
    </w:rPr>
  </w:style>
  <w:style w:type="character" w:customStyle="1" w:styleId="113">
    <w:name w:val="正文文本缩进 Char"/>
    <w:basedOn w:val="77"/>
    <w:link w:val="30"/>
    <w:semiHidden/>
    <w:qFormat/>
    <w:locked/>
    <w:uiPriority w:val="99"/>
    <w:rPr>
      <w:rFonts w:cs="Times New Roman"/>
      <w:sz w:val="24"/>
      <w:szCs w:val="24"/>
    </w:rPr>
  </w:style>
  <w:style w:type="character" w:customStyle="1" w:styleId="114">
    <w:name w:val="HTML 地址 Char"/>
    <w:basedOn w:val="77"/>
    <w:link w:val="36"/>
    <w:semiHidden/>
    <w:qFormat/>
    <w:locked/>
    <w:uiPriority w:val="99"/>
    <w:rPr>
      <w:rFonts w:cs="Times New Roman"/>
      <w:i/>
      <w:iCs/>
      <w:sz w:val="24"/>
      <w:szCs w:val="24"/>
    </w:rPr>
  </w:style>
  <w:style w:type="character" w:customStyle="1" w:styleId="115">
    <w:name w:val="纯文本 Char"/>
    <w:basedOn w:val="77"/>
    <w:link w:val="39"/>
    <w:qFormat/>
    <w:locked/>
    <w:uiPriority w:val="0"/>
    <w:rPr>
      <w:rFonts w:ascii="宋体" w:hAnsi="Courier New" w:cs="Times New Roman"/>
      <w:kern w:val="2"/>
      <w:sz w:val="24"/>
    </w:rPr>
  </w:style>
  <w:style w:type="character" w:customStyle="1" w:styleId="116">
    <w:name w:val="日期 Char"/>
    <w:basedOn w:val="77"/>
    <w:link w:val="43"/>
    <w:qFormat/>
    <w:locked/>
    <w:uiPriority w:val="99"/>
    <w:rPr>
      <w:rFonts w:cs="Times New Roman"/>
      <w:kern w:val="2"/>
      <w:sz w:val="28"/>
    </w:rPr>
  </w:style>
  <w:style w:type="character" w:customStyle="1" w:styleId="117">
    <w:name w:val="正文文本缩进 2 Char"/>
    <w:basedOn w:val="77"/>
    <w:link w:val="44"/>
    <w:qFormat/>
    <w:locked/>
    <w:uiPriority w:val="99"/>
    <w:rPr>
      <w:rFonts w:cs="Times New Roman"/>
      <w:kern w:val="2"/>
      <w:sz w:val="24"/>
    </w:rPr>
  </w:style>
  <w:style w:type="character" w:customStyle="1" w:styleId="118">
    <w:name w:val="批注框文本 Char"/>
    <w:basedOn w:val="77"/>
    <w:link w:val="46"/>
    <w:qFormat/>
    <w:locked/>
    <w:uiPriority w:val="0"/>
    <w:rPr>
      <w:rFonts w:eastAsia="宋体" w:cs="Times New Roman"/>
      <w:kern w:val="2"/>
      <w:sz w:val="18"/>
      <w:lang w:val="en-US" w:eastAsia="zh-CN"/>
    </w:rPr>
  </w:style>
  <w:style w:type="character" w:customStyle="1" w:styleId="119">
    <w:name w:val="页脚 Char"/>
    <w:basedOn w:val="77"/>
    <w:link w:val="47"/>
    <w:qFormat/>
    <w:locked/>
    <w:uiPriority w:val="99"/>
    <w:rPr>
      <w:rFonts w:cs="Times New Roman"/>
      <w:kern w:val="2"/>
      <w:sz w:val="18"/>
    </w:rPr>
  </w:style>
  <w:style w:type="character" w:customStyle="1" w:styleId="120">
    <w:name w:val="正文首行缩进 2 Char"/>
    <w:basedOn w:val="113"/>
    <w:link w:val="74"/>
    <w:semiHidden/>
    <w:qFormat/>
    <w:locked/>
    <w:uiPriority w:val="99"/>
    <w:rPr>
      <w:rFonts w:cs="Times New Roman"/>
      <w:sz w:val="24"/>
      <w:szCs w:val="24"/>
    </w:rPr>
  </w:style>
  <w:style w:type="character" w:customStyle="1" w:styleId="121">
    <w:name w:val="页眉 Char"/>
    <w:basedOn w:val="77"/>
    <w:link w:val="49"/>
    <w:qFormat/>
    <w:locked/>
    <w:uiPriority w:val="99"/>
    <w:rPr>
      <w:rFonts w:cs="Times New Roman"/>
      <w:kern w:val="2"/>
      <w:sz w:val="24"/>
    </w:rPr>
  </w:style>
  <w:style w:type="character" w:customStyle="1" w:styleId="122">
    <w:name w:val="签名 Char"/>
    <w:basedOn w:val="77"/>
    <w:link w:val="50"/>
    <w:semiHidden/>
    <w:qFormat/>
    <w:locked/>
    <w:uiPriority w:val="99"/>
    <w:rPr>
      <w:rFonts w:cs="Times New Roman"/>
      <w:sz w:val="24"/>
      <w:szCs w:val="24"/>
    </w:rPr>
  </w:style>
  <w:style w:type="character" w:customStyle="1" w:styleId="123">
    <w:name w:val="副标题 Char"/>
    <w:basedOn w:val="77"/>
    <w:link w:val="54"/>
    <w:qFormat/>
    <w:locked/>
    <w:uiPriority w:val="99"/>
    <w:rPr>
      <w:rFonts w:ascii="Cambria" w:hAnsi="Cambria" w:cs="Times New Roman"/>
      <w:b/>
      <w:bCs/>
      <w:kern w:val="28"/>
      <w:sz w:val="32"/>
      <w:szCs w:val="32"/>
    </w:rPr>
  </w:style>
  <w:style w:type="character" w:customStyle="1" w:styleId="124">
    <w:name w:val="脚注文本 Char"/>
    <w:basedOn w:val="77"/>
    <w:link w:val="56"/>
    <w:semiHidden/>
    <w:qFormat/>
    <w:locked/>
    <w:uiPriority w:val="99"/>
    <w:rPr>
      <w:rFonts w:cs="Times New Roman"/>
      <w:sz w:val="18"/>
      <w:szCs w:val="18"/>
    </w:rPr>
  </w:style>
  <w:style w:type="character" w:customStyle="1" w:styleId="125">
    <w:name w:val="正文文本缩进 3 Char"/>
    <w:basedOn w:val="77"/>
    <w:link w:val="59"/>
    <w:semiHidden/>
    <w:qFormat/>
    <w:locked/>
    <w:uiPriority w:val="99"/>
    <w:rPr>
      <w:rFonts w:cs="Times New Roman"/>
      <w:sz w:val="16"/>
      <w:szCs w:val="16"/>
    </w:rPr>
  </w:style>
  <w:style w:type="character" w:customStyle="1" w:styleId="126">
    <w:name w:val="正文文本 2 Char"/>
    <w:basedOn w:val="77"/>
    <w:link w:val="62"/>
    <w:semiHidden/>
    <w:qFormat/>
    <w:locked/>
    <w:uiPriority w:val="99"/>
    <w:rPr>
      <w:rFonts w:cs="Times New Roman"/>
      <w:sz w:val="24"/>
      <w:szCs w:val="24"/>
    </w:rPr>
  </w:style>
  <w:style w:type="character" w:customStyle="1" w:styleId="127">
    <w:name w:val="信息标题 Char"/>
    <w:basedOn w:val="77"/>
    <w:link w:val="65"/>
    <w:semiHidden/>
    <w:qFormat/>
    <w:locked/>
    <w:uiPriority w:val="99"/>
    <w:rPr>
      <w:rFonts w:ascii="Cambria" w:hAnsi="Cambria" w:eastAsia="宋体" w:cs="Times New Roman"/>
      <w:sz w:val="24"/>
      <w:szCs w:val="24"/>
      <w:shd w:val="pct20" w:color="auto" w:fill="auto"/>
    </w:rPr>
  </w:style>
  <w:style w:type="character" w:customStyle="1" w:styleId="128">
    <w:name w:val="HTML 预设格式 Char"/>
    <w:basedOn w:val="77"/>
    <w:link w:val="66"/>
    <w:qFormat/>
    <w:locked/>
    <w:uiPriority w:val="99"/>
    <w:rPr>
      <w:rFonts w:ascii="宋体" w:eastAsia="宋体" w:cs="Times New Roman"/>
      <w:sz w:val="24"/>
    </w:rPr>
  </w:style>
  <w:style w:type="character" w:customStyle="1" w:styleId="129">
    <w:name w:val="标题 Char"/>
    <w:basedOn w:val="77"/>
    <w:link w:val="71"/>
    <w:qFormat/>
    <w:locked/>
    <w:uiPriority w:val="99"/>
    <w:rPr>
      <w:rFonts w:ascii="Cambria" w:hAnsi="Cambria" w:cs="Times New Roman"/>
      <w:b/>
      <w:bCs/>
      <w:sz w:val="32"/>
      <w:szCs w:val="32"/>
    </w:rPr>
  </w:style>
  <w:style w:type="character" w:customStyle="1" w:styleId="130">
    <w:name w:val="强调1"/>
    <w:qFormat/>
    <w:uiPriority w:val="99"/>
    <w:rPr>
      <w:i/>
    </w:rPr>
  </w:style>
  <w:style w:type="character" w:customStyle="1" w:styleId="131">
    <w:name w:val="正文001 Char"/>
    <w:link w:val="132"/>
    <w:qFormat/>
    <w:locked/>
    <w:uiPriority w:val="99"/>
    <w:rPr>
      <w:rFonts w:ascii="Arial" w:hAnsi="Arial" w:eastAsia="宋体"/>
      <w:kern w:val="2"/>
      <w:sz w:val="24"/>
      <w:lang w:val="en-US" w:eastAsia="zh-CN"/>
    </w:rPr>
  </w:style>
  <w:style w:type="paragraph" w:customStyle="1" w:styleId="132">
    <w:name w:val="正文001"/>
    <w:basedOn w:val="1"/>
    <w:link w:val="131"/>
    <w:qFormat/>
    <w:uiPriority w:val="99"/>
    <w:pPr>
      <w:spacing w:before="60" w:line="360" w:lineRule="auto"/>
      <w:ind w:firstLine="200" w:firstLineChars="200"/>
    </w:pPr>
    <w:rPr>
      <w:rFonts w:ascii="Arial" w:hAnsi="Arial"/>
      <w:sz w:val="24"/>
      <w:szCs w:val="20"/>
    </w:rPr>
  </w:style>
  <w:style w:type="character" w:customStyle="1" w:styleId="133">
    <w:name w:val="ft40"/>
    <w:basedOn w:val="77"/>
    <w:qFormat/>
    <w:uiPriority w:val="99"/>
    <w:rPr>
      <w:rFonts w:cs="Times New Roman"/>
    </w:rPr>
  </w:style>
  <w:style w:type="character" w:customStyle="1" w:styleId="134">
    <w:name w:val="ft18"/>
    <w:basedOn w:val="77"/>
    <w:qFormat/>
    <w:uiPriority w:val="99"/>
    <w:rPr>
      <w:rFonts w:cs="Times New Roman"/>
    </w:rPr>
  </w:style>
  <w:style w:type="character" w:customStyle="1" w:styleId="135">
    <w:name w:val="ft4"/>
    <w:basedOn w:val="77"/>
    <w:qFormat/>
    <w:uiPriority w:val="99"/>
    <w:rPr>
      <w:rFonts w:cs="Times New Roman"/>
    </w:rPr>
  </w:style>
  <w:style w:type="character" w:customStyle="1" w:styleId="136">
    <w:name w:val="ft14"/>
    <w:basedOn w:val="77"/>
    <w:qFormat/>
    <w:uiPriority w:val="99"/>
    <w:rPr>
      <w:rFonts w:cs="Times New Roman"/>
    </w:rPr>
  </w:style>
  <w:style w:type="character" w:customStyle="1" w:styleId="137">
    <w:name w:val="ft25"/>
    <w:basedOn w:val="77"/>
    <w:qFormat/>
    <w:uiPriority w:val="99"/>
    <w:rPr>
      <w:rFonts w:cs="Times New Roman"/>
    </w:rPr>
  </w:style>
  <w:style w:type="character" w:customStyle="1" w:styleId="138">
    <w:name w:val="职业"/>
    <w:qFormat/>
    <w:uiPriority w:val="99"/>
    <w:rPr>
      <w:i/>
    </w:rPr>
  </w:style>
  <w:style w:type="character" w:customStyle="1" w:styleId="139">
    <w:name w:val="标题 3 Char"/>
    <w:qFormat/>
    <w:uiPriority w:val="9"/>
    <w:rPr>
      <w:rFonts w:eastAsia="黑体"/>
      <w:spacing w:val="4"/>
      <w:sz w:val="28"/>
      <w:lang w:val="en-US" w:eastAsia="zh-CN"/>
    </w:rPr>
  </w:style>
  <w:style w:type="character" w:customStyle="1" w:styleId="140">
    <w:name w:val="ft17"/>
    <w:basedOn w:val="77"/>
    <w:qFormat/>
    <w:uiPriority w:val="99"/>
    <w:rPr>
      <w:rFonts w:cs="Times New Roman"/>
    </w:rPr>
  </w:style>
  <w:style w:type="character" w:customStyle="1" w:styleId="141">
    <w:name w:val="ft29"/>
    <w:basedOn w:val="77"/>
    <w:qFormat/>
    <w:uiPriority w:val="99"/>
    <w:rPr>
      <w:rFonts w:cs="Times New Roman"/>
    </w:rPr>
  </w:style>
  <w:style w:type="character" w:customStyle="1" w:styleId="142">
    <w:name w:val="ft24"/>
    <w:basedOn w:val="77"/>
    <w:qFormat/>
    <w:uiPriority w:val="99"/>
    <w:rPr>
      <w:rFonts w:cs="Times New Roman"/>
    </w:rPr>
  </w:style>
  <w:style w:type="character" w:customStyle="1" w:styleId="143">
    <w:name w:val="题注（图、表） Char"/>
    <w:link w:val="144"/>
    <w:qFormat/>
    <w:locked/>
    <w:uiPriority w:val="99"/>
    <w:rPr>
      <w:rFonts w:ascii="Arial" w:hAnsi="Arial" w:eastAsia="黑体"/>
      <w:kern w:val="2"/>
      <w:sz w:val="21"/>
      <w:lang w:val="en-US" w:eastAsia="zh-CN"/>
    </w:rPr>
  </w:style>
  <w:style w:type="paragraph" w:customStyle="1" w:styleId="144">
    <w:name w:val="题注（图、表）"/>
    <w:basedOn w:val="1"/>
    <w:link w:val="143"/>
    <w:qFormat/>
    <w:uiPriority w:val="99"/>
    <w:pPr>
      <w:adjustRightInd w:val="0"/>
      <w:snapToGrid w:val="0"/>
      <w:spacing w:before="160" w:after="156" w:line="400" w:lineRule="exact"/>
      <w:jc w:val="center"/>
    </w:pPr>
    <w:rPr>
      <w:rFonts w:ascii="Arial" w:hAnsi="Arial" w:eastAsia="黑体"/>
      <w:szCs w:val="20"/>
    </w:rPr>
  </w:style>
  <w:style w:type="character" w:customStyle="1" w:styleId="145">
    <w:name w:val="图表标题 Char"/>
    <w:link w:val="146"/>
    <w:qFormat/>
    <w:locked/>
    <w:uiPriority w:val="99"/>
    <w:rPr>
      <w:rFonts w:eastAsia="黑体"/>
      <w:kern w:val="2"/>
      <w:sz w:val="24"/>
      <w:lang w:val="en-US" w:eastAsia="zh-CN"/>
    </w:rPr>
  </w:style>
  <w:style w:type="paragraph" w:customStyle="1" w:styleId="146">
    <w:name w:val="图表标题"/>
    <w:basedOn w:val="19"/>
    <w:link w:val="145"/>
    <w:qFormat/>
    <w:uiPriority w:val="99"/>
    <w:pPr>
      <w:spacing w:line="600" w:lineRule="exact"/>
      <w:ind w:firstLine="0" w:firstLineChars="0"/>
      <w:jc w:val="center"/>
    </w:pPr>
    <w:rPr>
      <w:sz w:val="24"/>
    </w:rPr>
  </w:style>
  <w:style w:type="character" w:customStyle="1" w:styleId="147">
    <w:name w:val="表表题 Char"/>
    <w:link w:val="148"/>
    <w:qFormat/>
    <w:locked/>
    <w:uiPriority w:val="99"/>
    <w:rPr>
      <w:rFonts w:ascii="Arial" w:hAnsi="Arial" w:eastAsia="宋体"/>
      <w:sz w:val="24"/>
      <w:lang w:val="en-US" w:eastAsia="zh-CN"/>
    </w:rPr>
  </w:style>
  <w:style w:type="paragraph" w:customStyle="1" w:styleId="148">
    <w:name w:val="表表题"/>
    <w:basedOn w:val="1"/>
    <w:link w:val="147"/>
    <w:qFormat/>
    <w:uiPriority w:val="99"/>
    <w:pPr>
      <w:spacing w:before="120"/>
      <w:jc w:val="center"/>
    </w:pPr>
    <w:rPr>
      <w:rFonts w:ascii="Arial" w:hAnsi="Arial"/>
      <w:kern w:val="0"/>
      <w:sz w:val="24"/>
      <w:szCs w:val="20"/>
    </w:rPr>
  </w:style>
  <w:style w:type="character" w:customStyle="1" w:styleId="149">
    <w:name w:val="段落 Char Char"/>
    <w:qFormat/>
    <w:uiPriority w:val="99"/>
    <w:rPr>
      <w:rFonts w:eastAsia="宋体"/>
      <w:spacing w:val="6"/>
      <w:kern w:val="24"/>
      <w:sz w:val="24"/>
      <w:lang w:val="en-US" w:eastAsia="zh-CN"/>
    </w:rPr>
  </w:style>
  <w:style w:type="character" w:customStyle="1" w:styleId="150">
    <w:name w:val="标题2 Char"/>
    <w:link w:val="151"/>
    <w:qFormat/>
    <w:locked/>
    <w:uiPriority w:val="99"/>
    <w:rPr>
      <w:rFonts w:eastAsia="宋体"/>
      <w:b/>
      <w:kern w:val="36"/>
      <w:sz w:val="44"/>
      <w:lang w:val="en-US" w:eastAsia="zh-CN"/>
    </w:rPr>
  </w:style>
  <w:style w:type="paragraph" w:customStyle="1" w:styleId="151">
    <w:name w:val="标题2"/>
    <w:basedOn w:val="3"/>
    <w:link w:val="150"/>
    <w:qFormat/>
    <w:uiPriority w:val="99"/>
    <w:pPr>
      <w:keepNext/>
      <w:keepLines/>
      <w:widowControl w:val="0"/>
      <w:spacing w:line="578" w:lineRule="auto"/>
    </w:pPr>
    <w:rPr>
      <w:bCs w:val="0"/>
      <w:szCs w:val="20"/>
    </w:rPr>
  </w:style>
  <w:style w:type="character" w:customStyle="1" w:styleId="152">
    <w:name w:val="t12deegreyline1"/>
    <w:qFormat/>
    <w:uiPriority w:val="99"/>
    <w:rPr>
      <w:rFonts w:ascii="??" w:hAnsi="??"/>
      <w:color w:val="333333"/>
      <w:sz w:val="24"/>
      <w:u w:val="none"/>
    </w:rPr>
  </w:style>
  <w:style w:type="character" w:customStyle="1" w:styleId="153">
    <w:name w:val="ft20"/>
    <w:basedOn w:val="77"/>
    <w:qFormat/>
    <w:uiPriority w:val="99"/>
    <w:rPr>
      <w:rFonts w:cs="Times New Roman"/>
    </w:rPr>
  </w:style>
  <w:style w:type="character" w:customStyle="1" w:styleId="154">
    <w:name w:val="题注 Char1"/>
    <w:link w:val="19"/>
    <w:qFormat/>
    <w:locked/>
    <w:uiPriority w:val="99"/>
    <w:rPr>
      <w:rFonts w:eastAsia="黑体"/>
      <w:kern w:val="2"/>
      <w:lang w:val="en-US" w:eastAsia="zh-CN"/>
    </w:rPr>
  </w:style>
  <w:style w:type="character" w:customStyle="1" w:styleId="155">
    <w:name w:val="ft34"/>
    <w:basedOn w:val="77"/>
    <w:qFormat/>
    <w:uiPriority w:val="99"/>
    <w:rPr>
      <w:rFonts w:cs="Times New Roman"/>
    </w:rPr>
  </w:style>
  <w:style w:type="character" w:customStyle="1" w:styleId="156">
    <w:name w:val="ft11"/>
    <w:basedOn w:val="77"/>
    <w:qFormat/>
    <w:uiPriority w:val="99"/>
    <w:rPr>
      <w:rFonts w:cs="Times New Roman"/>
    </w:rPr>
  </w:style>
  <w:style w:type="character" w:customStyle="1" w:styleId="157">
    <w:name w:val="ft27"/>
    <w:basedOn w:val="77"/>
    <w:qFormat/>
    <w:uiPriority w:val="99"/>
    <w:rPr>
      <w:rFonts w:cs="Times New Roman"/>
    </w:rPr>
  </w:style>
  <w:style w:type="character" w:customStyle="1" w:styleId="158">
    <w:name w:val="ft23"/>
    <w:basedOn w:val="77"/>
    <w:qFormat/>
    <w:uiPriority w:val="99"/>
    <w:rPr>
      <w:rFonts w:cs="Times New Roman"/>
    </w:rPr>
  </w:style>
  <w:style w:type="character" w:customStyle="1" w:styleId="159">
    <w:name w:val="重点"/>
    <w:qFormat/>
    <w:uiPriority w:val="99"/>
    <w:rPr>
      <w:i/>
    </w:rPr>
  </w:style>
  <w:style w:type="character" w:customStyle="1" w:styleId="160">
    <w:name w:val="图片样式 Char"/>
    <w:link w:val="161"/>
    <w:qFormat/>
    <w:locked/>
    <w:uiPriority w:val="99"/>
    <w:rPr>
      <w:rFonts w:eastAsia="宋体"/>
      <w:kern w:val="2"/>
      <w:sz w:val="21"/>
      <w:lang w:val="en-US" w:eastAsia="zh-CN"/>
    </w:rPr>
  </w:style>
  <w:style w:type="paragraph" w:customStyle="1" w:styleId="161">
    <w:name w:val="图片样式"/>
    <w:basedOn w:val="1"/>
    <w:link w:val="160"/>
    <w:qFormat/>
    <w:uiPriority w:val="99"/>
    <w:pPr>
      <w:jc w:val="center"/>
    </w:pPr>
    <w:rPr>
      <w:szCs w:val="20"/>
    </w:rPr>
  </w:style>
  <w:style w:type="character" w:customStyle="1" w:styleId="162">
    <w:name w:val="正文(首行缩进) Char"/>
    <w:link w:val="163"/>
    <w:qFormat/>
    <w:locked/>
    <w:uiPriority w:val="99"/>
    <w:rPr>
      <w:rFonts w:eastAsia="宋体"/>
      <w:snapToGrid w:val="0"/>
      <w:color w:val="000000"/>
      <w:sz w:val="24"/>
      <w:lang w:val="en-US" w:eastAsia="zh-CN"/>
    </w:rPr>
  </w:style>
  <w:style w:type="paragraph" w:customStyle="1" w:styleId="163">
    <w:name w:val="正文(首行缩进)"/>
    <w:basedOn w:val="1"/>
    <w:link w:val="162"/>
    <w:qFormat/>
    <w:uiPriority w:val="99"/>
    <w:pPr>
      <w:spacing w:line="460" w:lineRule="exact"/>
      <w:ind w:firstLine="420"/>
    </w:pPr>
    <w:rPr>
      <w:color w:val="000000"/>
      <w:kern w:val="0"/>
      <w:sz w:val="24"/>
      <w:szCs w:val="20"/>
    </w:rPr>
  </w:style>
  <w:style w:type="character" w:customStyle="1" w:styleId="164">
    <w:name w:val="m11"/>
    <w:qFormat/>
    <w:uiPriority w:val="99"/>
    <w:rPr>
      <w:sz w:val="21"/>
    </w:rPr>
  </w:style>
  <w:style w:type="character" w:customStyle="1" w:styleId="165">
    <w:name w:val="ft22"/>
    <w:basedOn w:val="77"/>
    <w:qFormat/>
    <w:uiPriority w:val="99"/>
    <w:rPr>
      <w:rFonts w:cs="Times New Roman"/>
    </w:rPr>
  </w:style>
  <w:style w:type="character" w:customStyle="1" w:styleId="166">
    <w:name w:val="表1 Char"/>
    <w:qFormat/>
    <w:uiPriority w:val="99"/>
    <w:rPr>
      <w:rFonts w:eastAsia="黑体"/>
      <w:spacing w:val="10"/>
      <w:kern w:val="2"/>
      <w:sz w:val="24"/>
      <w:lang w:val="en-US" w:eastAsia="zh-CN"/>
    </w:rPr>
  </w:style>
  <w:style w:type="character" w:customStyle="1" w:styleId="167">
    <w:name w:val="ft28"/>
    <w:basedOn w:val="77"/>
    <w:qFormat/>
    <w:uiPriority w:val="99"/>
    <w:rPr>
      <w:rFonts w:cs="Times New Roman"/>
    </w:rPr>
  </w:style>
  <w:style w:type="character" w:customStyle="1" w:styleId="168">
    <w:name w:val="标题 2 Char2"/>
    <w:qFormat/>
    <w:uiPriority w:val="99"/>
    <w:rPr>
      <w:rFonts w:ascii="Arial" w:hAnsi="Arial" w:eastAsia="宋体"/>
      <w:b/>
      <w:sz w:val="32"/>
      <w:lang w:val="en-US" w:eastAsia="zh-CN"/>
    </w:rPr>
  </w:style>
  <w:style w:type="character" w:customStyle="1" w:styleId="169">
    <w:name w:val="表格 Char"/>
    <w:link w:val="170"/>
    <w:qFormat/>
    <w:locked/>
    <w:uiPriority w:val="99"/>
    <w:rPr>
      <w:rFonts w:eastAsia="宋体"/>
      <w:kern w:val="2"/>
      <w:sz w:val="24"/>
      <w:lang w:val="en-US" w:eastAsia="zh-CN"/>
    </w:rPr>
  </w:style>
  <w:style w:type="paragraph" w:customStyle="1" w:styleId="170">
    <w:name w:val="表格"/>
    <w:basedOn w:val="1"/>
    <w:link w:val="169"/>
    <w:qFormat/>
    <w:uiPriority w:val="99"/>
    <w:pPr>
      <w:snapToGrid w:val="0"/>
      <w:spacing w:beforeLines="15" w:afterLines="15" w:line="192" w:lineRule="auto"/>
      <w:jc w:val="center"/>
    </w:pPr>
    <w:rPr>
      <w:sz w:val="24"/>
      <w:szCs w:val="20"/>
    </w:rPr>
  </w:style>
  <w:style w:type="character" w:customStyle="1" w:styleId="171">
    <w:name w:val="正文1 Char"/>
    <w:semiHidden/>
    <w:qFormat/>
    <w:uiPriority w:val="99"/>
    <w:rPr>
      <w:rFonts w:eastAsia="宋体"/>
      <w:kern w:val="2"/>
      <w:sz w:val="24"/>
      <w:lang w:val="en-US" w:eastAsia="zh-CN"/>
    </w:rPr>
  </w:style>
  <w:style w:type="character" w:customStyle="1" w:styleId="172">
    <w:name w:val="表头 Char Char"/>
    <w:link w:val="173"/>
    <w:qFormat/>
    <w:locked/>
    <w:uiPriority w:val="99"/>
    <w:rPr>
      <w:rFonts w:eastAsia="黑体"/>
      <w:kern w:val="2"/>
      <w:sz w:val="24"/>
      <w:lang w:val="en-US" w:eastAsia="zh-CN"/>
    </w:rPr>
  </w:style>
  <w:style w:type="paragraph" w:customStyle="1" w:styleId="173">
    <w:name w:val="表头 Char"/>
    <w:basedOn w:val="1"/>
    <w:link w:val="172"/>
    <w:qFormat/>
    <w:uiPriority w:val="99"/>
    <w:pPr>
      <w:spacing w:line="360" w:lineRule="auto"/>
      <w:jc w:val="center"/>
    </w:pPr>
    <w:rPr>
      <w:rFonts w:eastAsia="黑体"/>
      <w:sz w:val="24"/>
      <w:szCs w:val="20"/>
    </w:rPr>
  </w:style>
  <w:style w:type="character" w:customStyle="1" w:styleId="174">
    <w:name w:val="首行缩进正文 Char1"/>
    <w:link w:val="175"/>
    <w:qFormat/>
    <w:locked/>
    <w:uiPriority w:val="99"/>
    <w:rPr>
      <w:rFonts w:eastAsia="宋体"/>
      <w:kern w:val="2"/>
      <w:sz w:val="24"/>
      <w:lang w:val="en-US" w:eastAsia="zh-CN"/>
    </w:rPr>
  </w:style>
  <w:style w:type="paragraph" w:customStyle="1" w:styleId="175">
    <w:name w:val="首行缩进正文"/>
    <w:basedOn w:val="1"/>
    <w:link w:val="174"/>
    <w:qFormat/>
    <w:uiPriority w:val="99"/>
    <w:pPr>
      <w:adjustRightInd w:val="0"/>
      <w:snapToGrid w:val="0"/>
      <w:spacing w:beforeLines="50" w:line="300" w:lineRule="auto"/>
      <w:ind w:firstLine="480" w:firstLineChars="200"/>
    </w:pPr>
    <w:rPr>
      <w:sz w:val="24"/>
      <w:szCs w:val="20"/>
    </w:rPr>
  </w:style>
  <w:style w:type="character" w:customStyle="1" w:styleId="176">
    <w:name w:val="Lead-in Emphasis"/>
    <w:qFormat/>
    <w:uiPriority w:val="99"/>
    <w:rPr>
      <w:b/>
      <w:i/>
    </w:rPr>
  </w:style>
  <w:style w:type="character" w:customStyle="1" w:styleId="177">
    <w:name w:val="正文：段落格式 Char"/>
    <w:link w:val="178"/>
    <w:qFormat/>
    <w:locked/>
    <w:uiPriority w:val="99"/>
    <w:rPr>
      <w:rFonts w:ascii="宋体" w:hAnsi="宋体" w:eastAsia="宋体"/>
      <w:kern w:val="15"/>
      <w:sz w:val="24"/>
      <w:lang w:val="en-US" w:eastAsia="zh-CN"/>
    </w:rPr>
  </w:style>
  <w:style w:type="paragraph" w:customStyle="1" w:styleId="178">
    <w:name w:val="正文：段落格式"/>
    <w:basedOn w:val="1"/>
    <w:link w:val="177"/>
    <w:qFormat/>
    <w:uiPriority w:val="99"/>
    <w:pPr>
      <w:adjustRightInd w:val="0"/>
      <w:snapToGrid w:val="0"/>
      <w:spacing w:line="360" w:lineRule="auto"/>
      <w:ind w:firstLine="480" w:firstLineChars="200"/>
    </w:pPr>
    <w:rPr>
      <w:rFonts w:ascii="宋体" w:hAnsi="宋体"/>
      <w:kern w:val="15"/>
      <w:sz w:val="24"/>
      <w:szCs w:val="20"/>
    </w:rPr>
  </w:style>
  <w:style w:type="character" w:customStyle="1" w:styleId="179">
    <w:name w:val="ft10"/>
    <w:basedOn w:val="77"/>
    <w:qFormat/>
    <w:uiPriority w:val="99"/>
    <w:rPr>
      <w:rFonts w:cs="Times New Roman"/>
    </w:rPr>
  </w:style>
  <w:style w:type="character" w:customStyle="1" w:styleId="180">
    <w:name w:val="标题 4 Char"/>
    <w:qFormat/>
    <w:uiPriority w:val="99"/>
    <w:rPr>
      <w:rFonts w:eastAsia="宋体"/>
      <w:kern w:val="2"/>
      <w:sz w:val="24"/>
      <w:lang w:val="en-US" w:eastAsia="zh-CN"/>
    </w:rPr>
  </w:style>
  <w:style w:type="character" w:customStyle="1" w:styleId="181">
    <w:name w:val="表 Char"/>
    <w:qFormat/>
    <w:uiPriority w:val="99"/>
    <w:rPr>
      <w:rFonts w:eastAsia="黑体"/>
      <w:spacing w:val="10"/>
      <w:kern w:val="2"/>
      <w:sz w:val="24"/>
      <w:lang w:val="en-US" w:eastAsia="zh-CN"/>
    </w:rPr>
  </w:style>
  <w:style w:type="character" w:customStyle="1" w:styleId="182">
    <w:name w:val="无间隔 Char"/>
    <w:link w:val="183"/>
    <w:qFormat/>
    <w:locked/>
    <w:uiPriority w:val="99"/>
    <w:rPr>
      <w:rFonts w:ascii="Calibri" w:hAnsi="Calibri"/>
      <w:sz w:val="22"/>
      <w:lang w:val="en-US" w:eastAsia="zh-CN"/>
    </w:rPr>
  </w:style>
  <w:style w:type="paragraph" w:customStyle="1" w:styleId="183">
    <w:name w:val="无间隔1"/>
    <w:link w:val="182"/>
    <w:qFormat/>
    <w:uiPriority w:val="99"/>
    <w:rPr>
      <w:rFonts w:ascii="Calibri" w:hAnsi="Calibri" w:eastAsia="宋体" w:cs="Times New Roman"/>
      <w:sz w:val="22"/>
      <w:szCs w:val="22"/>
      <w:lang w:val="en-US" w:eastAsia="zh-CN" w:bidi="ar-SA"/>
    </w:rPr>
  </w:style>
  <w:style w:type="character" w:customStyle="1" w:styleId="184">
    <w:name w:val="正文缩进 Char"/>
    <w:link w:val="7"/>
    <w:qFormat/>
    <w:locked/>
    <w:uiPriority w:val="99"/>
    <w:rPr>
      <w:rFonts w:eastAsia="宋体"/>
      <w:kern w:val="2"/>
      <w:sz w:val="24"/>
      <w:lang w:val="en-US" w:eastAsia="zh-CN"/>
    </w:rPr>
  </w:style>
  <w:style w:type="character" w:customStyle="1" w:styleId="185">
    <w:name w:val="标题1"/>
    <w:basedOn w:val="77"/>
    <w:qFormat/>
    <w:uiPriority w:val="99"/>
    <w:rPr>
      <w:rFonts w:cs="Times New Roman"/>
    </w:rPr>
  </w:style>
  <w:style w:type="character" w:customStyle="1" w:styleId="186">
    <w:name w:val="ft1"/>
    <w:basedOn w:val="77"/>
    <w:qFormat/>
    <w:uiPriority w:val="99"/>
    <w:rPr>
      <w:rFonts w:cs="Times New Roman"/>
    </w:rPr>
  </w:style>
  <w:style w:type="character" w:customStyle="1" w:styleId="187">
    <w:name w:val="样式 2 Char"/>
    <w:qFormat/>
    <w:uiPriority w:val="99"/>
    <w:rPr>
      <w:rFonts w:eastAsia="黑体"/>
      <w:spacing w:val="10"/>
      <w:sz w:val="30"/>
      <w:lang w:val="en-US" w:eastAsia="zh-CN"/>
    </w:rPr>
  </w:style>
  <w:style w:type="character" w:customStyle="1" w:styleId="188">
    <w:name w:val="段落1 Char Char"/>
    <w:qFormat/>
    <w:uiPriority w:val="99"/>
    <w:rPr>
      <w:rFonts w:eastAsia="宋体"/>
      <w:spacing w:val="8"/>
      <w:kern w:val="2"/>
      <w:sz w:val="24"/>
      <w:lang w:val="en-US" w:eastAsia="zh-CN"/>
    </w:rPr>
  </w:style>
  <w:style w:type="character" w:customStyle="1" w:styleId="189">
    <w:name w:val="正文＋黑体 Char"/>
    <w:link w:val="190"/>
    <w:qFormat/>
    <w:locked/>
    <w:uiPriority w:val="99"/>
    <w:rPr>
      <w:rFonts w:eastAsia="黑体"/>
      <w:kern w:val="2"/>
      <w:sz w:val="24"/>
      <w:lang w:val="en-US" w:eastAsia="zh-CN"/>
    </w:rPr>
  </w:style>
  <w:style w:type="paragraph" w:customStyle="1" w:styleId="190">
    <w:name w:val="正文＋黑体"/>
    <w:basedOn w:val="1"/>
    <w:link w:val="189"/>
    <w:qFormat/>
    <w:uiPriority w:val="99"/>
    <w:pPr>
      <w:spacing w:beforeLines="50" w:afterLines="50"/>
      <w:ind w:firstLine="480" w:firstLineChars="200"/>
    </w:pPr>
    <w:rPr>
      <w:rFonts w:eastAsia="黑体"/>
      <w:sz w:val="24"/>
      <w:szCs w:val="20"/>
    </w:rPr>
  </w:style>
  <w:style w:type="character" w:customStyle="1" w:styleId="191">
    <w:name w:val="ft12"/>
    <w:basedOn w:val="77"/>
    <w:qFormat/>
    <w:uiPriority w:val="99"/>
    <w:rPr>
      <w:rFonts w:cs="Times New Roman"/>
    </w:rPr>
  </w:style>
  <w:style w:type="character" w:customStyle="1" w:styleId="192">
    <w:name w:val="sb1"/>
    <w:semiHidden/>
    <w:qFormat/>
    <w:uiPriority w:val="99"/>
    <w:rPr>
      <w:sz w:val="15"/>
      <w:vertAlign w:val="superscript"/>
    </w:rPr>
  </w:style>
  <w:style w:type="character" w:customStyle="1" w:styleId="193">
    <w:name w:val="重点引导"/>
    <w:qFormat/>
    <w:uiPriority w:val="99"/>
    <w:rPr>
      <w:b/>
      <w:i/>
    </w:rPr>
  </w:style>
  <w:style w:type="character" w:customStyle="1" w:styleId="194">
    <w:name w:val="纯文本 Char2"/>
    <w:qFormat/>
    <w:uiPriority w:val="99"/>
    <w:rPr>
      <w:rFonts w:ascii="宋体" w:hAnsi="Courier New" w:eastAsia="宋体"/>
      <w:sz w:val="20"/>
    </w:rPr>
  </w:style>
  <w:style w:type="character" w:customStyle="1" w:styleId="195">
    <w:name w:val="ft38"/>
    <w:basedOn w:val="77"/>
    <w:qFormat/>
    <w:uiPriority w:val="99"/>
    <w:rPr>
      <w:rFonts w:cs="Times New Roman"/>
    </w:rPr>
  </w:style>
  <w:style w:type="character" w:customStyle="1" w:styleId="196">
    <w:name w:val="ft39"/>
    <w:basedOn w:val="77"/>
    <w:qFormat/>
    <w:uiPriority w:val="99"/>
    <w:rPr>
      <w:rFonts w:cs="Times New Roman"/>
    </w:rPr>
  </w:style>
  <w:style w:type="character" w:customStyle="1" w:styleId="197">
    <w:name w:val="normaltext1"/>
    <w:qFormat/>
    <w:uiPriority w:val="99"/>
    <w:rPr>
      <w:color w:val="000000"/>
      <w:sz w:val="21"/>
    </w:rPr>
  </w:style>
  <w:style w:type="character" w:customStyle="1" w:styleId="198">
    <w:name w:val="ft32"/>
    <w:basedOn w:val="77"/>
    <w:qFormat/>
    <w:uiPriority w:val="99"/>
    <w:rPr>
      <w:rFonts w:cs="Times New Roman"/>
    </w:rPr>
  </w:style>
  <w:style w:type="character" w:customStyle="1" w:styleId="199">
    <w:name w:val="题注 Char"/>
    <w:qFormat/>
    <w:uiPriority w:val="99"/>
    <w:rPr>
      <w:rFonts w:ascii="Arial" w:hAnsi="Arial" w:eastAsia="黑体"/>
      <w:b/>
      <w:kern w:val="2"/>
      <w:sz w:val="22"/>
      <w:lang w:val="en-US" w:eastAsia="zh-CN"/>
    </w:rPr>
  </w:style>
  <w:style w:type="character" w:customStyle="1" w:styleId="200">
    <w:name w:val="样式 (西文) Times New Roman (中文) 宋体 (符号) 宋体 行距: 固定值 20 磅 首行缩进:  ... Char"/>
    <w:link w:val="201"/>
    <w:qFormat/>
    <w:locked/>
    <w:uiPriority w:val="99"/>
    <w:rPr>
      <w:rFonts w:hAnsi="宋体"/>
      <w:sz w:val="24"/>
      <w:lang w:eastAsia="de-DE"/>
    </w:rPr>
  </w:style>
  <w:style w:type="paragraph" w:customStyle="1" w:styleId="201">
    <w:name w:val="样式 (西文) Times New Roman (中文) 宋体 (符号) 宋体 行距: 固定值 20 磅 首行缩进:  ..."/>
    <w:basedOn w:val="1"/>
    <w:link w:val="200"/>
    <w:qFormat/>
    <w:uiPriority w:val="99"/>
    <w:pPr>
      <w:widowControl/>
      <w:spacing w:line="400" w:lineRule="exact"/>
      <w:ind w:firstLine="200" w:firstLineChars="200"/>
    </w:pPr>
    <w:rPr>
      <w:rFonts w:hAnsi="宋体"/>
      <w:kern w:val="0"/>
      <w:sz w:val="24"/>
      <w:szCs w:val="20"/>
      <w:lang w:eastAsia="de-DE"/>
    </w:rPr>
  </w:style>
  <w:style w:type="character" w:customStyle="1" w:styleId="202">
    <w:name w:val="line21"/>
    <w:qFormat/>
    <w:uiPriority w:val="99"/>
    <w:rPr>
      <w:color w:val="666666"/>
      <w:sz w:val="20"/>
      <w:u w:val="none"/>
    </w:rPr>
  </w:style>
  <w:style w:type="character" w:customStyle="1" w:styleId="203">
    <w:name w:val="ft37"/>
    <w:basedOn w:val="77"/>
    <w:qFormat/>
    <w:uiPriority w:val="99"/>
    <w:rPr>
      <w:rFonts w:cs="Times New Roman"/>
    </w:rPr>
  </w:style>
  <w:style w:type="character" w:customStyle="1" w:styleId="204">
    <w:name w:val="正文1 Char1"/>
    <w:link w:val="205"/>
    <w:qFormat/>
    <w:locked/>
    <w:uiPriority w:val="99"/>
    <w:rPr>
      <w:rFonts w:eastAsia="宋体"/>
      <w:snapToGrid w:val="0"/>
      <w:sz w:val="24"/>
      <w:lang w:val="en-US" w:eastAsia="zh-CN"/>
    </w:rPr>
  </w:style>
  <w:style w:type="paragraph" w:customStyle="1" w:styleId="205">
    <w:name w:val="正文1"/>
    <w:basedOn w:val="1"/>
    <w:link w:val="204"/>
    <w:qFormat/>
    <w:uiPriority w:val="0"/>
    <w:pPr>
      <w:spacing w:line="360" w:lineRule="auto"/>
      <w:ind w:firstLine="480" w:firstLineChars="200"/>
    </w:pPr>
    <w:rPr>
      <w:kern w:val="0"/>
      <w:sz w:val="24"/>
      <w:szCs w:val="20"/>
    </w:rPr>
  </w:style>
  <w:style w:type="character" w:customStyle="1" w:styleId="206">
    <w:name w:val="apple-converted-space"/>
    <w:basedOn w:val="77"/>
    <w:qFormat/>
    <w:uiPriority w:val="99"/>
    <w:rPr>
      <w:rFonts w:cs="Times New Roman"/>
    </w:rPr>
  </w:style>
  <w:style w:type="character" w:customStyle="1" w:styleId="207">
    <w:name w:val="fs"/>
    <w:basedOn w:val="77"/>
    <w:semiHidden/>
    <w:qFormat/>
    <w:uiPriority w:val="99"/>
    <w:rPr>
      <w:rFonts w:cs="Times New Roman"/>
    </w:rPr>
  </w:style>
  <w:style w:type="character" w:customStyle="1" w:styleId="208">
    <w:name w:val="正文2 Char"/>
    <w:link w:val="209"/>
    <w:qFormat/>
    <w:locked/>
    <w:uiPriority w:val="99"/>
    <w:rPr>
      <w:rFonts w:eastAsia="宋体"/>
      <w:sz w:val="21"/>
      <w:lang w:val="en-US" w:eastAsia="zh-CN"/>
    </w:rPr>
  </w:style>
  <w:style w:type="paragraph" w:customStyle="1" w:styleId="209">
    <w:name w:val="正文2"/>
    <w:basedOn w:val="1"/>
    <w:link w:val="208"/>
    <w:qFormat/>
    <w:uiPriority w:val="99"/>
    <w:pPr>
      <w:adjustRightInd w:val="0"/>
      <w:spacing w:line="312" w:lineRule="atLeast"/>
      <w:jc w:val="center"/>
    </w:pPr>
    <w:rPr>
      <w:kern w:val="0"/>
      <w:szCs w:val="20"/>
    </w:rPr>
  </w:style>
  <w:style w:type="character" w:customStyle="1" w:styleId="210">
    <w:name w:val="题注 Char1 Char"/>
    <w:qFormat/>
    <w:uiPriority w:val="99"/>
    <w:rPr>
      <w:rFonts w:eastAsia="宋体"/>
      <w:kern w:val="2"/>
      <w:sz w:val="24"/>
      <w:lang w:val="en-US" w:eastAsia="zh-CN"/>
    </w:rPr>
  </w:style>
  <w:style w:type="character" w:customStyle="1" w:styleId="211">
    <w:name w:val="ft9"/>
    <w:basedOn w:val="77"/>
    <w:qFormat/>
    <w:uiPriority w:val="99"/>
    <w:rPr>
      <w:rFonts w:cs="Times New Roman"/>
    </w:rPr>
  </w:style>
  <w:style w:type="character" w:customStyle="1" w:styleId="212">
    <w:name w:val="ft36"/>
    <w:basedOn w:val="77"/>
    <w:qFormat/>
    <w:uiPriority w:val="99"/>
    <w:rPr>
      <w:rFonts w:cs="Times New Roman"/>
    </w:rPr>
  </w:style>
  <w:style w:type="character" w:customStyle="1" w:styleId="213">
    <w:name w:val="ft19"/>
    <w:basedOn w:val="77"/>
    <w:qFormat/>
    <w:uiPriority w:val="99"/>
    <w:rPr>
      <w:rFonts w:cs="Times New Roman"/>
    </w:rPr>
  </w:style>
  <w:style w:type="character" w:customStyle="1" w:styleId="214">
    <w:name w:val="纯文本 Char1"/>
    <w:qFormat/>
    <w:uiPriority w:val="0"/>
    <w:rPr>
      <w:rFonts w:ascii="宋体" w:hAnsi="Courier New"/>
      <w:kern w:val="2"/>
      <w:sz w:val="24"/>
    </w:rPr>
  </w:style>
  <w:style w:type="character" w:customStyle="1" w:styleId="215">
    <w:name w:val="正文缩进 Char1"/>
    <w:qFormat/>
    <w:uiPriority w:val="99"/>
    <w:rPr>
      <w:rFonts w:eastAsia="宋体"/>
      <w:kern w:val="2"/>
      <w:sz w:val="21"/>
      <w:lang w:val="en-US" w:eastAsia="zh-CN"/>
    </w:rPr>
  </w:style>
  <w:style w:type="character" w:customStyle="1" w:styleId="216">
    <w:name w:val="上标"/>
    <w:qFormat/>
    <w:uiPriority w:val="99"/>
    <w:rPr>
      <w:vertAlign w:val="superscript"/>
    </w:rPr>
  </w:style>
  <w:style w:type="character" w:customStyle="1" w:styleId="217">
    <w:name w:val="ft30"/>
    <w:basedOn w:val="77"/>
    <w:qFormat/>
    <w:uiPriority w:val="99"/>
    <w:rPr>
      <w:rFonts w:cs="Times New Roman"/>
    </w:rPr>
  </w:style>
  <w:style w:type="character" w:customStyle="1" w:styleId="218">
    <w:name w:val="xin11"/>
    <w:semiHidden/>
    <w:qFormat/>
    <w:uiPriority w:val="99"/>
    <w:rPr>
      <w:rFonts w:ascii="宋体" w:hAnsi="宋体" w:eastAsia="宋体"/>
      <w:color w:val="666666"/>
      <w:sz w:val="18"/>
      <w:u w:val="none"/>
    </w:rPr>
  </w:style>
  <w:style w:type="character" w:customStyle="1" w:styleId="219">
    <w:name w:val="ft15"/>
    <w:basedOn w:val="77"/>
    <w:qFormat/>
    <w:uiPriority w:val="99"/>
    <w:rPr>
      <w:rFonts w:cs="Times New Roman"/>
    </w:rPr>
  </w:style>
  <w:style w:type="character" w:customStyle="1" w:styleId="220">
    <w:name w:val="ft3"/>
    <w:basedOn w:val="77"/>
    <w:qFormat/>
    <w:uiPriority w:val="99"/>
    <w:rPr>
      <w:rFonts w:cs="Times New Roman"/>
    </w:rPr>
  </w:style>
  <w:style w:type="character" w:customStyle="1" w:styleId="221">
    <w:name w:val="text_img ed_imgfloat_right"/>
    <w:basedOn w:val="77"/>
    <w:qFormat/>
    <w:uiPriority w:val="99"/>
    <w:rPr>
      <w:rFonts w:cs="Times New Roman"/>
    </w:rPr>
  </w:style>
  <w:style w:type="character" w:customStyle="1" w:styleId="222">
    <w:name w:val="ft16"/>
    <w:basedOn w:val="77"/>
    <w:qFormat/>
    <w:uiPriority w:val="99"/>
    <w:rPr>
      <w:rFonts w:cs="Times New Roman"/>
    </w:rPr>
  </w:style>
  <w:style w:type="character" w:customStyle="1" w:styleId="223">
    <w:name w:val="正文001 Char1"/>
    <w:qFormat/>
    <w:uiPriority w:val="99"/>
    <w:rPr>
      <w:rFonts w:ascii="Arial" w:hAnsi="Arial" w:eastAsia="宋体"/>
      <w:kern w:val="2"/>
      <w:sz w:val="24"/>
      <w:lang w:val="en-US" w:eastAsia="zh-CN"/>
    </w:rPr>
  </w:style>
  <w:style w:type="character" w:customStyle="1" w:styleId="224">
    <w:name w:val="表标题 Char"/>
    <w:link w:val="225"/>
    <w:semiHidden/>
    <w:qFormat/>
    <w:locked/>
    <w:uiPriority w:val="99"/>
    <w:rPr>
      <w:rFonts w:ascii="Arial Narrow" w:hAnsi="Arial Narrow" w:eastAsia="仿宋_GB2312"/>
      <w:b/>
      <w:spacing w:val="-4"/>
      <w:sz w:val="24"/>
      <w:lang w:val="en-US" w:eastAsia="zh-CN"/>
    </w:rPr>
  </w:style>
  <w:style w:type="paragraph" w:customStyle="1" w:styleId="225">
    <w:name w:val="表标题"/>
    <w:link w:val="224"/>
    <w:semiHidden/>
    <w:qFormat/>
    <w:uiPriority w:val="99"/>
    <w:pPr>
      <w:spacing w:beforeLines="50" w:line="300" w:lineRule="auto"/>
      <w:jc w:val="center"/>
    </w:pPr>
    <w:rPr>
      <w:rFonts w:ascii="Arial Narrow" w:hAnsi="Arial Narrow" w:eastAsia="仿宋_GB2312" w:cs="Times New Roman"/>
      <w:b/>
      <w:spacing w:val="-4"/>
      <w:sz w:val="24"/>
      <w:szCs w:val="24"/>
      <w:lang w:val="en-US" w:eastAsia="zh-CN" w:bidi="ar-SA"/>
    </w:rPr>
  </w:style>
  <w:style w:type="character" w:customStyle="1" w:styleId="226">
    <w:name w:val="f10wentitle"/>
    <w:basedOn w:val="77"/>
    <w:semiHidden/>
    <w:qFormat/>
    <w:uiPriority w:val="99"/>
    <w:rPr>
      <w:rFonts w:cs="Times New Roman"/>
    </w:rPr>
  </w:style>
  <w:style w:type="character" w:customStyle="1" w:styleId="227">
    <w:name w:val="表 头 Char Char"/>
    <w:qFormat/>
    <w:uiPriority w:val="99"/>
    <w:rPr>
      <w:rFonts w:eastAsia="黑体"/>
      <w:spacing w:val="10"/>
      <w:sz w:val="24"/>
      <w:lang w:val="en-US" w:eastAsia="zh-CN"/>
    </w:rPr>
  </w:style>
  <w:style w:type="character" w:customStyle="1" w:styleId="228">
    <w:name w:val="ft7"/>
    <w:basedOn w:val="77"/>
    <w:qFormat/>
    <w:uiPriority w:val="99"/>
    <w:rPr>
      <w:rFonts w:cs="Times New Roman"/>
    </w:rPr>
  </w:style>
  <w:style w:type="character" w:customStyle="1" w:styleId="229">
    <w:name w:val="style161"/>
    <w:qFormat/>
    <w:uiPriority w:val="99"/>
    <w:rPr>
      <w:color w:val="000000"/>
      <w:sz w:val="21"/>
    </w:rPr>
  </w:style>
  <w:style w:type="character" w:customStyle="1" w:styleId="230">
    <w:name w:val="报告正文 Char"/>
    <w:link w:val="231"/>
    <w:qFormat/>
    <w:locked/>
    <w:uiPriority w:val="99"/>
    <w:rPr>
      <w:kern w:val="2"/>
      <w:sz w:val="21"/>
    </w:rPr>
  </w:style>
  <w:style w:type="paragraph" w:customStyle="1" w:styleId="231">
    <w:name w:val="报告正文"/>
    <w:basedOn w:val="1"/>
    <w:link w:val="230"/>
    <w:qFormat/>
    <w:uiPriority w:val="99"/>
    <w:pPr>
      <w:spacing w:line="360" w:lineRule="auto"/>
      <w:ind w:firstLine="482"/>
    </w:pPr>
    <w:rPr>
      <w:szCs w:val="20"/>
    </w:rPr>
  </w:style>
  <w:style w:type="character" w:customStyle="1" w:styleId="232">
    <w:name w:val="kl_auto_internal_links_tag"/>
    <w:basedOn w:val="77"/>
    <w:qFormat/>
    <w:uiPriority w:val="99"/>
    <w:rPr>
      <w:rFonts w:cs="Times New Roman"/>
    </w:rPr>
  </w:style>
  <w:style w:type="character" w:customStyle="1" w:styleId="233">
    <w:name w:val="ft35"/>
    <w:basedOn w:val="77"/>
    <w:qFormat/>
    <w:uiPriority w:val="99"/>
    <w:rPr>
      <w:rFonts w:cs="Times New Roman"/>
    </w:rPr>
  </w:style>
  <w:style w:type="character" w:customStyle="1" w:styleId="234">
    <w:name w:val="初设正文 Char"/>
    <w:qFormat/>
    <w:uiPriority w:val="99"/>
    <w:rPr>
      <w:rFonts w:ascii="Arial" w:hAnsi="Arial" w:eastAsia="宋体"/>
      <w:sz w:val="24"/>
      <w:lang w:val="en-US" w:eastAsia="zh-CN"/>
    </w:rPr>
  </w:style>
  <w:style w:type="character" w:customStyle="1" w:styleId="235">
    <w:name w:val="样式4 Char"/>
    <w:link w:val="236"/>
    <w:qFormat/>
    <w:locked/>
    <w:uiPriority w:val="99"/>
    <w:rPr>
      <w:rFonts w:eastAsia="黑体"/>
      <w:spacing w:val="10"/>
      <w:kern w:val="2"/>
      <w:sz w:val="24"/>
      <w:lang w:val="en-US" w:eastAsia="zh-CN"/>
    </w:rPr>
  </w:style>
  <w:style w:type="paragraph" w:customStyle="1" w:styleId="236">
    <w:name w:val="样式4"/>
    <w:basedOn w:val="2"/>
    <w:link w:val="235"/>
    <w:qFormat/>
    <w:uiPriority w:val="99"/>
    <w:pPr>
      <w:keepNext/>
      <w:keepLines/>
      <w:widowControl w:val="0"/>
      <w:tabs>
        <w:tab w:val="left" w:pos="1320"/>
      </w:tabs>
      <w:adjustRightInd w:val="0"/>
      <w:spacing w:before="120" w:afterLines="50" w:line="416" w:lineRule="atLeast"/>
      <w:ind w:left="1320" w:hanging="420"/>
      <w:jc w:val="left"/>
    </w:pPr>
    <w:rPr>
      <w:rFonts w:ascii="Times New Roman" w:hAnsi="Times New Roman" w:eastAsia="黑体" w:cs="Times New Roman"/>
      <w:b w:val="0"/>
      <w:bCs w:val="0"/>
      <w:spacing w:val="10"/>
      <w:kern w:val="2"/>
      <w:sz w:val="24"/>
      <w:szCs w:val="20"/>
    </w:rPr>
  </w:style>
  <w:style w:type="character" w:customStyle="1" w:styleId="237">
    <w:name w:val="正文首行缩进 Char"/>
    <w:qFormat/>
    <w:uiPriority w:val="99"/>
    <w:rPr>
      <w:rFonts w:eastAsia="宋体"/>
      <w:kern w:val="2"/>
      <w:sz w:val="24"/>
      <w:lang w:val="en-US" w:eastAsia="zh-CN"/>
    </w:rPr>
  </w:style>
  <w:style w:type="character" w:customStyle="1" w:styleId="238">
    <w:name w:val="标题4 Char1"/>
    <w:qFormat/>
    <w:uiPriority w:val="99"/>
    <w:rPr>
      <w:rFonts w:eastAsia="楷体_GB2312"/>
      <w:spacing w:val="-16"/>
      <w:sz w:val="28"/>
      <w:lang w:val="en-US" w:eastAsia="zh-CN"/>
    </w:rPr>
  </w:style>
  <w:style w:type="character" w:customStyle="1" w:styleId="239">
    <w:name w:val="ss01"/>
    <w:basedOn w:val="77"/>
    <w:qFormat/>
    <w:uiPriority w:val="99"/>
    <w:rPr>
      <w:rFonts w:cs="Times New Roman"/>
    </w:rPr>
  </w:style>
  <w:style w:type="character" w:customStyle="1" w:styleId="240">
    <w:name w:val="ft13"/>
    <w:basedOn w:val="77"/>
    <w:qFormat/>
    <w:uiPriority w:val="99"/>
    <w:rPr>
      <w:rFonts w:cs="Times New Roman"/>
    </w:rPr>
  </w:style>
  <w:style w:type="character" w:customStyle="1" w:styleId="241">
    <w:name w:val="10p"/>
    <w:basedOn w:val="77"/>
    <w:qFormat/>
    <w:uiPriority w:val="99"/>
    <w:rPr>
      <w:rFonts w:cs="Times New Roman"/>
    </w:rPr>
  </w:style>
  <w:style w:type="character" w:customStyle="1" w:styleId="242">
    <w:name w:val="f9wen1"/>
    <w:semiHidden/>
    <w:qFormat/>
    <w:uiPriority w:val="99"/>
    <w:rPr>
      <w:spacing w:val="12"/>
      <w:sz w:val="18"/>
      <w:u w:val="none"/>
    </w:rPr>
  </w:style>
  <w:style w:type="character" w:customStyle="1" w:styleId="243">
    <w:name w:val="ft33"/>
    <w:basedOn w:val="77"/>
    <w:qFormat/>
    <w:uiPriority w:val="99"/>
    <w:rPr>
      <w:rFonts w:cs="Times New Roman"/>
    </w:rPr>
  </w:style>
  <w:style w:type="character" w:customStyle="1" w:styleId="244">
    <w:name w:val="biaoti1"/>
    <w:qFormat/>
    <w:uiPriority w:val="99"/>
    <w:rPr>
      <w:b/>
      <w:color w:val="000099"/>
      <w:sz w:val="24"/>
    </w:rPr>
  </w:style>
  <w:style w:type="character" w:customStyle="1" w:styleId="245">
    <w:name w:val="Superscript"/>
    <w:qFormat/>
    <w:uiPriority w:val="99"/>
    <w:rPr>
      <w:vertAlign w:val="superscript"/>
    </w:rPr>
  </w:style>
  <w:style w:type="character" w:customStyle="1" w:styleId="246">
    <w:name w:val="段落1 Char Char1"/>
    <w:link w:val="247"/>
    <w:qFormat/>
    <w:locked/>
    <w:uiPriority w:val="99"/>
    <w:rPr>
      <w:rFonts w:eastAsia="宋体"/>
      <w:spacing w:val="8"/>
      <w:kern w:val="2"/>
      <w:sz w:val="24"/>
      <w:lang w:val="en-US" w:eastAsia="zh-CN"/>
    </w:rPr>
  </w:style>
  <w:style w:type="paragraph" w:customStyle="1" w:styleId="247">
    <w:name w:val="段落1 Char"/>
    <w:basedOn w:val="1"/>
    <w:link w:val="246"/>
    <w:qFormat/>
    <w:uiPriority w:val="99"/>
    <w:pPr>
      <w:adjustRightInd w:val="0"/>
      <w:spacing w:line="440" w:lineRule="exact"/>
      <w:ind w:firstLine="200" w:firstLineChars="200"/>
    </w:pPr>
    <w:rPr>
      <w:spacing w:val="8"/>
      <w:sz w:val="24"/>
      <w:szCs w:val="20"/>
    </w:rPr>
  </w:style>
  <w:style w:type="character" w:customStyle="1" w:styleId="248">
    <w:name w:val="ft43"/>
    <w:basedOn w:val="77"/>
    <w:qFormat/>
    <w:uiPriority w:val="99"/>
    <w:rPr>
      <w:rFonts w:cs="Times New Roman"/>
    </w:rPr>
  </w:style>
  <w:style w:type="character" w:customStyle="1" w:styleId="249">
    <w:name w:val="unnamed31"/>
    <w:semiHidden/>
    <w:qFormat/>
    <w:uiPriority w:val="99"/>
    <w:rPr>
      <w:sz w:val="18"/>
    </w:rPr>
  </w:style>
  <w:style w:type="character" w:customStyle="1" w:styleId="250">
    <w:name w:val="表格编号 Char"/>
    <w:qFormat/>
    <w:uiPriority w:val="99"/>
    <w:rPr>
      <w:rFonts w:eastAsia="宋体"/>
      <w:kern w:val="2"/>
      <w:sz w:val="21"/>
      <w:lang w:val="en-US" w:eastAsia="zh-CN"/>
    </w:rPr>
  </w:style>
  <w:style w:type="character" w:customStyle="1" w:styleId="251">
    <w:name w:val="表格标题 Char"/>
    <w:qFormat/>
    <w:uiPriority w:val="99"/>
    <w:rPr>
      <w:rFonts w:eastAsia="宋体"/>
      <w:kern w:val="2"/>
      <w:sz w:val="24"/>
      <w:lang w:val="en-US" w:eastAsia="zh-CN"/>
    </w:rPr>
  </w:style>
  <w:style w:type="paragraph" w:customStyle="1" w:styleId="252">
    <w:name w:val="List Number Last"/>
    <w:basedOn w:val="18"/>
    <w:next w:val="22"/>
    <w:qFormat/>
    <w:uiPriority w:val="99"/>
    <w:pPr>
      <w:widowControl/>
      <w:tabs>
        <w:tab w:val="clear" w:pos="964"/>
      </w:tabs>
      <w:overflowPunct w:val="0"/>
      <w:autoSpaceDE w:val="0"/>
      <w:autoSpaceDN w:val="0"/>
      <w:adjustRightInd w:val="0"/>
      <w:spacing w:before="0" w:after="240" w:line="240" w:lineRule="auto"/>
      <w:ind w:left="720" w:hanging="360"/>
      <w:textAlignment w:val="baseline"/>
    </w:pPr>
    <w:rPr>
      <w:rFonts w:ascii="Times New Roman" w:hAnsi="Times New Roman"/>
      <w:kern w:val="0"/>
      <w:sz w:val="20"/>
    </w:rPr>
  </w:style>
  <w:style w:type="paragraph" w:customStyle="1" w:styleId="253">
    <w:name w:val="样式 表格文字 + 首行缩进:  2 字符"/>
    <w:basedOn w:val="254"/>
    <w:qFormat/>
    <w:uiPriority w:val="99"/>
    <w:pPr>
      <w:widowControl w:val="0"/>
      <w:tabs>
        <w:tab w:val="left" w:pos="3060"/>
      </w:tabs>
      <w:adjustRightInd w:val="0"/>
      <w:jc w:val="center"/>
    </w:pPr>
    <w:rPr>
      <w:rFonts w:ascii="仿宋_GB2312" w:hAnsi="MS Shell Dlg" w:eastAsia="仿宋_GB2312" w:cs="宋体"/>
      <w:sz w:val="24"/>
    </w:rPr>
  </w:style>
  <w:style w:type="paragraph" w:customStyle="1" w:styleId="254">
    <w:name w:val="表格文字"/>
    <w:qFormat/>
    <w:uiPriority w:val="99"/>
    <w:pPr>
      <w:snapToGrid w:val="0"/>
    </w:pPr>
    <w:rPr>
      <w:rFonts w:ascii="宋体" w:hAnsi="宋体" w:eastAsia="宋体" w:cs="Times New Roman"/>
      <w:sz w:val="21"/>
      <w:lang w:val="en-US" w:eastAsia="zh-CN" w:bidi="ar-SA"/>
    </w:rPr>
  </w:style>
  <w:style w:type="paragraph" w:customStyle="1" w:styleId="255">
    <w:name w:val="ST20_1"/>
    <w:basedOn w:val="1"/>
    <w:qFormat/>
    <w:uiPriority w:val="99"/>
    <w:pPr>
      <w:adjustRightInd w:val="0"/>
      <w:jc w:val="center"/>
      <w:textAlignment w:val="baseline"/>
    </w:pPr>
    <w:rPr>
      <w:rFonts w:ascii="宋体"/>
      <w:kern w:val="0"/>
      <w:szCs w:val="20"/>
    </w:rPr>
  </w:style>
  <w:style w:type="paragraph" w:customStyle="1" w:styleId="256">
    <w:name w:val="表格内容1"/>
    <w:basedOn w:val="257"/>
    <w:qFormat/>
    <w:uiPriority w:val="99"/>
    <w:pPr>
      <w:overflowPunct/>
      <w:snapToGrid w:val="0"/>
      <w:spacing w:before="0" w:after="0" w:line="360" w:lineRule="exact"/>
      <w:ind w:firstLine="107" w:firstLineChars="51"/>
      <w:textAlignment w:val="auto"/>
    </w:pPr>
    <w:rPr>
      <w:rFonts w:ascii="Times New Roman" w:hAnsi="Times New Roman" w:eastAsia="宋体"/>
      <w:b w:val="0"/>
      <w:szCs w:val="24"/>
    </w:rPr>
  </w:style>
  <w:style w:type="paragraph" w:customStyle="1" w:styleId="257">
    <w:name w:val="表格内容"/>
    <w:basedOn w:val="1"/>
    <w:qFormat/>
    <w:uiPriority w:val="99"/>
    <w:pPr>
      <w:overflowPunct w:val="0"/>
      <w:adjustRightInd w:val="0"/>
      <w:spacing w:before="40" w:after="60" w:line="200" w:lineRule="atLeast"/>
      <w:textAlignment w:val="baseline"/>
    </w:pPr>
    <w:rPr>
      <w:rFonts w:ascii="Arial" w:hAnsi="Arial" w:eastAsia="仿宋_GB2312"/>
      <w:b/>
      <w:kern w:val="0"/>
      <w:sz w:val="24"/>
      <w:szCs w:val="20"/>
    </w:rPr>
  </w:style>
  <w:style w:type="paragraph" w:customStyle="1" w:styleId="258">
    <w:name w:val="样式 四号 首行缩进:  2 字符 + 首行缩进:  2 字符"/>
    <w:basedOn w:val="1"/>
    <w:qFormat/>
    <w:uiPriority w:val="99"/>
    <w:pPr>
      <w:spacing w:line="440" w:lineRule="exact"/>
      <w:ind w:firstLine="504" w:firstLineChars="200"/>
    </w:pPr>
    <w:rPr>
      <w:rFonts w:ascii="宋体" w:hAnsi="宋体"/>
      <w:spacing w:val="6"/>
      <w:sz w:val="24"/>
      <w:szCs w:val="28"/>
    </w:rPr>
  </w:style>
  <w:style w:type="paragraph" w:customStyle="1" w:styleId="259">
    <w:name w:val="表格文字1"/>
    <w:basedOn w:val="1"/>
    <w:qFormat/>
    <w:uiPriority w:val="99"/>
    <w:pPr>
      <w:autoSpaceDE w:val="0"/>
      <w:autoSpaceDN w:val="0"/>
      <w:adjustRightInd w:val="0"/>
      <w:jc w:val="center"/>
    </w:pPr>
    <w:rPr>
      <w:rFonts w:ascii="宋体" w:hAnsi="宋体"/>
      <w:kern w:val="0"/>
      <w:szCs w:val="20"/>
    </w:rPr>
  </w:style>
  <w:style w:type="paragraph" w:customStyle="1" w:styleId="260">
    <w:name w:val="段落1"/>
    <w:basedOn w:val="1"/>
    <w:qFormat/>
    <w:uiPriority w:val="99"/>
    <w:pPr>
      <w:overflowPunct w:val="0"/>
      <w:autoSpaceDE w:val="0"/>
      <w:autoSpaceDN w:val="0"/>
      <w:spacing w:line="420" w:lineRule="exact"/>
      <w:ind w:firstLine="496" w:firstLineChars="200"/>
      <w:textAlignment w:val="baseline"/>
    </w:pPr>
    <w:rPr>
      <w:color w:val="000000"/>
      <w:spacing w:val="4"/>
      <w:sz w:val="24"/>
    </w:rPr>
  </w:style>
  <w:style w:type="paragraph" w:customStyle="1" w:styleId="261">
    <w:name w:val="表题"/>
    <w:basedOn w:val="260"/>
    <w:qFormat/>
    <w:uiPriority w:val="99"/>
    <w:pPr>
      <w:overflowPunct/>
      <w:autoSpaceDE/>
      <w:autoSpaceDN/>
      <w:adjustRightInd w:val="0"/>
      <w:spacing w:line="400" w:lineRule="exact"/>
      <w:ind w:firstLine="0" w:firstLineChars="0"/>
      <w:jc w:val="center"/>
      <w:textAlignment w:val="auto"/>
    </w:pPr>
    <w:rPr>
      <w:rFonts w:eastAsia="黑体"/>
      <w:color w:val="auto"/>
      <w:spacing w:val="8"/>
      <w:szCs w:val="20"/>
    </w:rPr>
  </w:style>
  <w:style w:type="paragraph" w:customStyle="1" w:styleId="262">
    <w:name w:val="body 1"/>
    <w:basedOn w:val="1"/>
    <w:qFormat/>
    <w:uiPriority w:val="99"/>
    <w:pPr>
      <w:adjustRightInd w:val="0"/>
      <w:spacing w:line="360" w:lineRule="atLeast"/>
      <w:textAlignment w:val="baseline"/>
    </w:pPr>
    <w:rPr>
      <w:rFonts w:ascii="華康中楷體" w:eastAsia="華康中楷體"/>
      <w:spacing w:val="60"/>
      <w:kern w:val="0"/>
      <w:sz w:val="24"/>
      <w:szCs w:val="20"/>
      <w:lang w:eastAsia="zh-TW"/>
    </w:rPr>
  </w:style>
  <w:style w:type="paragraph" w:customStyle="1" w:styleId="263">
    <w:name w:val="表内字"/>
    <w:semiHidden/>
    <w:qFormat/>
    <w:uiPriority w:val="99"/>
    <w:pPr>
      <w:widowControl w:val="0"/>
      <w:jc w:val="center"/>
    </w:pPr>
    <w:rPr>
      <w:rFonts w:ascii="Times New Roman" w:hAnsi="Times New Roman" w:eastAsia="宋体" w:cs="Times New Roman"/>
      <w:sz w:val="21"/>
      <w:szCs w:val="21"/>
      <w:lang w:val="en-US" w:eastAsia="zh-CN" w:bidi="ar-SA"/>
    </w:rPr>
  </w:style>
  <w:style w:type="paragraph" w:customStyle="1" w:styleId="264">
    <w:name w:val="正文01"/>
    <w:basedOn w:val="1"/>
    <w:qFormat/>
    <w:uiPriority w:val="99"/>
    <w:pPr>
      <w:spacing w:before="60" w:line="460" w:lineRule="exact"/>
      <w:ind w:firstLine="200" w:firstLineChars="200"/>
    </w:pPr>
    <w:rPr>
      <w:rFonts w:ascii="Arial" w:hAnsi="Arial" w:cs="Arial"/>
      <w:sz w:val="24"/>
      <w:szCs w:val="20"/>
    </w:rPr>
  </w:style>
  <w:style w:type="paragraph" w:customStyle="1" w:styleId="265">
    <w:name w:val="保留正文"/>
    <w:basedOn w:val="22"/>
    <w:qFormat/>
    <w:uiPriority w:val="99"/>
    <w:pPr>
      <w:keepNext/>
      <w:widowControl/>
      <w:overflowPunct w:val="0"/>
      <w:autoSpaceDE w:val="0"/>
      <w:autoSpaceDN w:val="0"/>
      <w:adjustRightInd w:val="0"/>
      <w:spacing w:after="160"/>
      <w:jc w:val="left"/>
      <w:textAlignment w:val="baseline"/>
    </w:pPr>
    <w:rPr>
      <w:kern w:val="0"/>
      <w:sz w:val="20"/>
    </w:rPr>
  </w:style>
  <w:style w:type="paragraph" w:customStyle="1" w:styleId="266">
    <w:name w:val="reader-word-layer reader-word-s1-5"/>
    <w:basedOn w:val="1"/>
    <w:qFormat/>
    <w:uiPriority w:val="99"/>
    <w:pPr>
      <w:widowControl/>
      <w:spacing w:before="100" w:beforeAutospacing="1" w:after="100" w:afterAutospacing="1"/>
      <w:jc w:val="left"/>
    </w:pPr>
    <w:rPr>
      <w:rFonts w:ascii="宋体" w:hAnsi="宋体" w:cs="宋体"/>
      <w:kern w:val="0"/>
      <w:sz w:val="24"/>
    </w:rPr>
  </w:style>
  <w:style w:type="paragraph" w:customStyle="1" w:styleId="267">
    <w:name w:val="居中四号"/>
    <w:qFormat/>
    <w:uiPriority w:val="99"/>
    <w:pPr>
      <w:spacing w:line="300" w:lineRule="auto"/>
      <w:jc w:val="center"/>
    </w:pPr>
    <w:rPr>
      <w:rFonts w:ascii="Times New Roman" w:hAnsi="Times New Roman" w:eastAsia="宋体" w:cs="Times New Roman"/>
      <w:sz w:val="28"/>
      <w:lang w:val="en-US" w:eastAsia="zh-CN" w:bidi="ar-SA"/>
    </w:rPr>
  </w:style>
  <w:style w:type="paragraph" w:customStyle="1" w:styleId="268">
    <w:name w:val="表头2"/>
    <w:basedOn w:val="1"/>
    <w:next w:val="1"/>
    <w:qFormat/>
    <w:uiPriority w:val="99"/>
    <w:pPr>
      <w:adjustRightInd w:val="0"/>
      <w:snapToGrid w:val="0"/>
      <w:spacing w:beforeLines="50"/>
      <w:jc w:val="center"/>
    </w:pPr>
    <w:rPr>
      <w:rFonts w:ascii="楷体_GB2312" w:hAnsi="宋体" w:eastAsia="楷体_GB2312"/>
      <w:b/>
      <w:spacing w:val="10"/>
      <w:sz w:val="24"/>
    </w:rPr>
  </w:style>
  <w:style w:type="paragraph" w:customStyle="1" w:styleId="269">
    <w:name w:val="表格文字居中 Char"/>
    <w:basedOn w:val="1"/>
    <w:semiHidden/>
    <w:qFormat/>
    <w:uiPriority w:val="99"/>
    <w:pPr>
      <w:spacing w:line="360" w:lineRule="auto"/>
      <w:jc w:val="center"/>
    </w:pPr>
    <w:rPr>
      <w:rFonts w:ascii="宋体" w:hAnsi="Arial"/>
      <w:bCs/>
      <w:color w:val="000000"/>
      <w:sz w:val="24"/>
    </w:rPr>
  </w:style>
  <w:style w:type="paragraph" w:customStyle="1" w:styleId="270">
    <w:name w:val="CM62"/>
    <w:basedOn w:val="271"/>
    <w:next w:val="271"/>
    <w:qFormat/>
    <w:uiPriority w:val="99"/>
    <w:pPr>
      <w:spacing w:after="185"/>
    </w:pPr>
    <w:rPr>
      <w:color w:val="auto"/>
    </w:rPr>
  </w:style>
  <w:style w:type="paragraph" w:customStyle="1" w:styleId="271">
    <w:name w:val="Default"/>
    <w:qFormat/>
    <w:uiPriority w:val="99"/>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272">
    <w:name w:val="表文5号"/>
    <w:basedOn w:val="1"/>
    <w:qFormat/>
    <w:uiPriority w:val="99"/>
    <w:pPr>
      <w:snapToGrid w:val="0"/>
      <w:jc w:val="center"/>
    </w:pPr>
    <w:rPr>
      <w:szCs w:val="21"/>
    </w:rPr>
  </w:style>
  <w:style w:type="paragraph" w:customStyle="1" w:styleId="273">
    <w:name w:val="列表引导"/>
    <w:basedOn w:val="21"/>
    <w:next w:val="21"/>
    <w:qFormat/>
    <w:uiPriority w:val="99"/>
    <w:pPr>
      <w:spacing w:before="80"/>
    </w:pPr>
  </w:style>
  <w:style w:type="paragraph" w:customStyle="1" w:styleId="274">
    <w:name w:val="CM48"/>
    <w:basedOn w:val="271"/>
    <w:next w:val="271"/>
    <w:qFormat/>
    <w:uiPriority w:val="99"/>
    <w:pPr>
      <w:spacing w:line="460" w:lineRule="atLeast"/>
    </w:pPr>
    <w:rPr>
      <w:color w:val="auto"/>
    </w:rPr>
  </w:style>
  <w:style w:type="paragraph" w:customStyle="1" w:styleId="275">
    <w:name w:val="EIA正文"/>
    <w:basedOn w:val="1"/>
    <w:semiHidden/>
    <w:qFormat/>
    <w:uiPriority w:val="99"/>
    <w:pPr>
      <w:spacing w:line="360" w:lineRule="auto"/>
      <w:ind w:firstLine="578"/>
    </w:pPr>
    <w:rPr>
      <w:rFonts w:ascii="宋体" w:hAnsi="宋体"/>
      <w:sz w:val="24"/>
    </w:rPr>
  </w:style>
  <w:style w:type="paragraph" w:customStyle="1" w:styleId="276">
    <w:name w:val="表体"/>
    <w:basedOn w:val="277"/>
    <w:semiHidden/>
    <w:qFormat/>
    <w:uiPriority w:val="99"/>
    <w:pPr>
      <w:overflowPunct w:val="0"/>
      <w:adjustRightInd w:val="0"/>
      <w:spacing w:beforeLines="0" w:afterLines="0" w:line="360" w:lineRule="exact"/>
      <w:ind w:left="-57" w:right="-57"/>
      <w:textAlignment w:val="baseline"/>
    </w:pPr>
    <w:rPr>
      <w:rFonts w:ascii="宋体"/>
      <w:color w:val="000080"/>
      <w:kern w:val="24"/>
      <w:sz w:val="24"/>
      <w:szCs w:val="20"/>
    </w:rPr>
  </w:style>
  <w:style w:type="paragraph" w:customStyle="1" w:styleId="277">
    <w:name w:val="表头"/>
    <w:basedOn w:val="1"/>
    <w:qFormat/>
    <w:uiPriority w:val="99"/>
    <w:pPr>
      <w:spacing w:beforeLines="25" w:afterLines="25"/>
      <w:jc w:val="center"/>
    </w:pPr>
    <w:rPr>
      <w:szCs w:val="21"/>
    </w:rPr>
  </w:style>
  <w:style w:type="paragraph" w:customStyle="1" w:styleId="278">
    <w:name w:val="11111"/>
    <w:basedOn w:val="1"/>
    <w:qFormat/>
    <w:uiPriority w:val="99"/>
    <w:pPr>
      <w:spacing w:line="460" w:lineRule="exact"/>
      <w:ind w:firstLine="200" w:firstLineChars="200"/>
    </w:pPr>
    <w:rPr>
      <w:rFonts w:ascii="仿宋_GB2312" w:hAnsi="宋体" w:eastAsia="仿宋_GB2312"/>
      <w:kern w:val="0"/>
      <w:sz w:val="24"/>
    </w:rPr>
  </w:style>
  <w:style w:type="paragraph" w:customStyle="1" w:styleId="279">
    <w:name w:val="样式 表格内容 + (中文) 宋体 居中"/>
    <w:basedOn w:val="257"/>
    <w:qFormat/>
    <w:uiPriority w:val="99"/>
    <w:pPr>
      <w:snapToGrid w:val="0"/>
      <w:spacing w:before="0" w:after="120" w:line="440" w:lineRule="exact"/>
      <w:jc w:val="center"/>
    </w:pPr>
    <w:rPr>
      <w:rFonts w:eastAsia="宋体"/>
      <w:b w:val="0"/>
      <w:sz w:val="21"/>
      <w:szCs w:val="21"/>
    </w:rPr>
  </w:style>
  <w:style w:type="paragraph" w:customStyle="1" w:styleId="280">
    <w:name w:val="p0"/>
    <w:basedOn w:val="1"/>
    <w:qFormat/>
    <w:uiPriority w:val="99"/>
    <w:pPr>
      <w:widowControl/>
    </w:pPr>
    <w:rPr>
      <w:kern w:val="0"/>
      <w:szCs w:val="21"/>
    </w:rPr>
  </w:style>
  <w:style w:type="paragraph" w:customStyle="1" w:styleId="281">
    <w:name w:val="列表结尾"/>
    <w:basedOn w:val="21"/>
    <w:next w:val="22"/>
    <w:qFormat/>
    <w:uiPriority w:val="99"/>
    <w:pPr>
      <w:spacing w:after="240"/>
    </w:pPr>
  </w:style>
  <w:style w:type="paragraph" w:customStyle="1" w:styleId="282">
    <w:name w:val="城市"/>
    <w:basedOn w:val="22"/>
    <w:qFormat/>
    <w:uiPriority w:val="99"/>
    <w:pPr>
      <w:keepNext/>
      <w:widowControl/>
      <w:overflowPunct w:val="0"/>
      <w:autoSpaceDE w:val="0"/>
      <w:autoSpaceDN w:val="0"/>
      <w:adjustRightInd w:val="0"/>
      <w:spacing w:after="0"/>
      <w:jc w:val="left"/>
      <w:textAlignment w:val="baseline"/>
    </w:pPr>
    <w:rPr>
      <w:b/>
      <w:i/>
      <w:kern w:val="0"/>
      <w:sz w:val="20"/>
    </w:rPr>
  </w:style>
  <w:style w:type="paragraph" w:customStyle="1" w:styleId="283">
    <w:name w:val="奇数页脚注"/>
    <w:basedOn w:val="47"/>
    <w:qFormat/>
    <w:uiPriority w:val="99"/>
    <w:pPr>
      <w:keepLines/>
      <w:widowControl/>
      <w:tabs>
        <w:tab w:val="center" w:pos="4320"/>
        <w:tab w:val="right" w:pos="8640"/>
        <w:tab w:val="clear" w:pos="4153"/>
        <w:tab w:val="clear" w:pos="8306"/>
      </w:tabs>
      <w:overflowPunct w:val="0"/>
      <w:autoSpaceDE w:val="0"/>
      <w:autoSpaceDN w:val="0"/>
      <w:adjustRightInd w:val="0"/>
      <w:snapToGrid/>
      <w:textAlignment w:val="baseline"/>
    </w:pPr>
    <w:rPr>
      <w:kern w:val="0"/>
      <w:sz w:val="20"/>
      <w:szCs w:val="20"/>
    </w:rPr>
  </w:style>
  <w:style w:type="paragraph" w:customStyle="1" w:styleId="284">
    <w:name w:val="表"/>
    <w:basedOn w:val="4"/>
    <w:qFormat/>
    <w:uiPriority w:val="99"/>
    <w:pPr>
      <w:tabs>
        <w:tab w:val="left" w:pos="1740"/>
      </w:tabs>
      <w:adjustRightInd w:val="0"/>
      <w:snapToGrid w:val="0"/>
      <w:spacing w:beforeLines="50" w:afterLines="50" w:line="240" w:lineRule="auto"/>
      <w:ind w:left="1740" w:hanging="420"/>
      <w:outlineLvl w:val="9"/>
    </w:pPr>
    <w:rPr>
      <w:rFonts w:eastAsia="黑体"/>
      <w:b w:val="0"/>
      <w:bCs w:val="0"/>
      <w:color w:val="000000"/>
      <w:spacing w:val="12"/>
      <w:kern w:val="0"/>
      <w:sz w:val="24"/>
      <w:szCs w:val="20"/>
    </w:rPr>
  </w:style>
  <w:style w:type="paragraph" w:customStyle="1" w:styleId="285">
    <w:name w:val="reader-word-layer reader-word-s3-5"/>
    <w:basedOn w:val="1"/>
    <w:qFormat/>
    <w:uiPriority w:val="99"/>
    <w:pPr>
      <w:widowControl/>
      <w:spacing w:before="100" w:beforeAutospacing="1" w:after="100" w:afterAutospacing="1"/>
      <w:jc w:val="left"/>
    </w:pPr>
    <w:rPr>
      <w:rFonts w:ascii="宋体" w:hAnsi="宋体" w:cs="宋体"/>
      <w:kern w:val="0"/>
      <w:sz w:val="24"/>
    </w:rPr>
  </w:style>
  <w:style w:type="paragraph" w:customStyle="1" w:styleId="286">
    <w:name w:val="字母1"/>
    <w:basedOn w:val="1"/>
    <w:qFormat/>
    <w:uiPriority w:val="99"/>
    <w:pPr>
      <w:spacing w:before="60" w:after="60" w:line="480" w:lineRule="exact"/>
      <w:textAlignment w:val="baseline"/>
    </w:pPr>
    <w:rPr>
      <w:spacing w:val="6"/>
      <w:kern w:val="0"/>
      <w:sz w:val="24"/>
    </w:rPr>
  </w:style>
  <w:style w:type="paragraph" w:customStyle="1" w:styleId="287">
    <w:name w:val="样式 标题 3 + 段后: 7.8 磅"/>
    <w:basedOn w:val="4"/>
    <w:qFormat/>
    <w:uiPriority w:val="99"/>
    <w:pPr>
      <w:tabs>
        <w:tab w:val="left" w:pos="1740"/>
      </w:tabs>
      <w:adjustRightInd w:val="0"/>
      <w:snapToGrid w:val="0"/>
      <w:spacing w:beforeLines="50" w:afterLines="50" w:line="360" w:lineRule="exact"/>
      <w:ind w:left="1740" w:hanging="420"/>
      <w:textAlignment w:val="baseline"/>
    </w:pPr>
    <w:rPr>
      <w:rFonts w:eastAsia="黑体"/>
      <w:b w:val="0"/>
      <w:bCs w:val="0"/>
      <w:spacing w:val="4"/>
      <w:kern w:val="0"/>
      <w:sz w:val="28"/>
      <w:szCs w:val="28"/>
    </w:rPr>
  </w:style>
  <w:style w:type="paragraph" w:customStyle="1" w:styleId="288">
    <w:name w:val="IDC A-Head (2nd Line)"/>
    <w:basedOn w:val="1"/>
    <w:next w:val="1"/>
    <w:qFormat/>
    <w:uiPriority w:val="99"/>
    <w:pPr>
      <w:widowControl/>
      <w:jc w:val="center"/>
    </w:pPr>
    <w:rPr>
      <w:caps/>
      <w:kern w:val="0"/>
      <w:sz w:val="24"/>
      <w:szCs w:val="20"/>
    </w:rPr>
  </w:style>
  <w:style w:type="paragraph" w:customStyle="1" w:styleId="289">
    <w:name w:val="font6"/>
    <w:basedOn w:val="1"/>
    <w:semiHidden/>
    <w:qFormat/>
    <w:uiPriority w:val="99"/>
    <w:pPr>
      <w:widowControl/>
      <w:spacing w:before="100" w:beforeAutospacing="1" w:after="100" w:afterAutospacing="1"/>
      <w:jc w:val="left"/>
    </w:pPr>
    <w:rPr>
      <w:rFonts w:ascii="宋体" w:hAnsi="宋体"/>
      <w:kern w:val="0"/>
      <w:sz w:val="20"/>
      <w:szCs w:val="20"/>
    </w:rPr>
  </w:style>
  <w:style w:type="paragraph" w:customStyle="1" w:styleId="290">
    <w:name w:val="样式 标题 4 + 段前: 0.5 行 段后: 0.5 行1"/>
    <w:basedOn w:val="5"/>
    <w:qFormat/>
    <w:uiPriority w:val="99"/>
    <w:pPr>
      <w:tabs>
        <w:tab w:val="left" w:pos="2160"/>
      </w:tabs>
      <w:spacing w:beforeLines="50" w:afterLines="50" w:line="320" w:lineRule="atLeast"/>
      <w:ind w:left="2160" w:hanging="420"/>
      <w:jc w:val="left"/>
    </w:pPr>
    <w:rPr>
      <w:rFonts w:ascii="Times New Roman" w:hAnsi="Times New Roman" w:eastAsia="宋体"/>
      <w:b w:val="0"/>
      <w:bCs w:val="0"/>
      <w:kern w:val="0"/>
    </w:rPr>
  </w:style>
  <w:style w:type="paragraph" w:customStyle="1" w:styleId="291">
    <w:name w:val="Picture"/>
    <w:basedOn w:val="22"/>
    <w:qFormat/>
    <w:uiPriority w:val="99"/>
    <w:pPr>
      <w:keepNext/>
      <w:widowControl/>
      <w:overflowPunct w:val="0"/>
      <w:autoSpaceDE w:val="0"/>
      <w:autoSpaceDN w:val="0"/>
      <w:adjustRightInd w:val="0"/>
      <w:spacing w:after="160"/>
      <w:jc w:val="center"/>
      <w:textAlignment w:val="baseline"/>
    </w:pPr>
    <w:rPr>
      <w:kern w:val="0"/>
      <w:sz w:val="20"/>
    </w:rPr>
  </w:style>
  <w:style w:type="paragraph" w:customStyle="1" w:styleId="292">
    <w:name w:val="表后空行"/>
    <w:basedOn w:val="1"/>
    <w:semiHidden/>
    <w:qFormat/>
    <w:uiPriority w:val="99"/>
    <w:pPr>
      <w:overflowPunct w:val="0"/>
      <w:adjustRightInd w:val="0"/>
      <w:textAlignment w:val="baseline"/>
    </w:pPr>
    <w:rPr>
      <w:color w:val="000000"/>
      <w:kern w:val="28"/>
      <w:sz w:val="10"/>
      <w:szCs w:val="20"/>
    </w:rPr>
  </w:style>
  <w:style w:type="paragraph" w:customStyle="1" w:styleId="293">
    <w:name w:val="Job Title"/>
    <w:basedOn w:val="22"/>
    <w:qFormat/>
    <w:uiPriority w:val="99"/>
    <w:pPr>
      <w:keepLines/>
      <w:widowControl/>
      <w:overflowPunct w:val="0"/>
      <w:autoSpaceDE w:val="0"/>
      <w:autoSpaceDN w:val="0"/>
      <w:adjustRightInd w:val="0"/>
      <w:spacing w:after="0"/>
      <w:ind w:left="187"/>
      <w:jc w:val="left"/>
      <w:textAlignment w:val="baseline"/>
    </w:pPr>
    <w:rPr>
      <w:i/>
      <w:kern w:val="0"/>
      <w:sz w:val="20"/>
    </w:rPr>
  </w:style>
  <w:style w:type="paragraph" w:customStyle="1" w:styleId="294">
    <w:name w:val="地址"/>
    <w:basedOn w:val="22"/>
    <w:qFormat/>
    <w:uiPriority w:val="99"/>
    <w:pPr>
      <w:keepLines/>
      <w:widowControl/>
      <w:overflowPunct w:val="0"/>
      <w:autoSpaceDE w:val="0"/>
      <w:autoSpaceDN w:val="0"/>
      <w:adjustRightInd w:val="0"/>
      <w:spacing w:after="0"/>
      <w:ind w:right="3240"/>
      <w:jc w:val="left"/>
      <w:textAlignment w:val="baseline"/>
    </w:pPr>
    <w:rPr>
      <w:kern w:val="0"/>
      <w:sz w:val="20"/>
    </w:rPr>
  </w:style>
  <w:style w:type="paragraph" w:customStyle="1" w:styleId="295">
    <w:name w:val="2级标题"/>
    <w:basedOn w:val="1"/>
    <w:qFormat/>
    <w:uiPriority w:val="99"/>
    <w:pPr>
      <w:spacing w:before="60" w:line="460" w:lineRule="exact"/>
      <w:outlineLvl w:val="1"/>
    </w:pPr>
    <w:rPr>
      <w:rFonts w:ascii="Arial" w:hAnsi="Arial" w:cs="Arial"/>
      <w:b/>
      <w:sz w:val="28"/>
      <w:szCs w:val="20"/>
    </w:rPr>
  </w:style>
  <w:style w:type="paragraph" w:customStyle="1" w:styleId="296">
    <w:name w:val="Phone Number"/>
    <w:basedOn w:val="22"/>
    <w:qFormat/>
    <w:uiPriority w:val="99"/>
    <w:pPr>
      <w:widowControl/>
      <w:overflowPunct w:val="0"/>
      <w:autoSpaceDE w:val="0"/>
      <w:autoSpaceDN w:val="0"/>
      <w:adjustRightInd w:val="0"/>
      <w:spacing w:after="160"/>
      <w:jc w:val="left"/>
      <w:textAlignment w:val="baseline"/>
    </w:pPr>
    <w:rPr>
      <w:b/>
      <w:kern w:val="0"/>
      <w:sz w:val="20"/>
    </w:rPr>
  </w:style>
  <w:style w:type="paragraph" w:customStyle="1" w:styleId="297">
    <w:name w:val="样式7"/>
    <w:basedOn w:val="3"/>
    <w:qFormat/>
    <w:uiPriority w:val="99"/>
    <w:pPr>
      <w:keepNext/>
      <w:keepLines/>
      <w:widowControl w:val="0"/>
      <w:adjustRightInd w:val="0"/>
      <w:spacing w:beforeLines="50" w:after="240" w:line="578" w:lineRule="atLeast"/>
      <w:jc w:val="center"/>
    </w:pPr>
    <w:rPr>
      <w:rFonts w:eastAsia="黑体"/>
      <w:b w:val="0"/>
      <w:bCs w:val="0"/>
      <w:spacing w:val="20"/>
      <w:kern w:val="44"/>
      <w:sz w:val="36"/>
      <w:szCs w:val="20"/>
    </w:rPr>
  </w:style>
  <w:style w:type="paragraph" w:customStyle="1" w:styleId="298">
    <w:name w:val="样式 标题 4 + 首行缩进:  0 字符"/>
    <w:basedOn w:val="5"/>
    <w:qFormat/>
    <w:uiPriority w:val="99"/>
    <w:pPr>
      <w:spacing w:beforeLines="50" w:afterLines="50" w:line="320" w:lineRule="atLeast"/>
      <w:ind w:left="4680"/>
      <w:jc w:val="left"/>
    </w:pPr>
    <w:rPr>
      <w:rFonts w:ascii="Times New Roman" w:hAnsi="Times New Roman" w:eastAsia="宋体"/>
      <w:b w:val="0"/>
      <w:bCs w:val="0"/>
      <w:spacing w:val="4"/>
      <w:kern w:val="0"/>
      <w:szCs w:val="20"/>
    </w:rPr>
  </w:style>
  <w:style w:type="paragraph" w:customStyle="1" w:styleId="299">
    <w:name w:val="CM36"/>
    <w:basedOn w:val="271"/>
    <w:next w:val="271"/>
    <w:qFormat/>
    <w:uiPriority w:val="99"/>
    <w:pPr>
      <w:spacing w:line="266" w:lineRule="atLeast"/>
    </w:pPr>
    <w:rPr>
      <w:color w:val="auto"/>
    </w:rPr>
  </w:style>
  <w:style w:type="paragraph" w:customStyle="1" w:styleId="300">
    <w:name w:val="CM5"/>
    <w:basedOn w:val="271"/>
    <w:next w:val="271"/>
    <w:qFormat/>
    <w:uiPriority w:val="99"/>
    <w:pPr>
      <w:spacing w:line="460" w:lineRule="atLeast"/>
    </w:pPr>
    <w:rPr>
      <w:color w:val="auto"/>
    </w:rPr>
  </w:style>
  <w:style w:type="paragraph" w:customStyle="1" w:styleId="301">
    <w:name w:val="文字"/>
    <w:basedOn w:val="1"/>
    <w:semiHidden/>
    <w:qFormat/>
    <w:uiPriority w:val="99"/>
    <w:pPr>
      <w:spacing w:line="360" w:lineRule="auto"/>
      <w:ind w:firstLine="482"/>
    </w:pPr>
    <w:rPr>
      <w:rFonts w:ascii="Arial" w:hAnsi="Arial"/>
      <w:kern w:val="28"/>
      <w:sz w:val="24"/>
      <w:szCs w:val="20"/>
    </w:rPr>
  </w:style>
  <w:style w:type="paragraph" w:customStyle="1" w:styleId="302">
    <w:name w:val="表 头"/>
    <w:basedOn w:val="1"/>
    <w:qFormat/>
    <w:uiPriority w:val="99"/>
    <w:pPr>
      <w:adjustRightInd w:val="0"/>
      <w:spacing w:before="120" w:after="120" w:line="360" w:lineRule="atLeast"/>
      <w:jc w:val="center"/>
    </w:pPr>
    <w:rPr>
      <w:rFonts w:eastAsia="黑体"/>
      <w:spacing w:val="10"/>
      <w:kern w:val="0"/>
      <w:sz w:val="24"/>
      <w:szCs w:val="20"/>
    </w:rPr>
  </w:style>
  <w:style w:type="paragraph" w:customStyle="1" w:styleId="303">
    <w:name w:val="正文文本 31"/>
    <w:basedOn w:val="1"/>
    <w:semiHidden/>
    <w:qFormat/>
    <w:uiPriority w:val="99"/>
    <w:pPr>
      <w:adjustRightInd w:val="0"/>
      <w:spacing w:line="360" w:lineRule="atLeast"/>
      <w:jc w:val="center"/>
      <w:textAlignment w:val="baseline"/>
    </w:pPr>
    <w:rPr>
      <w:rFonts w:ascii="仿宋体" w:hAnsi="宋体" w:eastAsia="仿宋体"/>
      <w:kern w:val="0"/>
      <w:sz w:val="24"/>
      <w:szCs w:val="20"/>
    </w:rPr>
  </w:style>
  <w:style w:type="paragraph" w:customStyle="1" w:styleId="304">
    <w:name w:val="表格文字两端对齐"/>
    <w:basedOn w:val="1"/>
    <w:semiHidden/>
    <w:qFormat/>
    <w:uiPriority w:val="99"/>
    <w:pPr>
      <w:spacing w:line="300" w:lineRule="auto"/>
      <w:jc w:val="center"/>
    </w:pPr>
    <w:rPr>
      <w:rFonts w:ascii="Arial Narrow" w:hAnsi="Arial Narrow" w:eastAsia="仿宋_GB2312"/>
      <w:color w:val="000000"/>
      <w:kern w:val="0"/>
    </w:rPr>
  </w:style>
  <w:style w:type="paragraph" w:customStyle="1" w:styleId="305">
    <w:name w:val="reader-word-layer reader-word-s1-2"/>
    <w:basedOn w:val="1"/>
    <w:qFormat/>
    <w:uiPriority w:val="99"/>
    <w:pPr>
      <w:widowControl/>
      <w:spacing w:before="100" w:beforeAutospacing="1" w:after="100" w:afterAutospacing="1"/>
      <w:jc w:val="left"/>
    </w:pPr>
    <w:rPr>
      <w:rFonts w:ascii="宋体" w:hAnsi="宋体" w:cs="宋体"/>
      <w:kern w:val="0"/>
      <w:sz w:val="24"/>
    </w:rPr>
  </w:style>
  <w:style w:type="paragraph" w:customStyle="1" w:styleId="306">
    <w:name w:val="编号结尾"/>
    <w:basedOn w:val="18"/>
    <w:next w:val="1"/>
    <w:qFormat/>
    <w:uiPriority w:val="99"/>
    <w:pPr>
      <w:widowControl/>
      <w:tabs>
        <w:tab w:val="clear" w:pos="964"/>
      </w:tabs>
      <w:overflowPunct w:val="0"/>
      <w:autoSpaceDE w:val="0"/>
      <w:autoSpaceDN w:val="0"/>
      <w:adjustRightInd w:val="0"/>
      <w:spacing w:before="0" w:after="240" w:line="240" w:lineRule="auto"/>
      <w:ind w:left="720" w:hanging="360"/>
      <w:textAlignment w:val="baseline"/>
    </w:pPr>
    <w:rPr>
      <w:rFonts w:ascii="Times New Roman" w:hAnsi="Times New Roman"/>
      <w:kern w:val="0"/>
      <w:sz w:val="20"/>
    </w:rPr>
  </w:style>
  <w:style w:type="paragraph" w:customStyle="1" w:styleId="307">
    <w:name w:val="Header Even"/>
    <w:basedOn w:val="49"/>
    <w:qFormat/>
    <w:uiPriority w:val="99"/>
    <w:pPr>
      <w:keepLines/>
      <w:widowControl/>
      <w:tabs>
        <w:tab w:val="center" w:pos="4320"/>
        <w:tab w:val="right" w:pos="8640"/>
        <w:tab w:val="clear" w:pos="4153"/>
        <w:tab w:val="clear" w:pos="8306"/>
      </w:tabs>
      <w:overflowPunct w:val="0"/>
      <w:autoSpaceDE w:val="0"/>
      <w:autoSpaceDN w:val="0"/>
      <w:adjustRightInd w:val="0"/>
      <w:snapToGrid/>
      <w:jc w:val="left"/>
      <w:textAlignment w:val="baseline"/>
    </w:pPr>
    <w:rPr>
      <w:kern w:val="0"/>
      <w:sz w:val="20"/>
      <w:szCs w:val="20"/>
    </w:rPr>
  </w:style>
  <w:style w:type="paragraph" w:customStyle="1" w:styleId="308">
    <w:name w:val="List First"/>
    <w:basedOn w:val="21"/>
    <w:next w:val="21"/>
    <w:qFormat/>
    <w:uiPriority w:val="99"/>
    <w:pPr>
      <w:spacing w:before="80"/>
    </w:pPr>
  </w:style>
  <w:style w:type="paragraph" w:customStyle="1" w:styleId="309">
    <w:name w:val="表文字"/>
    <w:basedOn w:val="1"/>
    <w:qFormat/>
    <w:uiPriority w:val="99"/>
    <w:pPr>
      <w:overflowPunct w:val="0"/>
      <w:autoSpaceDE w:val="0"/>
      <w:autoSpaceDN w:val="0"/>
      <w:adjustRightInd w:val="0"/>
      <w:spacing w:line="240" w:lineRule="atLeast"/>
      <w:jc w:val="center"/>
      <w:textAlignment w:val="baseline"/>
    </w:pPr>
    <w:rPr>
      <w:kern w:val="0"/>
      <w:sz w:val="24"/>
      <w:szCs w:val="20"/>
    </w:rPr>
  </w:style>
  <w:style w:type="paragraph" w:customStyle="1" w:styleId="310">
    <w:name w:val="样式10"/>
    <w:basedOn w:val="5"/>
    <w:qFormat/>
    <w:uiPriority w:val="99"/>
    <w:pPr>
      <w:spacing w:beforeLines="50" w:after="0" w:line="400" w:lineRule="atLeast"/>
      <w:jc w:val="left"/>
    </w:pPr>
    <w:rPr>
      <w:rFonts w:ascii="Times New Roman" w:hAnsi="Times New Roman" w:eastAsia="宋体"/>
      <w:b w:val="0"/>
      <w:bCs w:val="0"/>
      <w:sz w:val="24"/>
      <w:szCs w:val="20"/>
    </w:rPr>
  </w:style>
  <w:style w:type="paragraph" w:customStyle="1" w:styleId="311">
    <w:name w:val="样式6"/>
    <w:basedOn w:val="2"/>
    <w:qFormat/>
    <w:uiPriority w:val="99"/>
    <w:pPr>
      <w:keepNext/>
      <w:keepLines/>
      <w:widowControl w:val="0"/>
      <w:tabs>
        <w:tab w:val="left" w:pos="1320"/>
      </w:tabs>
      <w:adjustRightInd w:val="0"/>
      <w:spacing w:before="120" w:afterLines="50" w:line="416" w:lineRule="atLeast"/>
      <w:ind w:left="1320" w:hanging="420"/>
      <w:jc w:val="left"/>
    </w:pPr>
    <w:rPr>
      <w:rFonts w:ascii="Times New Roman" w:hAnsi="Times New Roman" w:eastAsia="黑体" w:cs="Times New Roman"/>
      <w:b w:val="0"/>
      <w:bCs w:val="0"/>
      <w:spacing w:val="10"/>
      <w:kern w:val="2"/>
      <w:sz w:val="30"/>
      <w:szCs w:val="24"/>
    </w:rPr>
  </w:style>
  <w:style w:type="paragraph" w:customStyle="1" w:styleId="312">
    <w:name w:val="小五居左"/>
    <w:semiHidden/>
    <w:qFormat/>
    <w:uiPriority w:val="99"/>
    <w:pPr>
      <w:adjustRightInd w:val="0"/>
      <w:snapToGrid w:val="0"/>
      <w:jc w:val="both"/>
    </w:pPr>
    <w:rPr>
      <w:rFonts w:ascii="Times New Roman" w:hAnsi="Times New Roman" w:eastAsia="宋体" w:cs="Times New Roman"/>
      <w:sz w:val="21"/>
      <w:szCs w:val="21"/>
      <w:lang w:val="en-US" w:eastAsia="zh-CN" w:bidi="ar-SA"/>
    </w:rPr>
  </w:style>
  <w:style w:type="paragraph" w:customStyle="1" w:styleId="313">
    <w:name w:val="xl24"/>
    <w:basedOn w:val="1"/>
    <w:qFormat/>
    <w:uiPriority w:val="99"/>
    <w:pPr>
      <w:widowControl/>
      <w:spacing w:before="100" w:beforeAutospacing="1" w:after="100" w:afterAutospacing="1"/>
      <w:jc w:val="center"/>
    </w:pPr>
    <w:rPr>
      <w:rFonts w:ascii="Arial Unicode MS" w:hAnsi="Arial Unicode MS"/>
      <w:kern w:val="0"/>
      <w:sz w:val="24"/>
    </w:rPr>
  </w:style>
  <w:style w:type="paragraph" w:customStyle="1" w:styleId="314">
    <w:name w:val="样式 燕山正文 + 首行缩进:  3.5 字符2"/>
    <w:basedOn w:val="1"/>
    <w:qFormat/>
    <w:uiPriority w:val="99"/>
    <w:pPr>
      <w:tabs>
        <w:tab w:val="left" w:pos="4680"/>
      </w:tabs>
      <w:adjustRightInd w:val="0"/>
      <w:snapToGrid w:val="0"/>
      <w:spacing w:line="360" w:lineRule="auto"/>
      <w:ind w:firstLine="420" w:firstLineChars="200"/>
    </w:pPr>
    <w:rPr>
      <w:rFonts w:ascii="楷体_GB2312" w:eastAsia="楷体_GB2312"/>
      <w:szCs w:val="21"/>
    </w:rPr>
  </w:style>
  <w:style w:type="paragraph" w:customStyle="1" w:styleId="315">
    <w:name w:val="小五"/>
    <w:basedOn w:val="1"/>
    <w:semiHidden/>
    <w:qFormat/>
    <w:uiPriority w:val="99"/>
    <w:pPr>
      <w:autoSpaceDE w:val="0"/>
      <w:autoSpaceDN w:val="0"/>
      <w:adjustRightInd w:val="0"/>
      <w:snapToGrid w:val="0"/>
      <w:jc w:val="center"/>
    </w:pPr>
    <w:rPr>
      <w:rFonts w:ascii="宋体" w:hAnsi="宋体"/>
      <w:kern w:val="0"/>
      <w:sz w:val="18"/>
      <w:szCs w:val="18"/>
    </w:rPr>
  </w:style>
  <w:style w:type="paragraph" w:customStyle="1" w:styleId="316">
    <w:name w:val="环标2"/>
    <w:basedOn w:val="2"/>
    <w:qFormat/>
    <w:uiPriority w:val="99"/>
    <w:pPr>
      <w:keepNext/>
      <w:keepLines/>
      <w:widowControl w:val="0"/>
      <w:tabs>
        <w:tab w:val="left" w:pos="1320"/>
      </w:tabs>
      <w:adjustRightInd w:val="0"/>
      <w:spacing w:before="120" w:after="120" w:line="312" w:lineRule="atLeast"/>
      <w:ind w:left="1320" w:hanging="420"/>
      <w:jc w:val="left"/>
      <w:textAlignment w:val="baseline"/>
    </w:pPr>
    <w:rPr>
      <w:rFonts w:ascii="黑体" w:eastAsia="黑体" w:cs="Times New Roman"/>
      <w:b w:val="0"/>
      <w:bCs w:val="0"/>
      <w:sz w:val="28"/>
      <w:szCs w:val="20"/>
    </w:rPr>
  </w:style>
  <w:style w:type="paragraph" w:customStyle="1" w:styleId="317">
    <w:name w:val="CM40"/>
    <w:basedOn w:val="271"/>
    <w:next w:val="271"/>
    <w:qFormat/>
    <w:uiPriority w:val="99"/>
    <w:pPr>
      <w:spacing w:line="280" w:lineRule="atLeast"/>
    </w:pPr>
    <w:rPr>
      <w:color w:val="auto"/>
    </w:rPr>
  </w:style>
  <w:style w:type="paragraph" w:customStyle="1" w:styleId="318">
    <w:name w:val="表格正文"/>
    <w:qFormat/>
    <w:uiPriority w:val="99"/>
    <w:pPr>
      <w:spacing w:line="360" w:lineRule="auto"/>
      <w:jc w:val="center"/>
    </w:pPr>
    <w:rPr>
      <w:rFonts w:ascii="宋体" w:hAnsi="宋体" w:eastAsia="宋体" w:cs="Times New Roman"/>
      <w:sz w:val="21"/>
      <w:lang w:val="en-US" w:eastAsia="zh-CN" w:bidi="ar-SA"/>
    </w:rPr>
  </w:style>
  <w:style w:type="paragraph" w:customStyle="1" w:styleId="319">
    <w:name w:val="样式 标题 4 + 段前: 0.5 行 段后: 0.5 行"/>
    <w:basedOn w:val="5"/>
    <w:qFormat/>
    <w:uiPriority w:val="99"/>
    <w:pPr>
      <w:tabs>
        <w:tab w:val="left" w:pos="2160"/>
      </w:tabs>
      <w:spacing w:beforeLines="50" w:afterLines="50" w:line="400" w:lineRule="atLeast"/>
      <w:ind w:left="2160" w:hanging="420"/>
      <w:jc w:val="left"/>
    </w:pPr>
    <w:rPr>
      <w:rFonts w:ascii="Times New Roman" w:hAnsi="Times New Roman" w:eastAsia="宋体"/>
      <w:b w:val="0"/>
      <w:bCs w:val="0"/>
      <w:kern w:val="0"/>
    </w:rPr>
  </w:style>
  <w:style w:type="paragraph" w:customStyle="1" w:styleId="320">
    <w:name w:val="列出段落1"/>
    <w:basedOn w:val="1"/>
    <w:qFormat/>
    <w:uiPriority w:val="99"/>
    <w:pPr>
      <w:ind w:firstLine="420" w:firstLineChars="200"/>
    </w:pPr>
    <w:rPr>
      <w:rFonts w:ascii="Calibri" w:hAnsi="Calibri"/>
      <w:szCs w:val="22"/>
    </w:rPr>
  </w:style>
  <w:style w:type="paragraph" w:customStyle="1" w:styleId="321">
    <w:name w:val="标准"/>
    <w:basedOn w:val="1"/>
    <w:qFormat/>
    <w:uiPriority w:val="99"/>
    <w:pPr>
      <w:shd w:val="pct20" w:color="auto" w:fill="auto"/>
      <w:adjustRightInd w:val="0"/>
      <w:spacing w:line="312" w:lineRule="atLeast"/>
      <w:textAlignment w:val="baseline"/>
    </w:pPr>
    <w:rPr>
      <w:rFonts w:ascii="黑体" w:eastAsia="黑体"/>
      <w:b/>
      <w:kern w:val="0"/>
      <w:szCs w:val="20"/>
    </w:rPr>
  </w:style>
  <w:style w:type="paragraph" w:customStyle="1" w:styleId="322">
    <w:name w:val="单元格"/>
    <w:basedOn w:val="1"/>
    <w:qFormat/>
    <w:uiPriority w:val="99"/>
    <w:pPr>
      <w:jc w:val="center"/>
    </w:pPr>
    <w:rPr>
      <w:rFonts w:ascii="楷体_GB2312" w:eastAsia="楷体_GB2312"/>
      <w:szCs w:val="20"/>
    </w:rPr>
  </w:style>
  <w:style w:type="paragraph" w:customStyle="1" w:styleId="323">
    <w:name w:val="CM58"/>
    <w:basedOn w:val="271"/>
    <w:next w:val="271"/>
    <w:qFormat/>
    <w:uiPriority w:val="99"/>
    <w:pPr>
      <w:spacing w:after="155"/>
    </w:pPr>
    <w:rPr>
      <w:color w:val="auto"/>
    </w:rPr>
  </w:style>
  <w:style w:type="paragraph" w:customStyle="1" w:styleId="324">
    <w:name w:val="Char Char Char Char Char Char"/>
    <w:basedOn w:val="1"/>
    <w:qFormat/>
    <w:uiPriority w:val="99"/>
  </w:style>
  <w:style w:type="paragraph" w:customStyle="1" w:styleId="325">
    <w:name w:val="段落"/>
    <w:basedOn w:val="1"/>
    <w:qFormat/>
    <w:uiPriority w:val="99"/>
    <w:pPr>
      <w:adjustRightInd w:val="0"/>
      <w:snapToGrid w:val="0"/>
      <w:spacing w:line="400" w:lineRule="atLeast"/>
      <w:ind w:firstLine="510"/>
    </w:pPr>
    <w:rPr>
      <w:spacing w:val="4"/>
      <w:kern w:val="0"/>
      <w:sz w:val="24"/>
      <w:szCs w:val="20"/>
    </w:rPr>
  </w:style>
  <w:style w:type="paragraph" w:customStyle="1" w:styleId="326">
    <w:name w:val="样式11"/>
    <w:basedOn w:val="5"/>
    <w:qFormat/>
    <w:uiPriority w:val="99"/>
    <w:pPr>
      <w:spacing w:beforeLines="50" w:afterLines="50" w:line="320" w:lineRule="exact"/>
      <w:jc w:val="left"/>
    </w:pPr>
    <w:rPr>
      <w:rFonts w:ascii="Times New Roman" w:hAnsi="Times New Roman" w:eastAsia="宋体"/>
      <w:b w:val="0"/>
      <w:bCs w:val="0"/>
      <w:sz w:val="24"/>
      <w:szCs w:val="20"/>
    </w:rPr>
  </w:style>
  <w:style w:type="paragraph" w:customStyle="1" w:styleId="327">
    <w:name w:val="CM56"/>
    <w:basedOn w:val="271"/>
    <w:next w:val="271"/>
    <w:qFormat/>
    <w:uiPriority w:val="99"/>
    <w:pPr>
      <w:spacing w:after="598"/>
    </w:pPr>
    <w:rPr>
      <w:color w:val="auto"/>
    </w:rPr>
  </w:style>
  <w:style w:type="paragraph" w:customStyle="1" w:styleId="328">
    <w:name w:val="默认段落字体 Para Char"/>
    <w:basedOn w:val="1"/>
    <w:qFormat/>
    <w:uiPriority w:val="99"/>
    <w:pPr>
      <w:spacing w:line="360" w:lineRule="auto"/>
      <w:ind w:firstLine="200" w:firstLineChars="200"/>
    </w:pPr>
    <w:rPr>
      <w:rFonts w:ascii="宋体" w:hAnsi="宋体" w:cs="宋体"/>
      <w:sz w:val="24"/>
    </w:rPr>
  </w:style>
  <w:style w:type="paragraph" w:customStyle="1" w:styleId="329">
    <w:name w:val="正文样式1"/>
    <w:basedOn w:val="1"/>
    <w:semiHidden/>
    <w:qFormat/>
    <w:uiPriority w:val="99"/>
    <w:pPr>
      <w:adjustRightInd w:val="0"/>
      <w:ind w:firstLine="420" w:firstLineChars="200"/>
      <w:textAlignment w:val="baseline"/>
    </w:pPr>
    <w:rPr>
      <w:kern w:val="0"/>
      <w:szCs w:val="20"/>
    </w:rPr>
  </w:style>
  <w:style w:type="paragraph" w:customStyle="1" w:styleId="330">
    <w:name w:val="列表4"/>
    <w:basedOn w:val="331"/>
    <w:qFormat/>
    <w:uiPriority w:val="99"/>
    <w:pPr>
      <w:pBdr>
        <w:left w:val="none" w:color="auto" w:sz="0" w:space="0"/>
      </w:pBdr>
      <w:tabs>
        <w:tab w:val="left" w:pos="720"/>
      </w:tabs>
      <w:ind w:left="1080"/>
    </w:pPr>
  </w:style>
  <w:style w:type="paragraph" w:customStyle="1" w:styleId="331">
    <w:name w:val="列表1"/>
    <w:basedOn w:val="21"/>
    <w:qFormat/>
    <w:uiPriority w:val="99"/>
    <w:pPr>
      <w:pBdr>
        <w:left w:val="single" w:color="auto" w:sz="6" w:space="23"/>
      </w:pBdr>
      <w:ind w:left="0" w:firstLine="0"/>
    </w:pPr>
  </w:style>
  <w:style w:type="paragraph" w:customStyle="1" w:styleId="332">
    <w:name w:val="纯文本1"/>
    <w:basedOn w:val="1"/>
    <w:qFormat/>
    <w:uiPriority w:val="99"/>
    <w:rPr>
      <w:rFonts w:ascii="宋体" w:hAnsi="Courier New" w:eastAsia="仿宋_GB2312"/>
      <w:sz w:val="28"/>
      <w:szCs w:val="21"/>
    </w:rPr>
  </w:style>
  <w:style w:type="paragraph" w:customStyle="1" w:styleId="333">
    <w:name w:val="表头名称"/>
    <w:basedOn w:val="1"/>
    <w:semiHidden/>
    <w:qFormat/>
    <w:uiPriority w:val="99"/>
    <w:pPr>
      <w:autoSpaceDE w:val="0"/>
      <w:autoSpaceDN w:val="0"/>
      <w:adjustRightInd w:val="0"/>
      <w:spacing w:line="360" w:lineRule="auto"/>
      <w:jc w:val="center"/>
    </w:pPr>
    <w:rPr>
      <w:rFonts w:hAnsi="宋体"/>
      <w:kern w:val="0"/>
      <w:sz w:val="24"/>
      <w:szCs w:val="20"/>
    </w:rPr>
  </w:style>
  <w:style w:type="paragraph" w:customStyle="1" w:styleId="334">
    <w:name w:val="Document Label"/>
    <w:basedOn w:val="1"/>
    <w:qFormat/>
    <w:uiPriority w:val="99"/>
    <w:pPr>
      <w:keepNext/>
      <w:widowControl/>
      <w:overflowPunct w:val="0"/>
      <w:autoSpaceDE w:val="0"/>
      <w:autoSpaceDN w:val="0"/>
      <w:adjustRightInd w:val="0"/>
      <w:spacing w:before="240" w:after="360"/>
      <w:jc w:val="left"/>
      <w:textAlignment w:val="baseline"/>
    </w:pPr>
    <w:rPr>
      <w:b/>
      <w:kern w:val="28"/>
      <w:sz w:val="36"/>
      <w:szCs w:val="20"/>
    </w:rPr>
  </w:style>
  <w:style w:type="paragraph" w:customStyle="1" w:styleId="335">
    <w:name w:val="Heading Base"/>
    <w:basedOn w:val="1"/>
    <w:next w:val="22"/>
    <w:qFormat/>
    <w:uiPriority w:val="99"/>
    <w:pPr>
      <w:keepNext/>
      <w:keepLines/>
      <w:widowControl/>
      <w:overflowPunct w:val="0"/>
      <w:autoSpaceDE w:val="0"/>
      <w:autoSpaceDN w:val="0"/>
      <w:adjustRightInd w:val="0"/>
      <w:spacing w:before="240" w:after="120"/>
      <w:jc w:val="left"/>
      <w:textAlignment w:val="baseline"/>
    </w:pPr>
    <w:rPr>
      <w:rFonts w:ascii="Arial" w:hAnsi="Arial"/>
      <w:b/>
      <w:kern w:val="28"/>
      <w:sz w:val="36"/>
      <w:szCs w:val="20"/>
    </w:rPr>
  </w:style>
  <w:style w:type="paragraph" w:customStyle="1" w:styleId="336">
    <w:name w:val="新正文"/>
    <w:basedOn w:val="1"/>
    <w:qFormat/>
    <w:uiPriority w:val="99"/>
    <w:pPr>
      <w:spacing w:before="60" w:line="460" w:lineRule="exact"/>
      <w:ind w:firstLine="200" w:firstLineChars="200"/>
    </w:pPr>
    <w:rPr>
      <w:sz w:val="24"/>
      <w:szCs w:val="20"/>
    </w:rPr>
  </w:style>
  <w:style w:type="paragraph" w:customStyle="1" w:styleId="337">
    <w:name w:val="xl27"/>
    <w:basedOn w:val="1"/>
    <w:qFormat/>
    <w:uiPriority w:val="99"/>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 w:val="24"/>
    </w:rPr>
  </w:style>
  <w:style w:type="paragraph" w:customStyle="1" w:styleId="338">
    <w:name w:val="p15"/>
    <w:basedOn w:val="1"/>
    <w:qFormat/>
    <w:uiPriority w:val="99"/>
    <w:pPr>
      <w:widowControl/>
    </w:pPr>
    <w:rPr>
      <w:kern w:val="0"/>
      <w:szCs w:val="21"/>
    </w:rPr>
  </w:style>
  <w:style w:type="paragraph" w:customStyle="1" w:styleId="339">
    <w:name w:val="项目符号引导"/>
    <w:basedOn w:val="20"/>
    <w:next w:val="20"/>
    <w:qFormat/>
    <w:uiPriority w:val="99"/>
    <w:pPr>
      <w:spacing w:before="80"/>
    </w:pPr>
  </w:style>
  <w:style w:type="paragraph" w:customStyle="1" w:styleId="340">
    <w:name w:val="Subtitle Cover"/>
    <w:basedOn w:val="1"/>
    <w:next w:val="22"/>
    <w:qFormat/>
    <w:uiPriority w:val="99"/>
    <w:pPr>
      <w:keepNext/>
      <w:widowControl/>
      <w:overflowPunct w:val="0"/>
      <w:autoSpaceDE w:val="0"/>
      <w:autoSpaceDN w:val="0"/>
      <w:adjustRightInd w:val="0"/>
      <w:spacing w:before="240" w:after="160"/>
      <w:jc w:val="center"/>
      <w:textAlignment w:val="baseline"/>
    </w:pPr>
    <w:rPr>
      <w:rFonts w:ascii="Arial" w:hAnsi="Arial"/>
      <w:i/>
      <w:kern w:val="28"/>
      <w:sz w:val="36"/>
      <w:szCs w:val="20"/>
    </w:rPr>
  </w:style>
  <w:style w:type="paragraph" w:customStyle="1" w:styleId="341">
    <w:name w:val="CM4"/>
    <w:basedOn w:val="271"/>
    <w:next w:val="271"/>
    <w:qFormat/>
    <w:uiPriority w:val="99"/>
    <w:pPr>
      <w:spacing w:line="463" w:lineRule="atLeast"/>
    </w:pPr>
    <w:rPr>
      <w:color w:val="auto"/>
    </w:rPr>
  </w:style>
  <w:style w:type="paragraph" w:customStyle="1" w:styleId="342">
    <w:name w:val="样式2"/>
    <w:basedOn w:val="2"/>
    <w:qFormat/>
    <w:uiPriority w:val="99"/>
    <w:pPr>
      <w:keepNext/>
      <w:keepLines/>
      <w:widowControl w:val="0"/>
      <w:tabs>
        <w:tab w:val="left" w:pos="1320"/>
      </w:tabs>
      <w:spacing w:before="240" w:after="120" w:line="380" w:lineRule="atLeast"/>
      <w:ind w:left="1320" w:hanging="420"/>
    </w:pPr>
    <w:rPr>
      <w:rFonts w:ascii="Times New Roman" w:hAnsi="Times New Roman" w:eastAsia="黑体" w:cs="Times New Roman"/>
      <w:b w:val="0"/>
      <w:bCs w:val="0"/>
      <w:spacing w:val="10"/>
      <w:kern w:val="2"/>
      <w:sz w:val="30"/>
      <w:szCs w:val="24"/>
    </w:rPr>
  </w:style>
  <w:style w:type="paragraph" w:customStyle="1" w:styleId="343">
    <w:name w:val="基准篇头"/>
    <w:basedOn w:val="1"/>
    <w:qFormat/>
    <w:uiPriority w:val="99"/>
    <w:pPr>
      <w:keepNext/>
      <w:widowControl/>
      <w:overflowPunct w:val="0"/>
      <w:autoSpaceDE w:val="0"/>
      <w:autoSpaceDN w:val="0"/>
      <w:adjustRightInd w:val="0"/>
      <w:spacing w:before="240" w:after="120"/>
      <w:jc w:val="left"/>
      <w:textAlignment w:val="baseline"/>
    </w:pPr>
    <w:rPr>
      <w:rFonts w:ascii="Arial" w:hAnsi="Arial"/>
      <w:b/>
      <w:kern w:val="0"/>
      <w:sz w:val="36"/>
      <w:szCs w:val="20"/>
    </w:rPr>
  </w:style>
  <w:style w:type="paragraph" w:customStyle="1" w:styleId="344">
    <w:name w:val="法规列表"/>
    <w:basedOn w:val="1"/>
    <w:semiHidden/>
    <w:qFormat/>
    <w:uiPriority w:val="99"/>
    <w:pPr>
      <w:tabs>
        <w:tab w:val="left" w:pos="420"/>
      </w:tabs>
      <w:spacing w:beforeLines="50"/>
      <w:ind w:left="420" w:hanging="420"/>
    </w:pPr>
    <w:rPr>
      <w:rFonts w:eastAsia="仿宋_GB2312"/>
      <w:sz w:val="24"/>
    </w:rPr>
  </w:style>
  <w:style w:type="paragraph" w:customStyle="1" w:styleId="345">
    <w:name w:val="初设正文"/>
    <w:basedOn w:val="1"/>
    <w:qFormat/>
    <w:uiPriority w:val="99"/>
    <w:pPr>
      <w:spacing w:line="360" w:lineRule="auto"/>
      <w:ind w:firstLine="200" w:firstLineChars="200"/>
      <w:jc w:val="left"/>
    </w:pPr>
    <w:rPr>
      <w:kern w:val="0"/>
      <w:sz w:val="24"/>
      <w:szCs w:val="20"/>
    </w:rPr>
  </w:style>
  <w:style w:type="paragraph" w:customStyle="1" w:styleId="346">
    <w:name w:val="Char2"/>
    <w:basedOn w:val="1"/>
    <w:qFormat/>
    <w:uiPriority w:val="99"/>
    <w:pPr>
      <w:spacing w:line="360" w:lineRule="auto"/>
      <w:ind w:firstLine="200" w:firstLineChars="200"/>
    </w:pPr>
    <w:rPr>
      <w:rFonts w:ascii="宋体" w:hAnsi="宋体" w:cs="宋体"/>
      <w:sz w:val="24"/>
    </w:rPr>
  </w:style>
  <w:style w:type="paragraph" w:customStyle="1" w:styleId="347">
    <w:name w:val="reader-word-layer reader-word-s3-8"/>
    <w:basedOn w:val="1"/>
    <w:qFormat/>
    <w:uiPriority w:val="99"/>
    <w:pPr>
      <w:widowControl/>
      <w:spacing w:before="100" w:beforeAutospacing="1" w:after="100" w:afterAutospacing="1"/>
      <w:jc w:val="left"/>
    </w:pPr>
    <w:rPr>
      <w:rFonts w:ascii="宋体" w:hAnsi="宋体" w:cs="宋体"/>
      <w:kern w:val="0"/>
      <w:sz w:val="24"/>
    </w:rPr>
  </w:style>
  <w:style w:type="paragraph" w:customStyle="1" w:styleId="348">
    <w:name w:val="段落2"/>
    <w:basedOn w:val="1"/>
    <w:qFormat/>
    <w:uiPriority w:val="99"/>
    <w:pPr>
      <w:adjustRightInd w:val="0"/>
      <w:spacing w:line="440" w:lineRule="atLeast"/>
    </w:pPr>
    <w:rPr>
      <w:spacing w:val="6"/>
      <w:sz w:val="24"/>
      <w:szCs w:val="20"/>
    </w:rPr>
  </w:style>
  <w:style w:type="paragraph" w:customStyle="1" w:styleId="349">
    <w:name w:val="666666-四级标题"/>
    <w:qFormat/>
    <w:uiPriority w:val="99"/>
    <w:pPr>
      <w:spacing w:line="360" w:lineRule="auto"/>
    </w:pPr>
    <w:rPr>
      <w:rFonts w:ascii="Times New Roman" w:hAnsi="Times New Roman" w:eastAsia="宋体" w:cs="Times New Roman"/>
      <w:b/>
      <w:kern w:val="2"/>
      <w:sz w:val="24"/>
      <w:szCs w:val="24"/>
      <w:lang w:val="en-US" w:eastAsia="zh-CN" w:bidi="ar-SA"/>
    </w:rPr>
  </w:style>
  <w:style w:type="paragraph" w:customStyle="1" w:styleId="350">
    <w:name w:val="CM6"/>
    <w:basedOn w:val="271"/>
    <w:next w:val="271"/>
    <w:qFormat/>
    <w:uiPriority w:val="99"/>
    <w:pPr>
      <w:spacing w:line="460" w:lineRule="atLeast"/>
    </w:pPr>
    <w:rPr>
      <w:color w:val="auto"/>
    </w:rPr>
  </w:style>
  <w:style w:type="paragraph" w:customStyle="1" w:styleId="351">
    <w:name w:val="表格文字（居中）"/>
    <w:basedOn w:val="1"/>
    <w:qFormat/>
    <w:uiPriority w:val="99"/>
    <w:pPr>
      <w:jc w:val="center"/>
    </w:pPr>
    <w:rPr>
      <w:szCs w:val="21"/>
    </w:rPr>
  </w:style>
  <w:style w:type="paragraph" w:customStyle="1" w:styleId="352">
    <w:name w:val="reader-word-layer reader-word-s2-5"/>
    <w:basedOn w:val="1"/>
    <w:qFormat/>
    <w:uiPriority w:val="99"/>
    <w:pPr>
      <w:widowControl/>
      <w:spacing w:before="100" w:beforeAutospacing="1" w:after="100" w:afterAutospacing="1"/>
      <w:jc w:val="left"/>
    </w:pPr>
    <w:rPr>
      <w:rFonts w:ascii="宋体" w:hAnsi="宋体" w:cs="宋体"/>
      <w:kern w:val="0"/>
      <w:sz w:val="24"/>
    </w:rPr>
  </w:style>
  <w:style w:type="paragraph" w:customStyle="1" w:styleId="353">
    <w:name w:val="样式 标题 2样式 2 + 首行缩进:  2 字符"/>
    <w:basedOn w:val="2"/>
    <w:next w:val="2"/>
    <w:qFormat/>
    <w:uiPriority w:val="99"/>
    <w:pPr>
      <w:keepNext/>
      <w:keepLines/>
      <w:widowControl w:val="0"/>
      <w:tabs>
        <w:tab w:val="left" w:pos="1320"/>
      </w:tabs>
      <w:adjustRightInd w:val="0"/>
      <w:spacing w:before="156" w:after="240" w:line="400" w:lineRule="exact"/>
      <w:ind w:left="1320" w:hanging="420"/>
      <w:textAlignment w:val="baseline"/>
    </w:pPr>
    <w:rPr>
      <w:rFonts w:ascii="Times New Roman" w:hAnsi="Times New Roman" w:eastAsia="黑体" w:cs="Times New Roman"/>
      <w:b w:val="0"/>
      <w:bCs w:val="0"/>
      <w:spacing w:val="4"/>
      <w:kern w:val="2"/>
      <w:sz w:val="30"/>
    </w:rPr>
  </w:style>
  <w:style w:type="paragraph" w:customStyle="1" w:styleId="354">
    <w:name w:val="样式1"/>
    <w:basedOn w:val="1"/>
    <w:qFormat/>
    <w:uiPriority w:val="99"/>
    <w:pPr>
      <w:autoSpaceDE w:val="0"/>
      <w:autoSpaceDN w:val="0"/>
      <w:adjustRightInd w:val="0"/>
      <w:textAlignment w:val="baseline"/>
    </w:pPr>
    <w:rPr>
      <w:sz w:val="28"/>
      <w:szCs w:val="20"/>
    </w:rPr>
  </w:style>
  <w:style w:type="paragraph" w:customStyle="1" w:styleId="355">
    <w:name w:val="偶数页篇眉"/>
    <w:basedOn w:val="49"/>
    <w:qFormat/>
    <w:uiPriority w:val="99"/>
    <w:pPr>
      <w:keepLines/>
      <w:widowControl/>
      <w:tabs>
        <w:tab w:val="right" w:pos="0"/>
        <w:tab w:val="center" w:pos="4320"/>
        <w:tab w:val="right" w:pos="8640"/>
        <w:tab w:val="clear" w:pos="4153"/>
        <w:tab w:val="clear" w:pos="8306"/>
      </w:tabs>
      <w:overflowPunct w:val="0"/>
      <w:autoSpaceDE w:val="0"/>
      <w:autoSpaceDN w:val="0"/>
      <w:adjustRightInd w:val="0"/>
      <w:snapToGrid/>
      <w:jc w:val="right"/>
      <w:textAlignment w:val="baseline"/>
    </w:pPr>
    <w:rPr>
      <w:kern w:val="0"/>
      <w:sz w:val="20"/>
      <w:szCs w:val="20"/>
    </w:rPr>
  </w:style>
  <w:style w:type="paragraph" w:customStyle="1" w:styleId="356">
    <w:name w:val="样式 图表名称 + 段前: 0.5 行 段后: 0.2 行"/>
    <w:basedOn w:val="357"/>
    <w:qFormat/>
    <w:uiPriority w:val="99"/>
    <w:pPr>
      <w:spacing w:beforeLines="50"/>
    </w:pPr>
  </w:style>
  <w:style w:type="paragraph" w:customStyle="1" w:styleId="357">
    <w:name w:val="图表名称"/>
    <w:basedOn w:val="1"/>
    <w:next w:val="1"/>
    <w:qFormat/>
    <w:uiPriority w:val="99"/>
    <w:pPr>
      <w:spacing w:afterLines="20" w:line="400" w:lineRule="exact"/>
      <w:ind w:firstLine="471"/>
      <w:jc w:val="center"/>
    </w:pPr>
    <w:rPr>
      <w:rFonts w:eastAsia="黑体"/>
      <w:sz w:val="24"/>
    </w:rPr>
  </w:style>
  <w:style w:type="paragraph" w:customStyle="1" w:styleId="358">
    <w:name w:val="个人情况"/>
    <w:basedOn w:val="22"/>
    <w:qFormat/>
    <w:uiPriority w:val="99"/>
    <w:pPr>
      <w:widowControl/>
      <w:overflowPunct w:val="0"/>
      <w:autoSpaceDE w:val="0"/>
      <w:autoSpaceDN w:val="0"/>
      <w:adjustRightInd w:val="0"/>
      <w:spacing w:after="160"/>
      <w:jc w:val="left"/>
      <w:textAlignment w:val="baseline"/>
    </w:pPr>
    <w:rPr>
      <w:kern w:val="0"/>
      <w:sz w:val="20"/>
    </w:rPr>
  </w:style>
  <w:style w:type="paragraph" w:customStyle="1" w:styleId="359">
    <w:name w:val="Footnote Base"/>
    <w:basedOn w:val="1"/>
    <w:qFormat/>
    <w:uiPriority w:val="99"/>
    <w:pPr>
      <w:widowControl/>
      <w:tabs>
        <w:tab w:val="left" w:pos="187"/>
      </w:tabs>
      <w:overflowPunct w:val="0"/>
      <w:autoSpaceDE w:val="0"/>
      <w:autoSpaceDN w:val="0"/>
      <w:adjustRightInd w:val="0"/>
      <w:spacing w:line="220" w:lineRule="exact"/>
      <w:ind w:left="187" w:hanging="187"/>
      <w:jc w:val="left"/>
      <w:textAlignment w:val="baseline"/>
    </w:pPr>
    <w:rPr>
      <w:kern w:val="0"/>
      <w:sz w:val="18"/>
      <w:szCs w:val="20"/>
    </w:rPr>
  </w:style>
  <w:style w:type="paragraph" w:customStyle="1" w:styleId="360">
    <w:name w:val="回信地址"/>
    <w:basedOn w:val="294"/>
    <w:qFormat/>
    <w:uiPriority w:val="99"/>
  </w:style>
  <w:style w:type="paragraph" w:customStyle="1" w:styleId="361">
    <w:name w:val="CM7"/>
    <w:basedOn w:val="271"/>
    <w:next w:val="271"/>
    <w:qFormat/>
    <w:uiPriority w:val="99"/>
    <w:pPr>
      <w:spacing w:line="460" w:lineRule="atLeast"/>
    </w:pPr>
    <w:rPr>
      <w:color w:val="auto"/>
    </w:rPr>
  </w:style>
  <w:style w:type="paragraph" w:customStyle="1" w:styleId="362">
    <w:name w:val="reader-word-layer reader-word-s2-1"/>
    <w:basedOn w:val="1"/>
    <w:qFormat/>
    <w:uiPriority w:val="99"/>
    <w:pPr>
      <w:widowControl/>
      <w:spacing w:before="100" w:beforeAutospacing="1" w:after="100" w:afterAutospacing="1"/>
      <w:jc w:val="left"/>
    </w:pPr>
    <w:rPr>
      <w:rFonts w:ascii="宋体" w:hAnsi="宋体" w:cs="宋体"/>
      <w:kern w:val="0"/>
      <w:sz w:val="24"/>
    </w:rPr>
  </w:style>
  <w:style w:type="paragraph" w:customStyle="1" w:styleId="363">
    <w:name w:val="块引用"/>
    <w:basedOn w:val="1"/>
    <w:qFormat/>
    <w:uiPriority w:val="99"/>
    <w:pPr>
      <w:keepLines/>
      <w:widowControl/>
      <w:overflowPunct w:val="0"/>
      <w:autoSpaceDE w:val="0"/>
      <w:autoSpaceDN w:val="0"/>
      <w:adjustRightInd w:val="0"/>
      <w:ind w:left="360" w:right="360"/>
      <w:jc w:val="center"/>
      <w:textAlignment w:val="baseline"/>
    </w:pPr>
    <w:rPr>
      <w:i/>
      <w:kern w:val="0"/>
      <w:sz w:val="20"/>
      <w:szCs w:val="20"/>
    </w:rPr>
  </w:style>
  <w:style w:type="paragraph" w:customStyle="1" w:styleId="364">
    <w:name w:val="xl22"/>
    <w:basedOn w:val="1"/>
    <w:qFormat/>
    <w:uiPriority w:val="99"/>
    <w:pPr>
      <w:widowControl/>
      <w:spacing w:before="100" w:after="100"/>
      <w:jc w:val="center"/>
    </w:pPr>
    <w:rPr>
      <w:kern w:val="0"/>
      <w:sz w:val="24"/>
    </w:rPr>
  </w:style>
  <w:style w:type="paragraph" w:customStyle="1" w:styleId="365">
    <w:name w:val="表头文字"/>
    <w:basedOn w:val="1"/>
    <w:qFormat/>
    <w:uiPriority w:val="99"/>
    <w:pPr>
      <w:widowControl/>
      <w:adjustRightInd w:val="0"/>
      <w:spacing w:beforeLines="50"/>
      <w:jc w:val="center"/>
      <w:textAlignment w:val="baseline"/>
    </w:pPr>
    <w:rPr>
      <w:b/>
      <w:kern w:val="0"/>
    </w:rPr>
  </w:style>
  <w:style w:type="paragraph" w:customStyle="1" w:styleId="366">
    <w:name w:val="表文左对齐"/>
    <w:basedOn w:val="367"/>
    <w:semiHidden/>
    <w:qFormat/>
    <w:uiPriority w:val="99"/>
    <w:pPr>
      <w:spacing w:before="0" w:after="0"/>
      <w:jc w:val="left"/>
    </w:pPr>
    <w:rPr>
      <w:szCs w:val="21"/>
    </w:rPr>
  </w:style>
  <w:style w:type="paragraph" w:customStyle="1" w:styleId="367">
    <w:name w:val="表文"/>
    <w:basedOn w:val="1"/>
    <w:semiHidden/>
    <w:qFormat/>
    <w:uiPriority w:val="99"/>
    <w:pPr>
      <w:spacing w:before="120" w:after="40"/>
      <w:jc w:val="center"/>
    </w:pPr>
    <w:rPr>
      <w:rFonts w:eastAsia="仿宋_GB2312"/>
      <w:color w:val="000000"/>
      <w:sz w:val="18"/>
    </w:rPr>
  </w:style>
  <w:style w:type="paragraph" w:customStyle="1" w:styleId="368">
    <w:name w:val="CM42"/>
    <w:basedOn w:val="271"/>
    <w:next w:val="271"/>
    <w:qFormat/>
    <w:uiPriority w:val="99"/>
    <w:pPr>
      <w:spacing w:line="236" w:lineRule="atLeast"/>
    </w:pPr>
    <w:rPr>
      <w:color w:val="auto"/>
    </w:rPr>
  </w:style>
  <w:style w:type="paragraph" w:customStyle="1" w:styleId="369">
    <w:name w:val="CM39"/>
    <w:basedOn w:val="271"/>
    <w:next w:val="271"/>
    <w:qFormat/>
    <w:uiPriority w:val="99"/>
    <w:pPr>
      <w:spacing w:line="271" w:lineRule="atLeast"/>
    </w:pPr>
    <w:rPr>
      <w:color w:val="auto"/>
    </w:rPr>
  </w:style>
  <w:style w:type="paragraph" w:customStyle="1" w:styleId="370">
    <w:name w:val="标题 3 + Arial 小四 非加粗 段前: 0 磅 段后: 6 磅 行距: 固定值 22 磅"/>
    <w:basedOn w:val="4"/>
    <w:next w:val="1"/>
    <w:qFormat/>
    <w:uiPriority w:val="99"/>
    <w:pPr>
      <w:tabs>
        <w:tab w:val="left" w:pos="920"/>
        <w:tab w:val="left" w:pos="1740"/>
      </w:tabs>
      <w:spacing w:before="0" w:after="120" w:line="440" w:lineRule="exact"/>
      <w:ind w:left="1740" w:hanging="420"/>
    </w:pPr>
    <w:rPr>
      <w:rFonts w:ascii="Arial" w:hAnsi="Arial"/>
      <w:b w:val="0"/>
      <w:bCs w:val="0"/>
      <w:sz w:val="24"/>
      <w:szCs w:val="20"/>
    </w:rPr>
  </w:style>
  <w:style w:type="paragraph" w:customStyle="1" w:styleId="371">
    <w:name w:val="CM66"/>
    <w:basedOn w:val="271"/>
    <w:next w:val="271"/>
    <w:qFormat/>
    <w:uiPriority w:val="99"/>
    <w:pPr>
      <w:spacing w:after="830"/>
    </w:pPr>
    <w:rPr>
      <w:color w:val="auto"/>
    </w:rPr>
  </w:style>
  <w:style w:type="paragraph" w:customStyle="1" w:styleId="372">
    <w:name w:val="图表名"/>
    <w:basedOn w:val="1"/>
    <w:semiHidden/>
    <w:qFormat/>
    <w:uiPriority w:val="99"/>
    <w:pPr>
      <w:spacing w:beforeLines="30" w:afterLines="20" w:line="440" w:lineRule="exact"/>
      <w:ind w:firstLine="480"/>
      <w:jc w:val="center"/>
    </w:pPr>
    <w:rPr>
      <w:rFonts w:eastAsia="黑体"/>
      <w:sz w:val="24"/>
    </w:rPr>
  </w:style>
  <w:style w:type="paragraph" w:customStyle="1" w:styleId="373">
    <w:name w:val="二级标题 Char Char Char"/>
    <w:basedOn w:val="1"/>
    <w:next w:val="1"/>
    <w:qFormat/>
    <w:uiPriority w:val="99"/>
    <w:pPr>
      <w:spacing w:line="529" w:lineRule="exact"/>
      <w:ind w:firstLine="200" w:firstLineChars="200"/>
    </w:pPr>
    <w:rPr>
      <w:rFonts w:ascii="宋体" w:hAnsi="宋体" w:cs="宋体"/>
      <w:sz w:val="24"/>
    </w:rPr>
  </w:style>
  <w:style w:type="paragraph" w:customStyle="1" w:styleId="374">
    <w:name w:val="表格后正文"/>
    <w:basedOn w:val="1"/>
    <w:qFormat/>
    <w:uiPriority w:val="99"/>
    <w:pPr>
      <w:spacing w:beforeLines="50" w:line="360" w:lineRule="auto"/>
      <w:ind w:firstLine="200" w:firstLineChars="200"/>
      <w:jc w:val="left"/>
    </w:pPr>
    <w:rPr>
      <w:rFonts w:ascii="Arial" w:hAnsi="Arial"/>
      <w:sz w:val="24"/>
    </w:rPr>
  </w:style>
  <w:style w:type="paragraph" w:customStyle="1" w:styleId="375">
    <w:name w:val="奇数页篇眉"/>
    <w:basedOn w:val="49"/>
    <w:qFormat/>
    <w:uiPriority w:val="99"/>
    <w:pPr>
      <w:keepLines/>
      <w:widowControl/>
      <w:tabs>
        <w:tab w:val="center" w:pos="4320"/>
        <w:tab w:val="right" w:pos="8640"/>
        <w:tab w:val="clear" w:pos="4153"/>
        <w:tab w:val="clear" w:pos="8306"/>
      </w:tabs>
      <w:overflowPunct w:val="0"/>
      <w:autoSpaceDE w:val="0"/>
      <w:autoSpaceDN w:val="0"/>
      <w:adjustRightInd w:val="0"/>
      <w:snapToGrid/>
      <w:jc w:val="left"/>
      <w:textAlignment w:val="baseline"/>
    </w:pPr>
    <w:rPr>
      <w:kern w:val="0"/>
      <w:sz w:val="20"/>
      <w:szCs w:val="20"/>
    </w:rPr>
  </w:style>
  <w:style w:type="paragraph" w:customStyle="1" w:styleId="376">
    <w:name w:val="List Last"/>
    <w:basedOn w:val="21"/>
    <w:next w:val="22"/>
    <w:qFormat/>
    <w:uiPriority w:val="99"/>
    <w:pPr>
      <w:spacing w:after="240"/>
    </w:pPr>
  </w:style>
  <w:style w:type="paragraph" w:customStyle="1" w:styleId="377">
    <w:name w:val="Body Text 21"/>
    <w:basedOn w:val="1"/>
    <w:qFormat/>
    <w:uiPriority w:val="99"/>
    <w:pPr>
      <w:adjustRightInd w:val="0"/>
      <w:spacing w:line="360" w:lineRule="atLeast"/>
      <w:ind w:firstLine="425"/>
      <w:textAlignment w:val="baseline"/>
    </w:pPr>
    <w:rPr>
      <w:rFonts w:ascii="宋体"/>
      <w:kern w:val="0"/>
      <w:sz w:val="24"/>
      <w:szCs w:val="20"/>
    </w:rPr>
  </w:style>
  <w:style w:type="paragraph" w:customStyle="1" w:styleId="378">
    <w:name w:val="Company Name"/>
    <w:basedOn w:val="22"/>
    <w:qFormat/>
    <w:uiPriority w:val="99"/>
    <w:pPr>
      <w:widowControl/>
      <w:overflowPunct w:val="0"/>
      <w:autoSpaceDE w:val="0"/>
      <w:autoSpaceDN w:val="0"/>
      <w:adjustRightInd w:val="0"/>
      <w:spacing w:after="0"/>
      <w:jc w:val="left"/>
      <w:textAlignment w:val="baseline"/>
    </w:pPr>
    <w:rPr>
      <w:caps/>
      <w:kern w:val="0"/>
      <w:sz w:val="20"/>
    </w:rPr>
  </w:style>
  <w:style w:type="paragraph" w:customStyle="1" w:styleId="379">
    <w:name w:val="reader-word-layer reader-word-s2-7"/>
    <w:basedOn w:val="1"/>
    <w:qFormat/>
    <w:uiPriority w:val="99"/>
    <w:pPr>
      <w:widowControl/>
      <w:spacing w:before="100" w:beforeAutospacing="1" w:after="100" w:afterAutospacing="1"/>
      <w:jc w:val="left"/>
    </w:pPr>
    <w:rPr>
      <w:rFonts w:ascii="宋体" w:hAnsi="宋体" w:cs="宋体"/>
      <w:kern w:val="0"/>
      <w:sz w:val="24"/>
    </w:rPr>
  </w:style>
  <w:style w:type="paragraph" w:customStyle="1" w:styleId="380">
    <w:name w:val="reader-word-layer reader-word-s2-4"/>
    <w:basedOn w:val="1"/>
    <w:qFormat/>
    <w:uiPriority w:val="99"/>
    <w:pPr>
      <w:widowControl/>
      <w:spacing w:before="100" w:beforeAutospacing="1" w:after="100" w:afterAutospacing="1"/>
      <w:jc w:val="left"/>
    </w:pPr>
    <w:rPr>
      <w:rFonts w:ascii="宋体" w:hAnsi="宋体" w:cs="宋体"/>
      <w:kern w:val="0"/>
      <w:sz w:val="24"/>
    </w:rPr>
  </w:style>
  <w:style w:type="paragraph" w:customStyle="1" w:styleId="381">
    <w:name w:val="样式3"/>
    <w:basedOn w:val="348"/>
    <w:qFormat/>
    <w:uiPriority w:val="99"/>
    <w:pPr>
      <w:spacing w:line="440" w:lineRule="exact"/>
    </w:pPr>
  </w:style>
  <w:style w:type="paragraph" w:customStyle="1" w:styleId="382">
    <w:name w:val="标题5"/>
    <w:next w:val="7"/>
    <w:qFormat/>
    <w:uiPriority w:val="99"/>
    <w:pPr>
      <w:spacing w:line="360" w:lineRule="auto"/>
    </w:pPr>
    <w:rPr>
      <w:rFonts w:ascii="宋体" w:hAnsi="宋体" w:eastAsia="宋体" w:cs="Times New Roman"/>
      <w:b/>
      <w:bCs/>
      <w:kern w:val="2"/>
      <w:sz w:val="24"/>
      <w:szCs w:val="24"/>
      <w:lang w:val="en-US" w:eastAsia="zh-CN" w:bidi="ar-SA"/>
    </w:rPr>
  </w:style>
  <w:style w:type="paragraph" w:customStyle="1" w:styleId="383">
    <w:name w:val="表格文字中对齐"/>
    <w:basedOn w:val="1"/>
    <w:semiHidden/>
    <w:qFormat/>
    <w:uiPriority w:val="99"/>
    <w:pPr>
      <w:spacing w:line="300" w:lineRule="auto"/>
      <w:jc w:val="center"/>
    </w:pPr>
    <w:rPr>
      <w:color w:val="000000"/>
      <w:kern w:val="0"/>
    </w:rPr>
  </w:style>
  <w:style w:type="paragraph" w:customStyle="1" w:styleId="384">
    <w:name w:val="正文0001"/>
    <w:basedOn w:val="1"/>
    <w:qFormat/>
    <w:uiPriority w:val="99"/>
    <w:pPr>
      <w:ind w:firstLine="560" w:firstLineChars="200"/>
    </w:pPr>
    <w:rPr>
      <w:rFonts w:ascii="宋体" w:hAnsi="宋体"/>
      <w:color w:val="000000"/>
      <w:sz w:val="28"/>
      <w:szCs w:val="28"/>
    </w:rPr>
  </w:style>
  <w:style w:type="paragraph" w:customStyle="1" w:styleId="385">
    <w:name w:val="样式 首行缩进:  2 字符"/>
    <w:basedOn w:val="1"/>
    <w:qFormat/>
    <w:uiPriority w:val="99"/>
    <w:pPr>
      <w:adjustRightInd w:val="0"/>
      <w:snapToGrid w:val="0"/>
      <w:spacing w:line="360" w:lineRule="auto"/>
      <w:ind w:firstLine="480" w:firstLineChars="200"/>
    </w:pPr>
    <w:rPr>
      <w:rFonts w:cs="宋体"/>
      <w:spacing w:val="20"/>
      <w:kern w:val="0"/>
      <w:sz w:val="24"/>
    </w:rPr>
  </w:style>
  <w:style w:type="paragraph" w:customStyle="1" w:styleId="386">
    <w:name w:val="reader-word-layer reader-word-s2-3"/>
    <w:basedOn w:val="1"/>
    <w:qFormat/>
    <w:uiPriority w:val="99"/>
    <w:pPr>
      <w:widowControl/>
      <w:spacing w:before="100" w:beforeAutospacing="1" w:after="100" w:afterAutospacing="1"/>
      <w:jc w:val="left"/>
    </w:pPr>
    <w:rPr>
      <w:rFonts w:ascii="宋体" w:hAnsi="宋体" w:cs="宋体"/>
      <w:kern w:val="0"/>
      <w:sz w:val="24"/>
    </w:rPr>
  </w:style>
  <w:style w:type="paragraph" w:customStyle="1" w:styleId="387">
    <w:name w:val="Section Heading"/>
    <w:basedOn w:val="335"/>
    <w:next w:val="22"/>
    <w:qFormat/>
    <w:uiPriority w:val="99"/>
    <w:pPr>
      <w:spacing w:after="0"/>
    </w:pPr>
    <w:rPr>
      <w:rFonts w:ascii="Times New Roman" w:hAnsi="Times New Roman"/>
      <w:sz w:val="28"/>
    </w:rPr>
  </w:style>
  <w:style w:type="paragraph" w:customStyle="1" w:styleId="388">
    <w:name w:val="日期1"/>
    <w:basedOn w:val="22"/>
    <w:qFormat/>
    <w:uiPriority w:val="99"/>
    <w:pPr>
      <w:widowControl/>
      <w:overflowPunct w:val="0"/>
      <w:autoSpaceDE w:val="0"/>
      <w:autoSpaceDN w:val="0"/>
      <w:adjustRightInd w:val="0"/>
      <w:spacing w:before="720" w:after="0"/>
      <w:jc w:val="center"/>
      <w:textAlignment w:val="baseline"/>
    </w:pPr>
    <w:rPr>
      <w:b/>
      <w:kern w:val="0"/>
      <w:sz w:val="36"/>
    </w:rPr>
  </w:style>
  <w:style w:type="paragraph" w:customStyle="1" w:styleId="389">
    <w:name w:val="1正文段落"/>
    <w:basedOn w:val="1"/>
    <w:qFormat/>
    <w:uiPriority w:val="99"/>
    <w:pPr>
      <w:spacing w:line="360" w:lineRule="auto"/>
      <w:ind w:firstLine="480" w:firstLineChars="200"/>
      <w:jc w:val="left"/>
    </w:pPr>
    <w:rPr>
      <w:kern w:val="0"/>
      <w:sz w:val="24"/>
    </w:rPr>
  </w:style>
  <w:style w:type="paragraph" w:customStyle="1" w:styleId="390">
    <w:name w:val="CM49"/>
    <w:basedOn w:val="1"/>
    <w:next w:val="1"/>
    <w:qFormat/>
    <w:uiPriority w:val="99"/>
    <w:pPr>
      <w:autoSpaceDE w:val="0"/>
      <w:autoSpaceDN w:val="0"/>
      <w:adjustRightInd w:val="0"/>
      <w:spacing w:after="183"/>
      <w:jc w:val="left"/>
    </w:pPr>
    <w:rPr>
      <w:rFonts w:ascii="黑体" w:eastAsia="黑体"/>
      <w:kern w:val="0"/>
      <w:sz w:val="24"/>
    </w:rPr>
  </w:style>
  <w:style w:type="paragraph" w:customStyle="1" w:styleId="391">
    <w:name w:val="表格式"/>
    <w:basedOn w:val="21"/>
    <w:qFormat/>
    <w:uiPriority w:val="99"/>
    <w:pPr>
      <w:widowControl w:val="0"/>
      <w:tabs>
        <w:tab w:val="clear" w:pos="720"/>
      </w:tabs>
      <w:overflowPunct/>
      <w:autoSpaceDE/>
      <w:autoSpaceDN/>
      <w:adjustRightInd/>
      <w:spacing w:beforeLines="50" w:afterLines="50" w:line="240" w:lineRule="exact"/>
      <w:ind w:left="0" w:firstLine="0" w:firstLineChars="200"/>
      <w:jc w:val="center"/>
      <w:textAlignment w:val="auto"/>
    </w:pPr>
    <w:rPr>
      <w:rFonts w:ascii="宋体"/>
      <w:kern w:val="2"/>
      <w:sz w:val="21"/>
    </w:rPr>
  </w:style>
  <w:style w:type="paragraph" w:customStyle="1" w:styleId="392">
    <w:name w:val="reader-word-layer reader-word-s7-14"/>
    <w:basedOn w:val="1"/>
    <w:qFormat/>
    <w:uiPriority w:val="99"/>
    <w:pPr>
      <w:widowControl/>
      <w:spacing w:before="100" w:beforeAutospacing="1" w:after="100" w:afterAutospacing="1"/>
      <w:jc w:val="left"/>
    </w:pPr>
    <w:rPr>
      <w:rFonts w:ascii="宋体" w:hAnsi="宋体" w:cs="宋体"/>
      <w:kern w:val="0"/>
      <w:sz w:val="24"/>
    </w:rPr>
  </w:style>
  <w:style w:type="paragraph" w:customStyle="1" w:styleId="393">
    <w:name w:val="样式 标题 2样式 2 + 段后: 7.8 磅"/>
    <w:basedOn w:val="2"/>
    <w:qFormat/>
    <w:uiPriority w:val="99"/>
    <w:pPr>
      <w:keepNext/>
      <w:keepLines/>
      <w:widowControl w:val="0"/>
      <w:adjustRightInd w:val="0"/>
      <w:spacing w:before="156" w:after="240" w:line="400" w:lineRule="exact"/>
      <w:ind w:left="4680"/>
      <w:jc w:val="left"/>
    </w:pPr>
    <w:rPr>
      <w:rFonts w:ascii="Times New Roman" w:hAnsi="Times New Roman" w:eastAsia="黑体" w:cs="Times New Roman"/>
      <w:b w:val="0"/>
      <w:bCs w:val="0"/>
      <w:spacing w:val="4"/>
      <w:kern w:val="2"/>
      <w:sz w:val="30"/>
      <w:szCs w:val="30"/>
    </w:rPr>
  </w:style>
  <w:style w:type="paragraph" w:customStyle="1" w:styleId="394">
    <w:name w:val="编号引导"/>
    <w:basedOn w:val="18"/>
    <w:next w:val="18"/>
    <w:qFormat/>
    <w:uiPriority w:val="99"/>
    <w:pPr>
      <w:widowControl/>
      <w:tabs>
        <w:tab w:val="clear" w:pos="964"/>
      </w:tabs>
      <w:overflowPunct w:val="0"/>
      <w:autoSpaceDE w:val="0"/>
      <w:autoSpaceDN w:val="0"/>
      <w:adjustRightInd w:val="0"/>
      <w:spacing w:before="80" w:after="160" w:line="240" w:lineRule="auto"/>
      <w:ind w:left="720" w:hanging="360"/>
      <w:textAlignment w:val="baseline"/>
    </w:pPr>
    <w:rPr>
      <w:rFonts w:ascii="Times New Roman" w:hAnsi="Times New Roman"/>
      <w:kern w:val="0"/>
      <w:sz w:val="20"/>
    </w:rPr>
  </w:style>
  <w:style w:type="paragraph" w:customStyle="1" w:styleId="395">
    <w:name w:val="样式5"/>
    <w:basedOn w:val="2"/>
    <w:link w:val="563"/>
    <w:qFormat/>
    <w:uiPriority w:val="99"/>
    <w:pPr>
      <w:keepNext/>
      <w:keepLines/>
      <w:widowControl w:val="0"/>
      <w:tabs>
        <w:tab w:val="left" w:pos="1320"/>
      </w:tabs>
      <w:adjustRightInd w:val="0"/>
      <w:spacing w:before="120" w:afterLines="50" w:line="416" w:lineRule="atLeast"/>
      <w:ind w:left="1320" w:hanging="420"/>
      <w:jc w:val="left"/>
    </w:pPr>
    <w:rPr>
      <w:rFonts w:ascii="Times New Roman" w:hAnsi="Times New Roman" w:eastAsia="黑体" w:cs="Times New Roman"/>
      <w:b w:val="0"/>
      <w:bCs w:val="0"/>
      <w:spacing w:val="10"/>
      <w:kern w:val="2"/>
      <w:sz w:val="30"/>
      <w:szCs w:val="30"/>
    </w:rPr>
  </w:style>
  <w:style w:type="paragraph" w:customStyle="1" w:styleId="396">
    <w:name w:val="列表3"/>
    <w:basedOn w:val="331"/>
    <w:qFormat/>
    <w:uiPriority w:val="99"/>
    <w:pPr>
      <w:pBdr>
        <w:left w:val="none" w:color="auto" w:sz="0" w:space="0"/>
      </w:pBdr>
      <w:tabs>
        <w:tab w:val="clear" w:pos="720"/>
      </w:tabs>
      <w:ind w:left="1440"/>
    </w:pPr>
  </w:style>
  <w:style w:type="paragraph" w:customStyle="1" w:styleId="397">
    <w:name w:val="reader-word-layer reader-word-s1-9"/>
    <w:basedOn w:val="1"/>
    <w:qFormat/>
    <w:uiPriority w:val="99"/>
    <w:pPr>
      <w:widowControl/>
      <w:spacing w:before="100" w:beforeAutospacing="1" w:after="100" w:afterAutospacing="1"/>
      <w:jc w:val="left"/>
    </w:pPr>
    <w:rPr>
      <w:rFonts w:ascii="宋体" w:hAnsi="宋体" w:cs="宋体"/>
      <w:kern w:val="0"/>
      <w:sz w:val="24"/>
    </w:rPr>
  </w:style>
  <w:style w:type="paragraph" w:customStyle="1" w:styleId="398">
    <w:name w:val="表格文字2"/>
    <w:basedOn w:val="1"/>
    <w:qFormat/>
    <w:uiPriority w:val="99"/>
    <w:pPr>
      <w:tabs>
        <w:tab w:val="left" w:pos="277"/>
        <w:tab w:val="left" w:pos="600"/>
        <w:tab w:val="left" w:pos="780"/>
        <w:tab w:val="left" w:pos="2517"/>
      </w:tabs>
      <w:adjustRightInd w:val="0"/>
      <w:spacing w:before="60"/>
      <w:jc w:val="center"/>
      <w:textAlignment w:val="baseline"/>
    </w:pPr>
    <w:rPr>
      <w:kern w:val="0"/>
      <w:szCs w:val="21"/>
    </w:rPr>
  </w:style>
  <w:style w:type="paragraph" w:customStyle="1" w:styleId="399">
    <w:name w:val="reader-word-layer reader-word-s3-7"/>
    <w:basedOn w:val="1"/>
    <w:qFormat/>
    <w:uiPriority w:val="99"/>
    <w:pPr>
      <w:widowControl/>
      <w:spacing w:before="100" w:beforeAutospacing="1" w:after="100" w:afterAutospacing="1"/>
      <w:jc w:val="left"/>
    </w:pPr>
    <w:rPr>
      <w:rFonts w:ascii="宋体" w:hAnsi="宋体" w:cs="宋体"/>
      <w:kern w:val="0"/>
      <w:sz w:val="24"/>
    </w:rPr>
  </w:style>
  <w:style w:type="paragraph" w:customStyle="1" w:styleId="400">
    <w:name w:val="reader-word-layer reader-word-s1-6"/>
    <w:basedOn w:val="1"/>
    <w:qFormat/>
    <w:uiPriority w:val="99"/>
    <w:pPr>
      <w:widowControl/>
      <w:spacing w:before="100" w:beforeAutospacing="1" w:after="100" w:afterAutospacing="1"/>
      <w:jc w:val="left"/>
    </w:pPr>
    <w:rPr>
      <w:rFonts w:ascii="宋体" w:hAnsi="宋体" w:cs="宋体"/>
      <w:kern w:val="0"/>
      <w:sz w:val="24"/>
    </w:rPr>
  </w:style>
  <w:style w:type="paragraph" w:customStyle="1" w:styleId="401">
    <w:name w:val="Char2 Char Char Char Char Char Char Char Char Char Char Char Char"/>
    <w:basedOn w:val="1"/>
    <w:next w:val="22"/>
    <w:qFormat/>
    <w:uiPriority w:val="99"/>
    <w:pPr>
      <w:spacing w:line="360" w:lineRule="auto"/>
      <w:ind w:firstLine="200" w:firstLineChars="200"/>
      <w:jc w:val="center"/>
    </w:pPr>
    <w:rPr>
      <w:rFonts w:ascii="宋体" w:hAnsi="宋体" w:eastAsia="仿宋_GB2312" w:cs="宋体"/>
      <w:b/>
      <w:sz w:val="30"/>
      <w:szCs w:val="30"/>
    </w:rPr>
  </w:style>
  <w:style w:type="paragraph" w:customStyle="1" w:styleId="402">
    <w:name w:val="样式12"/>
    <w:basedOn w:val="5"/>
    <w:qFormat/>
    <w:uiPriority w:val="99"/>
    <w:pPr>
      <w:spacing w:before="0" w:afterLines="50" w:line="400" w:lineRule="atLeast"/>
      <w:jc w:val="left"/>
    </w:pPr>
    <w:rPr>
      <w:rFonts w:ascii="Times New Roman" w:hAnsi="Times New Roman" w:eastAsia="宋体"/>
      <w:b w:val="0"/>
      <w:bCs w:val="0"/>
      <w:sz w:val="24"/>
      <w:szCs w:val="20"/>
    </w:rPr>
  </w:style>
  <w:style w:type="paragraph" w:customStyle="1" w:styleId="403">
    <w:name w:val="样式 (符号) 宋体 行距: 最小值 12 磅"/>
    <w:basedOn w:val="1"/>
    <w:qFormat/>
    <w:uiPriority w:val="99"/>
    <w:pPr>
      <w:spacing w:line="360" w:lineRule="auto"/>
    </w:pPr>
    <w:rPr>
      <w:rFonts w:hAnsi="宋体" w:cs="宋体"/>
      <w:sz w:val="24"/>
      <w:szCs w:val="20"/>
    </w:rPr>
  </w:style>
  <w:style w:type="paragraph" w:customStyle="1" w:styleId="404">
    <w:name w:val="华陆正文"/>
    <w:basedOn w:val="1"/>
    <w:qFormat/>
    <w:uiPriority w:val="99"/>
    <w:pPr>
      <w:spacing w:line="440" w:lineRule="exact"/>
      <w:ind w:firstLine="438" w:firstLineChars="200"/>
    </w:pPr>
    <w:rPr>
      <w:rFonts w:ascii="宋体" w:hAnsi="宋体"/>
      <w:sz w:val="24"/>
    </w:rPr>
  </w:style>
  <w:style w:type="paragraph" w:customStyle="1" w:styleId="405">
    <w:name w:val="河石管道 表格正文5"/>
    <w:qFormat/>
    <w:uiPriority w:val="99"/>
    <w:pPr>
      <w:spacing w:line="240" w:lineRule="atLeast"/>
      <w:jc w:val="both"/>
    </w:pPr>
    <w:rPr>
      <w:rFonts w:ascii="Times New Roman" w:hAnsi="Times New Roman" w:eastAsia="宋体" w:cs="Times New Roman"/>
      <w:kern w:val="2"/>
      <w:sz w:val="18"/>
      <w:lang w:val="en-US" w:eastAsia="zh-CN" w:bidi="ar-SA"/>
    </w:rPr>
  </w:style>
  <w:style w:type="paragraph" w:customStyle="1" w:styleId="406">
    <w:name w:val="Header Odd"/>
    <w:basedOn w:val="49"/>
    <w:qFormat/>
    <w:uiPriority w:val="99"/>
    <w:pPr>
      <w:keepLines/>
      <w:widowControl/>
      <w:tabs>
        <w:tab w:val="right" w:pos="0"/>
        <w:tab w:val="center" w:pos="4320"/>
        <w:tab w:val="right" w:pos="8640"/>
        <w:tab w:val="clear" w:pos="4153"/>
        <w:tab w:val="clear" w:pos="8306"/>
      </w:tabs>
      <w:overflowPunct w:val="0"/>
      <w:autoSpaceDE w:val="0"/>
      <w:autoSpaceDN w:val="0"/>
      <w:adjustRightInd w:val="0"/>
      <w:snapToGrid/>
      <w:jc w:val="right"/>
      <w:textAlignment w:val="baseline"/>
    </w:pPr>
    <w:rPr>
      <w:kern w:val="0"/>
      <w:sz w:val="20"/>
      <w:szCs w:val="20"/>
    </w:rPr>
  </w:style>
  <w:style w:type="paragraph" w:customStyle="1" w:styleId="407">
    <w:name w:val="Char Char Char Char Char Char Char Char Char Char"/>
    <w:basedOn w:val="1"/>
    <w:qFormat/>
    <w:uiPriority w:val="99"/>
    <w:pPr>
      <w:widowControl/>
      <w:spacing w:after="160" w:line="240" w:lineRule="exact"/>
      <w:jc w:val="left"/>
    </w:pPr>
    <w:rPr>
      <w:rFonts w:ascii="Verdana" w:hAnsi="Verdana" w:eastAsia="仿宋_GB2312" w:cs="”“Times New Roman”“"/>
      <w:b/>
      <w:bCs/>
      <w:kern w:val="0"/>
      <w:sz w:val="24"/>
      <w:szCs w:val="20"/>
      <w:lang w:eastAsia="en-US"/>
    </w:rPr>
  </w:style>
  <w:style w:type="paragraph" w:customStyle="1" w:styleId="408">
    <w:name w:val="xl26"/>
    <w:basedOn w:val="1"/>
    <w:qFormat/>
    <w:uiPriority w:val="99"/>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kern w:val="0"/>
      <w:szCs w:val="21"/>
    </w:rPr>
  </w:style>
  <w:style w:type="paragraph" w:customStyle="1" w:styleId="409">
    <w:name w:val="EIA标题2"/>
    <w:basedOn w:val="2"/>
    <w:semiHidden/>
    <w:qFormat/>
    <w:uiPriority w:val="99"/>
    <w:pPr>
      <w:keepNext/>
      <w:keepLines/>
      <w:widowControl w:val="0"/>
      <w:tabs>
        <w:tab w:val="left" w:pos="360"/>
        <w:tab w:val="left" w:pos="1320"/>
      </w:tabs>
      <w:spacing w:before="120" w:after="120" w:line="440" w:lineRule="exact"/>
      <w:ind w:left="360" w:hanging="360"/>
      <w:jc w:val="left"/>
    </w:pPr>
    <w:rPr>
      <w:rFonts w:ascii="Times New Roman" w:hAnsi="Times New Roman" w:eastAsia="黑体" w:cs="Times New Roman"/>
      <w:b w:val="0"/>
      <w:bCs w:val="0"/>
      <w:color w:val="000000"/>
      <w:kern w:val="2"/>
      <w:sz w:val="24"/>
      <w:szCs w:val="24"/>
    </w:rPr>
  </w:style>
  <w:style w:type="paragraph" w:customStyle="1" w:styleId="410">
    <w:name w:val="Char Char Char Char"/>
    <w:basedOn w:val="1"/>
    <w:qFormat/>
    <w:uiPriority w:val="99"/>
    <w:rPr>
      <w:sz w:val="32"/>
      <w:szCs w:val="32"/>
    </w:rPr>
  </w:style>
  <w:style w:type="paragraph" w:customStyle="1" w:styleId="411">
    <w:name w:val="1标题2级"/>
    <w:basedOn w:val="1"/>
    <w:semiHidden/>
    <w:qFormat/>
    <w:uiPriority w:val="99"/>
    <w:pPr>
      <w:snapToGrid w:val="0"/>
      <w:spacing w:line="360" w:lineRule="auto"/>
      <w:outlineLvl w:val="1"/>
    </w:pPr>
    <w:rPr>
      <w:rFonts w:eastAsia="仿宋_GB2312"/>
      <w:b/>
      <w:sz w:val="32"/>
      <w:szCs w:val="20"/>
    </w:rPr>
  </w:style>
  <w:style w:type="paragraph" w:customStyle="1" w:styleId="412">
    <w:name w:val="列表2"/>
    <w:basedOn w:val="331"/>
    <w:qFormat/>
    <w:uiPriority w:val="99"/>
    <w:pPr>
      <w:pBdr>
        <w:left w:val="none" w:color="auto" w:sz="0" w:space="0"/>
      </w:pBdr>
      <w:tabs>
        <w:tab w:val="clear" w:pos="720"/>
      </w:tabs>
    </w:pPr>
  </w:style>
  <w:style w:type="paragraph" w:customStyle="1" w:styleId="413">
    <w:name w:val="CM59"/>
    <w:basedOn w:val="271"/>
    <w:next w:val="271"/>
    <w:qFormat/>
    <w:uiPriority w:val="99"/>
    <w:pPr>
      <w:spacing w:after="145"/>
    </w:pPr>
    <w:rPr>
      <w:color w:val="auto"/>
    </w:rPr>
  </w:style>
  <w:style w:type="paragraph" w:customStyle="1" w:styleId="414">
    <w:name w:val="样式 首行缩进:  0.77 厘米 行距: 固定值 20 磅"/>
    <w:basedOn w:val="1"/>
    <w:qFormat/>
    <w:uiPriority w:val="99"/>
    <w:pPr>
      <w:spacing w:line="360" w:lineRule="auto"/>
      <w:ind w:firstLine="435"/>
    </w:pPr>
    <w:rPr>
      <w:sz w:val="24"/>
      <w:szCs w:val="20"/>
    </w:rPr>
  </w:style>
  <w:style w:type="paragraph" w:customStyle="1" w:styleId="415">
    <w:name w:val="正文首行缩进＋湿地"/>
    <w:basedOn w:val="1"/>
    <w:qFormat/>
    <w:uiPriority w:val="99"/>
    <w:pPr>
      <w:spacing w:line="440" w:lineRule="exact"/>
      <w:ind w:firstLine="540" w:firstLineChars="225"/>
    </w:pPr>
    <w:rPr>
      <w:rFonts w:ascii="仿宋_GB2312" w:hAnsi="宋体" w:eastAsia="仿宋_GB2312"/>
      <w:kern w:val="0"/>
      <w:sz w:val="28"/>
      <w:szCs w:val="20"/>
    </w:rPr>
  </w:style>
  <w:style w:type="paragraph" w:customStyle="1" w:styleId="416">
    <w:name w:val="图标1"/>
    <w:qFormat/>
    <w:uiPriority w:val="99"/>
    <w:pPr>
      <w:jc w:val="center"/>
    </w:pPr>
    <w:rPr>
      <w:rFonts w:ascii="Times New Roman" w:hAnsi="Times New Roman" w:eastAsia="宋体" w:cs="Times New Roman"/>
      <w:kern w:val="2"/>
      <w:sz w:val="21"/>
      <w:szCs w:val="21"/>
      <w:lang w:val="en-US" w:eastAsia="zh-CN" w:bidi="ar-SA"/>
    </w:rPr>
  </w:style>
  <w:style w:type="paragraph" w:customStyle="1" w:styleId="417">
    <w:name w:val="基准脚注"/>
    <w:basedOn w:val="1"/>
    <w:qFormat/>
    <w:uiPriority w:val="99"/>
    <w:pPr>
      <w:widowControl/>
      <w:tabs>
        <w:tab w:val="left" w:pos="187"/>
      </w:tabs>
      <w:overflowPunct w:val="0"/>
      <w:autoSpaceDE w:val="0"/>
      <w:autoSpaceDN w:val="0"/>
      <w:adjustRightInd w:val="0"/>
      <w:spacing w:line="220" w:lineRule="exact"/>
      <w:ind w:left="187" w:hanging="187"/>
      <w:jc w:val="left"/>
      <w:textAlignment w:val="baseline"/>
    </w:pPr>
    <w:rPr>
      <w:kern w:val="0"/>
      <w:sz w:val="18"/>
      <w:szCs w:val="20"/>
    </w:rPr>
  </w:style>
  <w:style w:type="paragraph" w:customStyle="1" w:styleId="418">
    <w:name w:val="Footer Odd"/>
    <w:basedOn w:val="47"/>
    <w:qFormat/>
    <w:uiPriority w:val="99"/>
    <w:pPr>
      <w:keepLines/>
      <w:widowControl/>
      <w:tabs>
        <w:tab w:val="right" w:pos="0"/>
        <w:tab w:val="center" w:pos="4320"/>
        <w:tab w:val="right" w:pos="8640"/>
        <w:tab w:val="clear" w:pos="4153"/>
        <w:tab w:val="clear" w:pos="8306"/>
      </w:tabs>
      <w:overflowPunct w:val="0"/>
      <w:autoSpaceDE w:val="0"/>
      <w:autoSpaceDN w:val="0"/>
      <w:adjustRightInd w:val="0"/>
      <w:snapToGrid/>
      <w:jc w:val="right"/>
      <w:textAlignment w:val="baseline"/>
    </w:pPr>
    <w:rPr>
      <w:kern w:val="0"/>
      <w:sz w:val="20"/>
      <w:szCs w:val="20"/>
    </w:rPr>
  </w:style>
  <w:style w:type="paragraph" w:customStyle="1" w:styleId="419">
    <w:name w:val="样式 目录 1 + 首行缩进:  2 字符"/>
    <w:basedOn w:val="51"/>
    <w:qFormat/>
    <w:uiPriority w:val="99"/>
    <w:pPr>
      <w:tabs>
        <w:tab w:val="right" w:leader="dot" w:pos="9174"/>
      </w:tabs>
      <w:spacing w:beforeLines="50" w:afterLines="50" w:line="400" w:lineRule="exact"/>
      <w:textAlignment w:val="baseline"/>
    </w:pPr>
    <w:rPr>
      <w:rFonts w:eastAsia="黑体"/>
      <w:sz w:val="28"/>
      <w:szCs w:val="44"/>
    </w:rPr>
  </w:style>
  <w:style w:type="paragraph" w:customStyle="1" w:styleId="420">
    <w:name w:val="Char Char Char Char Char Char Char Char Char"/>
    <w:basedOn w:val="1"/>
    <w:semiHidden/>
    <w:qFormat/>
    <w:uiPriority w:val="99"/>
  </w:style>
  <w:style w:type="paragraph" w:customStyle="1" w:styleId="421">
    <w:name w:val="WPS Plain"/>
    <w:qFormat/>
    <w:uiPriority w:val="99"/>
    <w:rPr>
      <w:rFonts w:ascii="Times New Roman" w:hAnsi="Times New Roman" w:eastAsia="宋体" w:cs="Times New Roman"/>
      <w:lang w:val="en-US" w:eastAsia="zh-CN" w:bidi="ar-SA"/>
    </w:rPr>
  </w:style>
  <w:style w:type="paragraph" w:customStyle="1" w:styleId="422">
    <w:name w:val="表中文字"/>
    <w:basedOn w:val="1"/>
    <w:qFormat/>
    <w:uiPriority w:val="99"/>
    <w:pPr>
      <w:adjustRightInd w:val="0"/>
      <w:snapToGrid w:val="0"/>
      <w:spacing w:line="240" w:lineRule="atLeast"/>
    </w:pPr>
    <w:rPr>
      <w:rFonts w:ascii="楷体_GB2312" w:eastAsia="楷体_GB2312"/>
      <w:kern w:val="0"/>
      <w:szCs w:val="20"/>
    </w:rPr>
  </w:style>
  <w:style w:type="paragraph" w:customStyle="1" w:styleId="423">
    <w:name w:val="a3"/>
    <w:basedOn w:val="1"/>
    <w:semiHidden/>
    <w:qFormat/>
    <w:uiPriority w:val="99"/>
    <w:pPr>
      <w:widowControl/>
      <w:spacing w:before="100" w:beforeAutospacing="1" w:after="100" w:afterAutospacing="1"/>
      <w:jc w:val="left"/>
    </w:pPr>
    <w:rPr>
      <w:rFonts w:ascii="宋体" w:hAnsi="宋体"/>
      <w:color w:val="000000"/>
      <w:kern w:val="0"/>
      <w:sz w:val="24"/>
    </w:rPr>
  </w:style>
  <w:style w:type="paragraph" w:customStyle="1" w:styleId="424">
    <w:name w:val="报告1"/>
    <w:basedOn w:val="425"/>
    <w:qFormat/>
    <w:uiPriority w:val="99"/>
    <w:pPr>
      <w:textAlignment w:val="auto"/>
    </w:pPr>
    <w:rPr>
      <w:rFonts w:ascii="TimesNewRoman" w:hAnsi="TimesNewRoman"/>
      <w:kern w:val="24"/>
    </w:rPr>
  </w:style>
  <w:style w:type="paragraph" w:customStyle="1" w:styleId="425">
    <w:name w:val="报告"/>
    <w:basedOn w:val="1"/>
    <w:qFormat/>
    <w:uiPriority w:val="99"/>
    <w:pPr>
      <w:adjustRightInd w:val="0"/>
      <w:spacing w:line="360" w:lineRule="auto"/>
      <w:ind w:firstLine="505"/>
      <w:textAlignment w:val="center"/>
    </w:pPr>
    <w:rPr>
      <w:kern w:val="0"/>
      <w:sz w:val="24"/>
      <w:szCs w:val="20"/>
    </w:rPr>
  </w:style>
  <w:style w:type="paragraph" w:customStyle="1" w:styleId="426">
    <w:name w:val="CM60"/>
    <w:basedOn w:val="271"/>
    <w:next w:val="271"/>
    <w:qFormat/>
    <w:uiPriority w:val="99"/>
    <w:pPr>
      <w:spacing w:after="240"/>
    </w:pPr>
    <w:rPr>
      <w:color w:val="auto"/>
    </w:rPr>
  </w:style>
  <w:style w:type="paragraph" w:customStyle="1" w:styleId="427">
    <w:name w:val="reader-word-layer reader-word-s6-2"/>
    <w:basedOn w:val="1"/>
    <w:qFormat/>
    <w:uiPriority w:val="99"/>
    <w:pPr>
      <w:widowControl/>
      <w:spacing w:before="100" w:beforeAutospacing="1" w:after="100" w:afterAutospacing="1"/>
      <w:jc w:val="left"/>
    </w:pPr>
    <w:rPr>
      <w:rFonts w:ascii="宋体" w:hAnsi="宋体" w:cs="宋体"/>
      <w:kern w:val="0"/>
      <w:sz w:val="24"/>
    </w:rPr>
  </w:style>
  <w:style w:type="paragraph" w:customStyle="1" w:styleId="428">
    <w:name w:val="样式 段落2 + 10 磅"/>
    <w:basedOn w:val="348"/>
    <w:qFormat/>
    <w:uiPriority w:val="99"/>
    <w:pPr>
      <w:spacing w:before="120" w:after="120" w:line="480" w:lineRule="exact"/>
      <w:jc w:val="left"/>
      <w:textAlignment w:val="baseline"/>
    </w:pPr>
    <w:rPr>
      <w:kern w:val="0"/>
      <w:sz w:val="20"/>
    </w:rPr>
  </w:style>
  <w:style w:type="paragraph" w:customStyle="1" w:styleId="429">
    <w:name w:val="EIA标题3"/>
    <w:basedOn w:val="4"/>
    <w:semiHidden/>
    <w:qFormat/>
    <w:uiPriority w:val="99"/>
    <w:pPr>
      <w:tabs>
        <w:tab w:val="left" w:pos="360"/>
      </w:tabs>
      <w:snapToGrid w:val="0"/>
      <w:spacing w:beforeLines="50" w:afterLines="50" w:line="440" w:lineRule="exact"/>
      <w:ind w:left="360" w:hanging="360"/>
    </w:pPr>
    <w:rPr>
      <w:rFonts w:eastAsia="楷体_GB2312"/>
      <w:b w:val="0"/>
      <w:bCs w:val="0"/>
      <w:sz w:val="24"/>
      <w:szCs w:val="24"/>
    </w:rPr>
  </w:style>
  <w:style w:type="paragraph" w:customStyle="1" w:styleId="430">
    <w:name w:val="节标题"/>
    <w:basedOn w:val="343"/>
    <w:qFormat/>
    <w:uiPriority w:val="99"/>
    <w:pPr>
      <w:spacing w:after="0"/>
    </w:pPr>
    <w:rPr>
      <w:rFonts w:ascii="Times New Roman" w:hAnsi="Times New Roman"/>
      <w:sz w:val="28"/>
    </w:rPr>
  </w:style>
  <w:style w:type="paragraph" w:customStyle="1" w:styleId="431">
    <w:name w:val="3级标题"/>
    <w:basedOn w:val="1"/>
    <w:qFormat/>
    <w:uiPriority w:val="99"/>
    <w:pPr>
      <w:spacing w:before="300" w:line="460" w:lineRule="exact"/>
      <w:outlineLvl w:val="2"/>
    </w:pPr>
    <w:rPr>
      <w:rFonts w:ascii="Arial" w:hAnsi="Arial"/>
      <w:b/>
      <w:bCs/>
      <w:sz w:val="24"/>
      <w:szCs w:val="28"/>
    </w:rPr>
  </w:style>
  <w:style w:type="paragraph" w:customStyle="1" w:styleId="432">
    <w:name w:val="主题线"/>
    <w:basedOn w:val="1"/>
    <w:next w:val="22"/>
    <w:qFormat/>
    <w:uiPriority w:val="99"/>
    <w:pPr>
      <w:widowControl/>
      <w:overflowPunct w:val="0"/>
      <w:autoSpaceDE w:val="0"/>
      <w:autoSpaceDN w:val="0"/>
      <w:adjustRightInd w:val="0"/>
      <w:jc w:val="left"/>
      <w:textAlignment w:val="baseline"/>
    </w:pPr>
    <w:rPr>
      <w:i/>
      <w:kern w:val="0"/>
      <w:sz w:val="20"/>
      <w:szCs w:val="20"/>
      <w:u w:val="single"/>
    </w:rPr>
  </w:style>
  <w:style w:type="paragraph" w:customStyle="1" w:styleId="433">
    <w:name w:val="样式 表内5 + (符号) 宋体 两端对齐 行距: 单倍行距"/>
    <w:basedOn w:val="1"/>
    <w:qFormat/>
    <w:uiPriority w:val="99"/>
    <w:pPr>
      <w:adjustRightInd w:val="0"/>
      <w:snapToGrid w:val="0"/>
    </w:pPr>
    <w:rPr>
      <w:rFonts w:ascii="宋体" w:hAnsi="宋体" w:eastAsia="楷体_GB2312"/>
      <w:szCs w:val="20"/>
    </w:rPr>
  </w:style>
  <w:style w:type="paragraph" w:customStyle="1" w:styleId="434">
    <w:name w:val="标题11"/>
    <w:basedOn w:val="1"/>
    <w:next w:val="1"/>
    <w:qFormat/>
    <w:uiPriority w:val="99"/>
    <w:pPr>
      <w:spacing w:beforeLines="50" w:after="360" w:line="500" w:lineRule="exact"/>
      <w:jc w:val="left"/>
      <w:outlineLvl w:val="0"/>
    </w:pPr>
    <w:rPr>
      <w:b/>
      <w:sz w:val="32"/>
      <w:szCs w:val="20"/>
    </w:rPr>
  </w:style>
  <w:style w:type="paragraph" w:customStyle="1" w:styleId="435">
    <w:name w:val="表中文字1"/>
    <w:basedOn w:val="1"/>
    <w:qFormat/>
    <w:uiPriority w:val="99"/>
    <w:pPr>
      <w:spacing w:line="440" w:lineRule="exact"/>
    </w:pPr>
    <w:rPr>
      <w:sz w:val="28"/>
    </w:rPr>
  </w:style>
  <w:style w:type="paragraph" w:customStyle="1" w:styleId="436">
    <w:name w:val="文本框图片"/>
    <w:basedOn w:val="1"/>
    <w:qFormat/>
    <w:uiPriority w:val="99"/>
    <w:pPr>
      <w:autoSpaceDE w:val="0"/>
      <w:autoSpaceDN w:val="0"/>
      <w:adjustRightInd w:val="0"/>
      <w:jc w:val="left"/>
    </w:pPr>
    <w:rPr>
      <w:rFonts w:ascii="宋体" w:hAnsi="宋体" w:cs="宋体"/>
      <w:bCs/>
      <w:color w:val="000000"/>
      <w:kern w:val="0"/>
      <w:szCs w:val="21"/>
      <w:lang w:val="zh-CN"/>
    </w:rPr>
  </w:style>
  <w:style w:type="paragraph" w:customStyle="1" w:styleId="437">
    <w:name w:val="表名"/>
    <w:basedOn w:val="1"/>
    <w:qFormat/>
    <w:uiPriority w:val="99"/>
    <w:pPr>
      <w:keepNext/>
      <w:overflowPunct w:val="0"/>
      <w:adjustRightInd w:val="0"/>
      <w:spacing w:before="240"/>
      <w:jc w:val="center"/>
      <w:textAlignment w:val="baseline"/>
    </w:pPr>
    <w:rPr>
      <w:rFonts w:ascii="黑体" w:eastAsia="黑体"/>
      <w:kern w:val="24"/>
      <w:sz w:val="24"/>
    </w:rPr>
  </w:style>
  <w:style w:type="paragraph" w:customStyle="1" w:styleId="438">
    <w:name w:val="xl29"/>
    <w:basedOn w:val="1"/>
    <w:qFormat/>
    <w:uiPriority w:val="99"/>
    <w:pPr>
      <w:widowControl/>
      <w:spacing w:before="100" w:after="100"/>
      <w:jc w:val="center"/>
    </w:pPr>
    <w:rPr>
      <w:kern w:val="0"/>
      <w:sz w:val="24"/>
      <w:szCs w:val="20"/>
    </w:rPr>
  </w:style>
  <w:style w:type="paragraph" w:customStyle="1" w:styleId="439">
    <w:name w:val="CM63"/>
    <w:basedOn w:val="271"/>
    <w:next w:val="271"/>
    <w:qFormat/>
    <w:uiPriority w:val="99"/>
    <w:pPr>
      <w:spacing w:after="415"/>
    </w:pPr>
    <w:rPr>
      <w:color w:val="auto"/>
    </w:rPr>
  </w:style>
  <w:style w:type="paragraph" w:customStyle="1" w:styleId="440">
    <w:name w:val="韩奇"/>
    <w:basedOn w:val="1"/>
    <w:qFormat/>
    <w:uiPriority w:val="99"/>
    <w:pPr>
      <w:adjustRightInd w:val="0"/>
      <w:spacing w:line="480" w:lineRule="atLeast"/>
      <w:ind w:firstLine="560" w:firstLineChars="200"/>
    </w:pPr>
    <w:rPr>
      <w:rFonts w:eastAsia="楷体_GB2312"/>
      <w:kern w:val="0"/>
      <w:sz w:val="28"/>
      <w:szCs w:val="20"/>
    </w:rPr>
  </w:style>
  <w:style w:type="paragraph" w:customStyle="1" w:styleId="441">
    <w:name w:val="表格编号"/>
    <w:basedOn w:val="442"/>
    <w:next w:val="442"/>
    <w:qFormat/>
    <w:uiPriority w:val="99"/>
    <w:pPr>
      <w:spacing w:line="240" w:lineRule="auto"/>
      <w:ind w:firstLine="0" w:firstLineChars="0"/>
    </w:pPr>
    <w:rPr>
      <w:sz w:val="21"/>
      <w:szCs w:val="21"/>
    </w:rPr>
  </w:style>
  <w:style w:type="paragraph" w:customStyle="1" w:styleId="442">
    <w:name w:val="正文 + 采用"/>
    <w:basedOn w:val="1"/>
    <w:qFormat/>
    <w:uiPriority w:val="99"/>
    <w:pPr>
      <w:adjustRightInd w:val="0"/>
      <w:snapToGrid w:val="0"/>
      <w:spacing w:line="360" w:lineRule="auto"/>
      <w:ind w:firstLine="480" w:firstLineChars="200"/>
    </w:pPr>
    <w:rPr>
      <w:sz w:val="24"/>
    </w:rPr>
  </w:style>
  <w:style w:type="paragraph" w:customStyle="1" w:styleId="443">
    <w:name w:val="reader-word-layer reader-word-s1-24 reader-word-s1-25"/>
    <w:basedOn w:val="1"/>
    <w:qFormat/>
    <w:uiPriority w:val="99"/>
    <w:pPr>
      <w:widowControl/>
      <w:spacing w:before="100" w:beforeAutospacing="1" w:after="100" w:afterAutospacing="1"/>
      <w:jc w:val="left"/>
    </w:pPr>
    <w:rPr>
      <w:rFonts w:ascii="宋体" w:hAnsi="宋体" w:cs="宋体"/>
      <w:kern w:val="0"/>
      <w:sz w:val="24"/>
    </w:rPr>
  </w:style>
  <w:style w:type="paragraph" w:customStyle="1" w:styleId="444">
    <w:name w:val="偶数页脚注"/>
    <w:basedOn w:val="47"/>
    <w:qFormat/>
    <w:uiPriority w:val="99"/>
    <w:pPr>
      <w:keepLines/>
      <w:widowControl/>
      <w:tabs>
        <w:tab w:val="right" w:pos="0"/>
        <w:tab w:val="center" w:pos="4320"/>
        <w:tab w:val="right" w:pos="8640"/>
        <w:tab w:val="clear" w:pos="4153"/>
        <w:tab w:val="clear" w:pos="8306"/>
      </w:tabs>
      <w:overflowPunct w:val="0"/>
      <w:autoSpaceDE w:val="0"/>
      <w:autoSpaceDN w:val="0"/>
      <w:adjustRightInd w:val="0"/>
      <w:snapToGrid/>
      <w:jc w:val="right"/>
      <w:textAlignment w:val="baseline"/>
    </w:pPr>
    <w:rPr>
      <w:kern w:val="0"/>
      <w:sz w:val="20"/>
      <w:szCs w:val="20"/>
    </w:rPr>
  </w:style>
  <w:style w:type="paragraph" w:customStyle="1" w:styleId="445">
    <w:name w:val="List Bullet Last"/>
    <w:basedOn w:val="20"/>
    <w:next w:val="22"/>
    <w:qFormat/>
    <w:uiPriority w:val="99"/>
    <w:pPr>
      <w:spacing w:after="240"/>
    </w:pPr>
  </w:style>
  <w:style w:type="paragraph" w:customStyle="1" w:styleId="446">
    <w:name w:val="实现"/>
    <w:basedOn w:val="447"/>
    <w:qFormat/>
    <w:uiPriority w:val="99"/>
    <w:pPr>
      <w:keepNext w:val="0"/>
      <w:spacing w:before="0" w:after="80"/>
    </w:pPr>
    <w:rPr>
      <w:rFonts w:ascii="Times New Roman" w:hAnsi="Times New Roman"/>
      <w:b w:val="0"/>
    </w:rPr>
  </w:style>
  <w:style w:type="paragraph" w:customStyle="1" w:styleId="447">
    <w:name w:val="研究单位"/>
    <w:basedOn w:val="22"/>
    <w:qFormat/>
    <w:uiPriority w:val="99"/>
    <w:pPr>
      <w:keepNext/>
      <w:widowControl/>
      <w:overflowPunct w:val="0"/>
      <w:autoSpaceDE w:val="0"/>
      <w:autoSpaceDN w:val="0"/>
      <w:adjustRightInd w:val="0"/>
      <w:spacing w:before="160" w:after="0"/>
      <w:jc w:val="left"/>
      <w:textAlignment w:val="baseline"/>
    </w:pPr>
    <w:rPr>
      <w:rFonts w:ascii="Arial" w:hAnsi="Arial"/>
      <w:b/>
      <w:kern w:val="0"/>
      <w:sz w:val="20"/>
    </w:rPr>
  </w:style>
  <w:style w:type="paragraph" w:customStyle="1" w:styleId="448">
    <w:name w:val="简单回函地址"/>
    <w:basedOn w:val="1"/>
    <w:qFormat/>
    <w:uiPriority w:val="99"/>
    <w:rPr>
      <w:szCs w:val="20"/>
    </w:rPr>
  </w:style>
  <w:style w:type="paragraph" w:customStyle="1" w:styleId="449">
    <w:name w:val="Footer Even"/>
    <w:basedOn w:val="47"/>
    <w:qFormat/>
    <w:uiPriority w:val="99"/>
    <w:pPr>
      <w:keepLines/>
      <w:widowControl/>
      <w:tabs>
        <w:tab w:val="center" w:pos="4320"/>
        <w:tab w:val="right" w:pos="8640"/>
        <w:tab w:val="clear" w:pos="4153"/>
        <w:tab w:val="clear" w:pos="8306"/>
      </w:tabs>
      <w:overflowPunct w:val="0"/>
      <w:autoSpaceDE w:val="0"/>
      <w:autoSpaceDN w:val="0"/>
      <w:adjustRightInd w:val="0"/>
      <w:snapToGrid/>
      <w:textAlignment w:val="baseline"/>
    </w:pPr>
    <w:rPr>
      <w:kern w:val="0"/>
      <w:sz w:val="20"/>
      <w:szCs w:val="20"/>
    </w:rPr>
  </w:style>
  <w:style w:type="paragraph" w:customStyle="1" w:styleId="450">
    <w:name w:val="封面"/>
    <w:basedOn w:val="1"/>
    <w:next w:val="1"/>
    <w:qFormat/>
    <w:uiPriority w:val="99"/>
    <w:pPr>
      <w:jc w:val="center"/>
    </w:pPr>
    <w:rPr>
      <w:rFonts w:ascii="Arial" w:hAnsi="Arial" w:eastAsia="楷体_GB2312"/>
      <w:sz w:val="48"/>
      <w:szCs w:val="48"/>
    </w:rPr>
  </w:style>
  <w:style w:type="paragraph" w:customStyle="1" w:styleId="451">
    <w:name w:val="河石管道 表头8"/>
    <w:qFormat/>
    <w:uiPriority w:val="99"/>
    <w:pPr>
      <w:jc w:val="center"/>
    </w:pPr>
    <w:rPr>
      <w:rFonts w:ascii="Times New Roman" w:hAnsi="Times New Roman" w:eastAsia="宋体" w:cs="Times New Roman"/>
      <w:b/>
      <w:bCs/>
      <w:sz w:val="18"/>
      <w:lang w:val="en-US" w:eastAsia="zh-CN" w:bidi="ar-SA"/>
    </w:rPr>
  </w:style>
  <w:style w:type="paragraph" w:customStyle="1" w:styleId="452">
    <w:name w:val="reader-word-layer reader-word-s7-9"/>
    <w:basedOn w:val="1"/>
    <w:qFormat/>
    <w:uiPriority w:val="99"/>
    <w:pPr>
      <w:widowControl/>
      <w:spacing w:before="100" w:beforeAutospacing="1" w:after="100" w:afterAutospacing="1"/>
      <w:jc w:val="left"/>
    </w:pPr>
    <w:rPr>
      <w:rFonts w:ascii="宋体" w:hAnsi="宋体" w:cs="宋体"/>
      <w:kern w:val="0"/>
      <w:sz w:val="24"/>
    </w:rPr>
  </w:style>
  <w:style w:type="paragraph" w:customStyle="1" w:styleId="453">
    <w:name w:val="CM55"/>
    <w:basedOn w:val="271"/>
    <w:next w:val="271"/>
    <w:qFormat/>
    <w:uiPriority w:val="99"/>
    <w:pPr>
      <w:spacing w:after="470"/>
    </w:pPr>
    <w:rPr>
      <w:color w:val="auto"/>
    </w:rPr>
  </w:style>
  <w:style w:type="paragraph" w:customStyle="1" w:styleId="454">
    <w:name w:val="样式 (符号) 宋体 小四 居中 行距: 1.5 倍行距"/>
    <w:basedOn w:val="1"/>
    <w:qFormat/>
    <w:uiPriority w:val="99"/>
    <w:pPr>
      <w:spacing w:line="360" w:lineRule="auto"/>
      <w:jc w:val="center"/>
    </w:pPr>
    <w:rPr>
      <w:rFonts w:hAnsi="宋体" w:cs="宋体"/>
      <w:sz w:val="24"/>
      <w:szCs w:val="20"/>
    </w:rPr>
  </w:style>
  <w:style w:type="paragraph" w:customStyle="1" w:styleId="455">
    <w:name w:val="图片"/>
    <w:basedOn w:val="22"/>
    <w:qFormat/>
    <w:uiPriority w:val="99"/>
    <w:pPr>
      <w:widowControl/>
      <w:overflowPunct w:val="0"/>
      <w:autoSpaceDE w:val="0"/>
      <w:autoSpaceDN w:val="0"/>
      <w:adjustRightInd w:val="0"/>
      <w:spacing w:after="160"/>
      <w:jc w:val="left"/>
      <w:textAlignment w:val="baseline"/>
    </w:pPr>
    <w:rPr>
      <w:kern w:val="0"/>
      <w:sz w:val="20"/>
    </w:rPr>
  </w:style>
  <w:style w:type="paragraph" w:customStyle="1" w:styleId="456">
    <w:name w:val="样式 段落1 + 首行缩进:  2 字符 行距: 固定值 21 磅"/>
    <w:basedOn w:val="260"/>
    <w:qFormat/>
    <w:uiPriority w:val="99"/>
    <w:pPr>
      <w:overflowPunct/>
      <w:autoSpaceDE/>
      <w:autoSpaceDN/>
      <w:adjustRightInd w:val="0"/>
      <w:ind w:firstLine="504"/>
    </w:pPr>
    <w:rPr>
      <w:spacing w:val="6"/>
    </w:rPr>
  </w:style>
  <w:style w:type="paragraph" w:customStyle="1" w:styleId="457">
    <w:name w:val="样式 表格内容 +"/>
    <w:basedOn w:val="257"/>
    <w:qFormat/>
    <w:uiPriority w:val="99"/>
    <w:pPr>
      <w:overflowPunct/>
      <w:snapToGrid w:val="0"/>
      <w:spacing w:before="0" w:after="0" w:line="320" w:lineRule="exact"/>
      <w:jc w:val="center"/>
      <w:textAlignment w:val="auto"/>
    </w:pPr>
    <w:rPr>
      <w:rFonts w:ascii="Times New Roman" w:hAnsi="Times New Roman" w:eastAsia="宋体"/>
      <w:b w:val="0"/>
      <w:kern w:val="2"/>
    </w:rPr>
  </w:style>
  <w:style w:type="paragraph" w:customStyle="1" w:styleId="458">
    <w:name w:val="Char Char Char Char1"/>
    <w:basedOn w:val="1"/>
    <w:qFormat/>
    <w:uiPriority w:val="99"/>
  </w:style>
  <w:style w:type="paragraph" w:customStyle="1" w:styleId="459">
    <w:name w:val="基准篇眉"/>
    <w:basedOn w:val="1"/>
    <w:qFormat/>
    <w:uiPriority w:val="99"/>
    <w:pPr>
      <w:widowControl/>
      <w:tabs>
        <w:tab w:val="center" w:pos="3780"/>
        <w:tab w:val="right" w:pos="7560"/>
      </w:tabs>
      <w:overflowPunct w:val="0"/>
      <w:autoSpaceDE w:val="0"/>
      <w:autoSpaceDN w:val="0"/>
      <w:adjustRightInd w:val="0"/>
      <w:jc w:val="left"/>
      <w:textAlignment w:val="baseline"/>
    </w:pPr>
    <w:rPr>
      <w:kern w:val="0"/>
      <w:sz w:val="20"/>
      <w:szCs w:val="20"/>
    </w:rPr>
  </w:style>
  <w:style w:type="paragraph" w:customStyle="1" w:styleId="460">
    <w:name w:val="Document Map1"/>
    <w:basedOn w:val="1"/>
    <w:qFormat/>
    <w:uiPriority w:val="99"/>
    <w:pPr>
      <w:shd w:val="clear" w:color="auto" w:fill="000080"/>
      <w:adjustRightInd w:val="0"/>
      <w:textAlignment w:val="baseline"/>
    </w:pPr>
    <w:rPr>
      <w:rFonts w:ascii="宋体"/>
      <w:kern w:val="0"/>
      <w:szCs w:val="20"/>
    </w:rPr>
  </w:style>
  <w:style w:type="paragraph" w:customStyle="1" w:styleId="461">
    <w:name w:val="文档卷标"/>
    <w:basedOn w:val="343"/>
    <w:qFormat/>
    <w:uiPriority w:val="99"/>
    <w:rPr>
      <w:rFonts w:ascii="Times New Roman" w:hAnsi="Times New Roman"/>
      <w:sz w:val="24"/>
    </w:rPr>
  </w:style>
  <w:style w:type="paragraph" w:customStyle="1" w:styleId="462">
    <w:name w:val="表、图名"/>
    <w:basedOn w:val="1"/>
    <w:qFormat/>
    <w:uiPriority w:val="99"/>
    <w:pPr>
      <w:adjustRightInd w:val="0"/>
      <w:snapToGrid w:val="0"/>
      <w:spacing w:line="360" w:lineRule="auto"/>
      <w:ind w:left="-6"/>
      <w:jc w:val="center"/>
    </w:pPr>
    <w:rPr>
      <w:rFonts w:ascii="黑体" w:hAnsi="宋体" w:eastAsia="黑体"/>
      <w:kern w:val="0"/>
      <w:sz w:val="24"/>
    </w:rPr>
  </w:style>
  <w:style w:type="paragraph" w:customStyle="1" w:styleId="463">
    <w:name w:val="样式 首行缩进:  1.71 字符"/>
    <w:basedOn w:val="1"/>
    <w:qFormat/>
    <w:uiPriority w:val="99"/>
    <w:pPr>
      <w:spacing w:line="360" w:lineRule="auto"/>
      <w:ind w:right="26" w:firstLine="410" w:firstLineChars="171"/>
    </w:pPr>
    <w:rPr>
      <w:rFonts w:hAnsi="宋体"/>
      <w:color w:val="000000"/>
      <w:sz w:val="24"/>
      <w:szCs w:val="20"/>
    </w:rPr>
  </w:style>
  <w:style w:type="paragraph" w:customStyle="1" w:styleId="464">
    <w:name w:val="Char1"/>
    <w:basedOn w:val="1"/>
    <w:qFormat/>
    <w:uiPriority w:val="99"/>
    <w:pPr>
      <w:widowControl/>
      <w:spacing w:after="160" w:line="240" w:lineRule="exact"/>
      <w:jc w:val="left"/>
    </w:pPr>
    <w:rPr>
      <w:rFonts w:ascii="Verdana" w:hAnsi="Verdana"/>
      <w:kern w:val="0"/>
      <w:sz w:val="20"/>
      <w:szCs w:val="20"/>
      <w:lang w:eastAsia="en-US"/>
    </w:rPr>
  </w:style>
  <w:style w:type="paragraph" w:customStyle="1" w:styleId="465">
    <w:name w:val="Char Char Char1 Char"/>
    <w:basedOn w:val="1"/>
    <w:semiHidden/>
    <w:qFormat/>
    <w:uiPriority w:val="99"/>
  </w:style>
  <w:style w:type="paragraph" w:customStyle="1" w:styleId="466">
    <w:name w:val="表中"/>
    <w:basedOn w:val="1"/>
    <w:semiHidden/>
    <w:qFormat/>
    <w:uiPriority w:val="99"/>
    <w:pPr>
      <w:spacing w:before="50" w:line="440" w:lineRule="exact"/>
      <w:jc w:val="center"/>
    </w:pPr>
    <w:rPr>
      <w:rFonts w:ascii="宋体" w:hAnsi="宋体"/>
      <w:sz w:val="24"/>
      <w:lang w:val="zh-CN"/>
    </w:rPr>
  </w:style>
  <w:style w:type="paragraph" w:customStyle="1" w:styleId="467">
    <w:name w:val="表前文字"/>
    <w:basedOn w:val="1"/>
    <w:qFormat/>
    <w:uiPriority w:val="99"/>
    <w:pPr>
      <w:spacing w:before="120" w:line="360" w:lineRule="auto"/>
    </w:pPr>
    <w:rPr>
      <w:rFonts w:hAnsi="宋体"/>
      <w:b/>
      <w:kern w:val="0"/>
      <w:sz w:val="24"/>
      <w:szCs w:val="21"/>
    </w:rPr>
  </w:style>
  <w:style w:type="paragraph" w:customStyle="1" w:styleId="468">
    <w:name w:val="xl40"/>
    <w:basedOn w:val="1"/>
    <w:qFormat/>
    <w:uiPriority w:val="99"/>
    <w:pPr>
      <w:widowControl/>
      <w:pBdr>
        <w:left w:val="single" w:color="auto" w:sz="4" w:space="0"/>
        <w:right w:val="single" w:color="auto" w:sz="4" w:space="0"/>
      </w:pBdr>
      <w:adjustRightInd w:val="0"/>
      <w:snapToGrid w:val="0"/>
      <w:spacing w:before="100" w:beforeAutospacing="1" w:after="100" w:afterAutospacing="1" w:line="360" w:lineRule="auto"/>
      <w:jc w:val="center"/>
    </w:pPr>
    <w:rPr>
      <w:rFonts w:ascii="宋体" w:hAnsi="宋体"/>
      <w:kern w:val="0"/>
      <w:sz w:val="24"/>
    </w:rPr>
  </w:style>
  <w:style w:type="paragraph" w:customStyle="1" w:styleId="469">
    <w:name w:val="font5"/>
    <w:basedOn w:val="1"/>
    <w:semiHidden/>
    <w:qFormat/>
    <w:uiPriority w:val="99"/>
    <w:pPr>
      <w:widowControl/>
      <w:spacing w:before="100" w:beforeAutospacing="1" w:after="100" w:afterAutospacing="1"/>
      <w:jc w:val="left"/>
    </w:pPr>
    <w:rPr>
      <w:rFonts w:ascii="宋体" w:hAnsi="宋体" w:cs="Arial Unicode MS"/>
      <w:kern w:val="0"/>
      <w:sz w:val="18"/>
      <w:szCs w:val="18"/>
    </w:rPr>
  </w:style>
  <w:style w:type="paragraph" w:customStyle="1" w:styleId="470">
    <w:name w:val="段落黑"/>
    <w:basedOn w:val="1"/>
    <w:qFormat/>
    <w:uiPriority w:val="99"/>
    <w:pPr>
      <w:spacing w:after="60" w:line="440" w:lineRule="exact"/>
      <w:ind w:firstLine="244" w:firstLineChars="100"/>
    </w:pPr>
    <w:rPr>
      <w:rFonts w:eastAsia="黑体"/>
      <w:spacing w:val="2"/>
      <w:kern w:val="0"/>
      <w:sz w:val="24"/>
    </w:rPr>
  </w:style>
  <w:style w:type="paragraph" w:customStyle="1" w:styleId="471">
    <w:name w:val="文本框图"/>
    <w:basedOn w:val="472"/>
    <w:qFormat/>
    <w:uiPriority w:val="99"/>
    <w:rPr>
      <w:bCs w:val="0"/>
    </w:rPr>
  </w:style>
  <w:style w:type="paragraph" w:customStyle="1" w:styleId="472">
    <w:name w:val="文本框"/>
    <w:basedOn w:val="1"/>
    <w:qFormat/>
    <w:uiPriority w:val="99"/>
    <w:pPr>
      <w:autoSpaceDE w:val="0"/>
      <w:autoSpaceDN w:val="0"/>
      <w:adjustRightInd w:val="0"/>
      <w:jc w:val="left"/>
    </w:pPr>
    <w:rPr>
      <w:rFonts w:ascii="宋体" w:hAnsi="宋体" w:cs="宋体"/>
      <w:bCs/>
      <w:color w:val="000000"/>
      <w:kern w:val="0"/>
      <w:szCs w:val="21"/>
      <w:lang w:val="zh-CN"/>
    </w:rPr>
  </w:style>
  <w:style w:type="paragraph" w:customStyle="1" w:styleId="473">
    <w:name w:val="主题封页"/>
    <w:basedOn w:val="343"/>
    <w:next w:val="474"/>
    <w:qFormat/>
    <w:uiPriority w:val="99"/>
    <w:pPr>
      <w:spacing w:before="720" w:after="160"/>
      <w:jc w:val="center"/>
    </w:pPr>
    <w:rPr>
      <w:sz w:val="40"/>
    </w:rPr>
  </w:style>
  <w:style w:type="paragraph" w:customStyle="1" w:styleId="474">
    <w:name w:val="副题封页"/>
    <w:basedOn w:val="473"/>
    <w:next w:val="22"/>
    <w:qFormat/>
    <w:uiPriority w:val="99"/>
    <w:pPr>
      <w:spacing w:before="240" w:after="480"/>
    </w:pPr>
    <w:rPr>
      <w:rFonts w:ascii="Times New Roman" w:hAnsi="Times New Roman"/>
      <w:b w:val="0"/>
      <w:i/>
      <w:sz w:val="32"/>
    </w:rPr>
  </w:style>
  <w:style w:type="paragraph" w:customStyle="1" w:styleId="475">
    <w:name w:val="段落 Char"/>
    <w:basedOn w:val="1"/>
    <w:qFormat/>
    <w:uiPriority w:val="99"/>
    <w:pPr>
      <w:spacing w:line="440" w:lineRule="exact"/>
      <w:ind w:firstLine="504" w:firstLineChars="200"/>
      <w:textAlignment w:val="baseline"/>
    </w:pPr>
    <w:rPr>
      <w:color w:val="000000"/>
      <w:spacing w:val="6"/>
      <w:kern w:val="24"/>
      <w:sz w:val="24"/>
    </w:rPr>
  </w:style>
  <w:style w:type="paragraph" w:customStyle="1" w:styleId="476">
    <w:name w:val="样式9"/>
    <w:basedOn w:val="4"/>
    <w:qFormat/>
    <w:uiPriority w:val="99"/>
    <w:pPr>
      <w:tabs>
        <w:tab w:val="left" w:pos="1740"/>
      </w:tabs>
      <w:adjustRightInd w:val="0"/>
      <w:snapToGrid w:val="0"/>
      <w:spacing w:beforeLines="50" w:afterLines="50" w:line="240" w:lineRule="auto"/>
      <w:ind w:left="1740" w:hanging="420"/>
    </w:pPr>
    <w:rPr>
      <w:rFonts w:eastAsia="黑体"/>
      <w:b w:val="0"/>
      <w:bCs w:val="0"/>
      <w:color w:val="000000"/>
      <w:spacing w:val="4"/>
      <w:kern w:val="0"/>
      <w:sz w:val="28"/>
      <w:szCs w:val="28"/>
    </w:rPr>
  </w:style>
  <w:style w:type="paragraph" w:customStyle="1" w:styleId="477">
    <w:name w:val="word"/>
    <w:basedOn w:val="1"/>
    <w:qFormat/>
    <w:uiPriority w:val="99"/>
    <w:pPr>
      <w:spacing w:line="360" w:lineRule="auto"/>
      <w:ind w:firstLine="480" w:firstLineChars="200"/>
    </w:pPr>
    <w:rPr>
      <w:rFonts w:ascii="宋体" w:hAnsi="宋体"/>
      <w:sz w:val="24"/>
    </w:rPr>
  </w:style>
  <w:style w:type="paragraph" w:customStyle="1" w:styleId="478">
    <w:name w:val="节副题"/>
    <w:basedOn w:val="430"/>
    <w:qFormat/>
    <w:uiPriority w:val="99"/>
    <w:pPr>
      <w:spacing w:before="160"/>
    </w:pPr>
    <w:rPr>
      <w:rFonts w:ascii="Arial" w:hAnsi="Arial"/>
      <w:sz w:val="20"/>
    </w:rPr>
  </w:style>
  <w:style w:type="paragraph" w:customStyle="1" w:styleId="479">
    <w:name w:val="font_en_x"/>
    <w:basedOn w:val="1"/>
    <w:qFormat/>
    <w:uiPriority w:val="99"/>
    <w:pPr>
      <w:widowControl/>
      <w:spacing w:before="100" w:beforeAutospacing="1" w:after="100" w:afterAutospacing="1" w:line="440" w:lineRule="exact"/>
      <w:jc w:val="left"/>
    </w:pPr>
    <w:rPr>
      <w:rFonts w:ascii="Arial Unicode MS" w:hAnsi="Arial Unicode MS" w:cs="Arial Unicode MS"/>
      <w:kern w:val="0"/>
      <w:sz w:val="15"/>
      <w:szCs w:val="15"/>
    </w:rPr>
  </w:style>
  <w:style w:type="paragraph" w:customStyle="1" w:styleId="480">
    <w:name w:val="Footer First"/>
    <w:basedOn w:val="47"/>
    <w:qFormat/>
    <w:uiPriority w:val="99"/>
    <w:pPr>
      <w:keepLines/>
      <w:widowControl/>
      <w:tabs>
        <w:tab w:val="center" w:pos="4320"/>
        <w:tab w:val="clear" w:pos="4153"/>
        <w:tab w:val="clear" w:pos="8306"/>
      </w:tabs>
      <w:overflowPunct w:val="0"/>
      <w:autoSpaceDE w:val="0"/>
      <w:autoSpaceDN w:val="0"/>
      <w:adjustRightInd w:val="0"/>
      <w:snapToGrid/>
      <w:jc w:val="center"/>
      <w:textAlignment w:val="baseline"/>
    </w:pPr>
    <w:rPr>
      <w:kern w:val="0"/>
      <w:sz w:val="20"/>
      <w:szCs w:val="20"/>
    </w:rPr>
  </w:style>
  <w:style w:type="paragraph" w:customStyle="1" w:styleId="481">
    <w:name w:val="CM44"/>
    <w:basedOn w:val="271"/>
    <w:next w:val="271"/>
    <w:qFormat/>
    <w:uiPriority w:val="99"/>
    <w:rPr>
      <w:color w:val="auto"/>
    </w:rPr>
  </w:style>
  <w:style w:type="paragraph" w:customStyle="1" w:styleId="482">
    <w:name w:val="字母2"/>
    <w:basedOn w:val="1"/>
    <w:qFormat/>
    <w:uiPriority w:val="99"/>
    <w:pPr>
      <w:spacing w:before="60" w:after="60" w:line="440" w:lineRule="exact"/>
      <w:textAlignment w:val="baseline"/>
    </w:pPr>
    <w:rPr>
      <w:spacing w:val="6"/>
      <w:kern w:val="0"/>
      <w:sz w:val="24"/>
    </w:rPr>
  </w:style>
  <w:style w:type="paragraph" w:customStyle="1" w:styleId="483">
    <w:name w:val="reader-word-layer reader-word-s3-10"/>
    <w:basedOn w:val="1"/>
    <w:qFormat/>
    <w:uiPriority w:val="99"/>
    <w:pPr>
      <w:widowControl/>
      <w:spacing w:before="100" w:beforeAutospacing="1" w:after="100" w:afterAutospacing="1"/>
      <w:jc w:val="left"/>
    </w:pPr>
    <w:rPr>
      <w:rFonts w:ascii="宋体" w:hAnsi="宋体" w:cs="宋体"/>
      <w:kern w:val="0"/>
      <w:sz w:val="24"/>
    </w:rPr>
  </w:style>
  <w:style w:type="paragraph" w:customStyle="1" w:styleId="484">
    <w:name w:val="表的格式（小四）"/>
    <w:basedOn w:val="1"/>
    <w:qFormat/>
    <w:uiPriority w:val="99"/>
    <w:pPr>
      <w:adjustRightInd w:val="0"/>
      <w:spacing w:line="360" w:lineRule="atLeast"/>
      <w:jc w:val="center"/>
    </w:pPr>
    <w:rPr>
      <w:kern w:val="0"/>
      <w:sz w:val="24"/>
      <w:szCs w:val="20"/>
    </w:rPr>
  </w:style>
  <w:style w:type="paragraph" w:customStyle="1" w:styleId="485">
    <w:name w:val="首页篇眉"/>
    <w:basedOn w:val="49"/>
    <w:qFormat/>
    <w:uiPriority w:val="99"/>
    <w:pPr>
      <w:keepLines/>
      <w:widowControl/>
      <w:tabs>
        <w:tab w:val="center" w:pos="4320"/>
        <w:tab w:val="right" w:pos="8640"/>
        <w:tab w:val="clear" w:pos="4153"/>
        <w:tab w:val="clear" w:pos="8306"/>
      </w:tabs>
      <w:overflowPunct w:val="0"/>
      <w:autoSpaceDE w:val="0"/>
      <w:autoSpaceDN w:val="0"/>
      <w:adjustRightInd w:val="0"/>
      <w:snapToGrid/>
      <w:jc w:val="left"/>
      <w:textAlignment w:val="baseline"/>
    </w:pPr>
    <w:rPr>
      <w:kern w:val="0"/>
      <w:sz w:val="20"/>
      <w:szCs w:val="20"/>
    </w:rPr>
  </w:style>
  <w:style w:type="paragraph" w:customStyle="1" w:styleId="486">
    <w:name w:val="报告表正文"/>
    <w:basedOn w:val="1"/>
    <w:qFormat/>
    <w:uiPriority w:val="99"/>
    <w:pPr>
      <w:adjustRightInd w:val="0"/>
      <w:spacing w:line="312" w:lineRule="auto"/>
      <w:ind w:left="113" w:right="113" w:firstLine="482"/>
    </w:pPr>
    <w:rPr>
      <w:kern w:val="0"/>
      <w:sz w:val="24"/>
      <w:szCs w:val="20"/>
    </w:rPr>
  </w:style>
  <w:style w:type="paragraph" w:customStyle="1" w:styleId="487">
    <w:name w:val="表格名称"/>
    <w:basedOn w:val="1"/>
    <w:qFormat/>
    <w:uiPriority w:val="99"/>
    <w:pPr>
      <w:spacing w:line="440" w:lineRule="exact"/>
      <w:ind w:firstLine="480" w:firstLineChars="200"/>
    </w:pPr>
    <w:rPr>
      <w:rFonts w:eastAsia="黑体"/>
      <w:sz w:val="24"/>
    </w:rPr>
  </w:style>
  <w:style w:type="paragraph" w:customStyle="1" w:styleId="488">
    <w:name w:val="默认段落字体 Para Char Char Char Char"/>
    <w:basedOn w:val="1"/>
    <w:qFormat/>
    <w:uiPriority w:val="99"/>
  </w:style>
  <w:style w:type="paragraph" w:customStyle="1" w:styleId="489">
    <w:name w:val="正文3"/>
    <w:qFormat/>
    <w:uiPriority w:val="99"/>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490">
    <w:name w:val="样式 段落黑 + 首行缩进:  1 字符"/>
    <w:basedOn w:val="470"/>
    <w:qFormat/>
    <w:uiPriority w:val="99"/>
    <w:pPr>
      <w:spacing w:after="0" w:line="480" w:lineRule="exact"/>
      <w:ind w:firstLine="100"/>
    </w:pPr>
    <w:rPr>
      <w:szCs w:val="20"/>
    </w:rPr>
  </w:style>
  <w:style w:type="paragraph" w:customStyle="1" w:styleId="491">
    <w:name w:val="xl28"/>
    <w:basedOn w:val="1"/>
    <w:semiHidden/>
    <w:qFormat/>
    <w:uiPriority w:val="99"/>
    <w:pPr>
      <w:widowControl/>
      <w:spacing w:before="100" w:after="100"/>
      <w:jc w:val="center"/>
    </w:pPr>
    <w:rPr>
      <w:rFonts w:ascii="华文行楷" w:hAnsi="宋体" w:eastAsia="华文行楷"/>
      <w:kern w:val="0"/>
      <w:sz w:val="24"/>
      <w:szCs w:val="20"/>
    </w:rPr>
  </w:style>
  <w:style w:type="paragraph" w:customStyle="1" w:styleId="492">
    <w:name w:val="reader-word-layer reader-word-s2-10"/>
    <w:basedOn w:val="1"/>
    <w:qFormat/>
    <w:uiPriority w:val="99"/>
    <w:pPr>
      <w:widowControl/>
      <w:spacing w:before="100" w:beforeAutospacing="1" w:after="100" w:afterAutospacing="1"/>
      <w:jc w:val="left"/>
    </w:pPr>
    <w:rPr>
      <w:rFonts w:ascii="宋体" w:hAnsi="宋体" w:cs="宋体"/>
      <w:kern w:val="0"/>
      <w:sz w:val="24"/>
    </w:rPr>
  </w:style>
  <w:style w:type="paragraph" w:customStyle="1" w:styleId="493">
    <w:name w:val="公式"/>
    <w:basedOn w:val="1"/>
    <w:semiHidden/>
    <w:qFormat/>
    <w:uiPriority w:val="99"/>
    <w:pPr>
      <w:keepLines/>
      <w:wordWrap w:val="0"/>
      <w:topLinePunct/>
      <w:ind w:right="-120" w:rightChars="-50" w:firstLine="200" w:firstLineChars="200"/>
      <w:jc w:val="left"/>
      <w:outlineLvl w:val="2"/>
    </w:pPr>
    <w:rPr>
      <w:rFonts w:eastAsia="黑体"/>
      <w:bCs/>
      <w:color w:val="000000"/>
      <w:kern w:val="0"/>
      <w:sz w:val="24"/>
      <w:szCs w:val="32"/>
    </w:rPr>
  </w:style>
  <w:style w:type="paragraph" w:customStyle="1" w:styleId="494">
    <w:name w:val="列出段落2"/>
    <w:basedOn w:val="1"/>
    <w:qFormat/>
    <w:uiPriority w:val="99"/>
    <w:pPr>
      <w:ind w:firstLine="420" w:firstLineChars="200"/>
    </w:pPr>
    <w:rPr>
      <w:rFonts w:ascii="Calibri" w:hAnsi="Calibri"/>
      <w:szCs w:val="22"/>
    </w:rPr>
  </w:style>
  <w:style w:type="paragraph" w:customStyle="1" w:styleId="495">
    <w:name w:val="reader-word-layer reader-word-s2-13"/>
    <w:basedOn w:val="1"/>
    <w:qFormat/>
    <w:uiPriority w:val="99"/>
    <w:pPr>
      <w:widowControl/>
      <w:spacing w:before="100" w:beforeAutospacing="1" w:after="100" w:afterAutospacing="1"/>
      <w:jc w:val="left"/>
    </w:pPr>
    <w:rPr>
      <w:rFonts w:ascii="宋体" w:hAnsi="宋体" w:cs="宋体"/>
      <w:kern w:val="0"/>
      <w:sz w:val="24"/>
    </w:rPr>
  </w:style>
  <w:style w:type="paragraph" w:customStyle="1" w:styleId="496">
    <w:name w:val="表中字样"/>
    <w:basedOn w:val="247"/>
    <w:qFormat/>
    <w:uiPriority w:val="99"/>
    <w:pPr>
      <w:spacing w:line="320" w:lineRule="atLeast"/>
      <w:ind w:firstLine="0" w:firstLineChars="0"/>
      <w:jc w:val="center"/>
    </w:pPr>
    <w:rPr>
      <w:spacing w:val="4"/>
    </w:rPr>
  </w:style>
  <w:style w:type="paragraph" w:customStyle="1" w:styleId="497">
    <w:name w:val="Body Text 22"/>
    <w:basedOn w:val="1"/>
    <w:semiHidden/>
    <w:qFormat/>
    <w:uiPriority w:val="99"/>
    <w:pPr>
      <w:adjustRightInd w:val="0"/>
      <w:spacing w:line="440" w:lineRule="atLeast"/>
      <w:ind w:firstLine="480"/>
      <w:textAlignment w:val="baseline"/>
    </w:pPr>
    <w:rPr>
      <w:rFonts w:eastAsia="仿宋_GB2312"/>
      <w:sz w:val="24"/>
      <w:szCs w:val="20"/>
    </w:rPr>
  </w:style>
  <w:style w:type="paragraph" w:customStyle="1" w:styleId="498">
    <w:name w:val="reader-word-layer reader-word-s3-14"/>
    <w:basedOn w:val="1"/>
    <w:qFormat/>
    <w:uiPriority w:val="99"/>
    <w:pPr>
      <w:widowControl/>
      <w:spacing w:before="100" w:beforeAutospacing="1" w:after="100" w:afterAutospacing="1"/>
      <w:jc w:val="left"/>
    </w:pPr>
    <w:rPr>
      <w:rFonts w:ascii="宋体" w:hAnsi="宋体" w:cs="宋体"/>
      <w:kern w:val="0"/>
      <w:sz w:val="24"/>
    </w:rPr>
  </w:style>
  <w:style w:type="paragraph" w:customStyle="1" w:styleId="499">
    <w:name w:val="List Number First"/>
    <w:basedOn w:val="18"/>
    <w:next w:val="18"/>
    <w:qFormat/>
    <w:uiPriority w:val="99"/>
    <w:pPr>
      <w:widowControl/>
      <w:tabs>
        <w:tab w:val="clear" w:pos="964"/>
      </w:tabs>
      <w:overflowPunct w:val="0"/>
      <w:autoSpaceDE w:val="0"/>
      <w:autoSpaceDN w:val="0"/>
      <w:adjustRightInd w:val="0"/>
      <w:spacing w:before="80" w:after="160" w:line="240" w:lineRule="auto"/>
      <w:ind w:left="720" w:hanging="360"/>
      <w:textAlignment w:val="baseline"/>
    </w:pPr>
    <w:rPr>
      <w:rFonts w:ascii="Times New Roman" w:hAnsi="Times New Roman"/>
      <w:kern w:val="0"/>
      <w:sz w:val="20"/>
    </w:rPr>
  </w:style>
  <w:style w:type="paragraph" w:customStyle="1" w:styleId="500">
    <w:name w:val="Char21"/>
    <w:basedOn w:val="1"/>
    <w:qFormat/>
    <w:uiPriority w:val="99"/>
    <w:pPr>
      <w:spacing w:line="360" w:lineRule="auto"/>
      <w:ind w:firstLine="200" w:firstLineChars="200"/>
    </w:pPr>
    <w:rPr>
      <w:rFonts w:ascii="宋体" w:hAnsi="宋体" w:cs="宋体"/>
      <w:sz w:val="24"/>
    </w:rPr>
  </w:style>
  <w:style w:type="paragraph" w:customStyle="1" w:styleId="501">
    <w:name w:val="reader-word-layer reader-word-s4-1"/>
    <w:basedOn w:val="1"/>
    <w:qFormat/>
    <w:uiPriority w:val="99"/>
    <w:pPr>
      <w:widowControl/>
      <w:spacing w:before="100" w:beforeAutospacing="1" w:after="100" w:afterAutospacing="1"/>
      <w:jc w:val="left"/>
    </w:pPr>
    <w:rPr>
      <w:rFonts w:ascii="宋体" w:hAnsi="宋体" w:cs="宋体"/>
      <w:kern w:val="0"/>
      <w:sz w:val="24"/>
    </w:rPr>
  </w:style>
  <w:style w:type="paragraph" w:customStyle="1" w:styleId="502">
    <w:name w:val="CM35"/>
    <w:basedOn w:val="271"/>
    <w:next w:val="271"/>
    <w:qFormat/>
    <w:uiPriority w:val="99"/>
    <w:pPr>
      <w:spacing w:line="223" w:lineRule="atLeast"/>
    </w:pPr>
    <w:rPr>
      <w:color w:val="auto"/>
    </w:rPr>
  </w:style>
  <w:style w:type="paragraph" w:customStyle="1" w:styleId="503">
    <w:name w:val="CM64"/>
    <w:basedOn w:val="271"/>
    <w:next w:val="271"/>
    <w:qFormat/>
    <w:uiPriority w:val="99"/>
    <w:pPr>
      <w:spacing w:after="5355"/>
    </w:pPr>
    <w:rPr>
      <w:color w:val="auto"/>
    </w:rPr>
  </w:style>
  <w:style w:type="paragraph" w:customStyle="1" w:styleId="504">
    <w:name w:val="a"/>
    <w:basedOn w:val="1"/>
    <w:qFormat/>
    <w:uiPriority w:val="99"/>
    <w:pPr>
      <w:widowControl/>
      <w:spacing w:before="100" w:beforeAutospacing="1" w:after="100" w:afterAutospacing="1"/>
      <w:jc w:val="left"/>
    </w:pPr>
    <w:rPr>
      <w:rFonts w:ascii="Arial Unicode MS" w:hAnsi="Arial Unicode MS" w:cs="Arial Unicode MS"/>
      <w:color w:val="000000"/>
      <w:kern w:val="0"/>
      <w:sz w:val="24"/>
    </w:rPr>
  </w:style>
  <w:style w:type="paragraph" w:customStyle="1" w:styleId="505">
    <w:name w:val="单位名称"/>
    <w:basedOn w:val="22"/>
    <w:qFormat/>
    <w:uiPriority w:val="99"/>
    <w:pPr>
      <w:keepNext/>
      <w:widowControl/>
      <w:overflowPunct w:val="0"/>
      <w:autoSpaceDE w:val="0"/>
      <w:autoSpaceDN w:val="0"/>
      <w:adjustRightInd w:val="0"/>
      <w:spacing w:before="160" w:after="0"/>
      <w:jc w:val="left"/>
      <w:textAlignment w:val="baseline"/>
    </w:pPr>
    <w:rPr>
      <w:rFonts w:ascii="Arial" w:hAnsi="Arial"/>
      <w:b/>
      <w:kern w:val="0"/>
      <w:sz w:val="20"/>
    </w:rPr>
  </w:style>
  <w:style w:type="paragraph" w:customStyle="1" w:styleId="506">
    <w:name w:val="首页脚注"/>
    <w:basedOn w:val="47"/>
    <w:qFormat/>
    <w:uiPriority w:val="99"/>
    <w:pPr>
      <w:keepLines/>
      <w:widowControl/>
      <w:tabs>
        <w:tab w:val="center" w:pos="4320"/>
        <w:tab w:val="right" w:pos="8640"/>
        <w:tab w:val="clear" w:pos="4153"/>
        <w:tab w:val="clear" w:pos="8306"/>
      </w:tabs>
      <w:overflowPunct w:val="0"/>
      <w:autoSpaceDE w:val="0"/>
      <w:autoSpaceDN w:val="0"/>
      <w:adjustRightInd w:val="0"/>
      <w:snapToGrid/>
      <w:textAlignment w:val="baseline"/>
    </w:pPr>
    <w:rPr>
      <w:kern w:val="0"/>
      <w:sz w:val="20"/>
      <w:szCs w:val="20"/>
    </w:rPr>
  </w:style>
  <w:style w:type="paragraph" w:customStyle="1" w:styleId="507">
    <w:name w:val="Header First"/>
    <w:basedOn w:val="49"/>
    <w:qFormat/>
    <w:uiPriority w:val="99"/>
    <w:pPr>
      <w:keepLines/>
      <w:widowControl/>
      <w:tabs>
        <w:tab w:val="center" w:pos="4320"/>
        <w:tab w:val="clear" w:pos="4153"/>
        <w:tab w:val="clear" w:pos="8306"/>
      </w:tabs>
      <w:overflowPunct w:val="0"/>
      <w:autoSpaceDE w:val="0"/>
      <w:autoSpaceDN w:val="0"/>
      <w:adjustRightInd w:val="0"/>
      <w:snapToGrid/>
      <w:textAlignment w:val="baseline"/>
    </w:pPr>
    <w:rPr>
      <w:kern w:val="0"/>
      <w:sz w:val="20"/>
      <w:szCs w:val="20"/>
    </w:rPr>
  </w:style>
  <w:style w:type="paragraph" w:customStyle="1" w:styleId="508">
    <w:name w:val="Address"/>
    <w:basedOn w:val="22"/>
    <w:qFormat/>
    <w:uiPriority w:val="99"/>
    <w:pPr>
      <w:keepLines/>
      <w:widowControl/>
      <w:overflowPunct w:val="0"/>
      <w:autoSpaceDE w:val="0"/>
      <w:autoSpaceDN w:val="0"/>
      <w:adjustRightInd w:val="0"/>
      <w:spacing w:after="0"/>
      <w:jc w:val="left"/>
      <w:textAlignment w:val="baseline"/>
    </w:pPr>
    <w:rPr>
      <w:kern w:val="0"/>
      <w:sz w:val="20"/>
    </w:rPr>
  </w:style>
  <w:style w:type="paragraph" w:customStyle="1" w:styleId="509">
    <w:name w:val="样式 首行缩进:  0.77 厘米 行距: 固定值 20 磅4"/>
    <w:basedOn w:val="1"/>
    <w:qFormat/>
    <w:uiPriority w:val="99"/>
    <w:pPr>
      <w:spacing w:line="440" w:lineRule="exact"/>
      <w:ind w:firstLine="480" w:firstLineChars="200"/>
    </w:pPr>
    <w:rPr>
      <w:rFonts w:ascii="Arial" w:hAnsi="Arial" w:cs="Arial"/>
      <w:color w:val="000000"/>
      <w:kern w:val="0"/>
      <w:sz w:val="24"/>
    </w:rPr>
  </w:style>
  <w:style w:type="paragraph" w:customStyle="1" w:styleId="510">
    <w:name w:val="reader-word-layer reader-word-s2-8"/>
    <w:basedOn w:val="1"/>
    <w:qFormat/>
    <w:uiPriority w:val="99"/>
    <w:pPr>
      <w:widowControl/>
      <w:spacing w:before="100" w:beforeAutospacing="1" w:after="100" w:afterAutospacing="1"/>
      <w:jc w:val="left"/>
    </w:pPr>
    <w:rPr>
      <w:rFonts w:ascii="宋体" w:hAnsi="宋体" w:cs="宋体"/>
      <w:kern w:val="0"/>
      <w:sz w:val="24"/>
    </w:rPr>
  </w:style>
  <w:style w:type="paragraph" w:customStyle="1" w:styleId="511">
    <w:name w:val="CM57"/>
    <w:basedOn w:val="271"/>
    <w:next w:val="271"/>
    <w:qFormat/>
    <w:uiPriority w:val="99"/>
    <w:pPr>
      <w:spacing w:after="318"/>
    </w:pPr>
    <w:rPr>
      <w:color w:val="auto"/>
    </w:rPr>
  </w:style>
  <w:style w:type="paragraph" w:customStyle="1" w:styleId="512">
    <w:name w:val="居中正文"/>
    <w:basedOn w:val="73"/>
    <w:semiHidden/>
    <w:qFormat/>
    <w:uiPriority w:val="99"/>
    <w:pPr>
      <w:adjustRightInd w:val="0"/>
      <w:spacing w:before="120" w:after="0"/>
      <w:ind w:firstLine="0" w:firstLineChars="0"/>
      <w:jc w:val="center"/>
    </w:pPr>
    <w:rPr>
      <w:rFonts w:ascii="宋体"/>
      <w:kern w:val="28"/>
      <w:szCs w:val="20"/>
    </w:rPr>
  </w:style>
  <w:style w:type="paragraph" w:customStyle="1" w:styleId="513">
    <w:name w:val="Indent1"/>
    <w:basedOn w:val="1"/>
    <w:qFormat/>
    <w:uiPriority w:val="99"/>
    <w:pPr>
      <w:overflowPunct w:val="0"/>
      <w:autoSpaceDE w:val="0"/>
      <w:autoSpaceDN w:val="0"/>
      <w:adjustRightInd w:val="0"/>
      <w:ind w:left="1440" w:hanging="720"/>
      <w:jc w:val="left"/>
      <w:textAlignment w:val="baseline"/>
    </w:pPr>
    <w:rPr>
      <w:rFonts w:ascii="Arial" w:hAnsi="Arial"/>
      <w:kern w:val="0"/>
      <w:sz w:val="22"/>
      <w:szCs w:val="20"/>
    </w:rPr>
  </w:style>
  <w:style w:type="paragraph" w:customStyle="1" w:styleId="514">
    <w:name w:val="reader-word-layer reader-word-s1-14"/>
    <w:basedOn w:val="1"/>
    <w:qFormat/>
    <w:uiPriority w:val="99"/>
    <w:pPr>
      <w:widowControl/>
      <w:spacing w:before="100" w:beforeAutospacing="1" w:after="100" w:afterAutospacing="1"/>
      <w:jc w:val="left"/>
    </w:pPr>
    <w:rPr>
      <w:rFonts w:ascii="宋体" w:hAnsi="宋体" w:cs="宋体"/>
      <w:kern w:val="0"/>
      <w:sz w:val="24"/>
    </w:rPr>
  </w:style>
  <w:style w:type="paragraph" w:customStyle="1" w:styleId="515">
    <w:name w:val="姓名"/>
    <w:basedOn w:val="22"/>
    <w:qFormat/>
    <w:uiPriority w:val="0"/>
    <w:pPr>
      <w:keepNext/>
      <w:widowControl/>
      <w:overflowPunct w:val="0"/>
      <w:autoSpaceDE w:val="0"/>
      <w:autoSpaceDN w:val="0"/>
      <w:adjustRightInd w:val="0"/>
      <w:spacing w:after="160"/>
      <w:jc w:val="left"/>
      <w:textAlignment w:val="baseline"/>
    </w:pPr>
    <w:rPr>
      <w:rFonts w:ascii="Arial" w:hAnsi="Arial"/>
      <w:b/>
      <w:kern w:val="0"/>
      <w:sz w:val="24"/>
    </w:rPr>
  </w:style>
  <w:style w:type="paragraph" w:customStyle="1" w:styleId="516">
    <w:name w:val="样式 正文（首行缩进两字） + Times New Roman 首行缩进:  2 字符"/>
    <w:basedOn w:val="7"/>
    <w:qFormat/>
    <w:uiPriority w:val="99"/>
    <w:pPr>
      <w:spacing w:line="360" w:lineRule="auto"/>
      <w:ind w:firstLine="480"/>
    </w:pPr>
    <w:rPr>
      <w:rFonts w:ascii="宋体"/>
    </w:rPr>
  </w:style>
  <w:style w:type="paragraph" w:customStyle="1" w:styleId="517">
    <w:name w:val="表格内容格式"/>
    <w:basedOn w:val="1"/>
    <w:semiHidden/>
    <w:qFormat/>
    <w:uiPriority w:val="99"/>
    <w:pPr>
      <w:jc w:val="center"/>
    </w:pPr>
    <w:rPr>
      <w:rFonts w:hAnsi="宋体" w:cs="宋体"/>
      <w:szCs w:val="21"/>
    </w:rPr>
  </w:style>
  <w:style w:type="paragraph" w:customStyle="1" w:styleId="518">
    <w:name w:val="表中字"/>
    <w:semiHidden/>
    <w:qFormat/>
    <w:uiPriority w:val="99"/>
    <w:pPr>
      <w:widowControl w:val="0"/>
      <w:adjustRightInd w:val="0"/>
      <w:snapToGrid w:val="0"/>
      <w:jc w:val="center"/>
    </w:pPr>
    <w:rPr>
      <w:rFonts w:ascii="Times New Roman" w:hAnsi="Times New Roman" w:eastAsia="宋体" w:cs="Times New Roman"/>
      <w:w w:val="90"/>
      <w:sz w:val="21"/>
      <w:lang w:val="en-US" w:eastAsia="zh-CN" w:bidi="ar-SA"/>
    </w:rPr>
  </w:style>
  <w:style w:type="paragraph" w:customStyle="1" w:styleId="519">
    <w:name w:val="p18"/>
    <w:basedOn w:val="1"/>
    <w:qFormat/>
    <w:uiPriority w:val="99"/>
    <w:pPr>
      <w:widowControl/>
    </w:pPr>
    <w:rPr>
      <w:kern w:val="0"/>
      <w:szCs w:val="21"/>
    </w:rPr>
  </w:style>
  <w:style w:type="paragraph" w:customStyle="1" w:styleId="520">
    <w:name w:val="目标"/>
    <w:basedOn w:val="22"/>
    <w:qFormat/>
    <w:uiPriority w:val="99"/>
    <w:pPr>
      <w:widowControl/>
      <w:overflowPunct w:val="0"/>
      <w:autoSpaceDE w:val="0"/>
      <w:autoSpaceDN w:val="0"/>
      <w:adjustRightInd w:val="0"/>
      <w:spacing w:before="320"/>
      <w:jc w:val="left"/>
      <w:textAlignment w:val="baseline"/>
    </w:pPr>
    <w:rPr>
      <w:rFonts w:ascii="Arial" w:hAnsi="Arial"/>
      <w:i/>
      <w:kern w:val="0"/>
      <w:sz w:val="18"/>
    </w:rPr>
  </w:style>
  <w:style w:type="paragraph" w:customStyle="1" w:styleId="521">
    <w:name w:val="样式13"/>
    <w:basedOn w:val="3"/>
    <w:next w:val="1"/>
    <w:qFormat/>
    <w:uiPriority w:val="99"/>
  </w:style>
  <w:style w:type="paragraph" w:customStyle="1" w:styleId="522">
    <w:name w:val="表注"/>
    <w:basedOn w:val="1"/>
    <w:qFormat/>
    <w:uiPriority w:val="99"/>
    <w:pPr>
      <w:autoSpaceDE w:val="0"/>
      <w:autoSpaceDN w:val="0"/>
      <w:adjustRightInd w:val="0"/>
      <w:spacing w:beforeLines="50" w:afterLines="50"/>
    </w:pPr>
    <w:rPr>
      <w:rFonts w:cs="Arial"/>
      <w:kern w:val="0"/>
      <w:szCs w:val="21"/>
    </w:rPr>
  </w:style>
  <w:style w:type="paragraph" w:customStyle="1" w:styleId="523">
    <w:name w:val="edri-正文1"/>
    <w:basedOn w:val="1"/>
    <w:qFormat/>
    <w:uiPriority w:val="99"/>
    <w:pPr>
      <w:tabs>
        <w:tab w:val="left" w:pos="3780"/>
      </w:tabs>
      <w:spacing w:beforeLines="50" w:line="360" w:lineRule="auto"/>
      <w:ind w:firstLine="630" w:firstLineChars="225"/>
      <w:jc w:val="left"/>
    </w:pPr>
    <w:rPr>
      <w:color w:val="000000"/>
      <w:sz w:val="28"/>
      <w:szCs w:val="20"/>
    </w:rPr>
  </w:style>
  <w:style w:type="paragraph" w:customStyle="1" w:styleId="524">
    <w:name w:val="CM61"/>
    <w:basedOn w:val="271"/>
    <w:next w:val="271"/>
    <w:qFormat/>
    <w:uiPriority w:val="99"/>
    <w:pPr>
      <w:spacing w:after="68"/>
    </w:pPr>
    <w:rPr>
      <w:color w:val="auto"/>
    </w:rPr>
  </w:style>
  <w:style w:type="paragraph" w:customStyle="1" w:styleId="525">
    <w:name w:val="图文框"/>
    <w:basedOn w:val="1"/>
    <w:qFormat/>
    <w:uiPriority w:val="99"/>
    <w:pPr>
      <w:widowControl/>
      <w:jc w:val="center"/>
    </w:pPr>
    <w:rPr>
      <w:rFonts w:ascii="宋体" w:hAnsi="宋体"/>
      <w:szCs w:val="21"/>
    </w:rPr>
  </w:style>
  <w:style w:type="paragraph" w:customStyle="1" w:styleId="526">
    <w:name w:val="List Bullet First"/>
    <w:basedOn w:val="20"/>
    <w:next w:val="20"/>
    <w:qFormat/>
    <w:uiPriority w:val="99"/>
    <w:pPr>
      <w:spacing w:before="80"/>
    </w:pPr>
  </w:style>
  <w:style w:type="paragraph" w:customStyle="1" w:styleId="527">
    <w:name w:val="Char"/>
    <w:basedOn w:val="1"/>
    <w:semiHidden/>
    <w:qFormat/>
    <w:uiPriority w:val="99"/>
    <w:pPr>
      <w:widowControl/>
      <w:spacing w:after="160" w:line="240" w:lineRule="exact"/>
    </w:pPr>
    <w:rPr>
      <w:rFonts w:ascii="Verdana" w:hAnsi="Verdana"/>
      <w:kern w:val="0"/>
      <w:sz w:val="20"/>
      <w:szCs w:val="20"/>
      <w:lang w:eastAsia="en-US"/>
    </w:rPr>
  </w:style>
  <w:style w:type="paragraph" w:customStyle="1" w:styleId="528">
    <w:name w:val="text"/>
    <w:basedOn w:val="1"/>
    <w:qFormat/>
    <w:uiPriority w:val="99"/>
    <w:pPr>
      <w:widowControl/>
      <w:jc w:val="left"/>
    </w:pPr>
    <w:rPr>
      <w:rFonts w:ascii="Courier New" w:hAnsi="Courier New" w:cs="Courier New"/>
      <w:color w:val="000000"/>
      <w:kern w:val="0"/>
      <w:sz w:val="22"/>
      <w:szCs w:val="22"/>
    </w:rPr>
  </w:style>
  <w:style w:type="paragraph" w:customStyle="1" w:styleId="529">
    <w:name w:val="表1"/>
    <w:basedOn w:val="1"/>
    <w:qFormat/>
    <w:uiPriority w:val="99"/>
    <w:pPr>
      <w:adjustRightInd w:val="0"/>
      <w:spacing w:beforeLines="50" w:afterLines="50" w:line="400" w:lineRule="exact"/>
      <w:jc w:val="center"/>
    </w:pPr>
    <w:rPr>
      <w:rFonts w:eastAsia="黑体"/>
      <w:spacing w:val="10"/>
      <w:sz w:val="24"/>
      <w:szCs w:val="20"/>
    </w:rPr>
  </w:style>
  <w:style w:type="paragraph" w:customStyle="1" w:styleId="530">
    <w:name w:val="Name"/>
    <w:basedOn w:val="22"/>
    <w:qFormat/>
    <w:uiPriority w:val="99"/>
    <w:pPr>
      <w:keepNext/>
      <w:widowControl/>
      <w:tabs>
        <w:tab w:val="right" w:pos="3960"/>
      </w:tabs>
      <w:overflowPunct w:val="0"/>
      <w:autoSpaceDE w:val="0"/>
      <w:autoSpaceDN w:val="0"/>
      <w:adjustRightInd w:val="0"/>
      <w:spacing w:before="120" w:after="0"/>
      <w:jc w:val="left"/>
      <w:textAlignment w:val="baseline"/>
    </w:pPr>
    <w:rPr>
      <w:rFonts w:ascii="Arial" w:hAnsi="Arial"/>
      <w:b/>
      <w:kern w:val="0"/>
      <w:sz w:val="20"/>
    </w:rPr>
  </w:style>
  <w:style w:type="paragraph" w:customStyle="1" w:styleId="531">
    <w:name w:val="reader-word-layer"/>
    <w:basedOn w:val="1"/>
    <w:qFormat/>
    <w:uiPriority w:val="99"/>
    <w:pPr>
      <w:widowControl/>
      <w:spacing w:before="100" w:beforeAutospacing="1" w:after="100" w:afterAutospacing="1"/>
      <w:jc w:val="left"/>
    </w:pPr>
    <w:rPr>
      <w:rFonts w:ascii="宋体" w:hAnsi="宋体" w:cs="宋体"/>
      <w:kern w:val="0"/>
      <w:sz w:val="24"/>
    </w:rPr>
  </w:style>
  <w:style w:type="paragraph" w:customStyle="1" w:styleId="532">
    <w:name w:val="样式 目录 1 + 段前: 0.5 行 段后: 0.5 行"/>
    <w:basedOn w:val="51"/>
    <w:qFormat/>
    <w:uiPriority w:val="99"/>
    <w:pPr>
      <w:tabs>
        <w:tab w:val="right" w:leader="dot" w:pos="9174"/>
      </w:tabs>
      <w:spacing w:line="400" w:lineRule="exact"/>
      <w:ind w:firstLine="200" w:firstLineChars="200"/>
      <w:textAlignment w:val="baseline"/>
    </w:pPr>
    <w:rPr>
      <w:rFonts w:eastAsia="黑体"/>
      <w:spacing w:val="6"/>
      <w:sz w:val="24"/>
    </w:rPr>
  </w:style>
  <w:style w:type="paragraph" w:customStyle="1" w:styleId="533">
    <w:name w:val="1级标题"/>
    <w:basedOn w:val="1"/>
    <w:qFormat/>
    <w:uiPriority w:val="99"/>
    <w:pPr>
      <w:spacing w:before="60" w:line="460" w:lineRule="exact"/>
      <w:outlineLvl w:val="0"/>
    </w:pPr>
    <w:rPr>
      <w:rFonts w:ascii="Arial" w:hAnsi="Arial" w:cs="Arial"/>
      <w:b/>
      <w:sz w:val="32"/>
      <w:szCs w:val="20"/>
    </w:rPr>
  </w:style>
  <w:style w:type="paragraph" w:customStyle="1" w:styleId="534">
    <w:name w:val="表 头 Char"/>
    <w:basedOn w:val="1"/>
    <w:qFormat/>
    <w:uiPriority w:val="99"/>
    <w:pPr>
      <w:adjustRightInd w:val="0"/>
      <w:spacing w:before="120" w:after="120" w:line="360" w:lineRule="atLeast"/>
      <w:jc w:val="center"/>
    </w:pPr>
    <w:rPr>
      <w:rFonts w:eastAsia="黑体"/>
      <w:spacing w:val="10"/>
      <w:kern w:val="0"/>
      <w:sz w:val="24"/>
      <w:szCs w:val="20"/>
    </w:rPr>
  </w:style>
  <w:style w:type="paragraph" w:customStyle="1" w:styleId="535">
    <w:name w:val="reader-word-layer reader-word-s2-6"/>
    <w:basedOn w:val="1"/>
    <w:qFormat/>
    <w:uiPriority w:val="99"/>
    <w:pPr>
      <w:widowControl/>
      <w:spacing w:before="100" w:beforeAutospacing="1" w:after="100" w:afterAutospacing="1"/>
      <w:jc w:val="left"/>
    </w:pPr>
    <w:rPr>
      <w:rFonts w:ascii="宋体" w:hAnsi="宋体" w:cs="宋体"/>
      <w:kern w:val="0"/>
      <w:sz w:val="24"/>
    </w:rPr>
  </w:style>
  <w:style w:type="paragraph" w:customStyle="1" w:styleId="536">
    <w:name w:val="项目符号结尾"/>
    <w:basedOn w:val="20"/>
    <w:next w:val="22"/>
    <w:qFormat/>
    <w:uiPriority w:val="99"/>
    <w:pPr>
      <w:spacing w:after="240"/>
    </w:pPr>
  </w:style>
  <w:style w:type="paragraph" w:customStyle="1" w:styleId="537">
    <w:name w:val="表格 + 小五"/>
    <w:basedOn w:val="170"/>
    <w:qFormat/>
    <w:uiPriority w:val="99"/>
    <w:pPr>
      <w:adjustRightInd w:val="0"/>
      <w:spacing w:beforeLines="0" w:afterLines="0" w:line="360" w:lineRule="exact"/>
    </w:pPr>
    <w:rPr>
      <w:sz w:val="18"/>
      <w:szCs w:val="21"/>
    </w:rPr>
  </w:style>
  <w:style w:type="paragraph" w:customStyle="1" w:styleId="538">
    <w:name w:val="reader-word-layer reader-word-s1-13"/>
    <w:basedOn w:val="1"/>
    <w:qFormat/>
    <w:uiPriority w:val="99"/>
    <w:pPr>
      <w:widowControl/>
      <w:spacing w:before="100" w:beforeAutospacing="1" w:after="100" w:afterAutospacing="1"/>
      <w:jc w:val="left"/>
    </w:pPr>
    <w:rPr>
      <w:rFonts w:ascii="宋体" w:hAnsi="宋体" w:cs="宋体"/>
      <w:kern w:val="0"/>
      <w:sz w:val="24"/>
    </w:rPr>
  </w:style>
  <w:style w:type="paragraph" w:customStyle="1" w:styleId="539">
    <w:name w:val="Title Cover"/>
    <w:basedOn w:val="335"/>
    <w:next w:val="1"/>
    <w:qFormat/>
    <w:uiPriority w:val="99"/>
    <w:pPr>
      <w:spacing w:before="720" w:after="160"/>
      <w:jc w:val="center"/>
    </w:pPr>
    <w:rPr>
      <w:sz w:val="48"/>
    </w:rPr>
  </w:style>
  <w:style w:type="paragraph" w:customStyle="1" w:styleId="540">
    <w:name w:val="Header Base"/>
    <w:basedOn w:val="1"/>
    <w:qFormat/>
    <w:uiPriority w:val="99"/>
    <w:pPr>
      <w:keepLines/>
      <w:widowControl/>
      <w:tabs>
        <w:tab w:val="center" w:pos="4320"/>
        <w:tab w:val="right" w:pos="8640"/>
      </w:tabs>
      <w:overflowPunct w:val="0"/>
      <w:autoSpaceDE w:val="0"/>
      <w:autoSpaceDN w:val="0"/>
      <w:adjustRightInd w:val="0"/>
      <w:jc w:val="left"/>
      <w:textAlignment w:val="baseline"/>
    </w:pPr>
    <w:rPr>
      <w:kern w:val="0"/>
      <w:sz w:val="20"/>
      <w:szCs w:val="20"/>
    </w:rPr>
  </w:style>
  <w:style w:type="paragraph" w:customStyle="1" w:styleId="541">
    <w:name w:val="样式8"/>
    <w:basedOn w:val="2"/>
    <w:qFormat/>
    <w:uiPriority w:val="99"/>
    <w:pPr>
      <w:keepNext/>
      <w:keepLines/>
      <w:widowControl w:val="0"/>
      <w:tabs>
        <w:tab w:val="left" w:pos="1320"/>
      </w:tabs>
      <w:adjustRightInd w:val="0"/>
      <w:spacing w:before="120" w:afterLines="50" w:line="416" w:lineRule="atLeast"/>
      <w:ind w:left="1320" w:hanging="420"/>
      <w:jc w:val="left"/>
    </w:pPr>
    <w:rPr>
      <w:rFonts w:ascii="Times New Roman" w:hAnsi="Times New Roman" w:eastAsia="黑体" w:cs="Times New Roman"/>
      <w:b w:val="0"/>
      <w:bCs w:val="0"/>
      <w:spacing w:val="10"/>
      <w:kern w:val="2"/>
      <w:sz w:val="30"/>
      <w:szCs w:val="30"/>
    </w:rPr>
  </w:style>
  <w:style w:type="paragraph" w:customStyle="1" w:styleId="542">
    <w:name w:val="CM65"/>
    <w:basedOn w:val="271"/>
    <w:next w:val="271"/>
    <w:qFormat/>
    <w:uiPriority w:val="99"/>
    <w:pPr>
      <w:spacing w:after="52"/>
    </w:pPr>
    <w:rPr>
      <w:color w:val="auto"/>
    </w:rPr>
  </w:style>
  <w:style w:type="paragraph" w:customStyle="1" w:styleId="543">
    <w:name w:val="列表5"/>
    <w:basedOn w:val="331"/>
    <w:qFormat/>
    <w:uiPriority w:val="99"/>
    <w:pPr>
      <w:pBdr>
        <w:left w:val="none" w:color="auto" w:sz="0" w:space="0"/>
      </w:pBdr>
      <w:tabs>
        <w:tab w:val="clear" w:pos="720"/>
      </w:tabs>
      <w:ind w:left="1800"/>
    </w:pPr>
  </w:style>
  <w:style w:type="paragraph" w:customStyle="1" w:styleId="544">
    <w:name w:val="1表格"/>
    <w:basedOn w:val="1"/>
    <w:qFormat/>
    <w:uiPriority w:val="99"/>
    <w:pPr>
      <w:snapToGrid w:val="0"/>
      <w:jc w:val="center"/>
      <w:outlineLvl w:val="4"/>
    </w:pPr>
    <w:rPr>
      <w:spacing w:val="4"/>
    </w:rPr>
  </w:style>
  <w:style w:type="character" w:customStyle="1" w:styleId="545">
    <w:name w:val="mask_desc_highlight"/>
    <w:basedOn w:val="77"/>
    <w:qFormat/>
    <w:uiPriority w:val="99"/>
    <w:rPr>
      <w:rFonts w:cs="Times New Roman"/>
    </w:rPr>
  </w:style>
  <w:style w:type="paragraph" w:customStyle="1" w:styleId="546">
    <w:name w:val="5正文"/>
    <w:basedOn w:val="1"/>
    <w:next w:val="22"/>
    <w:qFormat/>
    <w:uiPriority w:val="99"/>
    <w:pPr>
      <w:spacing w:line="360" w:lineRule="auto"/>
      <w:ind w:firstLine="200"/>
    </w:pPr>
    <w:rPr>
      <w:color w:val="000000"/>
      <w:spacing w:val="-4"/>
      <w:kern w:val="1"/>
      <w:sz w:val="20"/>
      <w:szCs w:val="20"/>
    </w:rPr>
  </w:style>
  <w:style w:type="paragraph" w:customStyle="1" w:styleId="547">
    <w:name w:val="无间隔2"/>
    <w:qFormat/>
    <w:uiPriority w:val="99"/>
    <w:pPr>
      <w:widowControl w:val="0"/>
      <w:ind w:firstLine="200"/>
      <w:jc w:val="both"/>
    </w:pPr>
    <w:rPr>
      <w:rFonts w:ascii="Calibri" w:hAnsi="Calibri" w:eastAsia="宋体" w:cs="Times New Roman"/>
      <w:color w:val="000000"/>
      <w:kern w:val="1"/>
      <w:sz w:val="24"/>
      <w:szCs w:val="22"/>
      <w:lang w:val="en-US" w:eastAsia="zh-CN" w:bidi="ar-SA"/>
    </w:rPr>
  </w:style>
  <w:style w:type="paragraph" w:customStyle="1" w:styleId="548">
    <w:name w:val="Char3"/>
    <w:basedOn w:val="1"/>
    <w:qFormat/>
    <w:uiPriority w:val="99"/>
    <w:pPr>
      <w:spacing w:beforeLines="100" w:afterLines="50" w:line="600" w:lineRule="exact"/>
      <w:ind w:firstLine="200" w:firstLineChars="200"/>
    </w:pPr>
    <w:rPr>
      <w:szCs w:val="20"/>
    </w:rPr>
  </w:style>
  <w:style w:type="character" w:customStyle="1" w:styleId="549">
    <w:name w:val="样式 四号"/>
    <w:basedOn w:val="77"/>
    <w:qFormat/>
    <w:uiPriority w:val="99"/>
    <w:rPr>
      <w:rFonts w:eastAsia="Times New Roman" w:cs="Times New Roman"/>
      <w:sz w:val="28"/>
    </w:rPr>
  </w:style>
  <w:style w:type="paragraph" w:customStyle="1" w:styleId="550">
    <w:name w:val="报告正文 + Times New Roman 首行缩进:  2 字符"/>
    <w:basedOn w:val="1"/>
    <w:qFormat/>
    <w:uiPriority w:val="0"/>
    <w:pPr>
      <w:adjustRightInd w:val="0"/>
      <w:snapToGrid w:val="0"/>
      <w:spacing w:line="360" w:lineRule="auto"/>
      <w:ind w:firstLine="200" w:firstLineChars="200"/>
      <w:textAlignment w:val="baseline"/>
    </w:pPr>
    <w:rPr>
      <w:sz w:val="28"/>
      <w:szCs w:val="20"/>
    </w:rPr>
  </w:style>
  <w:style w:type="paragraph" w:customStyle="1" w:styleId="551">
    <w:name w:val="cjh"/>
    <w:basedOn w:val="1"/>
    <w:next w:val="1"/>
    <w:qFormat/>
    <w:uiPriority w:val="99"/>
    <w:pPr>
      <w:keepLines/>
      <w:suppressLineNumbers/>
      <w:suppressAutoHyphens/>
      <w:jc w:val="center"/>
      <w:outlineLvl w:val="0"/>
    </w:pPr>
    <w:rPr>
      <w:rFonts w:ascii="宋体"/>
      <w:kern w:val="24"/>
      <w:szCs w:val="20"/>
    </w:rPr>
  </w:style>
  <w:style w:type="paragraph" w:customStyle="1" w:styleId="552">
    <w:name w:val="Char Char1 Char"/>
    <w:basedOn w:val="1"/>
    <w:qFormat/>
    <w:uiPriority w:val="99"/>
    <w:rPr>
      <w:szCs w:val="20"/>
    </w:rPr>
  </w:style>
  <w:style w:type="paragraph" w:customStyle="1" w:styleId="553">
    <w:name w:val="图"/>
    <w:basedOn w:val="7"/>
    <w:next w:val="1"/>
    <w:qFormat/>
    <w:uiPriority w:val="99"/>
    <w:pPr>
      <w:ind w:firstLine="0" w:firstLineChars="0"/>
    </w:pPr>
    <w:rPr>
      <w:rFonts w:ascii="宋体" w:hAnsi="宋体"/>
    </w:rPr>
  </w:style>
  <w:style w:type="paragraph" w:customStyle="1" w:styleId="554">
    <w:name w:val="方框"/>
    <w:basedOn w:val="1"/>
    <w:qFormat/>
    <w:uiPriority w:val="99"/>
    <w:pPr>
      <w:widowControl/>
      <w:spacing w:line="240" w:lineRule="atLeast"/>
    </w:pPr>
    <w:rPr>
      <w:rFonts w:ascii="宋体"/>
      <w:kern w:val="0"/>
      <w:sz w:val="24"/>
      <w:szCs w:val="20"/>
    </w:rPr>
  </w:style>
  <w:style w:type="paragraph" w:customStyle="1" w:styleId="555">
    <w:name w:val="Char Char2 Char1 Char Char Char"/>
    <w:basedOn w:val="1"/>
    <w:qFormat/>
    <w:uiPriority w:val="99"/>
    <w:rPr>
      <w:szCs w:val="20"/>
    </w:rPr>
  </w:style>
  <w:style w:type="paragraph" w:customStyle="1" w:styleId="556">
    <w:name w:val="修订1"/>
    <w:hidden/>
    <w:qFormat/>
    <w:uiPriority w:val="99"/>
    <w:rPr>
      <w:rFonts w:ascii="Times New Roman" w:hAnsi="Times New Roman" w:eastAsia="宋体" w:cs="Times New Roman"/>
      <w:kern w:val="2"/>
      <w:sz w:val="21"/>
      <w:szCs w:val="24"/>
      <w:lang w:val="en-US" w:eastAsia="zh-CN" w:bidi="ar-SA"/>
    </w:rPr>
  </w:style>
  <w:style w:type="character" w:customStyle="1" w:styleId="557">
    <w:name w:val="Char Char24"/>
    <w:qFormat/>
    <w:uiPriority w:val="99"/>
    <w:rPr>
      <w:b/>
      <w:kern w:val="2"/>
      <w:sz w:val="32"/>
    </w:rPr>
  </w:style>
  <w:style w:type="character" w:customStyle="1" w:styleId="558">
    <w:name w:val="01 主体文字 Char"/>
    <w:link w:val="559"/>
    <w:qFormat/>
    <w:locked/>
    <w:uiPriority w:val="0"/>
    <w:rPr>
      <w:color w:val="000000"/>
      <w:kern w:val="2"/>
      <w:position w:val="-12"/>
      <w:sz w:val="24"/>
    </w:rPr>
  </w:style>
  <w:style w:type="paragraph" w:customStyle="1" w:styleId="559">
    <w:name w:val="01 主体文字"/>
    <w:basedOn w:val="1"/>
    <w:link w:val="558"/>
    <w:qFormat/>
    <w:uiPriority w:val="0"/>
    <w:pPr>
      <w:spacing w:line="360" w:lineRule="auto"/>
      <w:ind w:firstLine="480" w:firstLineChars="200"/>
      <w:jc w:val="left"/>
    </w:pPr>
    <w:rPr>
      <w:color w:val="000000"/>
      <w:position w:val="-12"/>
      <w:sz w:val="24"/>
    </w:rPr>
  </w:style>
  <w:style w:type="paragraph" w:customStyle="1" w:styleId="560">
    <w:name w:val="02 居中"/>
    <w:basedOn w:val="1"/>
    <w:qFormat/>
    <w:uiPriority w:val="0"/>
    <w:pPr>
      <w:jc w:val="center"/>
    </w:pPr>
    <w:rPr>
      <w:rFonts w:cs="宋体"/>
      <w:szCs w:val="20"/>
    </w:rPr>
  </w:style>
  <w:style w:type="character" w:customStyle="1" w:styleId="561">
    <w:name w:val="Char Char5"/>
    <w:qFormat/>
    <w:uiPriority w:val="99"/>
    <w:rPr>
      <w:rFonts w:ascii="宋体" w:hAnsi="Courier New"/>
      <w:kern w:val="2"/>
      <w:sz w:val="21"/>
    </w:rPr>
  </w:style>
  <w:style w:type="paragraph" w:customStyle="1" w:styleId="562">
    <w:name w:val="Char Char Char Char Char2 Char Char Char Char"/>
    <w:basedOn w:val="1"/>
    <w:semiHidden/>
    <w:qFormat/>
    <w:uiPriority w:val="99"/>
    <w:pPr>
      <w:adjustRightInd w:val="0"/>
      <w:snapToGrid w:val="0"/>
      <w:spacing w:line="360" w:lineRule="auto"/>
      <w:ind w:firstLine="200" w:firstLineChars="200"/>
    </w:pPr>
    <w:rPr>
      <w:rFonts w:ascii="宋体" w:hAnsi="宋体" w:cs="宋体"/>
      <w:sz w:val="24"/>
      <w:szCs w:val="26"/>
    </w:rPr>
  </w:style>
  <w:style w:type="character" w:customStyle="1" w:styleId="563">
    <w:name w:val="样式5 Char1"/>
    <w:link w:val="395"/>
    <w:qFormat/>
    <w:locked/>
    <w:uiPriority w:val="99"/>
    <w:rPr>
      <w:rFonts w:eastAsia="黑体"/>
      <w:spacing w:val="10"/>
      <w:kern w:val="2"/>
      <w:sz w:val="30"/>
      <w:lang w:val="en-US" w:eastAsia="zh-CN"/>
    </w:rPr>
  </w:style>
  <w:style w:type="paragraph" w:customStyle="1" w:styleId="564">
    <w:name w:val="Char Char Char Char Char2 Char Char Char Char1"/>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65">
    <w:name w:val="表格1"/>
    <w:basedOn w:val="1"/>
    <w:qFormat/>
    <w:uiPriority w:val="0"/>
    <w:pPr>
      <w:adjustRightInd w:val="0"/>
      <w:jc w:val="center"/>
      <w:textAlignment w:val="baseline"/>
    </w:pPr>
    <w:rPr>
      <w:rFonts w:ascii="宋体"/>
      <w:kern w:val="0"/>
      <w:sz w:val="24"/>
      <w:szCs w:val="20"/>
    </w:rPr>
  </w:style>
  <w:style w:type="character" w:customStyle="1" w:styleId="566">
    <w:name w:val="正文缩进 字符"/>
    <w:qFormat/>
    <w:uiPriority w:val="0"/>
    <w:rPr>
      <w:rFonts w:ascii="Times New Roman" w:hAnsi="Times New Roman"/>
      <w:kern w:val="2"/>
      <w:sz w:val="24"/>
    </w:rPr>
  </w:style>
  <w:style w:type="paragraph" w:customStyle="1" w:styleId="567">
    <w:name w:val="xl48"/>
    <w:basedOn w:val="1"/>
    <w:qFormat/>
    <w:uiPriority w:val="0"/>
    <w:pPr>
      <w:widowControl/>
      <w:pBdr>
        <w:bottom w:val="single" w:color="auto" w:sz="4" w:space="0"/>
        <w:right w:val="single" w:color="auto" w:sz="4" w:space="0"/>
      </w:pBdr>
      <w:spacing w:before="100" w:beforeAutospacing="1" w:after="100" w:afterAutospacing="1"/>
      <w:jc w:val="center"/>
    </w:pPr>
    <w:rPr>
      <w:rFonts w:ascii="宋体" w:hAnsi="宋体"/>
      <w:kern w:val="0"/>
      <w:szCs w:val="21"/>
    </w:rPr>
  </w:style>
  <w:style w:type="paragraph" w:customStyle="1" w:styleId="568">
    <w:name w:val="Char Char Char Char Char2 Char Char Char Char2"/>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69">
    <w:name w:val="gb1"/>
    <w:basedOn w:val="1"/>
    <w:qFormat/>
    <w:uiPriority w:val="0"/>
    <w:pPr>
      <w:widowControl/>
      <w:tabs>
        <w:tab w:val="left" w:pos="227"/>
      </w:tabs>
      <w:overflowPunct w:val="0"/>
      <w:autoSpaceDE w:val="0"/>
      <w:autoSpaceDN w:val="0"/>
      <w:adjustRightInd w:val="0"/>
      <w:spacing w:before="120" w:after="120"/>
      <w:textAlignment w:val="baseline"/>
    </w:pPr>
    <w:rPr>
      <w:rFonts w:ascii="Arial" w:hAnsi="Arial" w:eastAsia="仿宋体"/>
      <w:kern w:val="0"/>
      <w:szCs w:val="20"/>
    </w:rPr>
  </w:style>
  <w:style w:type="paragraph" w:styleId="570">
    <w:name w:val="List Paragraph"/>
    <w:basedOn w:val="1"/>
    <w:unhideWhenUsed/>
    <w:qFormat/>
    <w:uiPriority w:val="99"/>
    <w:pPr>
      <w:ind w:firstLine="420" w:firstLineChars="200"/>
    </w:pPr>
  </w:style>
  <w:style w:type="paragraph" w:customStyle="1" w:styleId="571">
    <w:name w:val="Char Char Char Char Char2 Char Char Char Char3"/>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72">
    <w:name w:val="Char Char Char Char Char2 Char Char Char Char4"/>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73">
    <w:name w:val="Char Char Char Char Char2 Char Char Char Char5"/>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74">
    <w:name w:val="Char Char Char Char Char2 Char Char Char Char6"/>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75">
    <w:name w:val="Char Char Char Char Char2 Char Char Char Char7"/>
    <w:basedOn w:val="1"/>
    <w:semiHidden/>
    <w:qFormat/>
    <w:uiPriority w:val="0"/>
    <w:pPr>
      <w:adjustRightInd w:val="0"/>
      <w:snapToGrid w:val="0"/>
      <w:spacing w:line="360" w:lineRule="auto"/>
      <w:ind w:firstLine="200" w:firstLineChars="200"/>
    </w:pPr>
    <w:rPr>
      <w:rFonts w:ascii="宋体" w:hAnsi="宋体" w:cs="宋体"/>
      <w:sz w:val="24"/>
      <w:szCs w:val="26"/>
    </w:rPr>
  </w:style>
  <w:style w:type="paragraph" w:customStyle="1" w:styleId="576">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1" Type="http://schemas.openxmlformats.org/officeDocument/2006/relationships/fontTable" Target="fontTable.xml"/><Relationship Id="rId50" Type="http://schemas.openxmlformats.org/officeDocument/2006/relationships/customXml" Target="../customXml/item2.xml"/><Relationship Id="rId5" Type="http://schemas.openxmlformats.org/officeDocument/2006/relationships/header" Target="header2.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22.emf"/><Relationship Id="rId46" Type="http://schemas.openxmlformats.org/officeDocument/2006/relationships/oleObject" Target="embeddings/oleObject16.bin"/><Relationship Id="rId45" Type="http://schemas.openxmlformats.org/officeDocument/2006/relationships/image" Target="media/image21.emf"/><Relationship Id="rId44" Type="http://schemas.openxmlformats.org/officeDocument/2006/relationships/image" Target="media/image20.wmf"/><Relationship Id="rId43" Type="http://schemas.openxmlformats.org/officeDocument/2006/relationships/oleObject" Target="embeddings/oleObject15.bin"/><Relationship Id="rId42" Type="http://schemas.openxmlformats.org/officeDocument/2006/relationships/oleObject" Target="embeddings/oleObject14.bin"/><Relationship Id="rId41" Type="http://schemas.openxmlformats.org/officeDocument/2006/relationships/image" Target="media/image19.wmf"/><Relationship Id="rId40" Type="http://schemas.openxmlformats.org/officeDocument/2006/relationships/oleObject" Target="embeddings/oleObject13.bin"/><Relationship Id="rId4" Type="http://schemas.openxmlformats.org/officeDocument/2006/relationships/footer" Target="footer1.xml"/><Relationship Id="rId39" Type="http://schemas.openxmlformats.org/officeDocument/2006/relationships/image" Target="media/image18.wmf"/><Relationship Id="rId38" Type="http://schemas.openxmlformats.org/officeDocument/2006/relationships/oleObject" Target="embeddings/oleObject12.bin"/><Relationship Id="rId37" Type="http://schemas.openxmlformats.org/officeDocument/2006/relationships/image" Target="media/image17.wmf"/><Relationship Id="rId36" Type="http://schemas.openxmlformats.org/officeDocument/2006/relationships/oleObject" Target="embeddings/oleObject11.bin"/><Relationship Id="rId35" Type="http://schemas.openxmlformats.org/officeDocument/2006/relationships/image" Target="media/image16.wmf"/><Relationship Id="rId34" Type="http://schemas.openxmlformats.org/officeDocument/2006/relationships/oleObject" Target="embeddings/oleObject10.bin"/><Relationship Id="rId33" Type="http://schemas.openxmlformats.org/officeDocument/2006/relationships/image" Target="media/image15.wmf"/><Relationship Id="rId32" Type="http://schemas.openxmlformats.org/officeDocument/2006/relationships/oleObject" Target="embeddings/oleObject9.bin"/><Relationship Id="rId31" Type="http://schemas.openxmlformats.org/officeDocument/2006/relationships/image" Target="media/image14.wmf"/><Relationship Id="rId30" Type="http://schemas.openxmlformats.org/officeDocument/2006/relationships/oleObject" Target="embeddings/oleObject8.bin"/><Relationship Id="rId3" Type="http://schemas.openxmlformats.org/officeDocument/2006/relationships/header" Target="header1.xml"/><Relationship Id="rId29" Type="http://schemas.openxmlformats.org/officeDocument/2006/relationships/image" Target="media/image13.wmf"/><Relationship Id="rId28" Type="http://schemas.openxmlformats.org/officeDocument/2006/relationships/oleObject" Target="embeddings/oleObject7.bin"/><Relationship Id="rId27" Type="http://schemas.openxmlformats.org/officeDocument/2006/relationships/image" Target="media/image12.wmf"/><Relationship Id="rId26" Type="http://schemas.openxmlformats.org/officeDocument/2006/relationships/oleObject" Target="embeddings/oleObject6.bin"/><Relationship Id="rId25" Type="http://schemas.openxmlformats.org/officeDocument/2006/relationships/image" Target="media/image11.wmf"/><Relationship Id="rId24" Type="http://schemas.openxmlformats.org/officeDocument/2006/relationships/oleObject" Target="embeddings/oleObject5.bin"/><Relationship Id="rId23" Type="http://schemas.openxmlformats.org/officeDocument/2006/relationships/image" Target="media/image10.wmf"/><Relationship Id="rId22" Type="http://schemas.openxmlformats.org/officeDocument/2006/relationships/oleObject" Target="embeddings/oleObject4.bin"/><Relationship Id="rId21" Type="http://schemas.openxmlformats.org/officeDocument/2006/relationships/image" Target="media/image9.e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2.bin"/><Relationship Id="rId17" Type="http://schemas.openxmlformats.org/officeDocument/2006/relationships/image" Target="media/image7.jpeg"/><Relationship Id="rId16" Type="http://schemas.openxmlformats.org/officeDocument/2006/relationships/image" Target="media/image6.emf"/><Relationship Id="rId15" Type="http://schemas.openxmlformats.org/officeDocument/2006/relationships/oleObject" Target="embeddings/oleObject1.bin"/><Relationship Id="rId14" Type="http://schemas.openxmlformats.org/officeDocument/2006/relationships/image" Target="media/image5.jpe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0665E2-5A6E-48C0-AE59-961D7F97182D}">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Pages>
  <Words>9251</Words>
  <Characters>52737</Characters>
  <Lines>439</Lines>
  <Paragraphs>123</Paragraphs>
  <TotalTime>4</TotalTime>
  <ScaleCrop>false</ScaleCrop>
  <LinksUpToDate>false</LinksUpToDate>
  <CharactersWithSpaces>61865</CharactersWithSpaces>
  <Application>WPS Office_11.1.0.10700_F1E327BC-269C-435d-A152-05C5408002CA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2018-08-10T03:45:00Z</dcterms:created>
  <dc:creator>微软中国</dc:creator>
  <cp:lastModifiedBy>18385</cp:lastModifiedBy>
  <cp:lastPrinted>2021-07-07T06:29:00Z</cp:lastPrinted>
  <dcterms:modified xsi:type="dcterms:W3CDTF">2021-08-23T01:46:25Z</dcterms:modified>
  <dc:title>西安市热力总公司太华供热公司                                        突发环境事件风险评估报告</dc:title>
  <cp:revision>145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2052-11.1.0.10700</vt:lpwstr>
  </property>
  <property fmtid="{D5CDD505-2E9C-101B-9397-08002B2CF9AE}" pid="3" name="_DocHome">
    <vt:r8>1.18968291507494e-301</vt:r8>
  </property>
  <property fmtid="{D5CDD505-2E9C-101B-9397-08002B2CF9AE}" pid="4" name="ICV">
    <vt:lpwstr>00AC1D2DC72F48FAABB3695471F3992E</vt:lpwstr>
  </property>
</Properties>
</file>