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部分项目资助参照标准及申请书所需资料</w:t>
      </w:r>
    </w:p>
    <w:p>
      <w:pPr>
        <w:spacing w:line="10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7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22"/>
        <w:gridCol w:w="1245"/>
        <w:gridCol w:w="391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项目类型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资助参考标准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项目申请书所需材料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养老服务项目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养老服务项目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新区级综合示范养老院建设项目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是突出公益性，主要资助承担辖区基础性、普惠性、兜底性服务的养老项目；二是限额资助。结合新区本级福彩公益金筹集及结余情况，按照不超过实际投资额的10%进行资助；三是规划、土地等手续齐全，已进入建设阶段的，予以资助；四是按进度分期资助。分两期资助，完成前期规划、土地手续办理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进入施工阶段的，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助最高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限额的50%；建成后达到运营条件的，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助剩余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50%。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镇街综合养老服务中心建设项目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一是已建成达到运营条件的，予以资助，正在建设的或未建设的，不予资助。二是不重复资助。与养老机构合作共建的不予资助。新区本级福利彩票公益金未资助过的，予以资助。三是根据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《西安市推进养老服务高质量发展支持政策项目申报指南》（市民发〔2022〕43号）的标准，按照实际投入资金数量的50%进行资助，最高上限不超过150万元。</w:t>
            </w:r>
          </w:p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、取得相应等级的证明材料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社区养老服务站建设项目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新建项目对建筑面积达到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300㎡及以上，经验收评定为相应等级服务站的，按照其实际投入资金量进行补助，最高不超过60万元；提升改造项目对建筑面积达200㎡及以上，经验收评定为相应等级服务站的，按照其实际投入资金数量进行补助，最高上限30万元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、取得相应等级的证明材料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老年人助餐服务项目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依托餐饮企业社区门店设置老年助餐服务专区（窗口），为老年人提供制餐（配餐）、就餐、送餐服务的助餐服务点给予一次性建设补助；依托物业企业、高校、企事业单位等现有食堂设施，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为周边老年人提供制餐（配餐）、就餐、送餐服务的助餐服务点给予一次性建设补助；由政府出资或社会力量出资，利用社区（单位）闲置房屋等资源新建厨房，为周边老年人提供制餐（配餐）、就餐、送餐服务的助餐服务点给予一次性建设补助 ；依托养老服务机构设置助餐服务点的不享受建设补助。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（1）依法取得餐饮经营许可，其中参与老年助餐服务的中央厨房应取得相应资质；取得区县（开发区）民政部门出具的备案证明；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）符合国家消防安全、食品安全等相关要求；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）符合老年助餐机构验收标准，设有满足老年人需求的 无障碍设施并进行适老化改造，配备适合老年人使用的桌椅、用具等设施设备；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）近三年内没有出现过食品安全等事故且未被列入严重违法失信名单。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养老机构服务设施建设及维护改造项目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项目内容主要为涉及养老机构服务设施安全工作的消防设施改造、用电设施设备改造、食品安全设施设备改造、适老化设施设备改造等内容的。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同一养老机构同一项目仅补助一次。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三是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近期未纳入拆迁的养老机构。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四是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民办项目已完工决算，往年新区本级福彩公益金未补助的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补助不超过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50万元。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批准文件、项目实施方案、有关部门的批复文件、绩效目标、决算报告等。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农村幸福院建设补助项目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一是各农村幸福院名称统一规范，并统一制作标准牌匾悬挂在大门口醒目位置。二是按照“两室一厅一场”（即休息室、娱乐室、老年餐厅和室外活动广场）的标准建设。建筑面积要符合相关规定。三是完善规则制度、健全各项资料、充分发挥老年协会作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批准文件、项目实施方案、有关部门的批复文件、绩效目标、决算报告等。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儿童福利项目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城乡社区儿童保护之家项目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是根据儿童福利项目验收标准，达到运营条件的，予以资助，正在建设的或未建设的，不予资助。二是不重复资助。与社工站等共建的，享受其他民政项目建设补贴的，不予资助。新区本级福利彩票公益金已资助过的，不予以资助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2023年能启动建设，且往年各级福彩公益金未补助项目；需提供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项目的现状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（包含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项目内容及规模、经费预算、资金投入概算、其他资金来源情况、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</w:rPr>
              <w:t>申请资助资金数额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社区服务体系建设项目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城镇社区服务体系建设项目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参照省级福彩公益金补助标准，结合项目建设实际，给予补助。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批准文件、项目实施方案、有关部门的批复文件、绩效目标、决算报告等。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农村社区服务体系建设项目</w:t>
            </w:r>
          </w:p>
        </w:tc>
        <w:tc>
          <w:tcPr>
            <w:tcW w:w="39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社会工作服务体系建设补目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新区级、镇街级和社区级社会工作服务中心（站、室）建设项目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根据实际进展进行资助。对已建成达到运营条件的，予以资助，正在建设的或未建设的，不予资助。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根据建设运营情况进行资助，场所、制度、人员、服务需达到《西咸新区社会工作服务站标准化建设和管理指南（试行）》相关要求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项目计划书、可行性报告、立项报告或主管部门批准文件、项目实施方案、有关部门的批复文件、绩效目标、决算报告等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4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社会组织发展项目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社会组织孵化基地建设项目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39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结合项目建设实际，给予补助。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项目计划书、可行性报告、立项报告或主管部门批准文件、项目实施方案、有关部门的批复文件、绩效目标、决算报告等。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4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社会组织公益创投项目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一是坚持公益性原则。以社会效益为目标，体现非营利性的，予以资助。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二是适当资助。根据公益创投类项目投入情况，针对活动材料费用、人力成本等进行资助。三是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根据项目实际开展情况资助，对项目已实际开展的，予以资助，未开展的，不予资助。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项目已经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有关单位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批准，有事权或政府购买服务协议，以及项目202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年已经开展且有相关企事业单位证明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，且上一年度该社会组织年检合格。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殡葬服务体系建设项目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502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城市公益性公墓建设项目</w:t>
            </w:r>
          </w:p>
        </w:tc>
        <w:tc>
          <w:tcPr>
            <w:tcW w:w="3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万元/个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。</w:t>
            </w:r>
          </w:p>
          <w:p>
            <w:pPr>
              <w:tabs>
                <w:tab w:val="left" w:pos="502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项目计划书、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批准文件、项目实施方案、有关部门的批复文件、绩效目标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决算报告等。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zBmZTkxOWE5ZDllZTBmZGY4MjU0YzUxZWI5ZGMifQ=="/>
  </w:docVars>
  <w:rsids>
    <w:rsidRoot w:val="3A750B7C"/>
    <w:rsid w:val="3A75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2023-03-10T01:48:00Z</dcterms:created>
  <dc:creator>Administrator</dc:creator>
  <cp:lastModifiedBy>Administrator</cp:lastModifiedBy>
  <dcterms:modified xsi:type="dcterms:W3CDTF">2023-03-10T01:49:29Z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D15405246429404D89F8562B2CE06FC8</vt:lpwstr>
  </property>
</Properties>
</file>