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9D" w:rsidRDefault="0097639D" w:rsidP="00F5569D">
      <w:pPr>
        <w:spacing w:line="540" w:lineRule="exact"/>
        <w:jc w:val="center"/>
        <w:rPr>
          <w:rFonts w:ascii="方正小标宋简体" w:eastAsia="方正小标宋简体" w:hAnsi="黑体" w:cs="黑体"/>
          <w:bCs/>
          <w:sz w:val="44"/>
          <w:szCs w:val="44"/>
        </w:rPr>
      </w:pPr>
      <w:r w:rsidRPr="001C3162">
        <w:rPr>
          <w:rFonts w:ascii="方正小标宋简体" w:eastAsia="方正小标宋简体" w:hAnsi="黑体" w:cs="黑体" w:hint="eastAsia"/>
          <w:bCs/>
          <w:sz w:val="44"/>
          <w:szCs w:val="44"/>
        </w:rPr>
        <w:t>拟研究</w:t>
      </w:r>
      <w:r>
        <w:rPr>
          <w:rFonts w:ascii="方正小标宋简体" w:eastAsia="方正小标宋简体" w:hAnsi="黑体" w:cs="黑体" w:hint="eastAsia"/>
          <w:bCs/>
          <w:sz w:val="44"/>
          <w:szCs w:val="44"/>
        </w:rPr>
        <w:t>课题目录</w:t>
      </w:r>
    </w:p>
    <w:tbl>
      <w:tblPr>
        <w:tblpPr w:leftFromText="180" w:rightFromText="180" w:horzAnchor="margin" w:tblpY="795"/>
        <w:tblW w:w="1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5245"/>
        <w:gridCol w:w="5682"/>
      </w:tblGrid>
      <w:tr w:rsidR="0097639D" w:rsidRPr="00327F03" w:rsidTr="00A41542">
        <w:trPr>
          <w:trHeight w:val="189"/>
        </w:trPr>
        <w:tc>
          <w:tcPr>
            <w:tcW w:w="675" w:type="dxa"/>
            <w:shd w:val="clear" w:color="auto" w:fill="auto"/>
            <w:vAlign w:val="center"/>
            <w:hideMark/>
          </w:tcPr>
          <w:p w:rsidR="0097639D" w:rsidRPr="00327F03" w:rsidRDefault="0097639D" w:rsidP="00A41542">
            <w:pPr>
              <w:jc w:val="center"/>
              <w:rPr>
                <w:rFonts w:ascii="仿宋_GB2312" w:eastAsia="仿宋_GB2312"/>
                <w:b/>
                <w:kern w:val="0"/>
                <w:szCs w:val="21"/>
              </w:rPr>
            </w:pPr>
            <w:r w:rsidRPr="00327F03">
              <w:rPr>
                <w:rFonts w:ascii="仿宋_GB2312" w:eastAsia="仿宋_GB2312" w:hint="eastAsia"/>
                <w:b/>
                <w:kern w:val="0"/>
                <w:szCs w:val="21"/>
              </w:rPr>
              <w:t>序号</w:t>
            </w:r>
          </w:p>
        </w:tc>
        <w:tc>
          <w:tcPr>
            <w:tcW w:w="2410" w:type="dxa"/>
            <w:shd w:val="clear" w:color="auto" w:fill="auto"/>
            <w:vAlign w:val="center"/>
            <w:hideMark/>
          </w:tcPr>
          <w:p w:rsidR="0097639D" w:rsidRPr="00327F03" w:rsidRDefault="0097639D" w:rsidP="00A41542">
            <w:pPr>
              <w:jc w:val="center"/>
              <w:rPr>
                <w:rFonts w:ascii="仿宋_GB2312" w:eastAsia="仿宋_GB2312"/>
                <w:b/>
                <w:kern w:val="0"/>
                <w:szCs w:val="21"/>
              </w:rPr>
            </w:pPr>
            <w:r w:rsidRPr="00327F03">
              <w:rPr>
                <w:rFonts w:ascii="仿宋_GB2312" w:eastAsia="仿宋_GB2312" w:hint="eastAsia"/>
                <w:b/>
                <w:kern w:val="0"/>
                <w:szCs w:val="21"/>
              </w:rPr>
              <w:t>课题名称</w:t>
            </w:r>
          </w:p>
        </w:tc>
        <w:tc>
          <w:tcPr>
            <w:tcW w:w="5245" w:type="dxa"/>
            <w:shd w:val="clear" w:color="auto" w:fill="auto"/>
            <w:vAlign w:val="center"/>
            <w:hideMark/>
          </w:tcPr>
          <w:p w:rsidR="0097639D" w:rsidRPr="00327F03" w:rsidRDefault="0097639D" w:rsidP="00A41542">
            <w:pPr>
              <w:jc w:val="center"/>
              <w:rPr>
                <w:rFonts w:ascii="仿宋_GB2312" w:eastAsia="仿宋_GB2312"/>
                <w:b/>
                <w:kern w:val="0"/>
                <w:szCs w:val="21"/>
              </w:rPr>
            </w:pPr>
            <w:r w:rsidRPr="00327F03">
              <w:rPr>
                <w:rFonts w:ascii="仿宋_GB2312" w:eastAsia="仿宋_GB2312" w:hint="eastAsia"/>
                <w:b/>
                <w:kern w:val="0"/>
                <w:szCs w:val="21"/>
              </w:rPr>
              <w:t>课题背景</w:t>
            </w:r>
          </w:p>
        </w:tc>
        <w:tc>
          <w:tcPr>
            <w:tcW w:w="5682" w:type="dxa"/>
            <w:shd w:val="clear" w:color="auto" w:fill="auto"/>
            <w:vAlign w:val="center"/>
            <w:hideMark/>
          </w:tcPr>
          <w:p w:rsidR="0097639D" w:rsidRPr="00327F03" w:rsidRDefault="0097639D" w:rsidP="00A41542">
            <w:pPr>
              <w:jc w:val="center"/>
              <w:rPr>
                <w:rFonts w:ascii="仿宋_GB2312" w:eastAsia="仿宋_GB2312"/>
                <w:b/>
                <w:kern w:val="0"/>
                <w:szCs w:val="21"/>
              </w:rPr>
            </w:pPr>
            <w:r w:rsidRPr="00327F03">
              <w:rPr>
                <w:rFonts w:ascii="仿宋_GB2312" w:eastAsia="仿宋_GB2312" w:hint="eastAsia"/>
                <w:b/>
                <w:kern w:val="0"/>
                <w:szCs w:val="21"/>
              </w:rPr>
              <w:t>课题内容</w:t>
            </w:r>
          </w:p>
        </w:tc>
      </w:tr>
      <w:tr w:rsidR="0097639D" w:rsidRPr="00327F03" w:rsidTr="00A41542">
        <w:trPr>
          <w:trHeight w:val="3359"/>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t>1</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疫情危机与航空物流产业应对法律问题研究</w:t>
            </w:r>
            <w:r>
              <w:rPr>
                <w:rFonts w:ascii="仿宋_GB2312" w:eastAsia="仿宋_GB2312" w:hint="eastAsia"/>
                <w:kern w:val="0"/>
                <w:szCs w:val="21"/>
              </w:rPr>
              <w:t>（经费4万元）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疫情对全球航空物流产业带来前所未有的冲击，企业在艰难运营中面临一系列国际法与国内法层面的新挑战。如何依法妥善处理相关纠纷，成为空管部门、航空物流企业和航空法学界的共同关注问题。本课题以疫情危机与航空物流产业应对法律问题为视角和主要调研对象，探讨疫情下空港航空物流业所面临的法律问题。</w:t>
            </w:r>
          </w:p>
        </w:tc>
        <w:tc>
          <w:tcPr>
            <w:tcW w:w="5682" w:type="dxa"/>
            <w:shd w:val="clear" w:color="auto" w:fill="auto"/>
            <w:vAlign w:val="center"/>
            <w:hideMark/>
          </w:tcPr>
          <w:p w:rsidR="0097639D" w:rsidRDefault="0097639D" w:rsidP="00A41542">
            <w:pPr>
              <w:rPr>
                <w:rFonts w:ascii="仿宋_GB2312" w:eastAsia="仿宋_GB2312"/>
                <w:kern w:val="0"/>
                <w:szCs w:val="21"/>
              </w:rPr>
            </w:pPr>
            <w:r w:rsidRPr="00327F03">
              <w:rPr>
                <w:rFonts w:ascii="仿宋_GB2312" w:eastAsia="仿宋_GB2312" w:hint="eastAsia"/>
                <w:kern w:val="0"/>
                <w:szCs w:val="21"/>
              </w:rPr>
              <w:t>研究重点：</w:t>
            </w:r>
            <w:r>
              <w:rPr>
                <w:rFonts w:ascii="仿宋_GB2312" w:eastAsia="仿宋_GB2312" w:hint="eastAsia"/>
                <w:kern w:val="0"/>
                <w:szCs w:val="21"/>
              </w:rPr>
              <w:t>（1）</w:t>
            </w:r>
            <w:r w:rsidRPr="00327F03">
              <w:rPr>
                <w:rFonts w:ascii="仿宋_GB2312" w:eastAsia="仿宋_GB2312" w:hint="eastAsia"/>
                <w:kern w:val="0"/>
                <w:szCs w:val="21"/>
              </w:rPr>
              <w:t>疫情危机下空港航空物流产业的困境与机遇；</w:t>
            </w:r>
          </w:p>
          <w:p w:rsidR="0097639D" w:rsidRDefault="0097639D" w:rsidP="00A41542">
            <w:pPr>
              <w:rPr>
                <w:rFonts w:ascii="仿宋_GB2312" w:eastAsia="仿宋_GB2312"/>
                <w:kern w:val="0"/>
                <w:szCs w:val="21"/>
              </w:rPr>
            </w:pPr>
            <w:r>
              <w:rPr>
                <w:rFonts w:ascii="仿宋_GB2312" w:eastAsia="仿宋_GB2312" w:hint="eastAsia"/>
                <w:kern w:val="0"/>
                <w:szCs w:val="21"/>
              </w:rPr>
              <w:t>（2）</w:t>
            </w:r>
            <w:r w:rsidRPr="00327F03">
              <w:rPr>
                <w:rFonts w:ascii="仿宋_GB2312" w:eastAsia="仿宋_GB2312" w:hint="eastAsia"/>
                <w:kern w:val="0"/>
                <w:szCs w:val="21"/>
              </w:rPr>
              <w:t>疫情危机下空港航空物流产业发展面临的国际法律问题，包括国际定期航班班次调整法律问题、不定期飞行法律问题、航空企业跨境重组法律问题及国际物流合作法律问题；</w:t>
            </w:r>
          </w:p>
          <w:p w:rsidR="0097639D" w:rsidRPr="00327F03" w:rsidRDefault="0097639D" w:rsidP="00A41542">
            <w:pPr>
              <w:rPr>
                <w:rFonts w:ascii="仿宋_GB2312" w:eastAsia="仿宋_GB2312"/>
                <w:kern w:val="0"/>
                <w:szCs w:val="21"/>
              </w:rPr>
            </w:pPr>
            <w:r>
              <w:rPr>
                <w:rFonts w:ascii="仿宋_GB2312" w:eastAsia="仿宋_GB2312" w:hint="eastAsia"/>
                <w:kern w:val="0"/>
                <w:szCs w:val="21"/>
              </w:rPr>
              <w:t>（3）</w:t>
            </w:r>
            <w:r w:rsidRPr="00327F03">
              <w:rPr>
                <w:rFonts w:ascii="仿宋_GB2312" w:eastAsia="仿宋_GB2312" w:hint="eastAsia"/>
                <w:kern w:val="0"/>
                <w:szCs w:val="21"/>
              </w:rPr>
              <w:t>疫情危机下空港航空物流产业发展面临的国际法律</w:t>
            </w:r>
            <w:r w:rsidRPr="006F5032">
              <w:rPr>
                <w:rFonts w:ascii="仿宋_GB2312" w:eastAsia="仿宋_GB2312" w:hint="eastAsia"/>
                <w:kern w:val="0"/>
                <w:szCs w:val="21"/>
              </w:rPr>
              <w:t>问题</w:t>
            </w:r>
            <w:r w:rsidRPr="00327F03">
              <w:rPr>
                <w:rFonts w:ascii="仿宋_GB2312" w:eastAsia="仿宋_GB2312" w:hint="eastAsia"/>
                <w:kern w:val="0"/>
                <w:szCs w:val="21"/>
              </w:rPr>
              <w:t>，包括劳动合同法律问题、航空运输补贴法律问题、航空物流企业破产重组法律问题等。</w:t>
            </w:r>
          </w:p>
        </w:tc>
      </w:tr>
      <w:tr w:rsidR="0097639D" w:rsidRPr="00327F03" w:rsidTr="00A41542">
        <w:trPr>
          <w:trHeight w:val="3676"/>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t>2</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中国（陕西）自由贸易试验区空港新城功能区临空金融功能区特色业态布局及差异化发展对策与实施路径研究</w:t>
            </w:r>
            <w:r>
              <w:rPr>
                <w:rFonts w:ascii="仿宋_GB2312" w:eastAsia="仿宋_GB2312" w:hint="eastAsia"/>
                <w:kern w:val="0"/>
                <w:szCs w:val="21"/>
              </w:rPr>
              <w:t>（经费4万元）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结合空港自贸功能区临空特色鲜明的新兴金融业态，按照切实可行的原则，提出业态招引和业务创新实施路径及对策建议，为加快临空金融功能区建设、构建完善的金融体系提供理论支撑。</w:t>
            </w:r>
          </w:p>
        </w:tc>
        <w:tc>
          <w:tcPr>
            <w:tcW w:w="5682"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研究重点：针对《西安建设“一带一路”综合试验区实施方案》提出的设立临空金融功能区要求，拟在加快航空产业基金、飞机及航材租赁、航空旅游资产交易平台搭建、供应链金融开展、金融保税交割等方面形成与其他金融区差异化、特色化的业态布局，构建和完善临空金融体系。</w:t>
            </w:r>
          </w:p>
        </w:tc>
      </w:tr>
      <w:tr w:rsidR="0097639D" w:rsidRPr="00327F03" w:rsidTr="00A41542">
        <w:trPr>
          <w:trHeight w:val="4104"/>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lastRenderedPageBreak/>
              <w:t>3</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“数字经济”视阈下的陕西自贸试验区西咸新区对外文化贸易创新发展路径研究</w:t>
            </w:r>
            <w:r>
              <w:rPr>
                <w:rFonts w:ascii="仿宋_GB2312" w:eastAsia="仿宋_GB2312" w:hint="eastAsia"/>
                <w:kern w:val="0"/>
                <w:szCs w:val="21"/>
              </w:rPr>
              <w:t>（经费4万元）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当前我国对外文化贸易规模不断扩大、总额持续增长，但核心文化产品和服务贸易逆差仍然存在。在2020年政府工作报告“推进更高水平对外开放”要求的推动下，抓住“数字经济”、“新基建”布局契机、文化产业数字化转型机遇，打造陕西自贸试验区西咸新区对外文化贸易核心竞争力，深化对外文化贸易与数字文化产业融合创新发展模式成为进一步战略性要求。</w:t>
            </w:r>
          </w:p>
        </w:tc>
        <w:tc>
          <w:tcPr>
            <w:tcW w:w="5682"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研究重点：（1）陕西省自贸试验区对外文化贸易及数字文化产业发展现状调研与布局特点，归纳存在问题及面临挑战；（2）以供给侧及需求侧两端为着力点，供给侧探究陕西优秀传统文化与数字技术结合路径经验。需求侧计量海外受众文化贸易产品消费行为数据，归纳需求侧认知行为特征；（3）借鉴优秀数字文化产业发展经验，结合海外受众文化认知特点，提出陕西省自贸试验区对外文化贸易与数字文化产业创新融合发展路径具体举措。</w:t>
            </w:r>
          </w:p>
        </w:tc>
      </w:tr>
      <w:tr w:rsidR="0097639D" w:rsidRPr="00327F03" w:rsidTr="00A41542">
        <w:trPr>
          <w:trHeight w:val="4106"/>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t>4</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“一带一路”国际化征信服务体系建设思路与对策研究</w:t>
            </w:r>
            <w:r>
              <w:rPr>
                <w:rFonts w:ascii="仿宋_GB2312" w:eastAsia="仿宋_GB2312" w:hint="eastAsia"/>
                <w:kern w:val="0"/>
                <w:szCs w:val="21"/>
              </w:rPr>
              <w:t>（经费4.9万元）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今年的全国两会上，政府工作报告提出要高质量共建 “一带一路”。“一带一路”倡议提出以来，越来越多的企业走出去，积极参与国际产业分工，深化拓展国际产能合作。然而企业在“走出去”过程中会面临着与各国不同信用体系接轨难、无法真正了解对方企业真实情况等信用挑战。陕西作为“一带一路”的重要节点，在当前要深度融入共建“一带一路”大格局的背景下，迫切需要探索建立面向“一带一路”的国际化征信服务体系，识别“一带一路”沿线国家、地区或投资对象风险特征，服务陕西乃至国内企业“走出去”。</w:t>
            </w:r>
          </w:p>
        </w:tc>
        <w:tc>
          <w:tcPr>
            <w:tcW w:w="5682"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本课题研究重点但不限于以下方面：</w:t>
            </w:r>
            <w:r w:rsidRPr="00327F03">
              <w:rPr>
                <w:rFonts w:ascii="仿宋_GB2312" w:eastAsia="仿宋_GB2312" w:hint="eastAsia"/>
                <w:kern w:val="0"/>
                <w:szCs w:val="21"/>
              </w:rPr>
              <w:br/>
              <w:t>（1）建设“一带一路”国际化征信服务体系的必要性；</w:t>
            </w:r>
            <w:r w:rsidRPr="00327F03">
              <w:rPr>
                <w:rFonts w:ascii="仿宋_GB2312" w:eastAsia="仿宋_GB2312" w:hint="eastAsia"/>
                <w:kern w:val="0"/>
                <w:szCs w:val="21"/>
              </w:rPr>
              <w:br/>
              <w:t>（2）当前“一带一路”国际化征信服务体系发展现状与问题；</w:t>
            </w:r>
            <w:r w:rsidRPr="00327F03">
              <w:rPr>
                <w:rFonts w:ascii="仿宋_GB2312" w:eastAsia="仿宋_GB2312" w:hint="eastAsia"/>
                <w:kern w:val="0"/>
                <w:szCs w:val="21"/>
              </w:rPr>
              <w:br/>
              <w:t>（3）国内外建设国际化征信服务体系的主要做法与经验；</w:t>
            </w:r>
            <w:r w:rsidRPr="00327F03">
              <w:rPr>
                <w:rFonts w:ascii="仿宋_GB2312" w:eastAsia="仿宋_GB2312" w:hint="eastAsia"/>
                <w:kern w:val="0"/>
                <w:szCs w:val="21"/>
              </w:rPr>
              <w:br/>
              <w:t>（4）建设“一带一路”国际化征信服务体系的难点与瓶颈；</w:t>
            </w:r>
            <w:r w:rsidRPr="00327F03">
              <w:rPr>
                <w:rFonts w:ascii="仿宋_GB2312" w:eastAsia="仿宋_GB2312" w:hint="eastAsia"/>
                <w:kern w:val="0"/>
                <w:szCs w:val="21"/>
              </w:rPr>
              <w:br/>
              <w:t>（5）借鉴先进经验，研究提出建设“一带一路”国际化征信服务体系的总体思路和目标；</w:t>
            </w:r>
            <w:r w:rsidRPr="00327F03">
              <w:rPr>
                <w:rFonts w:ascii="仿宋_GB2312" w:eastAsia="仿宋_GB2312" w:hint="eastAsia"/>
                <w:kern w:val="0"/>
                <w:szCs w:val="21"/>
              </w:rPr>
              <w:br/>
              <w:t>（6）建设“一带一路”国际化征信服务体系的实施路径、可操作性举措、近期抓手和政策建议。</w:t>
            </w:r>
          </w:p>
        </w:tc>
      </w:tr>
      <w:tr w:rsidR="0097639D" w:rsidRPr="00327F03" w:rsidTr="00A41542">
        <w:trPr>
          <w:trHeight w:val="4388"/>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lastRenderedPageBreak/>
              <w:t>5</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西咸新区平台经济机制创新研究</w:t>
            </w:r>
            <w:r>
              <w:rPr>
                <w:rFonts w:ascii="仿宋_GB2312" w:eastAsia="仿宋_GB2312" w:hint="eastAsia"/>
                <w:kern w:val="0"/>
                <w:szCs w:val="21"/>
              </w:rPr>
              <w:t>（经费4万元）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为促进产业和市场主体快速聚集，推动虚拟经济与实体经济良性互动发展，持续优化新区营商环境，西咸新区管委会于2018年12月成立了云端自贸产业园发展领导小组，并印发了《西咸新区鼓励支持云端（虚拟）自贸产业平台及企业发展暂行办法》和《补充规定》,先后出台了《平台企业认定办法》、《集群注册监管办法》等系列文件，规范了平台招引企业数量、认定标准、政策执行有效期、企业年度纳税认定、奖励标准及兑付流程以及集群注册企业管理等具体事宜。下一步要深化推进平台经济健康发展，探索创新发展新机制。</w:t>
            </w:r>
          </w:p>
        </w:tc>
        <w:tc>
          <w:tcPr>
            <w:tcW w:w="5682" w:type="dxa"/>
            <w:shd w:val="clear" w:color="auto" w:fill="auto"/>
            <w:vAlign w:val="center"/>
            <w:hideMark/>
          </w:tcPr>
          <w:p w:rsidR="0097639D" w:rsidRDefault="0097639D" w:rsidP="00A41542">
            <w:pPr>
              <w:rPr>
                <w:rFonts w:ascii="仿宋_GB2312" w:eastAsia="仿宋_GB2312"/>
                <w:kern w:val="0"/>
                <w:szCs w:val="21"/>
              </w:rPr>
            </w:pPr>
            <w:r w:rsidRPr="00327F03">
              <w:rPr>
                <w:rFonts w:ascii="仿宋_GB2312" w:eastAsia="仿宋_GB2312" w:hint="eastAsia"/>
                <w:kern w:val="0"/>
                <w:szCs w:val="21"/>
              </w:rPr>
              <w:t>本课题研究重点：</w:t>
            </w:r>
          </w:p>
          <w:p w:rsidR="0097639D" w:rsidRDefault="0097639D" w:rsidP="00A41542">
            <w:pPr>
              <w:rPr>
                <w:rFonts w:ascii="仿宋_GB2312" w:eastAsia="仿宋_GB2312"/>
                <w:kern w:val="0"/>
                <w:szCs w:val="21"/>
              </w:rPr>
            </w:pPr>
            <w:r w:rsidRPr="00327F03">
              <w:rPr>
                <w:rFonts w:ascii="仿宋_GB2312" w:eastAsia="仿宋_GB2312" w:hint="eastAsia"/>
                <w:kern w:val="0"/>
                <w:szCs w:val="21"/>
              </w:rPr>
              <w:t>(1)西咸新区平台企业，在业务发展过程中遇到的问题和瓶颈及解决方法；</w:t>
            </w:r>
          </w:p>
          <w:p w:rsidR="0097639D" w:rsidRDefault="0097639D" w:rsidP="00A41542">
            <w:pPr>
              <w:rPr>
                <w:rFonts w:ascii="仿宋_GB2312" w:eastAsia="仿宋_GB2312"/>
                <w:kern w:val="0"/>
                <w:szCs w:val="21"/>
              </w:rPr>
            </w:pPr>
            <w:r w:rsidRPr="00327F03">
              <w:rPr>
                <w:rFonts w:ascii="仿宋_GB2312" w:eastAsia="仿宋_GB2312" w:hint="eastAsia"/>
                <w:kern w:val="0"/>
                <w:szCs w:val="21"/>
              </w:rPr>
              <w:t>（2）全国平台经济发展经验和税收管理政策；</w:t>
            </w:r>
          </w:p>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（3）结合自贸试验区制度创新和功能拓展，借鉴沿海先进地区经验，研究提出打造具有西咸新区特色的平台经济新机制。</w:t>
            </w:r>
          </w:p>
        </w:tc>
      </w:tr>
      <w:tr w:rsidR="0097639D" w:rsidRPr="00327F03" w:rsidTr="00A41542">
        <w:trPr>
          <w:trHeight w:val="3812"/>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t>6</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Pr>
                <w:rFonts w:ascii="仿宋_GB2312" w:eastAsia="仿宋_GB2312" w:hint="eastAsia"/>
                <w:kern w:val="0"/>
                <w:szCs w:val="21"/>
              </w:rPr>
              <w:t>建设具有国际竞争力的自由贸易区（港）税收制度研究（经费4万元）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建设自由贸易试验区是我国改革开放的重大战略安排，税收制度是自贸区制度创新的重要内容。下一步自贸区进入深化改革阶段，通过对现行自贸区税收制度的研究及现有自贸区税收政策对经济发展的促进作用着手进行针对性的意见建议的提出。</w:t>
            </w:r>
          </w:p>
        </w:tc>
        <w:tc>
          <w:tcPr>
            <w:tcW w:w="5682" w:type="dxa"/>
            <w:shd w:val="clear" w:color="auto" w:fill="auto"/>
            <w:vAlign w:val="center"/>
            <w:hideMark/>
          </w:tcPr>
          <w:p w:rsidR="0097639D" w:rsidRDefault="0097639D" w:rsidP="00A41542">
            <w:pPr>
              <w:rPr>
                <w:rFonts w:ascii="仿宋_GB2312" w:eastAsia="仿宋_GB2312"/>
                <w:kern w:val="0"/>
                <w:szCs w:val="21"/>
              </w:rPr>
            </w:pPr>
            <w:r w:rsidRPr="00327F03">
              <w:rPr>
                <w:rFonts w:ascii="仿宋_GB2312" w:eastAsia="仿宋_GB2312" w:hint="eastAsia"/>
                <w:kern w:val="0"/>
                <w:szCs w:val="21"/>
              </w:rPr>
              <w:t>本课题研究重点：</w:t>
            </w:r>
          </w:p>
          <w:p w:rsidR="0097639D" w:rsidRDefault="0097639D" w:rsidP="00A41542">
            <w:pPr>
              <w:rPr>
                <w:rFonts w:ascii="仿宋_GB2312" w:eastAsia="仿宋_GB2312"/>
                <w:kern w:val="0"/>
                <w:szCs w:val="21"/>
              </w:rPr>
            </w:pPr>
            <w:r w:rsidRPr="00327F03">
              <w:rPr>
                <w:rFonts w:ascii="仿宋_GB2312" w:eastAsia="仿宋_GB2312" w:hint="eastAsia"/>
                <w:kern w:val="0"/>
                <w:szCs w:val="21"/>
              </w:rPr>
              <w:t>1.梳理现有自贸区税收制度及具体政策</w:t>
            </w:r>
          </w:p>
          <w:p w:rsidR="0097639D" w:rsidRDefault="0097639D" w:rsidP="00A41542">
            <w:pPr>
              <w:rPr>
                <w:rFonts w:ascii="仿宋_GB2312" w:eastAsia="仿宋_GB2312"/>
                <w:kern w:val="0"/>
                <w:szCs w:val="21"/>
              </w:rPr>
            </w:pPr>
            <w:r w:rsidRPr="00327F03">
              <w:rPr>
                <w:rFonts w:ascii="仿宋_GB2312" w:eastAsia="仿宋_GB2312" w:hint="eastAsia"/>
                <w:kern w:val="0"/>
                <w:szCs w:val="21"/>
              </w:rPr>
              <w:t>2.分析现有政策对陕西自贸区发展的推动作用（1）宏观描述（2）选取西咸新区自贸区内一户享受政策企业开展微观分析。</w:t>
            </w:r>
          </w:p>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3.开展自贸区税收制度的借鉴与展望</w:t>
            </w:r>
          </w:p>
        </w:tc>
      </w:tr>
      <w:tr w:rsidR="0097639D" w:rsidRPr="00327F03" w:rsidTr="00A41542">
        <w:trPr>
          <w:trHeight w:val="7931"/>
        </w:trPr>
        <w:tc>
          <w:tcPr>
            <w:tcW w:w="675" w:type="dxa"/>
            <w:shd w:val="clear" w:color="auto" w:fill="auto"/>
            <w:vAlign w:val="center"/>
            <w:hideMark/>
          </w:tcPr>
          <w:p w:rsidR="0097639D" w:rsidRPr="00327F03" w:rsidRDefault="0097639D" w:rsidP="00A41542">
            <w:pPr>
              <w:jc w:val="center"/>
              <w:rPr>
                <w:rFonts w:ascii="仿宋_GB2312" w:eastAsia="仿宋_GB2312"/>
                <w:kern w:val="0"/>
                <w:szCs w:val="21"/>
              </w:rPr>
            </w:pPr>
            <w:r w:rsidRPr="00327F03">
              <w:rPr>
                <w:rFonts w:ascii="仿宋_GB2312" w:eastAsia="仿宋_GB2312" w:hint="eastAsia"/>
                <w:kern w:val="0"/>
                <w:szCs w:val="21"/>
              </w:rPr>
              <w:lastRenderedPageBreak/>
              <w:t>7</w:t>
            </w:r>
          </w:p>
        </w:tc>
        <w:tc>
          <w:tcPr>
            <w:tcW w:w="2410"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新区“十四五”自贸试验区改革创新助推对外开放发展研究</w:t>
            </w:r>
            <w:r>
              <w:rPr>
                <w:rFonts w:ascii="仿宋_GB2312" w:eastAsia="仿宋_GB2312" w:hint="eastAsia"/>
                <w:kern w:val="0"/>
                <w:szCs w:val="21"/>
              </w:rPr>
              <w:t>（经费4.9万元）</w:t>
            </w:r>
          </w:p>
        </w:tc>
        <w:tc>
          <w:tcPr>
            <w:tcW w:w="5245"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为认真贯彻习近平总书记来陕考察重要讲话精神，全面落实习近平总书记来陕考察“五项要求”，确保西咸新区国民经济与社会发展第十四个五年规划纲要（以下简称新区“十四五”规划）编制工作更好适应新形势、把握新机遇、符合新要求，按照省市“十四五”规划编制工作安排，结合《西咸新区“十四五”规划编制工作实施方案》（陕西咸办发[2019]11号），重点加强对“十四五”时期的前瞻性研究。新区自贸试验区肩负着建设内陆型改革开放新高地的历史使命，也是“三个经济”最佳实践地。对于自贸试验区如何推动区域对外开放的研究将利于提升新区整体外向度。</w:t>
            </w:r>
          </w:p>
        </w:tc>
        <w:tc>
          <w:tcPr>
            <w:tcW w:w="5682" w:type="dxa"/>
            <w:shd w:val="clear" w:color="auto" w:fill="auto"/>
            <w:vAlign w:val="center"/>
            <w:hideMark/>
          </w:tcPr>
          <w:p w:rsidR="0097639D" w:rsidRPr="00327F03" w:rsidRDefault="0097639D" w:rsidP="00A41542">
            <w:pPr>
              <w:rPr>
                <w:rFonts w:ascii="仿宋_GB2312" w:eastAsia="仿宋_GB2312"/>
                <w:kern w:val="0"/>
                <w:szCs w:val="21"/>
              </w:rPr>
            </w:pPr>
            <w:r w:rsidRPr="00327F03">
              <w:rPr>
                <w:rFonts w:ascii="仿宋_GB2312" w:eastAsia="仿宋_GB2312" w:hint="eastAsia"/>
                <w:kern w:val="0"/>
                <w:szCs w:val="21"/>
              </w:rPr>
              <w:t>研究重点：自贸试验区建设现状及新区整体发展状况，尤其是外向型经济、整体外向度；对比其他省份自贸试验区在区域外向型经济发展中的作用；明确自贸区助推区域外向度的路径；针对新区情况提出具体的建议和措施。</w:t>
            </w:r>
          </w:p>
        </w:tc>
      </w:tr>
    </w:tbl>
    <w:p w:rsidR="00E223C4" w:rsidRPr="0097639D" w:rsidRDefault="00E223C4"/>
    <w:sectPr w:rsidR="00E223C4" w:rsidRPr="0097639D" w:rsidSect="00327F0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016" w:rsidRDefault="00BE3016" w:rsidP="00995E86">
      <w:r>
        <w:separator/>
      </w:r>
    </w:p>
  </w:endnote>
  <w:endnote w:type="continuationSeparator" w:id="1">
    <w:p w:rsidR="00BE3016" w:rsidRDefault="00BE3016" w:rsidP="00995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016" w:rsidRDefault="00BE3016" w:rsidP="00995E86">
      <w:r>
        <w:separator/>
      </w:r>
    </w:p>
  </w:footnote>
  <w:footnote w:type="continuationSeparator" w:id="1">
    <w:p w:rsidR="00BE3016" w:rsidRDefault="00BE3016" w:rsidP="00995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39D"/>
    <w:rsid w:val="0065619D"/>
    <w:rsid w:val="00896E52"/>
    <w:rsid w:val="0097639D"/>
    <w:rsid w:val="00990E28"/>
    <w:rsid w:val="00995E86"/>
    <w:rsid w:val="00BE3016"/>
    <w:rsid w:val="00E223C4"/>
    <w:rsid w:val="00E3110E"/>
    <w:rsid w:val="00F55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E86"/>
    <w:rPr>
      <w:sz w:val="18"/>
      <w:szCs w:val="18"/>
    </w:rPr>
  </w:style>
  <w:style w:type="paragraph" w:styleId="a4">
    <w:name w:val="footer"/>
    <w:basedOn w:val="a"/>
    <w:link w:val="Char0"/>
    <w:uiPriority w:val="99"/>
    <w:semiHidden/>
    <w:unhideWhenUsed/>
    <w:rsid w:val="00995E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E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李蓓</dc:creator>
  <cp:lastModifiedBy>李蓓</cp:lastModifiedBy>
  <cp:revision>6</cp:revision>
  <dcterms:created xsi:type="dcterms:W3CDTF">2020-09-18T01:38:00Z</dcterms:created>
  <dcterms:modified xsi:type="dcterms:W3CDTF">2020-09-18T01:59:00Z</dcterms:modified>
</cp:coreProperties>
</file>