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/>
        <w:jc w:val="center"/>
        <w:rPr>
          <w:rFonts w:ascii="楷体" w:hAnsi="楷体" w:eastAsia="楷体" w:cs="Times New Roman"/>
          <w:b/>
          <w:bCs/>
          <w:sz w:val="44"/>
          <w:szCs w:val="44"/>
          <w:lang w:val="zh-CN"/>
        </w:rPr>
      </w:pPr>
      <w:r>
        <w:rPr>
          <w:rFonts w:hint="eastAsia" w:ascii="楷体" w:hAnsi="楷体" w:eastAsia="楷体" w:cs="Times New Roman"/>
          <w:b/>
          <w:bCs/>
          <w:sz w:val="44"/>
          <w:szCs w:val="44"/>
          <w:lang w:val="zh-CN"/>
        </w:rPr>
        <w:t>陕西省西咸新区综合行政执法局</w:t>
      </w:r>
    </w:p>
    <w:p>
      <w:pPr>
        <w:ind w:firstLine="883"/>
        <w:jc w:val="center"/>
        <w:rPr>
          <w:rFonts w:ascii="楷体" w:hAnsi="楷体" w:eastAsia="楷体" w:cs="Times New Roman"/>
          <w:b/>
          <w:bCs/>
          <w:sz w:val="44"/>
          <w:szCs w:val="44"/>
          <w:lang w:val="zh-CN"/>
        </w:rPr>
      </w:pPr>
    </w:p>
    <w:p>
      <w:pPr>
        <w:ind w:firstLine="883"/>
        <w:jc w:val="center"/>
        <w:rPr>
          <w:rFonts w:ascii="楷体" w:hAnsi="楷体" w:eastAsia="楷体" w:cs="Times New Roman"/>
          <w:b/>
          <w:bCs/>
          <w:sz w:val="44"/>
          <w:szCs w:val="44"/>
          <w:lang w:val="zh-CN"/>
        </w:rPr>
      </w:pPr>
    </w:p>
    <w:p>
      <w:pPr>
        <w:ind w:firstLine="1044"/>
        <w:jc w:val="center"/>
        <w:rPr>
          <w:rFonts w:ascii="黑体" w:hAnsi="黑体" w:eastAsia="黑体" w:cs="Times New Roman"/>
          <w:b/>
          <w:bCs/>
          <w:sz w:val="52"/>
          <w:szCs w:val="52"/>
          <w:lang w:val="zh-CN"/>
        </w:rPr>
      </w:pPr>
    </w:p>
    <w:p>
      <w:pPr>
        <w:ind w:firstLine="1044"/>
        <w:jc w:val="center"/>
        <w:rPr>
          <w:rFonts w:ascii="黑体" w:hAnsi="黑体" w:eastAsia="黑体" w:cs="Times New Roman"/>
          <w:b/>
          <w:bCs/>
          <w:sz w:val="52"/>
          <w:szCs w:val="52"/>
          <w:lang w:val="zh-CN"/>
        </w:rPr>
      </w:pPr>
      <w:r>
        <w:rPr>
          <w:rFonts w:hint="eastAsia" w:ascii="黑体" w:hAnsi="黑体" w:eastAsia="黑体" w:cs="Times New Roman"/>
          <w:b/>
          <w:bCs/>
          <w:sz w:val="52"/>
          <w:szCs w:val="52"/>
          <w:lang w:val="zh-CN"/>
        </w:rPr>
        <w:t>行政处罚自由裁量基准</w:t>
      </w:r>
    </w:p>
    <w:p>
      <w:pPr>
        <w:ind w:firstLine="1044"/>
        <w:jc w:val="center"/>
        <w:rPr>
          <w:rFonts w:ascii="华光楷体二_CNKI" w:hAnsi="华光楷体二_CNKI" w:eastAsia="华光楷体二_CNKI" w:cs="Times New Roman"/>
          <w:b/>
          <w:bCs/>
          <w:sz w:val="44"/>
          <w:szCs w:val="44"/>
          <w:lang w:val="zh-CN"/>
        </w:rPr>
      </w:pPr>
    </w:p>
    <w:p>
      <w:pPr>
        <w:ind w:firstLine="1044"/>
        <w:jc w:val="center"/>
        <w:rPr>
          <w:rFonts w:ascii="黑体" w:hAnsi="黑体" w:eastAsia="黑体" w:cs="Times New Roman"/>
          <w:b/>
          <w:bCs/>
          <w:sz w:val="52"/>
          <w:szCs w:val="52"/>
          <w:lang w:val="zh-CN"/>
        </w:rPr>
      </w:pPr>
      <w:r>
        <w:rPr>
          <w:rFonts w:hint="eastAsia" w:ascii="华光楷体二_CNKI" w:hAnsi="华光楷体二_CNKI" w:eastAsia="华光楷体二_CNKI" w:cs="Times New Roman"/>
          <w:b/>
          <w:bCs/>
          <w:sz w:val="44"/>
          <w:szCs w:val="44"/>
          <w:lang w:val="zh-CN"/>
        </w:rPr>
        <w:t>（十一）食药监执法</w:t>
      </w:r>
    </w:p>
    <w:p>
      <w:pPr>
        <w:ind w:firstLine="420"/>
        <w:rPr>
          <w:rFonts w:ascii="Calibri" w:hAnsi="Calibri" w:eastAsia="宋体" w:cs="Times New Roman"/>
        </w:rPr>
      </w:pPr>
    </w:p>
    <w:p>
      <w:pPr>
        <w:ind w:firstLine="420"/>
        <w:rPr>
          <w:rFonts w:ascii="Calibri" w:hAnsi="Calibri" w:eastAsia="宋体" w:cs="Times New Roman"/>
        </w:rPr>
      </w:pPr>
    </w:p>
    <w:p>
      <w:pPr>
        <w:ind w:firstLine="420"/>
        <w:rPr>
          <w:rFonts w:ascii="Calibri" w:hAnsi="Calibri" w:eastAsia="宋体" w:cs="Times New Roman"/>
        </w:rPr>
      </w:pPr>
    </w:p>
    <w:p/>
    <w:p/>
    <w:p/>
    <w:p/>
    <w:p/>
    <w:p/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09"/>
        <w:gridCol w:w="1559"/>
        <w:gridCol w:w="2552"/>
        <w:gridCol w:w="2268"/>
        <w:gridCol w:w="1701"/>
        <w:gridCol w:w="170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权力编码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职权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设定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依据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罚则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裁量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情节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裁量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结果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极值处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</w:rPr>
              <w:t>罚建议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562" w:type="dxa"/>
            <w:vMerge w:val="restart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bookmarkStart w:id="0" w:name="_Hlk38463659"/>
            <w:bookmarkStart w:id="1" w:name="_Hlk38463695"/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vMerge w:val="restart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对非法收购药品的处罚（在户外公共场所）</w:t>
            </w:r>
          </w:p>
        </w:tc>
        <w:tc>
          <w:tcPr>
            <w:tcW w:w="2552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《药品流通监督管理办法》（2007年）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第二十二条：禁止非法收购药品。</w:t>
            </w:r>
          </w:p>
        </w:tc>
        <w:tc>
          <w:tcPr>
            <w:tcW w:w="2268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1、《中华人民共和国药品管理法》（2019年）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一百一十五条：未取得药品生产许可证、药品经营许可证或者医疗机构制剂许可证生产、销售药品的，责令关闭，没收违法生产、销售的药品和违法所得，并处违法生产、销售的药品（包括已售出和未售出的药品，下同）货值金额十五倍以上三十倍以下的罚款；货值金额不足十万元的，按十万元计算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2、《药品流通监督管理办法》（2007年）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第四十三条：违反本办法第二十二条规定非法收购药品的，按照《药品管理法》第七十三条的规定予以处罚。（《药品管理法》已进行修订，原七十三条与现第一百一十五条对应。）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轻微：未取得药品生产许可证、药品经营许可证或者医疗机构制剂许可证生产、销售药品，首次被处罚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责令关闭，没收违法生产、销售的药品和违法所得，并处违法生产、销售的药品（包括已售出和未售出的药品，下同）货值金额十五倍以上二十倍以下的罚款；货值金额不足十万元的，按十万元计算。</w:t>
            </w:r>
          </w:p>
        </w:tc>
        <w:tc>
          <w:tcPr>
            <w:tcW w:w="1559" w:type="dxa"/>
            <w:vMerge w:val="restart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构成犯罪的，依法追究刑事责任。</w:t>
            </w:r>
            <w:bookmarkStart w:id="2" w:name="_GoBack"/>
            <w:bookmarkEnd w:id="2"/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一般：第二次被处罚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责令关闭，没收违法生产、销售的药品和违法所得，并处违法生产、销售的药品（包括已售出和未售出的药品，下同）货值金额二十倍以上二十五倍以下的罚款；货值金额不足十万元的，按十万元计算。</w:t>
            </w: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562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严重：三次以上被处罚</w:t>
            </w:r>
          </w:p>
        </w:tc>
        <w:tc>
          <w:tcPr>
            <w:tcW w:w="1701" w:type="dxa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责令关闭，没收违法生产、销售的药品和违法所得，并处违法生产、销售的药品（包括已售出和未售出的药品，下同）货值金额二十五倍以上三十倍以下的罚款；货值金额不足十万元的，按十万元计算。</w:t>
            </w:r>
          </w:p>
        </w:tc>
        <w:tc>
          <w:tcPr>
            <w:tcW w:w="1559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bookmarkEnd w:id="1"/>
    </w:tbl>
    <w:p>
      <w:pPr>
        <w:rPr>
          <w:rFonts w:hint="eastAsia"/>
          <w:sz w:val="21"/>
          <w:szCs w:val="21"/>
        </w:rPr>
      </w:pPr>
    </w:p>
    <w:p>
      <w:pPr>
        <w:rPr>
          <w:sz w:val="21"/>
          <w:szCs w:val="21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光楷体二_CNKI">
    <w:altName w:val="楷体_GB2312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Content>
      <w:sdt>
        <w:sdtPr>
          <w:id w:val="1728636285"/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A5145"/>
    <w:rsid w:val="146A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2021-08-25T03:57:00Z</dcterms:created>
  <dc:creator>郭菲</dc:creator>
  <cp:lastModifiedBy>郭菲</cp:lastModifiedBy>
  <dcterms:modified xsi:type="dcterms:W3CDTF">2021-08-25T03:58:58Z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