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50" w:lineRule="atLeast"/>
        <w:jc w:val="center"/>
        <w:outlineLvl w:val="0"/>
        <w:rPr>
          <w:rFonts w:hint="eastAsia" w:ascii="方正小标宋简体" w:hAnsi="方正小标宋简体" w:eastAsia="方正小标宋简体" w:cs="方正小标宋简体"/>
          <w:color w:val="333333"/>
          <w:kern w:val="36"/>
          <w:sz w:val="36"/>
          <w:szCs w:val="36"/>
        </w:rPr>
      </w:pPr>
      <w:r>
        <w:rPr>
          <w:rFonts w:hint="eastAsia" w:ascii="方正小标宋简体" w:hAnsi="方正小标宋简体" w:eastAsia="方正小标宋简体" w:cs="方正小标宋简体"/>
          <w:color w:val="333333"/>
          <w:kern w:val="36"/>
          <w:sz w:val="36"/>
          <w:szCs w:val="36"/>
        </w:rPr>
        <w:t>永乐镇人民政府20</w:t>
      </w:r>
      <w:r>
        <w:rPr>
          <w:rFonts w:hint="eastAsia" w:ascii="方正小标宋简体" w:hAnsi="方正小标宋简体" w:eastAsia="方正小标宋简体" w:cs="方正小标宋简体"/>
          <w:color w:val="333333"/>
          <w:kern w:val="36"/>
          <w:sz w:val="36"/>
          <w:szCs w:val="36"/>
          <w:lang w:val="en-US" w:eastAsia="zh-CN"/>
        </w:rPr>
        <w:t>22</w:t>
      </w:r>
      <w:r>
        <w:rPr>
          <w:rFonts w:hint="eastAsia" w:ascii="方正小标宋简体" w:hAnsi="方正小标宋简体" w:eastAsia="方正小标宋简体" w:cs="方正小标宋简体"/>
          <w:color w:val="333333"/>
          <w:kern w:val="36"/>
          <w:sz w:val="36"/>
          <w:szCs w:val="36"/>
        </w:rPr>
        <w:t>年政府信息公开</w:t>
      </w:r>
      <w:r>
        <w:rPr>
          <w:rFonts w:hint="eastAsia" w:ascii="方正小标宋简体" w:hAnsi="方正小标宋简体" w:eastAsia="方正小标宋简体" w:cs="方正小标宋简体"/>
          <w:color w:val="333333"/>
          <w:kern w:val="36"/>
          <w:sz w:val="36"/>
          <w:szCs w:val="36"/>
          <w:lang w:eastAsia="zh-CN"/>
        </w:rPr>
        <w:t>工作</w:t>
      </w:r>
      <w:r>
        <w:rPr>
          <w:rFonts w:hint="eastAsia" w:ascii="方正小标宋简体" w:hAnsi="方正小标宋简体" w:eastAsia="方正小标宋简体" w:cs="方正小标宋简体"/>
          <w:color w:val="333333"/>
          <w:kern w:val="36"/>
          <w:sz w:val="36"/>
          <w:szCs w:val="36"/>
        </w:rPr>
        <w:t>年度报告</w:t>
      </w:r>
    </w:p>
    <w:p>
      <w:pPr>
        <w:widowControl/>
        <w:spacing w:before="150" w:after="150" w:line="480" w:lineRule="atLeas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本年报是根据《中华人民共和国政府信息公开条例》（以下简称《条例》）要求，由永乐镇人民政府编制的20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年度政府信息公开</w:t>
      </w:r>
      <w:r>
        <w:rPr>
          <w:rFonts w:hint="eastAsia" w:ascii="仿宋_GB2312" w:hAnsi="仿宋_GB2312" w:eastAsia="仿宋_GB2312" w:cs="仿宋_GB2312"/>
          <w:color w:val="000000"/>
          <w:kern w:val="0"/>
          <w:sz w:val="32"/>
          <w:szCs w:val="32"/>
          <w:lang w:eastAsia="zh-CN"/>
        </w:rPr>
        <w:t>工作</w:t>
      </w:r>
      <w:r>
        <w:rPr>
          <w:rFonts w:hint="eastAsia" w:ascii="仿宋_GB2312" w:hAnsi="仿宋_GB2312" w:eastAsia="仿宋_GB2312" w:cs="仿宋_GB2312"/>
          <w:color w:val="000000"/>
          <w:kern w:val="0"/>
          <w:sz w:val="32"/>
          <w:szCs w:val="32"/>
        </w:rPr>
        <w:t>年度报告。报告中所列数据的统计期限自20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年1月1日起至20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年12月31日止。如对本报告有疑问或有其</w:t>
      </w:r>
      <w:r>
        <w:rPr>
          <w:rFonts w:hint="eastAsia" w:ascii="仿宋_GB2312" w:hAnsi="仿宋_GB2312" w:eastAsia="仿宋_GB2312" w:cs="仿宋_GB2312"/>
          <w:color w:val="000000"/>
          <w:kern w:val="0"/>
          <w:sz w:val="32"/>
          <w:szCs w:val="32"/>
          <w:lang w:eastAsia="zh-CN"/>
        </w:rPr>
        <w:t>他</w:t>
      </w:r>
      <w:r>
        <w:rPr>
          <w:rFonts w:hint="eastAsia" w:ascii="仿宋_GB2312" w:hAnsi="仿宋_GB2312" w:eastAsia="仿宋_GB2312" w:cs="仿宋_GB2312"/>
          <w:color w:val="000000"/>
          <w:kern w:val="0"/>
          <w:sz w:val="32"/>
          <w:szCs w:val="32"/>
        </w:rPr>
        <w:t>需了解事项，请联系：永乐镇人民政府，联系电话：029-36381327。</w:t>
      </w:r>
      <w:bookmarkStart w:id="0" w:name="_GoBack"/>
      <w:bookmarkEnd w:id="0"/>
    </w:p>
    <w:p>
      <w:pPr>
        <w:widowControl/>
        <w:spacing w:line="480" w:lineRule="atLeast"/>
        <w:ind w:firstLine="42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333333"/>
          <w:kern w:val="0"/>
          <w:sz w:val="32"/>
          <w:szCs w:val="32"/>
        </w:rPr>
        <w:t>一、总体情况</w:t>
      </w:r>
    </w:p>
    <w:p>
      <w:pPr>
        <w:widowControl/>
        <w:spacing w:before="150" w:after="150" w:line="480" w:lineRule="atLeas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我镇一直高度重视政府信息公开工作，加强《条例》的学习宣传和贯彻落实，形成了党委书记负总责，主管党</w:t>
      </w:r>
      <w:r>
        <w:rPr>
          <w:rFonts w:hint="eastAsia" w:ascii="仿宋_GB2312" w:hAnsi="仿宋_GB2312" w:eastAsia="仿宋_GB2312" w:cs="仿宋_GB2312"/>
          <w:color w:val="000000"/>
          <w:kern w:val="0"/>
          <w:sz w:val="32"/>
          <w:szCs w:val="32"/>
          <w:lang w:eastAsia="zh-CN"/>
        </w:rPr>
        <w:t>政、党</w:t>
      </w:r>
      <w:r>
        <w:rPr>
          <w:rFonts w:hint="eastAsia" w:ascii="仿宋_GB2312" w:hAnsi="仿宋_GB2312" w:eastAsia="仿宋_GB2312" w:cs="仿宋_GB2312"/>
          <w:color w:val="000000"/>
          <w:kern w:val="0"/>
          <w:sz w:val="32"/>
          <w:szCs w:val="32"/>
        </w:rPr>
        <w:t>建副书记分管，镇党政办牵头承办具体负责，各有关职能站所办各司其职、密切协作的工作格局。明确由镇党政办公室牵头，镇机关各业务科室、镇属各站所配合，镇党委副书记、各有关分管副职领导和各办站所负责人审核把关，共同做好永乐镇人民政府信息公开工作。同时，确定镇党政办一名工作人员作为</w:t>
      </w:r>
      <w:r>
        <w:rPr>
          <w:rFonts w:hint="eastAsia" w:ascii="仿宋_GB2312" w:hAnsi="仿宋_GB2312" w:eastAsia="仿宋_GB2312" w:cs="仿宋_GB2312"/>
          <w:color w:val="000000"/>
          <w:kern w:val="0"/>
          <w:sz w:val="32"/>
          <w:szCs w:val="32"/>
          <w:lang w:eastAsia="zh-CN"/>
        </w:rPr>
        <w:t>西咸新区开发建设管理委员</w:t>
      </w:r>
      <w:r>
        <w:rPr>
          <w:rFonts w:hint="eastAsia" w:ascii="仿宋_GB2312" w:hAnsi="仿宋_GB2312" w:eastAsia="仿宋_GB2312" w:cs="仿宋_GB2312"/>
          <w:color w:val="000000"/>
          <w:kern w:val="0"/>
          <w:sz w:val="32"/>
          <w:szCs w:val="32"/>
        </w:rPr>
        <w:t>会信息公开联络员。按上级政务公开工作要求，明确责任领导和相关职责，做到责任落实到岗，工作落实到人。</w:t>
      </w:r>
    </w:p>
    <w:p>
      <w:pPr>
        <w:widowControl/>
        <w:spacing w:before="150" w:after="150" w:line="480" w:lineRule="atLeas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我镇设置</w:t>
      </w:r>
      <w:r>
        <w:rPr>
          <w:rFonts w:hint="eastAsia" w:ascii="仿宋_GB2312" w:hAnsi="仿宋_GB2312" w:eastAsia="仿宋_GB2312" w:cs="仿宋_GB2312"/>
          <w:color w:val="000000"/>
          <w:kern w:val="0"/>
          <w:sz w:val="32"/>
          <w:szCs w:val="32"/>
        </w:rPr>
        <w:t>政务信息公开专栏。在镇政府大院设置《永乐镇政务信息公开公示栏》，向社会公开镇政府的机构设置、部门职能、领导成员及职责、部门负责人等信息和联系电话，定期不定期张贴国家、省、市、县、镇各级政府公告、通知等其他政务信息。对于公示栏内容，我们根据实际情况(如领导变动等)及时进行调整，确保信息的时效性和准确性。</w:t>
      </w:r>
    </w:p>
    <w:p>
      <w:pPr>
        <w:widowControl/>
        <w:spacing w:before="150" w:after="150" w:line="480" w:lineRule="atLeas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eastAsia="zh-CN"/>
        </w:rPr>
        <w:t>我镇及时上报和完善政府公众信息网公开信息。按网上政务信息公开目录要求，我们及时调整完善信息公开内容，按时上传政府工作动态。为确保政务信息的时效性，我们制定了信息报送制度，要求全镇各部门即时上报工作情况到党政办，由党政办专项负责人员初审后，将符合政务公开的内容交分管领导审核后通过网络上传至政务信息公开网。</w:t>
      </w:r>
    </w:p>
    <w:p>
      <w:pPr>
        <w:widowControl/>
        <w:spacing w:after="240" w:line="480" w:lineRule="atLeast"/>
        <w:ind w:firstLine="420"/>
        <w:rPr>
          <w:rFonts w:ascii="宋体" w:hAnsi="宋体" w:cs="宋体"/>
          <w:color w:val="000000"/>
          <w:kern w:val="0"/>
          <w:sz w:val="27"/>
          <w:szCs w:val="27"/>
        </w:rPr>
      </w:pPr>
      <w:r>
        <w:rPr>
          <w:rFonts w:hint="eastAsia" w:ascii="仿宋" w:hAnsi="仿宋" w:eastAsia="仿宋" w:cs="宋体"/>
          <w:b/>
          <w:bCs/>
          <w:color w:val="333333"/>
          <w:kern w:val="0"/>
          <w:sz w:val="32"/>
          <w:szCs w:val="32"/>
        </w:rPr>
        <w:t>二、主动公开政府信息情况</w:t>
      </w:r>
    </w:p>
    <w:tbl>
      <w:tblPr>
        <w:tblStyle w:val="5"/>
        <w:tblW w:w="8140" w:type="dxa"/>
        <w:jc w:val="center"/>
        <w:tblLayout w:type="fixed"/>
        <w:tblCellMar>
          <w:top w:w="15" w:type="dxa"/>
          <w:left w:w="15" w:type="dxa"/>
          <w:bottom w:w="15" w:type="dxa"/>
          <w:right w:w="15" w:type="dxa"/>
        </w:tblCellMar>
      </w:tblPr>
      <w:tblGrid>
        <w:gridCol w:w="3113"/>
        <w:gridCol w:w="1875"/>
        <w:gridCol w:w="1271"/>
        <w:gridCol w:w="1881"/>
      </w:tblGrid>
      <w:tr>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第二十条第（一）项</w:t>
            </w:r>
          </w:p>
        </w:tc>
      </w:tr>
      <w:tr>
        <w:trPr>
          <w:trHeight w:val="882"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信息内容</w:t>
            </w:r>
          </w:p>
        </w:tc>
        <w:tc>
          <w:tcPr>
            <w:tcW w:w="18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eastAsia="zh-CN"/>
              </w:rPr>
            </w:pPr>
            <w:r>
              <w:rPr>
                <w:rFonts w:ascii="宋体" w:hAnsi="宋体" w:cs="宋体"/>
                <w:kern w:val="0"/>
                <w:sz w:val="20"/>
                <w:szCs w:val="20"/>
              </w:rPr>
              <w:t>本年</w:t>
            </w:r>
            <w:r>
              <w:rPr>
                <w:rFonts w:hint="eastAsia" w:ascii="宋体" w:hAnsi="宋体" w:cs="宋体"/>
                <w:kern w:val="0"/>
                <w:sz w:val="20"/>
                <w:szCs w:val="20"/>
                <w:lang w:eastAsia="zh-CN"/>
              </w:rPr>
              <w:t>制发件数</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eastAsia="zh-CN"/>
              </w:rPr>
            </w:pPr>
            <w:r>
              <w:rPr>
                <w:rFonts w:ascii="宋体" w:hAnsi="宋体" w:cs="宋体"/>
                <w:kern w:val="0"/>
                <w:sz w:val="20"/>
                <w:szCs w:val="20"/>
              </w:rPr>
              <w:t>本年</w:t>
            </w:r>
            <w:r>
              <w:rPr>
                <w:rFonts w:hint="eastAsia" w:ascii="宋体" w:hAnsi="宋体" w:cs="宋体"/>
                <w:kern w:val="0"/>
                <w:sz w:val="20"/>
                <w:szCs w:val="20"/>
                <w:lang w:eastAsia="zh-CN"/>
              </w:rPr>
              <w:t>废止件数</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eastAsia="zh-CN"/>
              </w:rPr>
            </w:pPr>
            <w:r>
              <w:rPr>
                <w:rFonts w:hint="eastAsia" w:ascii="宋体" w:hAnsi="宋体" w:cs="宋体"/>
                <w:kern w:val="0"/>
                <w:sz w:val="20"/>
                <w:szCs w:val="20"/>
                <w:lang w:eastAsia="zh-CN"/>
              </w:rPr>
              <w:t>现行有效件数</w:t>
            </w:r>
          </w:p>
        </w:tc>
      </w:tr>
      <w:tr>
        <w:trPr>
          <w:trHeight w:val="523"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规章</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trHeight w:val="471"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hint="eastAsia" w:ascii="宋体" w:hAnsi="宋体" w:cs="宋体"/>
                <w:kern w:val="0"/>
                <w:sz w:val="20"/>
                <w:szCs w:val="20"/>
                <w:lang w:eastAsia="zh-CN"/>
              </w:rPr>
              <w:t>行政</w:t>
            </w:r>
            <w:r>
              <w:rPr>
                <w:rFonts w:ascii="宋体" w:hAnsi="宋体" w:cs="宋体"/>
                <w:kern w:val="0"/>
                <w:sz w:val="20"/>
                <w:szCs w:val="20"/>
              </w:rPr>
              <w:t>规范性文件</w:t>
            </w:r>
          </w:p>
        </w:tc>
        <w:tc>
          <w:tcPr>
            <w:tcW w:w="18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第二十条第（五）项</w:t>
            </w:r>
          </w:p>
        </w:tc>
      </w:tr>
      <w:tr>
        <w:trPr>
          <w:trHeight w:val="634"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信息内容</w:t>
            </w:r>
          </w:p>
        </w:tc>
        <w:tc>
          <w:tcPr>
            <w:tcW w:w="502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eastAsia="zh-CN"/>
              </w:rPr>
            </w:pPr>
            <w:r>
              <w:rPr>
                <w:rFonts w:hint="eastAsia" w:ascii="宋体" w:hAnsi="宋体" w:cs="宋体"/>
                <w:kern w:val="0"/>
                <w:sz w:val="20"/>
                <w:szCs w:val="20"/>
                <w:lang w:eastAsia="zh-CN"/>
              </w:rPr>
              <w:t>本年处理决定数量</w:t>
            </w:r>
          </w:p>
        </w:tc>
      </w:tr>
      <w:tr>
        <w:trPr>
          <w:trHeight w:val="528"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行政许可</w:t>
            </w:r>
          </w:p>
        </w:tc>
        <w:tc>
          <w:tcPr>
            <w:tcW w:w="502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第二十条第（六）项</w:t>
            </w:r>
          </w:p>
        </w:tc>
      </w:tr>
      <w:tr>
        <w:trPr>
          <w:trHeight w:val="634"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信息内容</w:t>
            </w:r>
          </w:p>
        </w:tc>
        <w:tc>
          <w:tcPr>
            <w:tcW w:w="502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hint="eastAsia" w:ascii="宋体" w:hAnsi="宋体" w:cs="宋体"/>
                <w:kern w:val="0"/>
                <w:sz w:val="20"/>
                <w:szCs w:val="20"/>
                <w:lang w:eastAsia="zh-CN"/>
              </w:rPr>
              <w:t>本年</w:t>
            </w:r>
            <w:r>
              <w:rPr>
                <w:rFonts w:ascii="宋体" w:hAnsi="宋体" w:cs="宋体"/>
                <w:kern w:val="0"/>
                <w:sz w:val="20"/>
                <w:szCs w:val="20"/>
              </w:rPr>
              <w:t>处理决定数量</w:t>
            </w:r>
          </w:p>
        </w:tc>
      </w:tr>
      <w:tr>
        <w:trPr>
          <w:trHeight w:val="430"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行政处罚</w:t>
            </w:r>
          </w:p>
        </w:tc>
        <w:tc>
          <w:tcPr>
            <w:tcW w:w="502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0</w:t>
            </w:r>
          </w:p>
        </w:tc>
      </w:tr>
      <w:tr>
        <w:trPr>
          <w:trHeight w:val="409"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行政强制</w:t>
            </w:r>
          </w:p>
        </w:tc>
        <w:tc>
          <w:tcPr>
            <w:tcW w:w="502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第二十条第（八）项</w:t>
            </w:r>
          </w:p>
        </w:tc>
      </w:tr>
      <w:tr>
        <w:trPr>
          <w:trHeight w:val="270"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信息内容</w:t>
            </w:r>
          </w:p>
        </w:tc>
        <w:tc>
          <w:tcPr>
            <w:tcW w:w="5027"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ascii="宋体" w:hAnsi="宋体" w:cs="宋体"/>
                <w:kern w:val="0"/>
                <w:sz w:val="20"/>
                <w:szCs w:val="20"/>
              </w:rPr>
              <w:t>本年</w:t>
            </w:r>
            <w:r>
              <w:rPr>
                <w:rFonts w:hint="eastAsia" w:ascii="宋体" w:hAnsi="宋体" w:cs="宋体"/>
                <w:kern w:val="0"/>
                <w:sz w:val="20"/>
                <w:szCs w:val="20"/>
                <w:lang w:eastAsia="zh-CN"/>
              </w:rPr>
              <w:t>收费金额</w:t>
            </w:r>
            <w:r>
              <w:rPr>
                <w:rFonts w:hint="eastAsia" w:ascii="宋体" w:hAnsi="宋体" w:cs="宋体"/>
                <w:kern w:val="0"/>
                <w:sz w:val="20"/>
                <w:szCs w:val="20"/>
                <w:lang w:val="en-US" w:eastAsia="zh-CN"/>
              </w:rPr>
              <w:t>(单位：万元）</w:t>
            </w:r>
          </w:p>
        </w:tc>
      </w:tr>
      <w:tr>
        <w:trPr>
          <w:trHeight w:val="551"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行政事业性收费</w:t>
            </w:r>
          </w:p>
        </w:tc>
        <w:tc>
          <w:tcPr>
            <w:tcW w:w="5027"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bl>
    <w:p>
      <w:pPr>
        <w:widowControl/>
        <w:spacing w:after="240" w:line="480" w:lineRule="atLeast"/>
        <w:ind w:firstLine="420"/>
        <w:rPr>
          <w:rFonts w:ascii="宋体" w:hAnsi="宋体" w:cs="宋体"/>
          <w:color w:val="000000"/>
          <w:kern w:val="0"/>
          <w:sz w:val="27"/>
          <w:szCs w:val="27"/>
        </w:rPr>
      </w:pPr>
      <w:r>
        <w:rPr>
          <w:rFonts w:ascii="宋体" w:hAnsi="宋体" w:cs="宋体"/>
          <w:color w:val="000000"/>
          <w:kern w:val="0"/>
          <w:sz w:val="24"/>
        </w:rPr>
        <w:t> </w:t>
      </w:r>
      <w:r>
        <w:rPr>
          <w:rFonts w:hint="eastAsia" w:ascii="仿宋" w:hAnsi="仿宋" w:eastAsia="仿宋" w:cs="宋体"/>
          <w:b/>
          <w:bCs/>
          <w:color w:val="333333"/>
          <w:kern w:val="0"/>
          <w:sz w:val="32"/>
          <w:szCs w:val="32"/>
        </w:rPr>
        <w:t>三、收到和处理政府信息公开申请情况</w:t>
      </w:r>
    </w:p>
    <w:tbl>
      <w:tblPr>
        <w:tblStyle w:val="5"/>
        <w:tblW w:w="9071" w:type="dxa"/>
        <w:jc w:val="center"/>
        <w:tblLayout w:type="fixed"/>
        <w:tblCellMar>
          <w:top w:w="15" w:type="dxa"/>
          <w:left w:w="15" w:type="dxa"/>
          <w:bottom w:w="15" w:type="dxa"/>
          <w:right w:w="15" w:type="dxa"/>
        </w:tblCellMar>
      </w:tblPr>
      <w:tblGrid>
        <w:gridCol w:w="617"/>
        <w:gridCol w:w="854"/>
        <w:gridCol w:w="2368"/>
        <w:gridCol w:w="825"/>
        <w:gridCol w:w="660"/>
        <w:gridCol w:w="675"/>
        <w:gridCol w:w="825"/>
        <w:gridCol w:w="915"/>
        <w:gridCol w:w="638"/>
        <w:gridCol w:w="694"/>
      </w:tblGrid>
      <w:tr>
        <w:trPr>
          <w:jc w:val="center"/>
        </w:trPr>
        <w:tc>
          <w:tcPr>
            <w:tcW w:w="383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（本列数据的勾稽关系为：第一项加第二项之和，等于第三项加第四项之和）</w:t>
            </w:r>
          </w:p>
        </w:tc>
        <w:tc>
          <w:tcPr>
            <w:tcW w:w="523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申请人情况</w:t>
            </w:r>
          </w:p>
        </w:tc>
      </w:tr>
      <w:tr>
        <w:trPr>
          <w:jc w:val="center"/>
        </w:trPr>
        <w:tc>
          <w:tcPr>
            <w:tcW w:w="383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2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自然人</w:t>
            </w:r>
          </w:p>
        </w:tc>
        <w:tc>
          <w:tcPr>
            <w:tcW w:w="3713"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总计</w:t>
            </w:r>
          </w:p>
        </w:tc>
      </w:tr>
      <w:tr>
        <w:trPr>
          <w:jc w:val="center"/>
        </w:trPr>
        <w:tc>
          <w:tcPr>
            <w:tcW w:w="383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25" w:type="dxa"/>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商业企业</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科研机构</w:t>
            </w:r>
          </w:p>
        </w:tc>
        <w:tc>
          <w:tcPr>
            <w:tcW w:w="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社会公益组织</w:t>
            </w:r>
          </w:p>
        </w:tc>
        <w:tc>
          <w:tcPr>
            <w:tcW w:w="9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法律服务机构</w:t>
            </w:r>
          </w:p>
        </w:tc>
        <w:tc>
          <w:tcPr>
            <w:tcW w:w="6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其他</w:t>
            </w:r>
          </w:p>
        </w:tc>
        <w:tc>
          <w:tcPr>
            <w:tcW w:w="69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r>
      <w:tr>
        <w:trPr>
          <w:jc w:val="center"/>
        </w:trPr>
        <w:tc>
          <w:tcPr>
            <w:tcW w:w="383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left"/>
              <w:rPr>
                <w:rFonts w:ascii="宋体" w:hAnsi="宋体" w:cs="宋体"/>
                <w:kern w:val="0"/>
                <w:sz w:val="24"/>
              </w:rPr>
            </w:pPr>
            <w:r>
              <w:rPr>
                <w:rFonts w:ascii="宋体" w:hAnsi="宋体" w:cs="宋体"/>
                <w:color w:val="333333"/>
                <w:kern w:val="0"/>
                <w:sz w:val="20"/>
                <w:szCs w:val="20"/>
              </w:rPr>
              <w:t>一、本年新收政府信息公开申请数量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r>
      <w:tr>
        <w:trPr>
          <w:jc w:val="center"/>
        </w:trPr>
        <w:tc>
          <w:tcPr>
            <w:tcW w:w="383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left"/>
              <w:rPr>
                <w:rFonts w:ascii="宋体" w:hAnsi="宋体" w:cs="宋体"/>
                <w:kern w:val="0"/>
                <w:sz w:val="24"/>
              </w:rPr>
            </w:pPr>
            <w:r>
              <w:rPr>
                <w:rFonts w:ascii="宋体" w:hAnsi="宋体" w:cs="宋体"/>
                <w:color w:val="333333"/>
                <w:kern w:val="0"/>
                <w:sz w:val="20"/>
                <w:szCs w:val="20"/>
              </w:rPr>
              <w:t>二、上年结转政府信息公开申请数量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383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left"/>
              <w:rPr>
                <w:rFonts w:hint="eastAsia" w:ascii="宋体" w:hAnsi="宋体" w:eastAsia="宋体" w:cs="宋体"/>
                <w:color w:val="333333"/>
                <w:kern w:val="0"/>
                <w:sz w:val="20"/>
                <w:szCs w:val="20"/>
                <w:lang w:eastAsia="zh-CN"/>
              </w:rPr>
            </w:pPr>
            <w:r>
              <w:rPr>
                <w:rFonts w:hint="eastAsia" w:ascii="宋体" w:hAnsi="宋体" w:cs="宋体"/>
                <w:color w:val="333333"/>
                <w:kern w:val="0"/>
                <w:sz w:val="20"/>
                <w:szCs w:val="20"/>
                <w:lang w:eastAsia="zh-CN"/>
              </w:rPr>
              <w:t>三、本年度办理结果</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r>
      <w:tr>
        <w:trPr>
          <w:jc w:val="center"/>
        </w:trPr>
        <w:tc>
          <w:tcPr>
            <w:tcW w:w="383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left"/>
              <w:rPr>
                <w:rFonts w:hint="eastAsia" w:ascii="宋体" w:hAnsi="宋体" w:eastAsia="宋体" w:cs="宋体"/>
                <w:color w:val="333333"/>
                <w:kern w:val="0"/>
                <w:sz w:val="20"/>
                <w:szCs w:val="20"/>
                <w:lang w:eastAsia="zh-CN"/>
              </w:rPr>
            </w:pPr>
            <w:r>
              <w:rPr>
                <w:rFonts w:hint="eastAsia" w:ascii="宋体" w:hAnsi="宋体" w:cs="宋体"/>
                <w:color w:val="333333"/>
                <w:kern w:val="0"/>
                <w:sz w:val="20"/>
                <w:szCs w:val="20"/>
                <w:lang w:eastAsia="zh-CN"/>
              </w:rPr>
              <w:t>四、结转下年度继续办理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hint="eastAsia" w:ascii="宋体" w:hAnsi="宋体" w:cs="宋体"/>
                <w:color w:val="333333"/>
                <w:kern w:val="0"/>
                <w:sz w:val="20"/>
                <w:szCs w:val="20"/>
                <w:lang w:eastAsia="zh-CN"/>
              </w:rPr>
              <w:t>五</w:t>
            </w:r>
            <w:r>
              <w:rPr>
                <w:rFonts w:ascii="宋体" w:hAnsi="宋体" w:cs="宋体"/>
                <w:color w:val="333333"/>
                <w:kern w:val="0"/>
                <w:sz w:val="20"/>
                <w:szCs w:val="20"/>
              </w:rPr>
              <w:t>、本年度办理结果</w:t>
            </w:r>
          </w:p>
        </w:tc>
        <w:tc>
          <w:tcPr>
            <w:tcW w:w="322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（一）予以公开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22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（二）部分公开（区分处理的，只计这一情形，不计其他情形）</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（三）不予公开</w:t>
            </w: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1.属于国家秘密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2.其他法律行政法规禁止公开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3.危及“三安全一稳定”</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4.保护第三方合法权益</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5.属于三类内部事务信息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6.属于四类过程性信息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7.属于行政执法案卷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8.属于行政查询事项</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（四）无法提供</w:t>
            </w: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1.本机关不掌握相关政府信息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2.没有现成信息需要另行制作</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3.补正后申请内容仍不明确</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（五）不予处理</w:t>
            </w: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1.信访举报投诉类申请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2.重复申请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3.要求提供公开出版物</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4.无正当理由大量反复申请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continue"/>
            <w:tcBorders>
              <w:top w:val="nil"/>
              <w:left w:val="nil"/>
              <w:bottom w:val="single" w:color="auto" w:sz="8" w:space="0"/>
              <w:right w:val="single" w:color="auto" w:sz="8" w:space="0"/>
            </w:tcBorders>
            <w:vAlign w:val="center"/>
          </w:tcPr>
          <w:p>
            <w:pPr>
              <w:widowControl/>
              <w:wordWrap w:val="0"/>
              <w:spacing w:line="480" w:lineRule="atLeast"/>
              <w:jc w:val="center"/>
              <w:rPr>
                <w:rFonts w:ascii="宋体" w:hAnsi="宋体" w:cs="宋体"/>
                <w:color w:val="333333"/>
                <w:kern w:val="0"/>
                <w:sz w:val="20"/>
                <w:szCs w:val="20"/>
              </w:rP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5.要求行政机关确认或重新出具已获取信息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rPr>
          <w:trHeight w:val="1125"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（六）其他处理</w:t>
            </w: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cs="宋体"/>
                <w:color w:val="333333"/>
                <w:kern w:val="0"/>
                <w:sz w:val="20"/>
                <w:szCs w:val="20"/>
                <w:lang w:val="en-US" w:eastAsia="zh-CN"/>
              </w:rPr>
            </w:pPr>
            <w:r>
              <w:rPr>
                <w:rFonts w:hint="eastAsia" w:ascii="宋体" w:hAnsi="宋体" w:cs="宋体"/>
                <w:color w:val="333333"/>
                <w:kern w:val="0"/>
                <w:sz w:val="20"/>
                <w:szCs w:val="20"/>
                <w:lang w:val="en-US" w:eastAsia="zh-CN"/>
              </w:rPr>
              <w:t>1.申请人无正当理由逾期不补正、行政机关不再处理其政府信息公开申请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color w:val="333333"/>
                <w:kern w:val="0"/>
                <w:sz w:val="20"/>
                <w:szCs w:val="20"/>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0</w:t>
            </w:r>
          </w:p>
        </w:tc>
      </w:tr>
      <w:tr>
        <w:trPr>
          <w:trHeight w:val="1125" w:hRule="atLeast"/>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wordWrap w:val="0"/>
              <w:spacing w:line="480" w:lineRule="atLeast"/>
              <w:jc w:val="cente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wordWrap w:val="0"/>
              <w:spacing w:line="480" w:lineRule="atLeast"/>
              <w:jc w:val="cente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color w:val="333333"/>
                <w:kern w:val="0"/>
                <w:sz w:val="20"/>
                <w:szCs w:val="20"/>
                <w:lang w:val="en-US" w:eastAsia="zh-CN"/>
              </w:rPr>
            </w:pPr>
            <w:r>
              <w:rPr>
                <w:rFonts w:hint="eastAsia" w:ascii="宋体" w:hAnsi="宋体" w:cs="宋体"/>
                <w:color w:val="333333"/>
                <w:kern w:val="0"/>
                <w:sz w:val="20"/>
                <w:szCs w:val="20"/>
                <w:lang w:val="en-US" w:eastAsia="zh-CN"/>
              </w:rPr>
              <w:t>2.申请人逾期未按收费通知要求缴纳费用、行政机关不再处理其政府信息公开申请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cs="宋体"/>
                <w:color w:val="333333"/>
                <w:kern w:val="0"/>
                <w:sz w:val="20"/>
                <w:szCs w:val="20"/>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r>
      <w:tr>
        <w:trPr>
          <w:trHeight w:val="570" w:hRule="atLeast"/>
          <w:jc w:val="center"/>
        </w:trPr>
        <w:tc>
          <w:tcPr>
            <w:tcW w:w="617" w:type="dxa"/>
            <w:vMerge w:val="continue"/>
            <w:tcBorders>
              <w:left w:val="single" w:color="auto" w:sz="8" w:space="0"/>
              <w:bottom w:val="single" w:color="auto" w:sz="8" w:space="0"/>
              <w:right w:val="single" w:color="auto" w:sz="8" w:space="0"/>
            </w:tcBorders>
            <w:vAlign w:val="center"/>
          </w:tcPr>
          <w:p>
            <w:pPr>
              <w:widowControl/>
              <w:wordWrap w:val="0"/>
              <w:spacing w:line="480" w:lineRule="atLeast"/>
              <w:jc w:val="cente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p>
        </w:tc>
        <w:tc>
          <w:tcPr>
            <w:tcW w:w="236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eastAsia="宋体"/>
                <w:lang w:val="en-US" w:eastAsia="zh-CN"/>
              </w:rPr>
            </w:pPr>
            <w:r>
              <w:rPr>
                <w:rFonts w:hint="eastAsia" w:ascii="宋体" w:hAnsi="宋体" w:cs="宋体"/>
                <w:color w:val="333333"/>
                <w:kern w:val="0"/>
                <w:sz w:val="20"/>
                <w:szCs w:val="20"/>
                <w:lang w:val="en-US" w:eastAsia="zh-CN"/>
              </w:rPr>
              <w:t>3.</w:t>
            </w:r>
            <w:r>
              <w:rPr>
                <w:rFonts w:hint="eastAsia"/>
                <w:lang w:val="en-US" w:eastAsia="zh-CN"/>
              </w:rPr>
              <w:t>其他</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pPr>
            <w:r>
              <w:rPr>
                <w:rFonts w:hint="eastAsia" w:ascii="宋体" w:hAnsi="宋体" w:cs="宋体"/>
                <w:kern w:val="0"/>
                <w:sz w:val="24"/>
                <w:lang w:val="en-US" w:eastAsia="zh-CN"/>
              </w:rPr>
              <w:t>0</w:t>
            </w:r>
          </w:p>
        </w:tc>
      </w:tr>
      <w:tr>
        <w:trPr>
          <w:jc w:val="center"/>
        </w:trPr>
        <w:tc>
          <w:tcPr>
            <w:tcW w:w="61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22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color w:val="333333"/>
                <w:kern w:val="0"/>
                <w:sz w:val="20"/>
                <w:szCs w:val="20"/>
              </w:rPr>
            </w:pPr>
            <w:r>
              <w:rPr>
                <w:rFonts w:hint="eastAsia" w:ascii="宋体" w:hAnsi="宋体" w:cs="宋体"/>
                <w:color w:val="333333"/>
                <w:kern w:val="0"/>
                <w:sz w:val="20"/>
                <w:szCs w:val="20"/>
              </w:rPr>
              <w:t>（七）总计</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w:t>
            </w:r>
          </w:p>
        </w:tc>
      </w:tr>
      <w:tr>
        <w:trPr>
          <w:jc w:val="center"/>
        </w:trPr>
        <w:tc>
          <w:tcPr>
            <w:tcW w:w="383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四、结转下年度继续办理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91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bl>
    <w:p>
      <w:pPr>
        <w:widowControl/>
        <w:spacing w:line="480" w:lineRule="atLeast"/>
        <w:rPr>
          <w:rFonts w:hint="eastAsia" w:ascii="仿宋" w:hAnsi="仿宋" w:eastAsia="仿宋" w:cs="宋体"/>
          <w:b/>
          <w:bCs/>
          <w:color w:val="333333"/>
          <w:kern w:val="0"/>
          <w:sz w:val="32"/>
          <w:szCs w:val="32"/>
        </w:rPr>
      </w:pPr>
    </w:p>
    <w:p>
      <w:pPr>
        <w:widowControl/>
        <w:spacing w:line="480" w:lineRule="atLeast"/>
        <w:rPr>
          <w:rFonts w:ascii="宋体" w:hAnsi="宋体" w:cs="宋体"/>
          <w:color w:val="000000"/>
          <w:kern w:val="0"/>
          <w:sz w:val="27"/>
          <w:szCs w:val="27"/>
        </w:rPr>
      </w:pPr>
      <w:r>
        <w:rPr>
          <w:rFonts w:hint="eastAsia" w:ascii="仿宋" w:hAnsi="仿宋" w:eastAsia="仿宋" w:cs="宋体"/>
          <w:b/>
          <w:bCs/>
          <w:color w:val="333333"/>
          <w:kern w:val="0"/>
          <w:sz w:val="32"/>
          <w:szCs w:val="32"/>
        </w:rPr>
        <w:t>四、政府信息公开行政复议、行政诉讼情况</w:t>
      </w:r>
    </w:p>
    <w:p>
      <w:pPr>
        <w:widowControl/>
        <w:spacing w:line="480" w:lineRule="atLeast"/>
        <w:ind w:firstLine="420"/>
        <w:rPr>
          <w:rFonts w:ascii="宋体" w:hAnsi="宋体" w:cs="宋体"/>
          <w:color w:val="000000"/>
          <w:kern w:val="0"/>
          <w:sz w:val="27"/>
          <w:szCs w:val="27"/>
        </w:rPr>
      </w:pPr>
      <w:r>
        <w:rPr>
          <w:rFonts w:ascii="宋体" w:hAnsi="宋体" w:cs="宋体"/>
          <w:color w:val="000000"/>
          <w:kern w:val="0"/>
          <w:sz w:val="24"/>
        </w:rPr>
        <w:t> </w:t>
      </w:r>
    </w:p>
    <w:tbl>
      <w:tblPr>
        <w:tblStyle w:val="5"/>
        <w:tblW w:w="9071" w:type="dxa"/>
        <w:jc w:val="center"/>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行政诉讼</w:t>
            </w:r>
          </w:p>
        </w:tc>
      </w:tr>
      <w:tr>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复议后起诉</w:t>
            </w:r>
          </w:p>
        </w:tc>
      </w:tr>
      <w:tr>
        <w:trPr>
          <w:jc w:val="center"/>
        </w:trPr>
        <w:tc>
          <w:tcPr>
            <w:tcW w:w="604"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604" w:type="dxa"/>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c>
          <w:tcPr>
            <w:tcW w:w="65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kern w:val="0"/>
                <w:sz w:val="20"/>
                <w:szCs w:val="20"/>
              </w:rPr>
              <w:t>总计</w:t>
            </w:r>
          </w:p>
        </w:tc>
      </w:tr>
      <w:tr>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ind w:firstLine="210" w:firstLineChars="100"/>
              <w:jc w:val="center"/>
              <w:rPr>
                <w:rFonts w:ascii="宋体" w:hAnsi="宋体" w:cs="宋体"/>
                <w:kern w:val="0"/>
                <w:sz w:val="24"/>
              </w:rPr>
            </w:pPr>
            <w:r>
              <w:rPr>
                <w:rFonts w:hint="eastAsia" w:ascii="宋体" w:hAnsi="宋体" w:cs="宋体"/>
                <w:color w:val="333333"/>
                <w:kern w:val="0"/>
                <w:szCs w:val="21"/>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hint="eastAsia" w:ascii="宋体" w:hAnsi="宋体" w:cs="宋体"/>
                <w:color w:val="333333"/>
                <w:kern w:val="0"/>
                <w:szCs w:val="21"/>
                <w:lang w:val="en-US" w:eastAsia="zh-CN"/>
              </w:rPr>
              <w:t>0</w:t>
            </w:r>
            <w:r>
              <w:rPr>
                <w:rFonts w:ascii="宋体" w:hAnsi="宋体" w:cs="宋体"/>
                <w:color w:val="333333"/>
                <w:kern w:val="0"/>
                <w:szCs w:val="21"/>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480" w:lineRule="atLeast"/>
              <w:jc w:val="center"/>
              <w:rPr>
                <w:rFonts w:hint="eastAsia" w:ascii="宋体" w:hAnsi="宋体" w:eastAsia="宋体" w:cs="宋体"/>
                <w:kern w:val="0"/>
                <w:sz w:val="24"/>
                <w:lang w:val="en-US" w:eastAsia="zh-CN"/>
              </w:rPr>
            </w:pPr>
            <w:r>
              <w:rPr>
                <w:rFonts w:ascii="宋体" w:hAnsi="宋体" w:cs="宋体"/>
                <w:color w:val="333333"/>
                <w:kern w:val="0"/>
                <w:szCs w:val="21"/>
              </w:rPr>
              <w:t> </w:t>
            </w:r>
            <w:r>
              <w:rPr>
                <w:rFonts w:hint="eastAsia" w:ascii="宋体" w:hAnsi="宋体" w:cs="宋体"/>
                <w:color w:val="333333"/>
                <w:kern w:val="0"/>
                <w:szCs w:val="21"/>
                <w:lang w:val="en-US" w:eastAsia="zh-CN"/>
              </w:rPr>
              <w:t>0</w:t>
            </w:r>
          </w:p>
        </w:tc>
        <w:tc>
          <w:tcPr>
            <w:tcW w:w="606" w:type="dxa"/>
            <w:tcBorders>
              <w:top w:val="inset" w:color="auto" w:sz="8" w:space="0"/>
              <w:left w:val="inset" w:color="auto" w:sz="8" w:space="0"/>
              <w:bottom w:val="inset" w:color="auto" w:sz="8" w:space="0"/>
              <w:right w:val="inset" w:color="auto" w:sz="8" w:space="0"/>
            </w:tcBorders>
            <w:tcMar>
              <w:top w:w="0" w:type="dxa"/>
              <w:left w:w="108" w:type="dxa"/>
              <w:bottom w:w="0" w:type="dxa"/>
              <w:right w:w="108" w:type="dxa"/>
            </w:tcMar>
            <w:vAlign w:val="center"/>
          </w:tcPr>
          <w:p>
            <w:pPr>
              <w:widowControl/>
              <w:wordWrap w:val="0"/>
              <w:spacing w:line="480" w:lineRule="atLeast"/>
              <w:jc w:val="center"/>
              <w:rPr>
                <w:rFonts w:ascii="宋体" w:hAnsi="宋体" w:cs="宋体"/>
                <w:kern w:val="0"/>
                <w:sz w:val="24"/>
              </w:rPr>
            </w:pPr>
            <w:r>
              <w:rPr>
                <w:rFonts w:ascii="宋体" w:hAnsi="宋体" w:cs="宋体"/>
                <w:color w:val="333333"/>
                <w:kern w:val="0"/>
                <w:szCs w:val="21"/>
              </w:rPr>
              <w:t>0</w:t>
            </w:r>
          </w:p>
        </w:tc>
      </w:tr>
    </w:tbl>
    <w:p>
      <w:pPr>
        <w:widowControl/>
        <w:spacing w:line="480" w:lineRule="atLeast"/>
        <w:jc w:val="center"/>
        <w:rPr>
          <w:rFonts w:ascii="宋体" w:hAnsi="宋体" w:cs="宋体"/>
          <w:color w:val="000000"/>
          <w:kern w:val="0"/>
          <w:sz w:val="24"/>
        </w:rPr>
      </w:pPr>
    </w:p>
    <w:p>
      <w:pPr>
        <w:widowControl/>
        <w:spacing w:line="480" w:lineRule="atLeast"/>
        <w:ind w:firstLine="643"/>
        <w:rPr>
          <w:rFonts w:ascii="宋体" w:hAnsi="宋体" w:cs="宋体"/>
          <w:color w:val="000000"/>
          <w:kern w:val="0"/>
          <w:sz w:val="27"/>
          <w:szCs w:val="27"/>
        </w:rPr>
      </w:pPr>
      <w:r>
        <w:rPr>
          <w:rFonts w:hint="eastAsia" w:ascii="仿宋" w:hAnsi="仿宋" w:eastAsia="仿宋" w:cs="宋体"/>
          <w:b/>
          <w:bCs/>
          <w:color w:val="333333"/>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before="30" w:after="30" w:line="520" w:lineRule="exact"/>
        <w:ind w:firstLine="64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存在的主要问题</w:t>
      </w:r>
    </w:p>
    <w:p>
      <w:pPr>
        <w:keepNext w:val="0"/>
        <w:keepLines w:val="0"/>
        <w:pageBreakBefore w:val="0"/>
        <w:widowControl/>
        <w:kinsoku/>
        <w:wordWrap/>
        <w:overflowPunct/>
        <w:topLinePunct w:val="0"/>
        <w:autoSpaceDE/>
        <w:autoSpaceDN/>
        <w:bidi w:val="0"/>
        <w:adjustRightInd/>
        <w:snapToGrid/>
        <w:spacing w:before="30" w:after="30" w:line="52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我镇</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政府信息公开上</w:t>
      </w:r>
      <w:r>
        <w:rPr>
          <w:rFonts w:hint="eastAsia" w:ascii="仿宋_GB2312" w:hAnsi="仿宋_GB2312" w:eastAsia="仿宋_GB2312" w:cs="仿宋_GB2312"/>
          <w:color w:val="000000"/>
          <w:kern w:val="0"/>
          <w:sz w:val="32"/>
          <w:szCs w:val="32"/>
          <w:lang w:eastAsia="zh-CN"/>
        </w:rPr>
        <w:t>虽然取得了一定的成绩</w:t>
      </w:r>
      <w:r>
        <w:rPr>
          <w:rFonts w:hint="eastAsia" w:ascii="仿宋_GB2312" w:hAnsi="仿宋_GB2312" w:eastAsia="仿宋_GB2312" w:cs="仿宋_GB2312"/>
          <w:color w:val="000000"/>
          <w:kern w:val="0"/>
          <w:sz w:val="32"/>
          <w:szCs w:val="32"/>
        </w:rPr>
        <w:t>，但仍存在不足和差距，</w:t>
      </w:r>
      <w:r>
        <w:rPr>
          <w:rFonts w:hint="eastAsia" w:ascii="仿宋_GB2312" w:hAnsi="仿宋_GB2312" w:eastAsia="仿宋_GB2312" w:cs="仿宋_GB2312"/>
          <w:color w:val="000000"/>
          <w:kern w:val="0"/>
          <w:sz w:val="32"/>
          <w:szCs w:val="32"/>
          <w:lang w:eastAsia="zh-CN"/>
        </w:rPr>
        <w:t>一是与上级部门的沟通有待加强；二</w:t>
      </w:r>
      <w:r>
        <w:rPr>
          <w:rFonts w:hint="eastAsia" w:ascii="仿宋_GB2312" w:hAnsi="仿宋_GB2312" w:eastAsia="仿宋_GB2312" w:cs="仿宋_GB2312"/>
          <w:color w:val="000000"/>
          <w:kern w:val="0"/>
          <w:sz w:val="32"/>
          <w:szCs w:val="32"/>
        </w:rPr>
        <w:t>是</w:t>
      </w:r>
      <w:r>
        <w:rPr>
          <w:rFonts w:hint="eastAsia" w:ascii="仿宋_GB2312" w:hAnsi="仿宋_GB2312" w:eastAsia="仿宋_GB2312" w:cs="仿宋_GB2312"/>
          <w:color w:val="000000"/>
          <w:kern w:val="0"/>
          <w:sz w:val="32"/>
          <w:szCs w:val="32"/>
          <w:lang w:eastAsia="zh-CN"/>
        </w:rPr>
        <w:t>各办公室信息主动公开的意识有待加强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是有时信息公开不</w:t>
      </w:r>
      <w:r>
        <w:rPr>
          <w:rFonts w:hint="eastAsia" w:ascii="仿宋_GB2312" w:hAnsi="仿宋_GB2312" w:eastAsia="仿宋_GB2312" w:cs="仿宋_GB2312"/>
          <w:color w:val="000000"/>
          <w:kern w:val="0"/>
          <w:sz w:val="32"/>
          <w:szCs w:val="32"/>
          <w:lang w:eastAsia="zh-CN"/>
        </w:rPr>
        <w:t>够</w:t>
      </w:r>
      <w:r>
        <w:rPr>
          <w:rFonts w:hint="eastAsia" w:ascii="仿宋_GB2312" w:hAnsi="仿宋_GB2312" w:eastAsia="仿宋_GB2312" w:cs="仿宋_GB2312"/>
          <w:color w:val="000000"/>
          <w:kern w:val="0"/>
          <w:sz w:val="32"/>
          <w:szCs w:val="32"/>
        </w:rPr>
        <w:t>及时。</w:t>
      </w:r>
    </w:p>
    <w:p>
      <w:pPr>
        <w:keepNext w:val="0"/>
        <w:keepLines w:val="0"/>
        <w:pageBreakBefore w:val="0"/>
        <w:widowControl/>
        <w:kinsoku/>
        <w:wordWrap/>
        <w:overflowPunct/>
        <w:topLinePunct w:val="0"/>
        <w:autoSpaceDE/>
        <w:autoSpaceDN/>
        <w:bidi w:val="0"/>
        <w:adjustRightInd/>
        <w:snapToGrid/>
        <w:spacing w:before="30" w:after="30" w:line="520" w:lineRule="exact"/>
        <w:ind w:firstLine="64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（二）改进措施</w:t>
      </w:r>
    </w:p>
    <w:p>
      <w:pPr>
        <w:keepNext w:val="0"/>
        <w:keepLines w:val="0"/>
        <w:pageBreakBefore w:val="0"/>
        <w:widowControl/>
        <w:kinsoku/>
        <w:wordWrap/>
        <w:overflowPunct/>
        <w:topLinePunct w:val="0"/>
        <w:autoSpaceDE/>
        <w:autoSpaceDN/>
        <w:bidi w:val="0"/>
        <w:adjustRightInd/>
        <w:snapToGrid/>
        <w:spacing w:before="30" w:after="30" w:line="52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下一步我们将加强人员培训。提高机关工作人员对政府信息公开工作重要性的认识，</w:t>
      </w:r>
      <w:r>
        <w:rPr>
          <w:rFonts w:hint="eastAsia" w:ascii="仿宋_GB2312" w:hAnsi="仿宋_GB2312" w:eastAsia="仿宋_GB2312" w:cs="仿宋_GB2312"/>
          <w:color w:val="000000"/>
          <w:kern w:val="0"/>
          <w:sz w:val="32"/>
          <w:szCs w:val="32"/>
          <w:lang w:eastAsia="zh-CN"/>
        </w:rPr>
        <w:t>多与上级部门沟通，提高自身业务能力。</w:t>
      </w:r>
      <w:r>
        <w:rPr>
          <w:rFonts w:hint="eastAsia" w:ascii="仿宋_GB2312" w:hAnsi="仿宋_GB2312" w:eastAsia="仿宋_GB2312" w:cs="仿宋_GB2312"/>
          <w:color w:val="000000"/>
          <w:kern w:val="0"/>
          <w:sz w:val="32"/>
          <w:szCs w:val="32"/>
        </w:rPr>
        <w:t>加强</w:t>
      </w:r>
      <w:r>
        <w:rPr>
          <w:rFonts w:hint="eastAsia" w:ascii="仿宋_GB2312" w:hAnsi="仿宋_GB2312" w:eastAsia="仿宋_GB2312" w:cs="仿宋_GB2312"/>
          <w:color w:val="000000"/>
          <w:kern w:val="0"/>
          <w:sz w:val="32"/>
          <w:szCs w:val="32"/>
          <w:lang w:eastAsia="zh-CN"/>
        </w:rPr>
        <w:t>镇</w:t>
      </w:r>
      <w:r>
        <w:rPr>
          <w:rFonts w:hint="eastAsia" w:ascii="仿宋_GB2312" w:hAnsi="仿宋_GB2312" w:eastAsia="仿宋_GB2312" w:cs="仿宋_GB2312"/>
          <w:color w:val="000000"/>
          <w:kern w:val="0"/>
          <w:sz w:val="32"/>
          <w:szCs w:val="32"/>
        </w:rPr>
        <w:t>各部门</w:t>
      </w:r>
      <w:r>
        <w:rPr>
          <w:rFonts w:hint="eastAsia" w:ascii="仿宋_GB2312" w:hAnsi="仿宋_GB2312" w:eastAsia="仿宋_GB2312" w:cs="仿宋_GB2312"/>
          <w:color w:val="000000"/>
          <w:kern w:val="0"/>
          <w:sz w:val="32"/>
          <w:szCs w:val="32"/>
          <w:lang w:eastAsia="zh-CN"/>
        </w:rPr>
        <w:t>之间的</w:t>
      </w:r>
      <w:r>
        <w:rPr>
          <w:rFonts w:hint="eastAsia" w:ascii="仿宋_GB2312" w:hAnsi="仿宋_GB2312" w:eastAsia="仿宋_GB2312" w:cs="仿宋_GB2312"/>
          <w:color w:val="000000"/>
          <w:kern w:val="0"/>
          <w:sz w:val="32"/>
          <w:szCs w:val="32"/>
        </w:rPr>
        <w:t>沟通、提高工作效率，实现政务公开工作时效性</w:t>
      </w:r>
      <w:r>
        <w:rPr>
          <w:rFonts w:hint="eastAsia" w:ascii="仿宋_GB2312" w:hAnsi="仿宋_GB2312" w:eastAsia="仿宋_GB2312" w:cs="仿宋_GB2312"/>
          <w:color w:val="000000"/>
          <w:kern w:val="0"/>
          <w:sz w:val="32"/>
          <w:szCs w:val="32"/>
          <w:lang w:eastAsia="zh-CN"/>
        </w:rPr>
        <w:t>和</w:t>
      </w:r>
      <w:r>
        <w:rPr>
          <w:rFonts w:hint="eastAsia" w:ascii="仿宋_GB2312" w:hAnsi="仿宋_GB2312" w:eastAsia="仿宋_GB2312" w:cs="仿宋_GB2312"/>
          <w:color w:val="000000"/>
          <w:kern w:val="0"/>
          <w:sz w:val="32"/>
          <w:szCs w:val="32"/>
        </w:rPr>
        <w:t>广泛性。进一步加强</w:t>
      </w:r>
      <w:r>
        <w:rPr>
          <w:rFonts w:hint="eastAsia" w:ascii="仿宋_GB2312" w:hAnsi="仿宋_GB2312" w:eastAsia="仿宋_GB2312" w:cs="仿宋_GB2312"/>
          <w:color w:val="000000"/>
          <w:kern w:val="0"/>
          <w:sz w:val="32"/>
          <w:szCs w:val="32"/>
          <w:lang w:eastAsia="zh-CN"/>
        </w:rPr>
        <w:t>政府</w:t>
      </w:r>
      <w:r>
        <w:rPr>
          <w:rFonts w:hint="eastAsia" w:ascii="仿宋_GB2312" w:hAnsi="仿宋_GB2312" w:eastAsia="仿宋_GB2312" w:cs="仿宋_GB2312"/>
          <w:color w:val="000000"/>
          <w:kern w:val="0"/>
          <w:sz w:val="32"/>
          <w:szCs w:val="32"/>
        </w:rPr>
        <w:t>信息</w:t>
      </w:r>
      <w:r>
        <w:rPr>
          <w:rFonts w:hint="eastAsia" w:ascii="仿宋_GB2312" w:hAnsi="仿宋_GB2312" w:eastAsia="仿宋_GB2312" w:cs="仿宋_GB2312"/>
          <w:color w:val="000000"/>
          <w:kern w:val="0"/>
          <w:sz w:val="32"/>
          <w:szCs w:val="32"/>
          <w:lang w:eastAsia="zh-CN"/>
        </w:rPr>
        <w:t>公开</w:t>
      </w:r>
      <w:r>
        <w:rPr>
          <w:rFonts w:hint="eastAsia" w:ascii="仿宋_GB2312" w:hAnsi="仿宋_GB2312" w:eastAsia="仿宋_GB2312" w:cs="仿宋_GB2312"/>
          <w:color w:val="000000"/>
          <w:kern w:val="0"/>
          <w:sz w:val="32"/>
          <w:szCs w:val="32"/>
        </w:rPr>
        <w:t>审核，提高政府信息公开工作的质量和水平。</w:t>
      </w:r>
    </w:p>
    <w:p>
      <w:pPr>
        <w:widowControl/>
        <w:numPr>
          <w:ilvl w:val="0"/>
          <w:numId w:val="1"/>
        </w:numPr>
        <w:spacing w:line="480" w:lineRule="atLeast"/>
        <w:ind w:firstLine="643"/>
        <w:rPr>
          <w:rFonts w:hint="eastAsia" w:ascii="仿宋" w:hAnsi="仿宋" w:eastAsia="仿宋" w:cs="宋体"/>
          <w:b/>
          <w:bCs/>
          <w:color w:val="333333"/>
          <w:kern w:val="0"/>
          <w:sz w:val="32"/>
          <w:szCs w:val="32"/>
          <w:lang w:eastAsia="zh-CN"/>
        </w:rPr>
      </w:pPr>
      <w:r>
        <w:rPr>
          <w:rFonts w:hint="eastAsia" w:ascii="仿宋" w:hAnsi="仿宋" w:eastAsia="仿宋" w:cs="宋体"/>
          <w:b/>
          <w:bCs/>
          <w:color w:val="333333"/>
          <w:kern w:val="0"/>
          <w:sz w:val="32"/>
          <w:szCs w:val="32"/>
          <w:lang w:eastAsia="zh-CN"/>
        </w:rPr>
        <w:t>其他需要报告的事项</w:t>
      </w:r>
    </w:p>
    <w:p>
      <w:pPr>
        <w:keepNext w:val="0"/>
        <w:keepLines w:val="0"/>
        <w:pageBreakBefore w:val="0"/>
        <w:widowControl/>
        <w:kinsoku/>
        <w:wordWrap/>
        <w:overflowPunct/>
        <w:topLinePunct w:val="0"/>
        <w:autoSpaceDE/>
        <w:autoSpaceDN/>
        <w:bidi w:val="0"/>
        <w:adjustRightInd/>
        <w:snapToGrid/>
        <w:spacing w:before="30" w:after="30" w:line="520" w:lineRule="exact"/>
        <w:ind w:firstLine="64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无</w:t>
      </w:r>
      <w:r>
        <w:rPr>
          <w:rFonts w:hint="eastAsia" w:ascii="仿宋_GB2312" w:hAnsi="仿宋_GB2312" w:eastAsia="仿宋_GB2312" w:cs="仿宋_GB2312"/>
          <w:color w:val="000000"/>
          <w:kern w:val="0"/>
          <w:sz w:val="32"/>
          <w:szCs w:val="32"/>
          <w:lang w:val="en-US" w:eastAsia="zh-CN"/>
        </w:rPr>
        <w:t xml:space="preserve">  </w:t>
      </w:r>
    </w:p>
    <w:p>
      <w:pPr>
        <w:widowControl/>
        <w:numPr>
          <w:ilvl w:val="0"/>
          <w:numId w:val="0"/>
        </w:numPr>
        <w:spacing w:line="480" w:lineRule="atLeast"/>
        <w:rPr>
          <w:rFonts w:hint="eastAsia" w:ascii="仿宋" w:hAnsi="仿宋" w:eastAsia="仿宋" w:cs="宋体"/>
          <w:b/>
          <w:bCs/>
          <w:color w:val="333333"/>
          <w:kern w:val="0"/>
          <w:sz w:val="32"/>
          <w:szCs w:val="32"/>
          <w:lang w:eastAsia="zh-CN"/>
        </w:rPr>
      </w:pPr>
    </w:p>
    <w:p>
      <w:pPr>
        <w:widowControl/>
        <w:spacing w:line="480" w:lineRule="atLeast"/>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 xml:space="preserve">                   </w:t>
      </w:r>
    </w:p>
    <w:p>
      <w:pPr>
        <w:widowControl/>
        <w:spacing w:line="480" w:lineRule="atLeast"/>
        <w:jc w:val="center"/>
        <w:rPr>
          <w:rFonts w:hint="eastAsia" w:ascii="仿宋" w:hAnsi="仿宋" w:eastAsia="仿宋" w:cs="宋体"/>
          <w:color w:val="000000"/>
          <w:kern w:val="0"/>
          <w:sz w:val="32"/>
          <w:szCs w:val="32"/>
          <w:lang w:val="en-US" w:eastAsia="zh-CN"/>
        </w:rPr>
      </w:pPr>
    </w:p>
    <w:p>
      <w:pPr>
        <w:widowControl/>
        <w:spacing w:line="480" w:lineRule="atLeast"/>
        <w:jc w:val="center"/>
        <w:rPr>
          <w:rFonts w:ascii="宋体" w:hAnsi="宋体" w:cs="宋体"/>
          <w:color w:val="000000"/>
          <w:kern w:val="0"/>
          <w:sz w:val="27"/>
          <w:szCs w:val="27"/>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永乐镇人民政府</w:t>
      </w:r>
    </w:p>
    <w:p>
      <w:pPr>
        <w:widowControl/>
        <w:spacing w:line="480" w:lineRule="atLeast"/>
        <w:jc w:val="center"/>
        <w:rPr>
          <w:rFonts w:ascii="宋体" w:hAnsi="宋体" w:cs="宋体"/>
          <w:color w:val="000000"/>
          <w:kern w:val="0"/>
          <w:sz w:val="24"/>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 xml:space="preserve"> 202</w:t>
      </w:r>
      <w:r>
        <w:rPr>
          <w:rFonts w:hint="eastAsia" w:ascii="仿宋" w:hAnsi="仿宋" w:eastAsia="仿宋" w:cs="仿宋"/>
          <w:color w:val="000000"/>
          <w:kern w:val="0"/>
          <w:sz w:val="32"/>
          <w:szCs w:val="32"/>
          <w:lang w:val="en-US" w:eastAsia="zh-CN"/>
        </w:rPr>
        <w:t>3</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13</w:t>
      </w:r>
      <w:r>
        <w:rPr>
          <w:rFonts w:hint="eastAsia" w:ascii="仿宋" w:hAnsi="仿宋" w:eastAsia="仿宋" w:cs="宋体"/>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C4A9A"/>
    <w:multiLevelType w:val="singleLevel"/>
    <w:tmpl w:val="2E4C4A9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NGRiN2U3Y2YxMTIzODIyYTM2NDRhZGZlMTJlMzIifQ=="/>
  </w:docVars>
  <w:rsids>
    <w:rsidRoot w:val="006554B2"/>
    <w:rsid w:val="00125C93"/>
    <w:rsid w:val="001F37C4"/>
    <w:rsid w:val="00381A64"/>
    <w:rsid w:val="00545068"/>
    <w:rsid w:val="00585B84"/>
    <w:rsid w:val="006554B2"/>
    <w:rsid w:val="007205FF"/>
    <w:rsid w:val="00811378"/>
    <w:rsid w:val="00936E06"/>
    <w:rsid w:val="00A33BDB"/>
    <w:rsid w:val="00A5055E"/>
    <w:rsid w:val="00AC7472"/>
    <w:rsid w:val="00C24EE5"/>
    <w:rsid w:val="00FC783C"/>
    <w:rsid w:val="06C90C44"/>
    <w:rsid w:val="082A682E"/>
    <w:rsid w:val="096008B4"/>
    <w:rsid w:val="0F0942D3"/>
    <w:rsid w:val="0F9815A7"/>
    <w:rsid w:val="14ED4E59"/>
    <w:rsid w:val="14EF75A9"/>
    <w:rsid w:val="207641B3"/>
    <w:rsid w:val="27B23302"/>
    <w:rsid w:val="2927562A"/>
    <w:rsid w:val="354C0514"/>
    <w:rsid w:val="3569681E"/>
    <w:rsid w:val="37962C89"/>
    <w:rsid w:val="45467ADD"/>
    <w:rsid w:val="4C1D04E0"/>
    <w:rsid w:val="4F5166AD"/>
    <w:rsid w:val="54BC0090"/>
    <w:rsid w:val="584C035A"/>
    <w:rsid w:val="5EC415A8"/>
    <w:rsid w:val="63F06513"/>
    <w:rsid w:val="67CE2788"/>
    <w:rsid w:val="6DBA2CC2"/>
    <w:rsid w:val="6E1E4AC8"/>
    <w:rsid w:val="75BF28D1"/>
    <w:rsid w:val="FEDDF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Char"/>
    <w:basedOn w:val="6"/>
    <w:link w:val="2"/>
    <w:qFormat/>
    <w:uiPriority w:val="9"/>
    <w:rPr>
      <w:b/>
      <w:bCs/>
      <w:kern w:val="44"/>
      <w:sz w:val="44"/>
      <w:szCs w:val="44"/>
    </w:rPr>
  </w:style>
  <w:style w:type="character" w:customStyle="1" w:styleId="8">
    <w:name w:val="标题 2 Char"/>
    <w:basedOn w:val="6"/>
    <w:link w:val="3"/>
    <w:qFormat/>
    <w:uiPriority w:val="0"/>
    <w:rPr>
      <w:rFonts w:ascii="Arial" w:hAnsi="Arial" w:eastAsia="黑体"/>
      <w:b/>
      <w:bCs/>
      <w:kern w:val="2"/>
      <w:sz w:val="32"/>
      <w:szCs w:val="32"/>
    </w:rPr>
  </w:style>
  <w:style w:type="character" w:customStyle="1" w:styleId="9">
    <w:name w:val="标题 3 Char"/>
    <w:basedOn w:val="6"/>
    <w:link w:val="4"/>
    <w:qFormat/>
    <w:uiPriority w:val="0"/>
    <w:rPr>
      <w:b/>
      <w:bCs/>
      <w:kern w:val="2"/>
      <w:sz w:val="32"/>
      <w:szCs w:val="32"/>
    </w:rPr>
  </w:style>
  <w:style w:type="paragraph" w:customStyle="1" w:styleId="10">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1883</Words>
  <Characters>1937</Characters>
  <Lines>15</Lines>
  <Paragraphs>4</Paragraphs>
  <TotalTime>22</TotalTime>
  <ScaleCrop>false</ScaleCrop>
  <LinksUpToDate>false</LinksUpToDate>
  <CharactersWithSpaces>2012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2020-01-19T11:30:00Z</dcterms:created>
  <dc:creator>Administrator</dc:creator>
  <cp:lastModifiedBy>guest</cp:lastModifiedBy>
  <dcterms:modified xsi:type="dcterms:W3CDTF">2023-08-08T17:59:38Z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C85C38F3C0AF43E0A05F6FE4B95E6BD9</vt:lpwstr>
  </property>
</Properties>
</file>