
<file path=[Content_Types].xml><?xml version="1.0" encoding="utf-8"?>
<Types xmlns="http://schemas.openxmlformats.org/package/2006/content-types">
  <Default Extension="xml" ContentType="application/xml"/>
  <Default Extension="xlsx" ContentType="application/vnd.openxmlformats-officedocument.spreadsheetml.sheet"/>
  <Default Extension="emf" ContentType="image/x-emf"/>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olors1.xml" ContentType="application/vnd.ms-office.chartcolorstyle+xml"/>
  <Override PartName="/word/charts/style1.xml" ContentType="application/vnd.ms-office.chartstyle+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left"/>
        <w:rPr>
          <w:rFonts w:eastAsia="仿宋"/>
          <w:sz w:val="44"/>
        </w:rPr>
      </w:pPr>
    </w:p>
    <w:p>
      <w:pPr>
        <w:pStyle w:val="2"/>
        <w:ind w:firstLine="480"/>
      </w:pPr>
    </w:p>
    <w:p>
      <w:pPr>
        <w:pStyle w:val="2"/>
        <w:ind w:firstLine="480"/>
      </w:pPr>
    </w:p>
    <w:p>
      <w:pPr>
        <w:pStyle w:val="2"/>
        <w:ind w:firstLine="480"/>
      </w:pPr>
    </w:p>
    <w:p>
      <w:pPr>
        <w:pStyle w:val="2"/>
        <w:ind w:firstLine="480"/>
      </w:pPr>
    </w:p>
    <w:p>
      <w:pPr>
        <w:keepNext w:val="0"/>
        <w:keepLines w:val="0"/>
        <w:widowControl/>
        <w:suppressLineNumbers w:val="0"/>
        <w:spacing w:line="240" w:lineRule="auto"/>
        <w:jc w:val="center"/>
        <w:rPr>
          <w:rFonts w:hint="eastAsia" w:ascii="方正小标宋简体" w:hAnsi="方正小标宋简体" w:eastAsia="方正小标宋简体" w:cs="方正小标宋简体"/>
          <w:b w:val="0"/>
          <w:bCs w:val="0"/>
          <w:color w:val="000000"/>
          <w:sz w:val="44"/>
          <w:szCs w:val="44"/>
        </w:rPr>
      </w:pPr>
      <w:r>
        <w:rPr>
          <w:rFonts w:hint="eastAsia" w:ascii="方正小标宋简体" w:hAnsi="方正小标宋简体" w:eastAsia="方正小标宋简体" w:cs="方正小标宋简体"/>
          <w:b w:val="0"/>
          <w:bCs w:val="0"/>
          <w:color w:val="000000"/>
          <w:sz w:val="44"/>
          <w:szCs w:val="44"/>
        </w:rPr>
        <w:t>西咸新区“十四五”电网发展规划</w:t>
      </w:r>
    </w:p>
    <w:p>
      <w:pPr>
        <w:pStyle w:val="2"/>
        <w:ind w:firstLine="480"/>
      </w:pPr>
    </w:p>
    <w:p>
      <w:pPr>
        <w:pStyle w:val="2"/>
        <w:ind w:firstLine="480"/>
      </w:pPr>
    </w:p>
    <w:p>
      <w:pPr>
        <w:pStyle w:val="2"/>
        <w:ind w:firstLine="480"/>
      </w:pPr>
    </w:p>
    <w:p>
      <w:pPr>
        <w:pStyle w:val="2"/>
        <w:ind w:firstLine="480"/>
      </w:pPr>
    </w:p>
    <w:p>
      <w:pPr>
        <w:spacing w:line="360" w:lineRule="auto"/>
        <w:jc w:val="center"/>
        <w:rPr>
          <w:rFonts w:ascii="宋体" w:hAnsi="宋体"/>
          <w:b/>
          <w:color w:val="FF0000"/>
          <w:sz w:val="32"/>
          <w:szCs w:val="32"/>
        </w:rPr>
      </w:pPr>
    </w:p>
    <w:p>
      <w:pPr>
        <w:spacing w:line="360" w:lineRule="auto"/>
        <w:jc w:val="center"/>
        <w:rPr>
          <w:rFonts w:ascii="宋体" w:hAnsi="宋体"/>
          <w:b/>
          <w:color w:val="FF0000"/>
          <w:sz w:val="32"/>
          <w:szCs w:val="32"/>
        </w:rPr>
      </w:pPr>
    </w:p>
    <w:p>
      <w:pPr>
        <w:keepNext w:val="0"/>
        <w:keepLines w:val="0"/>
        <w:pageBreakBefore w:val="0"/>
        <w:widowControl w:val="0"/>
        <w:kinsoku/>
        <w:wordWrap/>
        <w:overflowPunct/>
        <w:topLinePunct w:val="0"/>
        <w:autoSpaceDE/>
        <w:autoSpaceDN/>
        <w:bidi w:val="0"/>
        <w:adjustRightInd/>
        <w:snapToGrid/>
        <w:spacing w:line="560" w:lineRule="exact"/>
        <w:ind w:firstLine="2880" w:firstLineChars="900"/>
        <w:jc w:val="both"/>
        <w:textAlignment w:val="auto"/>
        <w:rPr>
          <w:rFonts w:hint="eastAsia" w:ascii="黑体" w:hAnsi="黑体" w:eastAsia="黑体" w:cs="黑体"/>
          <w:b w:val="0"/>
          <w:bCs w:val="0"/>
          <w:color w:val="000000"/>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firstLine="2880" w:firstLineChars="900"/>
        <w:jc w:val="both"/>
        <w:textAlignment w:val="auto"/>
        <w:rPr>
          <w:rFonts w:hint="eastAsia" w:ascii="黑体" w:hAnsi="黑体" w:eastAsia="黑体" w:cs="黑体"/>
          <w:b w:val="0"/>
          <w:bCs w:val="0"/>
          <w:color w:val="000000"/>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firstLine="2880" w:firstLineChars="900"/>
        <w:jc w:val="both"/>
        <w:textAlignment w:val="auto"/>
        <w:rPr>
          <w:rFonts w:hint="eastAsia" w:ascii="黑体" w:hAnsi="黑体" w:eastAsia="黑体" w:cs="黑体"/>
          <w:b w:val="0"/>
          <w:bCs w:val="0"/>
          <w:color w:val="000000"/>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firstLine="2880" w:firstLineChars="900"/>
        <w:jc w:val="both"/>
        <w:textAlignment w:val="auto"/>
        <w:rPr>
          <w:rFonts w:hint="eastAsia" w:ascii="黑体" w:hAnsi="黑体" w:eastAsia="黑体" w:cs="黑体"/>
          <w:b w:val="0"/>
          <w:bCs w:val="0"/>
          <w:color w:val="000000"/>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firstLine="2880" w:firstLineChars="900"/>
        <w:jc w:val="both"/>
        <w:textAlignment w:val="auto"/>
        <w:rPr>
          <w:rFonts w:hint="eastAsia" w:ascii="黑体" w:hAnsi="黑体" w:eastAsia="黑体" w:cs="黑体"/>
          <w:b w:val="0"/>
          <w:bCs w:val="0"/>
          <w:color w:val="000000"/>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firstLine="2880" w:firstLineChars="900"/>
        <w:jc w:val="both"/>
        <w:textAlignment w:val="auto"/>
        <w:rPr>
          <w:rFonts w:hint="eastAsia" w:ascii="黑体" w:hAnsi="黑体" w:eastAsia="黑体" w:cs="黑体"/>
          <w:b w:val="0"/>
          <w:bCs w:val="0"/>
          <w:color w:val="000000"/>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firstLine="2880" w:firstLineChars="900"/>
        <w:jc w:val="both"/>
        <w:textAlignment w:val="auto"/>
        <w:rPr>
          <w:rFonts w:hint="eastAsia" w:ascii="黑体" w:hAnsi="黑体" w:eastAsia="黑体" w:cs="黑体"/>
          <w:b w:val="0"/>
          <w:bCs w:val="0"/>
          <w:color w:val="000000"/>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firstLine="2880" w:firstLineChars="900"/>
        <w:jc w:val="both"/>
        <w:textAlignment w:val="auto"/>
        <w:rPr>
          <w:rFonts w:hint="eastAsia" w:ascii="黑体" w:hAnsi="黑体" w:eastAsia="黑体" w:cs="黑体"/>
          <w:b w:val="0"/>
          <w:bCs w:val="0"/>
          <w:color w:val="000000"/>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firstLine="2880" w:firstLineChars="900"/>
        <w:jc w:val="both"/>
        <w:textAlignment w:val="auto"/>
        <w:rPr>
          <w:rFonts w:hint="eastAsia" w:ascii="黑体" w:hAnsi="黑体" w:eastAsia="黑体" w:cs="黑体"/>
          <w:b w:val="0"/>
          <w:bCs w:val="0"/>
          <w:color w:val="000000"/>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firstLine="2880" w:firstLineChars="900"/>
        <w:jc w:val="both"/>
        <w:textAlignment w:val="auto"/>
        <w:rPr>
          <w:rFonts w:hint="eastAsia" w:ascii="黑体" w:hAnsi="黑体" w:eastAsia="黑体" w:cs="黑体"/>
          <w:b w:val="0"/>
          <w:bCs w:val="0"/>
          <w:color w:val="000000"/>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firstLine="2880" w:firstLineChars="900"/>
        <w:jc w:val="both"/>
        <w:textAlignment w:val="auto"/>
        <w:rPr>
          <w:rFonts w:hint="eastAsia" w:ascii="黑体" w:hAnsi="黑体" w:eastAsia="黑体" w:cs="黑体"/>
          <w:b w:val="0"/>
          <w:bCs w:val="0"/>
          <w:color w:val="000000"/>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firstLine="2880" w:firstLineChars="900"/>
        <w:jc w:val="both"/>
        <w:textAlignment w:val="auto"/>
        <w:rPr>
          <w:rFonts w:hint="eastAsia" w:ascii="黑体" w:hAnsi="黑体" w:eastAsia="黑体" w:cs="黑体"/>
          <w:b w:val="0"/>
          <w:bCs w:val="0"/>
          <w:color w:val="000000"/>
          <w:sz w:val="32"/>
          <w:szCs w:val="32"/>
          <w:lang w:val="en-US" w:eastAsia="zh-CN"/>
        </w:rPr>
        <w:sectPr>
          <w:pgSz w:w="11906" w:h="16838"/>
          <w:pgMar w:top="1440" w:right="1803" w:bottom="1440" w:left="1800" w:header="851" w:footer="992" w:gutter="0"/>
          <w:pgBorders>
            <w:top w:val="none" w:sz="0" w:space="0"/>
            <w:left w:val="none" w:sz="0" w:space="0"/>
            <w:bottom w:val="none" w:sz="0" w:space="0"/>
            <w:right w:val="none" w:sz="0" w:space="0"/>
          </w:pgBorders>
          <w:cols w:space="720" w:num="1"/>
          <w:docGrid w:type="lines" w:linePitch="312" w:charSpace="0"/>
        </w:sectPr>
      </w:pPr>
      <w:r>
        <w:rPr>
          <w:rFonts w:hint="eastAsia" w:ascii="黑体" w:hAnsi="黑体" w:eastAsia="黑体" w:cs="黑体"/>
          <w:b w:val="0"/>
          <w:bCs w:val="0"/>
          <w:color w:val="000000"/>
          <w:sz w:val="32"/>
          <w:szCs w:val="32"/>
          <w:lang w:val="en-US" w:eastAsia="zh-CN"/>
        </w:rPr>
        <w:t>二0二一年九</w:t>
      </w:r>
      <w:bookmarkStart w:id="1313" w:name="_GoBack"/>
      <w:bookmarkEnd w:id="1313"/>
      <w:r>
        <w:rPr>
          <w:rFonts w:hint="eastAsia" w:ascii="黑体" w:hAnsi="黑体" w:eastAsia="黑体" w:cs="黑体"/>
          <w:b w:val="0"/>
          <w:bCs w:val="0"/>
          <w:color w:val="000000"/>
          <w:sz w:val="32"/>
          <w:szCs w:val="32"/>
          <w:lang w:val="en-US" w:eastAsia="zh-CN"/>
        </w:rPr>
        <w:t>月</w:t>
      </w:r>
    </w:p>
    <w:p>
      <w:pPr>
        <w:keepNext w:val="0"/>
        <w:keepLines w:val="0"/>
        <w:pageBreakBefore w:val="0"/>
        <w:kinsoku/>
        <w:wordWrap/>
        <w:overflowPunct/>
        <w:topLinePunct w:val="0"/>
        <w:autoSpaceDE/>
        <w:autoSpaceDN/>
        <w:bidi w:val="0"/>
        <w:adjustRightInd/>
        <w:snapToGrid/>
        <w:spacing w:before="0" w:beforeLines="0" w:after="0" w:afterLines="0" w:line="560" w:lineRule="exact"/>
        <w:ind w:left="0" w:leftChars="0" w:right="0" w:rightChars="0" w:firstLine="0" w:firstLineChars="0"/>
        <w:jc w:val="center"/>
        <w:textAlignment w:val="auto"/>
        <w:outlineLvl w:val="0"/>
        <w:rPr>
          <w:rFonts w:hint="eastAsia" w:ascii="宋体" w:hAnsi="宋体" w:eastAsia="微软雅黑"/>
          <w:b w:val="0"/>
          <w:bCs w:val="0"/>
          <w:color w:val="000000"/>
          <w:sz w:val="28"/>
          <w:szCs w:val="28"/>
        </w:rPr>
      </w:pPr>
      <w:bookmarkStart w:id="0" w:name="_Toc19705"/>
      <w:r>
        <w:rPr>
          <w:rFonts w:hint="eastAsia" w:ascii="宋体" w:hAnsi="宋体" w:eastAsia="微软雅黑"/>
          <w:b w:val="0"/>
          <w:bCs w:val="0"/>
          <w:color w:val="000000"/>
          <w:sz w:val="28"/>
          <w:szCs w:val="28"/>
        </w:rPr>
        <w:t>目</w:t>
      </w:r>
      <w:r>
        <w:rPr>
          <w:rFonts w:hint="eastAsia" w:ascii="宋体" w:hAnsi="宋体" w:eastAsia="微软雅黑"/>
          <w:b w:val="0"/>
          <w:bCs w:val="0"/>
          <w:color w:val="000000"/>
          <w:sz w:val="28"/>
          <w:szCs w:val="28"/>
          <w:lang w:val="en-US" w:eastAsia="zh-CN"/>
        </w:rPr>
        <w:t xml:space="preserve">   </w:t>
      </w:r>
      <w:r>
        <w:rPr>
          <w:rFonts w:hint="eastAsia" w:ascii="宋体" w:hAnsi="宋体" w:eastAsia="微软雅黑"/>
          <w:b w:val="0"/>
          <w:bCs w:val="0"/>
          <w:color w:val="000000"/>
          <w:sz w:val="28"/>
          <w:szCs w:val="28"/>
        </w:rPr>
        <w:t>录</w:t>
      </w:r>
      <w:bookmarkEnd w:id="0"/>
    </w:p>
    <w:p>
      <w:pPr>
        <w:pStyle w:val="59"/>
        <w:keepNext w:val="0"/>
        <w:keepLines w:val="0"/>
        <w:pageBreakBefore w:val="0"/>
        <w:widowControl w:val="0"/>
        <w:tabs>
          <w:tab w:val="right" w:leader="dot" w:pos="8505"/>
        </w:tabs>
        <w:kinsoku/>
        <w:wordWrap/>
        <w:overflowPunct/>
        <w:topLinePunct w:val="0"/>
        <w:autoSpaceDE/>
        <w:autoSpaceDN/>
        <w:bidi w:val="0"/>
        <w:spacing w:line="460" w:lineRule="exact"/>
        <w:textAlignment w:val="auto"/>
      </w:pPr>
      <w:r>
        <w:rPr>
          <w:rFonts w:eastAsia="仿宋"/>
          <w:bCs w:val="0"/>
          <w:sz w:val="44"/>
        </w:rPr>
        <w:fldChar w:fldCharType="begin" w:fldLock="1"/>
      </w:r>
      <w:r>
        <w:rPr>
          <w:rFonts w:eastAsia="仿宋"/>
          <w:bCs w:val="0"/>
          <w:sz w:val="44"/>
        </w:rPr>
        <w:instrText xml:space="preserve"> TOC \o "1-2" \h \z \u </w:instrText>
      </w:r>
      <w:r>
        <w:rPr>
          <w:rFonts w:eastAsia="仿宋"/>
          <w:bCs w:val="0"/>
          <w:sz w:val="44"/>
        </w:rPr>
        <w:fldChar w:fldCharType="separate"/>
      </w:r>
      <w:r>
        <w:rPr>
          <w:rFonts w:hint="eastAsia" w:ascii="黑体" w:hAnsi="黑体" w:eastAsia="黑体" w:cs="黑体"/>
          <w:b w:val="0"/>
          <w:bCs w:val="0"/>
          <w:sz w:val="28"/>
          <w:szCs w:val="28"/>
        </w:rPr>
        <w:fldChar w:fldCharType="begin" w:fldLock="1"/>
      </w:r>
      <w:r>
        <w:rPr>
          <w:rFonts w:hint="eastAsia" w:ascii="黑体" w:hAnsi="黑体" w:eastAsia="黑体" w:cs="黑体"/>
          <w:b w:val="0"/>
          <w:bCs w:val="0"/>
          <w:sz w:val="28"/>
          <w:szCs w:val="28"/>
        </w:rPr>
        <w:instrText xml:space="preserve"> HYPERLINK \l _Toc21605 </w:instrText>
      </w:r>
      <w:r>
        <w:rPr>
          <w:rFonts w:hint="eastAsia" w:ascii="黑体" w:hAnsi="黑体" w:eastAsia="黑体" w:cs="黑体"/>
          <w:b w:val="0"/>
          <w:bCs w:val="0"/>
          <w:sz w:val="28"/>
          <w:szCs w:val="28"/>
        </w:rPr>
        <w:fldChar w:fldCharType="separate"/>
      </w:r>
      <w:r>
        <w:rPr>
          <w:rFonts w:hint="eastAsia" w:ascii="黑体" w:hAnsi="黑体" w:eastAsia="黑体" w:cs="黑体"/>
          <w:b w:val="0"/>
          <w:bCs w:val="0"/>
          <w:sz w:val="28"/>
          <w:szCs w:val="28"/>
        </w:rPr>
        <w:t>1 前言</w:t>
      </w:r>
      <w:r>
        <w:rPr>
          <w:rFonts w:hint="eastAsia" w:ascii="黑体" w:hAnsi="黑体" w:eastAsia="黑体" w:cs="黑体"/>
          <w:b w:val="0"/>
          <w:bCs w:val="0"/>
          <w:sz w:val="28"/>
          <w:szCs w:val="28"/>
        </w:rPr>
        <w:tab/>
      </w:r>
      <w:r>
        <w:rPr>
          <w:rFonts w:hint="eastAsia" w:ascii="黑体" w:hAnsi="黑体" w:eastAsia="黑体" w:cs="黑体"/>
          <w:b w:val="0"/>
          <w:bCs w:val="0"/>
          <w:sz w:val="28"/>
          <w:szCs w:val="28"/>
        </w:rPr>
        <w:fldChar w:fldCharType="begin" w:fldLock="1"/>
      </w:r>
      <w:r>
        <w:rPr>
          <w:rFonts w:hint="eastAsia" w:ascii="黑体" w:hAnsi="黑体" w:eastAsia="黑体" w:cs="黑体"/>
          <w:b w:val="0"/>
          <w:bCs w:val="0"/>
          <w:sz w:val="28"/>
          <w:szCs w:val="28"/>
        </w:rPr>
        <w:instrText xml:space="preserve"> PAGEREF _Toc21605 \h </w:instrText>
      </w:r>
      <w:r>
        <w:rPr>
          <w:rFonts w:hint="eastAsia" w:ascii="黑体" w:hAnsi="黑体" w:eastAsia="黑体" w:cs="黑体"/>
          <w:b w:val="0"/>
          <w:bCs w:val="0"/>
          <w:sz w:val="28"/>
          <w:szCs w:val="28"/>
        </w:rPr>
        <w:fldChar w:fldCharType="separate"/>
      </w:r>
      <w:r>
        <w:rPr>
          <w:rFonts w:hint="eastAsia" w:ascii="黑体" w:hAnsi="黑体" w:eastAsia="黑体" w:cs="黑体"/>
          <w:b w:val="0"/>
          <w:bCs w:val="0"/>
          <w:sz w:val="28"/>
          <w:szCs w:val="28"/>
        </w:rPr>
        <w:t>1</w:t>
      </w:r>
      <w:r>
        <w:rPr>
          <w:rFonts w:hint="eastAsia" w:ascii="黑体" w:hAnsi="黑体" w:eastAsia="黑体" w:cs="黑体"/>
          <w:b w:val="0"/>
          <w:bCs w:val="0"/>
          <w:sz w:val="28"/>
          <w:szCs w:val="28"/>
        </w:rPr>
        <w:fldChar w:fldCharType="end"/>
      </w:r>
      <w:r>
        <w:rPr>
          <w:rFonts w:hint="eastAsia" w:ascii="黑体" w:hAnsi="黑体" w:eastAsia="黑体" w:cs="黑体"/>
          <w:b w:val="0"/>
          <w:bCs w:val="0"/>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sz w:val="28"/>
          <w:szCs w:val="28"/>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_Toc20842 </w:instrText>
      </w:r>
      <w:r>
        <w:rPr>
          <w:rFonts w:hint="eastAsia" w:ascii="楷体" w:hAnsi="楷体" w:eastAsia="楷体" w:cs="楷体"/>
          <w:bCs/>
          <w:sz w:val="28"/>
          <w:szCs w:val="28"/>
        </w:rPr>
        <w:fldChar w:fldCharType="separate"/>
      </w:r>
      <w:r>
        <w:rPr>
          <w:rFonts w:hint="eastAsia" w:ascii="楷体" w:hAnsi="楷体" w:eastAsia="楷体" w:cs="楷体"/>
          <w:sz w:val="28"/>
          <w:szCs w:val="28"/>
        </w:rPr>
        <w:t>1.1 编制背景和目的</w:t>
      </w:r>
      <w:r>
        <w:rPr>
          <w:rFonts w:hint="eastAsia" w:ascii="楷体" w:hAnsi="楷体" w:eastAsia="楷体" w:cs="楷体"/>
          <w:sz w:val="28"/>
          <w:szCs w:val="28"/>
        </w:rPr>
        <w:tab/>
      </w:r>
      <w:r>
        <w:rPr>
          <w:rFonts w:hint="eastAsia" w:ascii="楷体" w:hAnsi="楷体" w:eastAsia="楷体" w:cs="楷体"/>
          <w:sz w:val="28"/>
          <w:szCs w:val="28"/>
        </w:rPr>
        <w:fldChar w:fldCharType="begin" w:fldLock="1"/>
      </w:r>
      <w:r>
        <w:rPr>
          <w:rFonts w:hint="eastAsia" w:ascii="楷体" w:hAnsi="楷体" w:eastAsia="楷体" w:cs="楷体"/>
          <w:sz w:val="28"/>
          <w:szCs w:val="28"/>
        </w:rPr>
        <w:instrText xml:space="preserve"> PAGEREF _Toc20842 \h </w:instrText>
      </w:r>
      <w:r>
        <w:rPr>
          <w:rFonts w:hint="eastAsia" w:ascii="楷体" w:hAnsi="楷体" w:eastAsia="楷体" w:cs="楷体"/>
          <w:sz w:val="28"/>
          <w:szCs w:val="28"/>
        </w:rPr>
        <w:fldChar w:fldCharType="separate"/>
      </w:r>
      <w:r>
        <w:rPr>
          <w:rFonts w:hint="eastAsia" w:ascii="楷体" w:hAnsi="楷体" w:eastAsia="楷体" w:cs="楷体"/>
          <w:sz w:val="28"/>
          <w:szCs w:val="28"/>
        </w:rPr>
        <w:t>1</w:t>
      </w:r>
      <w:r>
        <w:rPr>
          <w:rFonts w:hint="eastAsia" w:ascii="楷体" w:hAnsi="楷体" w:eastAsia="楷体" w:cs="楷体"/>
          <w:sz w:val="28"/>
          <w:szCs w:val="28"/>
        </w:rPr>
        <w:fldChar w:fldCharType="end"/>
      </w:r>
      <w:r>
        <w:rPr>
          <w:rFonts w:hint="eastAsia" w:ascii="楷体" w:hAnsi="楷体" w:eastAsia="楷体" w:cs="楷体"/>
          <w:bCs/>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sz w:val="28"/>
          <w:szCs w:val="28"/>
          <w:lang w:val="en-US" w:eastAsia="zh-CN"/>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_Toc1194 </w:instrText>
      </w:r>
      <w:r>
        <w:rPr>
          <w:rFonts w:hint="eastAsia" w:ascii="楷体" w:hAnsi="楷体" w:eastAsia="楷体" w:cs="楷体"/>
          <w:bCs/>
          <w:sz w:val="28"/>
          <w:szCs w:val="28"/>
        </w:rPr>
        <w:fldChar w:fldCharType="separate"/>
      </w:r>
      <w:r>
        <w:rPr>
          <w:rFonts w:hint="eastAsia" w:ascii="楷体" w:hAnsi="楷体" w:eastAsia="楷体" w:cs="楷体"/>
          <w:sz w:val="28"/>
          <w:szCs w:val="28"/>
        </w:rPr>
        <w:t>1.2 规划思路</w:t>
      </w:r>
      <w:r>
        <w:rPr>
          <w:rFonts w:hint="eastAsia" w:ascii="楷体" w:hAnsi="楷体" w:eastAsia="楷体" w:cs="楷体"/>
          <w:sz w:val="28"/>
          <w:szCs w:val="28"/>
        </w:rPr>
        <w:tab/>
      </w:r>
      <w:r>
        <w:rPr>
          <w:rFonts w:hint="eastAsia" w:ascii="楷体" w:hAnsi="楷体" w:eastAsia="楷体" w:cs="楷体"/>
          <w:sz w:val="28"/>
          <w:szCs w:val="28"/>
          <w:lang w:val="en-US" w:eastAsia="zh-CN"/>
        </w:rPr>
        <w:t>1</w:t>
      </w:r>
      <w:r>
        <w:rPr>
          <w:rFonts w:hint="eastAsia" w:ascii="楷体" w:hAnsi="楷体" w:eastAsia="楷体" w:cs="楷体"/>
          <w:bCs/>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sz w:val="28"/>
          <w:szCs w:val="28"/>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_Toc32623 </w:instrText>
      </w:r>
      <w:r>
        <w:rPr>
          <w:rFonts w:hint="eastAsia" w:ascii="楷体" w:hAnsi="楷体" w:eastAsia="楷体" w:cs="楷体"/>
          <w:bCs/>
          <w:sz w:val="28"/>
          <w:szCs w:val="28"/>
        </w:rPr>
        <w:fldChar w:fldCharType="separate"/>
      </w:r>
      <w:r>
        <w:rPr>
          <w:rFonts w:hint="eastAsia" w:ascii="楷体" w:hAnsi="楷体" w:eastAsia="楷体" w:cs="楷体"/>
          <w:sz w:val="28"/>
          <w:szCs w:val="28"/>
        </w:rPr>
        <w:t>1.3 规划范围及年限</w:t>
      </w:r>
      <w:r>
        <w:rPr>
          <w:rFonts w:hint="eastAsia" w:ascii="楷体" w:hAnsi="楷体" w:eastAsia="楷体" w:cs="楷体"/>
          <w:sz w:val="28"/>
          <w:szCs w:val="28"/>
        </w:rPr>
        <w:tab/>
      </w:r>
      <w:r>
        <w:rPr>
          <w:rFonts w:hint="eastAsia" w:ascii="楷体" w:hAnsi="楷体" w:eastAsia="楷体" w:cs="楷体"/>
          <w:sz w:val="28"/>
          <w:szCs w:val="28"/>
        </w:rPr>
        <w:fldChar w:fldCharType="begin" w:fldLock="1"/>
      </w:r>
      <w:r>
        <w:rPr>
          <w:rFonts w:hint="eastAsia" w:ascii="楷体" w:hAnsi="楷体" w:eastAsia="楷体" w:cs="楷体"/>
          <w:sz w:val="28"/>
          <w:szCs w:val="28"/>
        </w:rPr>
        <w:instrText xml:space="preserve"> PAGEREF _Toc32623 \h </w:instrText>
      </w:r>
      <w:r>
        <w:rPr>
          <w:rFonts w:hint="eastAsia" w:ascii="楷体" w:hAnsi="楷体" w:eastAsia="楷体" w:cs="楷体"/>
          <w:sz w:val="28"/>
          <w:szCs w:val="28"/>
        </w:rPr>
        <w:fldChar w:fldCharType="separate"/>
      </w:r>
      <w:r>
        <w:rPr>
          <w:rFonts w:hint="eastAsia" w:ascii="楷体" w:hAnsi="楷体" w:eastAsia="楷体" w:cs="楷体"/>
          <w:sz w:val="28"/>
          <w:szCs w:val="28"/>
        </w:rPr>
        <w:t>2</w:t>
      </w:r>
      <w:r>
        <w:rPr>
          <w:rFonts w:hint="eastAsia" w:ascii="楷体" w:hAnsi="楷体" w:eastAsia="楷体" w:cs="楷体"/>
          <w:sz w:val="28"/>
          <w:szCs w:val="28"/>
        </w:rPr>
        <w:fldChar w:fldCharType="end"/>
      </w:r>
      <w:r>
        <w:rPr>
          <w:rFonts w:hint="eastAsia" w:ascii="楷体" w:hAnsi="楷体" w:eastAsia="楷体" w:cs="楷体"/>
          <w:bCs/>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sz w:val="28"/>
          <w:szCs w:val="28"/>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_Toc22335 </w:instrText>
      </w:r>
      <w:r>
        <w:rPr>
          <w:rFonts w:hint="eastAsia" w:ascii="楷体" w:hAnsi="楷体" w:eastAsia="楷体" w:cs="楷体"/>
          <w:bCs/>
          <w:sz w:val="28"/>
          <w:szCs w:val="28"/>
        </w:rPr>
        <w:fldChar w:fldCharType="separate"/>
      </w:r>
      <w:r>
        <w:rPr>
          <w:rFonts w:hint="eastAsia" w:ascii="楷体" w:hAnsi="楷体" w:eastAsia="楷体" w:cs="楷体"/>
          <w:sz w:val="28"/>
          <w:szCs w:val="28"/>
        </w:rPr>
        <w:t>1.4 编制依据</w:t>
      </w:r>
      <w:r>
        <w:rPr>
          <w:rFonts w:hint="eastAsia" w:ascii="楷体" w:hAnsi="楷体" w:eastAsia="楷体" w:cs="楷体"/>
          <w:sz w:val="28"/>
          <w:szCs w:val="28"/>
        </w:rPr>
        <w:tab/>
      </w:r>
      <w:r>
        <w:rPr>
          <w:rFonts w:hint="eastAsia" w:ascii="楷体" w:hAnsi="楷体" w:eastAsia="楷体" w:cs="楷体"/>
          <w:sz w:val="28"/>
          <w:szCs w:val="28"/>
          <w:lang w:val="en-US" w:eastAsia="zh-CN"/>
        </w:rPr>
        <w:t>2</w:t>
      </w:r>
      <w:r>
        <w:rPr>
          <w:rFonts w:hint="eastAsia" w:ascii="楷体" w:hAnsi="楷体" w:eastAsia="楷体" w:cs="楷体"/>
          <w:bCs/>
          <w:sz w:val="28"/>
          <w:szCs w:val="28"/>
        </w:rPr>
        <w:fldChar w:fldCharType="end"/>
      </w:r>
    </w:p>
    <w:p>
      <w:pPr>
        <w:pStyle w:val="59"/>
        <w:keepNext w:val="0"/>
        <w:keepLines w:val="0"/>
        <w:pageBreakBefore w:val="0"/>
        <w:widowControl w:val="0"/>
        <w:tabs>
          <w:tab w:val="right" w:leader="dot" w:pos="8505"/>
        </w:tabs>
        <w:kinsoku/>
        <w:wordWrap/>
        <w:overflowPunct/>
        <w:topLinePunct w:val="0"/>
        <w:autoSpaceDE/>
        <w:autoSpaceDN/>
        <w:bidi w:val="0"/>
        <w:spacing w:line="460" w:lineRule="exact"/>
        <w:textAlignment w:val="auto"/>
        <w:rPr>
          <w:rFonts w:hint="eastAsia" w:ascii="黑体" w:hAnsi="黑体" w:eastAsia="黑体" w:cs="黑体"/>
          <w:b w:val="0"/>
          <w:bCs w:val="0"/>
          <w:sz w:val="28"/>
          <w:szCs w:val="28"/>
        </w:rPr>
      </w:pPr>
      <w:r>
        <w:rPr>
          <w:rFonts w:hint="eastAsia" w:ascii="黑体" w:hAnsi="黑体" w:eastAsia="黑体" w:cs="黑体"/>
          <w:b w:val="0"/>
          <w:bCs w:val="0"/>
          <w:sz w:val="28"/>
          <w:szCs w:val="28"/>
        </w:rPr>
        <w:fldChar w:fldCharType="begin" w:fldLock="1"/>
      </w:r>
      <w:r>
        <w:rPr>
          <w:rFonts w:hint="eastAsia" w:ascii="黑体" w:hAnsi="黑体" w:eastAsia="黑体" w:cs="黑体"/>
          <w:b w:val="0"/>
          <w:bCs w:val="0"/>
          <w:sz w:val="28"/>
          <w:szCs w:val="28"/>
        </w:rPr>
        <w:instrText xml:space="preserve"> HYPERLINK \l _Toc9827 </w:instrText>
      </w:r>
      <w:r>
        <w:rPr>
          <w:rFonts w:hint="eastAsia" w:ascii="黑体" w:hAnsi="黑体" w:eastAsia="黑体" w:cs="黑体"/>
          <w:b w:val="0"/>
          <w:bCs w:val="0"/>
          <w:sz w:val="28"/>
          <w:szCs w:val="28"/>
        </w:rPr>
        <w:fldChar w:fldCharType="separate"/>
      </w:r>
      <w:r>
        <w:rPr>
          <w:rFonts w:hint="eastAsia" w:ascii="黑体" w:hAnsi="黑体" w:eastAsia="黑体" w:cs="黑体"/>
          <w:b w:val="0"/>
          <w:bCs w:val="0"/>
          <w:sz w:val="28"/>
          <w:szCs w:val="28"/>
        </w:rPr>
        <w:t>2 西咸新区概况</w:t>
      </w:r>
      <w:r>
        <w:rPr>
          <w:rFonts w:hint="eastAsia" w:ascii="黑体" w:hAnsi="黑体" w:eastAsia="黑体" w:cs="黑体"/>
          <w:b w:val="0"/>
          <w:bCs w:val="0"/>
          <w:sz w:val="28"/>
          <w:szCs w:val="28"/>
        </w:rPr>
        <w:tab/>
      </w:r>
      <w:r>
        <w:rPr>
          <w:rFonts w:hint="eastAsia" w:ascii="黑体" w:hAnsi="黑体" w:eastAsia="黑体" w:cs="黑体"/>
          <w:b w:val="0"/>
          <w:bCs w:val="0"/>
          <w:sz w:val="28"/>
          <w:szCs w:val="28"/>
        </w:rPr>
        <w:fldChar w:fldCharType="begin" w:fldLock="1"/>
      </w:r>
      <w:r>
        <w:rPr>
          <w:rFonts w:hint="eastAsia" w:ascii="黑体" w:hAnsi="黑体" w:eastAsia="黑体" w:cs="黑体"/>
          <w:b w:val="0"/>
          <w:bCs w:val="0"/>
          <w:sz w:val="28"/>
          <w:szCs w:val="28"/>
        </w:rPr>
        <w:instrText xml:space="preserve"> PAGEREF _Toc9827 \h </w:instrText>
      </w:r>
      <w:r>
        <w:rPr>
          <w:rFonts w:hint="eastAsia" w:ascii="黑体" w:hAnsi="黑体" w:eastAsia="黑体" w:cs="黑体"/>
          <w:b w:val="0"/>
          <w:bCs w:val="0"/>
          <w:sz w:val="28"/>
          <w:szCs w:val="28"/>
        </w:rPr>
        <w:fldChar w:fldCharType="separate"/>
      </w:r>
      <w:r>
        <w:rPr>
          <w:rFonts w:hint="eastAsia" w:ascii="黑体" w:hAnsi="黑体" w:eastAsia="黑体" w:cs="黑体"/>
          <w:b w:val="0"/>
          <w:bCs w:val="0"/>
          <w:sz w:val="28"/>
          <w:szCs w:val="28"/>
        </w:rPr>
        <w:t>5</w:t>
      </w:r>
      <w:r>
        <w:rPr>
          <w:rFonts w:hint="eastAsia" w:ascii="黑体" w:hAnsi="黑体" w:eastAsia="黑体" w:cs="黑体"/>
          <w:b w:val="0"/>
          <w:bCs w:val="0"/>
          <w:sz w:val="28"/>
          <w:szCs w:val="28"/>
        </w:rPr>
        <w:fldChar w:fldCharType="end"/>
      </w:r>
      <w:r>
        <w:rPr>
          <w:rFonts w:hint="eastAsia" w:ascii="黑体" w:hAnsi="黑体" w:eastAsia="黑体" w:cs="黑体"/>
          <w:b w:val="0"/>
          <w:bCs w:val="0"/>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_Toc26733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2.1 规划范围</w:t>
      </w:r>
      <w:r>
        <w:rPr>
          <w:rFonts w:hint="eastAsia" w:ascii="楷体" w:hAnsi="楷体" w:eastAsia="楷体" w:cs="楷体"/>
          <w:bCs/>
          <w:sz w:val="28"/>
          <w:szCs w:val="28"/>
        </w:rPr>
        <w:tab/>
      </w: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PAGEREF _Toc26733 \h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5</w:t>
      </w:r>
      <w:r>
        <w:rPr>
          <w:rFonts w:hint="eastAsia" w:ascii="楷体" w:hAnsi="楷体" w:eastAsia="楷体" w:cs="楷体"/>
          <w:bCs/>
          <w:sz w:val="28"/>
          <w:szCs w:val="28"/>
        </w:rPr>
        <w:fldChar w:fldCharType="end"/>
      </w:r>
      <w:r>
        <w:rPr>
          <w:rFonts w:hint="eastAsia" w:ascii="楷体" w:hAnsi="楷体" w:eastAsia="楷体" w:cs="楷体"/>
          <w:bCs/>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_Toc14939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2.2 战略定位</w:t>
      </w:r>
      <w:r>
        <w:rPr>
          <w:rFonts w:hint="eastAsia" w:ascii="楷体" w:hAnsi="楷体" w:eastAsia="楷体" w:cs="楷体"/>
          <w:bCs/>
          <w:sz w:val="28"/>
          <w:szCs w:val="28"/>
        </w:rPr>
        <w:tab/>
      </w: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PAGEREF _Toc14939 \h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5</w:t>
      </w:r>
      <w:r>
        <w:rPr>
          <w:rFonts w:hint="eastAsia" w:ascii="楷体" w:hAnsi="楷体" w:eastAsia="楷体" w:cs="楷体"/>
          <w:bCs/>
          <w:sz w:val="28"/>
          <w:szCs w:val="28"/>
        </w:rPr>
        <w:fldChar w:fldCharType="end"/>
      </w:r>
      <w:r>
        <w:rPr>
          <w:rFonts w:hint="eastAsia" w:ascii="楷体" w:hAnsi="楷体" w:eastAsia="楷体" w:cs="楷体"/>
          <w:bCs/>
          <w:sz w:val="28"/>
          <w:szCs w:val="28"/>
        </w:rPr>
        <w:fldChar w:fldCharType="end"/>
      </w:r>
    </w:p>
    <w:p>
      <w:pPr>
        <w:pStyle w:val="59"/>
        <w:keepNext w:val="0"/>
        <w:keepLines w:val="0"/>
        <w:pageBreakBefore w:val="0"/>
        <w:widowControl w:val="0"/>
        <w:tabs>
          <w:tab w:val="right" w:leader="dot" w:pos="8505"/>
        </w:tabs>
        <w:kinsoku/>
        <w:wordWrap/>
        <w:overflowPunct/>
        <w:topLinePunct w:val="0"/>
        <w:autoSpaceDE/>
        <w:autoSpaceDN/>
        <w:bidi w:val="0"/>
        <w:spacing w:line="460" w:lineRule="exact"/>
        <w:textAlignment w:val="auto"/>
        <w:rPr>
          <w:rFonts w:hint="eastAsia" w:ascii="黑体" w:hAnsi="黑体" w:eastAsia="黑体" w:cs="黑体"/>
          <w:b w:val="0"/>
          <w:bCs w:val="0"/>
          <w:sz w:val="28"/>
          <w:szCs w:val="28"/>
        </w:rPr>
      </w:pPr>
      <w:r>
        <w:rPr>
          <w:rFonts w:hint="eastAsia" w:ascii="黑体" w:hAnsi="黑体" w:eastAsia="黑体" w:cs="黑体"/>
          <w:b w:val="0"/>
          <w:bCs w:val="0"/>
          <w:sz w:val="28"/>
          <w:szCs w:val="28"/>
        </w:rPr>
        <w:fldChar w:fldCharType="begin" w:fldLock="1"/>
      </w:r>
      <w:r>
        <w:rPr>
          <w:rFonts w:hint="eastAsia" w:ascii="黑体" w:hAnsi="黑体" w:eastAsia="黑体" w:cs="黑体"/>
          <w:b w:val="0"/>
          <w:bCs w:val="0"/>
          <w:sz w:val="28"/>
          <w:szCs w:val="28"/>
        </w:rPr>
        <w:instrText xml:space="preserve"> HYPERLINK \l _Toc18719 </w:instrText>
      </w:r>
      <w:r>
        <w:rPr>
          <w:rFonts w:hint="eastAsia" w:ascii="黑体" w:hAnsi="黑体" w:eastAsia="黑体" w:cs="黑体"/>
          <w:b w:val="0"/>
          <w:bCs w:val="0"/>
          <w:sz w:val="28"/>
          <w:szCs w:val="28"/>
        </w:rPr>
        <w:fldChar w:fldCharType="separate"/>
      </w:r>
      <w:r>
        <w:rPr>
          <w:rFonts w:hint="eastAsia" w:ascii="黑体" w:hAnsi="黑体" w:eastAsia="黑体" w:cs="黑体"/>
          <w:b w:val="0"/>
          <w:bCs w:val="0"/>
          <w:sz w:val="28"/>
          <w:szCs w:val="28"/>
        </w:rPr>
        <w:t>3 电网现状</w:t>
      </w:r>
      <w:r>
        <w:rPr>
          <w:rFonts w:hint="eastAsia" w:ascii="黑体" w:hAnsi="黑体" w:eastAsia="黑体" w:cs="黑体"/>
          <w:b w:val="0"/>
          <w:bCs w:val="0"/>
          <w:sz w:val="28"/>
          <w:szCs w:val="28"/>
        </w:rPr>
        <w:tab/>
      </w:r>
      <w:r>
        <w:rPr>
          <w:rFonts w:hint="eastAsia" w:ascii="黑体" w:hAnsi="黑体" w:eastAsia="黑体" w:cs="黑体"/>
          <w:b w:val="0"/>
          <w:bCs w:val="0"/>
          <w:sz w:val="28"/>
          <w:szCs w:val="28"/>
        </w:rPr>
        <w:fldChar w:fldCharType="begin" w:fldLock="1"/>
      </w:r>
      <w:r>
        <w:rPr>
          <w:rFonts w:hint="eastAsia" w:ascii="黑体" w:hAnsi="黑体" w:eastAsia="黑体" w:cs="黑体"/>
          <w:b w:val="0"/>
          <w:bCs w:val="0"/>
          <w:sz w:val="28"/>
          <w:szCs w:val="28"/>
        </w:rPr>
        <w:instrText xml:space="preserve"> PAGEREF _Toc18719 \h </w:instrText>
      </w:r>
      <w:r>
        <w:rPr>
          <w:rFonts w:hint="eastAsia" w:ascii="黑体" w:hAnsi="黑体" w:eastAsia="黑体" w:cs="黑体"/>
          <w:b w:val="0"/>
          <w:bCs w:val="0"/>
          <w:sz w:val="28"/>
          <w:szCs w:val="28"/>
        </w:rPr>
        <w:fldChar w:fldCharType="separate"/>
      </w:r>
      <w:r>
        <w:rPr>
          <w:rFonts w:hint="eastAsia" w:ascii="黑体" w:hAnsi="黑体" w:eastAsia="黑体" w:cs="黑体"/>
          <w:b w:val="0"/>
          <w:bCs w:val="0"/>
          <w:sz w:val="28"/>
          <w:szCs w:val="28"/>
        </w:rPr>
        <w:t>8</w:t>
      </w:r>
      <w:r>
        <w:rPr>
          <w:rFonts w:hint="eastAsia" w:ascii="黑体" w:hAnsi="黑体" w:eastAsia="黑体" w:cs="黑体"/>
          <w:b w:val="0"/>
          <w:bCs w:val="0"/>
          <w:sz w:val="28"/>
          <w:szCs w:val="28"/>
        </w:rPr>
        <w:fldChar w:fldCharType="end"/>
      </w:r>
      <w:r>
        <w:rPr>
          <w:rFonts w:hint="eastAsia" w:ascii="黑体" w:hAnsi="黑体" w:eastAsia="黑体" w:cs="黑体"/>
          <w:b w:val="0"/>
          <w:bCs w:val="0"/>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_Toc26906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3.1 供电区概况</w:t>
      </w:r>
      <w:r>
        <w:rPr>
          <w:rFonts w:hint="eastAsia" w:ascii="楷体" w:hAnsi="楷体" w:eastAsia="楷体" w:cs="楷体"/>
          <w:bCs/>
          <w:sz w:val="28"/>
          <w:szCs w:val="28"/>
        </w:rPr>
        <w:tab/>
      </w: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PAGEREF _Toc26906 \h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8</w:t>
      </w:r>
      <w:r>
        <w:rPr>
          <w:rFonts w:hint="eastAsia" w:ascii="楷体" w:hAnsi="楷体" w:eastAsia="楷体" w:cs="楷体"/>
          <w:bCs/>
          <w:sz w:val="28"/>
          <w:szCs w:val="28"/>
        </w:rPr>
        <w:fldChar w:fldCharType="end"/>
      </w:r>
      <w:r>
        <w:rPr>
          <w:rFonts w:hint="eastAsia" w:ascii="楷体" w:hAnsi="楷体" w:eastAsia="楷体" w:cs="楷体"/>
          <w:bCs/>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_Toc22148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3.2 电源建设情况</w:t>
      </w:r>
      <w:r>
        <w:rPr>
          <w:rFonts w:hint="eastAsia" w:ascii="楷体" w:hAnsi="楷体" w:eastAsia="楷体" w:cs="楷体"/>
          <w:bCs/>
          <w:sz w:val="28"/>
          <w:szCs w:val="28"/>
        </w:rPr>
        <w:tab/>
      </w: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PAGEREF _Toc22148 \h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8</w:t>
      </w:r>
      <w:r>
        <w:rPr>
          <w:rFonts w:hint="eastAsia" w:ascii="楷体" w:hAnsi="楷体" w:eastAsia="楷体" w:cs="楷体"/>
          <w:bCs/>
          <w:sz w:val="28"/>
          <w:szCs w:val="28"/>
        </w:rPr>
        <w:fldChar w:fldCharType="end"/>
      </w:r>
      <w:r>
        <w:rPr>
          <w:rFonts w:hint="eastAsia" w:ascii="楷体" w:hAnsi="楷体" w:eastAsia="楷体" w:cs="楷体"/>
          <w:bCs/>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_Toc20386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3.3 330千伏电网现状</w:t>
      </w:r>
      <w:r>
        <w:rPr>
          <w:rFonts w:hint="eastAsia" w:ascii="楷体" w:hAnsi="楷体" w:eastAsia="楷体" w:cs="楷体"/>
          <w:bCs/>
          <w:sz w:val="28"/>
          <w:szCs w:val="28"/>
        </w:rPr>
        <w:tab/>
      </w: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PAGEREF _Toc20386 \h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9</w:t>
      </w:r>
      <w:r>
        <w:rPr>
          <w:rFonts w:hint="eastAsia" w:ascii="楷体" w:hAnsi="楷体" w:eastAsia="楷体" w:cs="楷体"/>
          <w:bCs/>
          <w:sz w:val="28"/>
          <w:szCs w:val="28"/>
        </w:rPr>
        <w:fldChar w:fldCharType="end"/>
      </w:r>
      <w:r>
        <w:rPr>
          <w:rFonts w:hint="eastAsia" w:ascii="楷体" w:hAnsi="楷体" w:eastAsia="楷体" w:cs="楷体"/>
          <w:bCs/>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_Toc25570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3.4 110千伏电网现状</w:t>
      </w:r>
      <w:r>
        <w:rPr>
          <w:rFonts w:hint="eastAsia" w:ascii="楷体" w:hAnsi="楷体" w:eastAsia="楷体" w:cs="楷体"/>
          <w:bCs/>
          <w:sz w:val="28"/>
          <w:szCs w:val="28"/>
        </w:rPr>
        <w:tab/>
      </w: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PAGEREF _Toc25570 \h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13</w:t>
      </w:r>
      <w:r>
        <w:rPr>
          <w:rFonts w:hint="eastAsia" w:ascii="楷体" w:hAnsi="楷体" w:eastAsia="楷体" w:cs="楷体"/>
          <w:bCs/>
          <w:sz w:val="28"/>
          <w:szCs w:val="28"/>
        </w:rPr>
        <w:fldChar w:fldCharType="end"/>
      </w:r>
      <w:r>
        <w:rPr>
          <w:rFonts w:hint="eastAsia" w:ascii="楷体" w:hAnsi="楷体" w:eastAsia="楷体" w:cs="楷体"/>
          <w:bCs/>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_Toc7498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3.5 35千伏电网现状</w:t>
      </w:r>
      <w:r>
        <w:rPr>
          <w:rFonts w:hint="eastAsia" w:ascii="楷体" w:hAnsi="楷体" w:eastAsia="楷体" w:cs="楷体"/>
          <w:bCs/>
          <w:sz w:val="28"/>
          <w:szCs w:val="28"/>
        </w:rPr>
        <w:tab/>
      </w: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PAGEREF _Toc7498 \h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17</w:t>
      </w:r>
      <w:r>
        <w:rPr>
          <w:rFonts w:hint="eastAsia" w:ascii="楷体" w:hAnsi="楷体" w:eastAsia="楷体" w:cs="楷体"/>
          <w:bCs/>
          <w:sz w:val="28"/>
          <w:szCs w:val="28"/>
        </w:rPr>
        <w:fldChar w:fldCharType="end"/>
      </w:r>
      <w:r>
        <w:rPr>
          <w:rFonts w:hint="eastAsia" w:ascii="楷体" w:hAnsi="楷体" w:eastAsia="楷体" w:cs="楷体"/>
          <w:bCs/>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_Toc28621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3.6 10千伏电网现状</w:t>
      </w:r>
      <w:r>
        <w:rPr>
          <w:rFonts w:hint="eastAsia" w:ascii="楷体" w:hAnsi="楷体" w:eastAsia="楷体" w:cs="楷体"/>
          <w:bCs/>
          <w:sz w:val="28"/>
          <w:szCs w:val="28"/>
        </w:rPr>
        <w:tab/>
      </w: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PAGEREF _Toc28621 \h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19</w:t>
      </w:r>
      <w:r>
        <w:rPr>
          <w:rFonts w:hint="eastAsia" w:ascii="楷体" w:hAnsi="楷体" w:eastAsia="楷体" w:cs="楷体"/>
          <w:bCs/>
          <w:sz w:val="28"/>
          <w:szCs w:val="28"/>
        </w:rPr>
        <w:fldChar w:fldCharType="end"/>
      </w:r>
      <w:r>
        <w:rPr>
          <w:rFonts w:hint="eastAsia" w:ascii="楷体" w:hAnsi="楷体" w:eastAsia="楷体" w:cs="楷体"/>
          <w:bCs/>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_Toc6271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3.7 电网现状评估</w:t>
      </w:r>
      <w:r>
        <w:rPr>
          <w:rFonts w:hint="eastAsia" w:ascii="楷体" w:hAnsi="楷体" w:eastAsia="楷体" w:cs="楷体"/>
          <w:bCs/>
          <w:sz w:val="28"/>
          <w:szCs w:val="28"/>
        </w:rPr>
        <w:tab/>
      </w: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PAGEREF _Toc6271 \h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24</w:t>
      </w:r>
      <w:r>
        <w:rPr>
          <w:rFonts w:hint="eastAsia" w:ascii="楷体" w:hAnsi="楷体" w:eastAsia="楷体" w:cs="楷体"/>
          <w:bCs/>
          <w:sz w:val="28"/>
          <w:szCs w:val="28"/>
        </w:rPr>
        <w:fldChar w:fldCharType="end"/>
      </w:r>
      <w:r>
        <w:rPr>
          <w:rFonts w:hint="eastAsia" w:ascii="楷体" w:hAnsi="楷体" w:eastAsia="楷体" w:cs="楷体"/>
          <w:bCs/>
          <w:sz w:val="28"/>
          <w:szCs w:val="28"/>
        </w:rPr>
        <w:fldChar w:fldCharType="end"/>
      </w:r>
    </w:p>
    <w:p>
      <w:pPr>
        <w:pStyle w:val="59"/>
        <w:keepNext w:val="0"/>
        <w:keepLines w:val="0"/>
        <w:pageBreakBefore w:val="0"/>
        <w:widowControl w:val="0"/>
        <w:tabs>
          <w:tab w:val="right" w:leader="dot" w:pos="8505"/>
        </w:tabs>
        <w:kinsoku/>
        <w:wordWrap/>
        <w:overflowPunct/>
        <w:topLinePunct w:val="0"/>
        <w:autoSpaceDE/>
        <w:autoSpaceDN/>
        <w:bidi w:val="0"/>
        <w:spacing w:line="460" w:lineRule="exact"/>
        <w:textAlignment w:val="auto"/>
        <w:rPr>
          <w:rFonts w:hint="eastAsia" w:ascii="黑体" w:hAnsi="黑体" w:eastAsia="黑体" w:cs="黑体"/>
          <w:b w:val="0"/>
          <w:bCs w:val="0"/>
          <w:sz w:val="28"/>
          <w:szCs w:val="28"/>
        </w:rPr>
      </w:pPr>
      <w:r>
        <w:rPr>
          <w:rFonts w:hint="eastAsia" w:ascii="黑体" w:hAnsi="黑体" w:eastAsia="黑体" w:cs="黑体"/>
          <w:b w:val="0"/>
          <w:bCs w:val="0"/>
          <w:sz w:val="28"/>
          <w:szCs w:val="28"/>
        </w:rPr>
        <w:fldChar w:fldCharType="begin" w:fldLock="1"/>
      </w:r>
      <w:r>
        <w:rPr>
          <w:rFonts w:hint="eastAsia" w:ascii="黑体" w:hAnsi="黑体" w:eastAsia="黑体" w:cs="黑体"/>
          <w:b w:val="0"/>
          <w:bCs w:val="0"/>
          <w:sz w:val="28"/>
          <w:szCs w:val="28"/>
        </w:rPr>
        <w:instrText xml:space="preserve"> HYPERLINK \l _Toc10345 </w:instrText>
      </w:r>
      <w:r>
        <w:rPr>
          <w:rFonts w:hint="eastAsia" w:ascii="黑体" w:hAnsi="黑体" w:eastAsia="黑体" w:cs="黑体"/>
          <w:b w:val="0"/>
          <w:bCs w:val="0"/>
          <w:sz w:val="28"/>
          <w:szCs w:val="28"/>
        </w:rPr>
        <w:fldChar w:fldCharType="separate"/>
      </w:r>
      <w:r>
        <w:rPr>
          <w:rFonts w:hint="eastAsia" w:ascii="黑体" w:hAnsi="黑体" w:eastAsia="黑体" w:cs="黑体"/>
          <w:b w:val="0"/>
          <w:bCs w:val="0"/>
          <w:sz w:val="28"/>
          <w:szCs w:val="28"/>
        </w:rPr>
        <w:t xml:space="preserve">4 </w:t>
      </w:r>
      <w:r>
        <w:rPr>
          <w:rFonts w:hint="eastAsia" w:ascii="黑体" w:hAnsi="黑体" w:eastAsia="黑体" w:cs="黑体"/>
          <w:b w:val="0"/>
          <w:bCs w:val="0"/>
          <w:sz w:val="28"/>
          <w:szCs w:val="28"/>
          <w:lang w:eastAsia="zh-CN"/>
        </w:rPr>
        <w:t>“</w:t>
      </w:r>
      <w:r>
        <w:rPr>
          <w:rFonts w:hint="eastAsia" w:ascii="黑体" w:hAnsi="黑体" w:eastAsia="黑体" w:cs="黑体"/>
          <w:b w:val="0"/>
          <w:bCs w:val="0"/>
          <w:sz w:val="28"/>
          <w:szCs w:val="28"/>
        </w:rPr>
        <w:t>十三五</w:t>
      </w:r>
      <w:r>
        <w:rPr>
          <w:rFonts w:hint="eastAsia" w:ascii="黑体" w:hAnsi="黑体" w:eastAsia="黑体" w:cs="黑体"/>
          <w:b w:val="0"/>
          <w:bCs w:val="0"/>
          <w:sz w:val="28"/>
          <w:szCs w:val="28"/>
          <w:lang w:eastAsia="zh-CN"/>
        </w:rPr>
        <w:t>”</w:t>
      </w:r>
      <w:r>
        <w:rPr>
          <w:rFonts w:hint="eastAsia" w:ascii="黑体" w:hAnsi="黑体" w:eastAsia="黑体" w:cs="黑体"/>
          <w:b w:val="0"/>
          <w:bCs w:val="0"/>
          <w:sz w:val="28"/>
          <w:szCs w:val="28"/>
        </w:rPr>
        <w:t>规划执行情况评估</w:t>
      </w:r>
      <w:r>
        <w:rPr>
          <w:rFonts w:hint="eastAsia" w:ascii="黑体" w:hAnsi="黑体" w:eastAsia="黑体" w:cs="黑体"/>
          <w:b w:val="0"/>
          <w:bCs w:val="0"/>
          <w:sz w:val="28"/>
          <w:szCs w:val="28"/>
        </w:rPr>
        <w:tab/>
      </w:r>
      <w:r>
        <w:rPr>
          <w:rFonts w:hint="eastAsia" w:ascii="黑体" w:hAnsi="黑体" w:eastAsia="黑体" w:cs="黑体"/>
          <w:b w:val="0"/>
          <w:bCs w:val="0"/>
          <w:sz w:val="28"/>
          <w:szCs w:val="28"/>
        </w:rPr>
        <w:fldChar w:fldCharType="begin" w:fldLock="1"/>
      </w:r>
      <w:r>
        <w:rPr>
          <w:rFonts w:hint="eastAsia" w:ascii="黑体" w:hAnsi="黑体" w:eastAsia="黑体" w:cs="黑体"/>
          <w:b w:val="0"/>
          <w:bCs w:val="0"/>
          <w:sz w:val="28"/>
          <w:szCs w:val="28"/>
        </w:rPr>
        <w:instrText xml:space="preserve"> PAGEREF _Toc10345 \h </w:instrText>
      </w:r>
      <w:r>
        <w:rPr>
          <w:rFonts w:hint="eastAsia" w:ascii="黑体" w:hAnsi="黑体" w:eastAsia="黑体" w:cs="黑体"/>
          <w:b w:val="0"/>
          <w:bCs w:val="0"/>
          <w:sz w:val="28"/>
          <w:szCs w:val="28"/>
        </w:rPr>
        <w:fldChar w:fldCharType="separate"/>
      </w:r>
      <w:r>
        <w:rPr>
          <w:rFonts w:hint="eastAsia" w:ascii="黑体" w:hAnsi="黑体" w:eastAsia="黑体" w:cs="黑体"/>
          <w:b w:val="0"/>
          <w:bCs w:val="0"/>
          <w:sz w:val="28"/>
          <w:szCs w:val="28"/>
        </w:rPr>
        <w:t>28</w:t>
      </w:r>
      <w:r>
        <w:rPr>
          <w:rFonts w:hint="eastAsia" w:ascii="黑体" w:hAnsi="黑体" w:eastAsia="黑体" w:cs="黑体"/>
          <w:b w:val="0"/>
          <w:bCs w:val="0"/>
          <w:sz w:val="28"/>
          <w:szCs w:val="28"/>
        </w:rPr>
        <w:fldChar w:fldCharType="end"/>
      </w:r>
      <w:r>
        <w:rPr>
          <w:rFonts w:hint="eastAsia" w:ascii="黑体" w:hAnsi="黑体" w:eastAsia="黑体" w:cs="黑体"/>
          <w:b w:val="0"/>
          <w:bCs w:val="0"/>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_Toc23196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4.1 “十三五”电网规划情况</w:t>
      </w:r>
      <w:r>
        <w:rPr>
          <w:rFonts w:hint="eastAsia" w:ascii="楷体" w:hAnsi="楷体" w:eastAsia="楷体" w:cs="楷体"/>
          <w:bCs/>
          <w:sz w:val="28"/>
          <w:szCs w:val="28"/>
        </w:rPr>
        <w:tab/>
      </w: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PAGEREF _Toc23196 \h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28</w:t>
      </w:r>
      <w:r>
        <w:rPr>
          <w:rFonts w:hint="eastAsia" w:ascii="楷体" w:hAnsi="楷体" w:eastAsia="楷体" w:cs="楷体"/>
          <w:bCs/>
          <w:sz w:val="28"/>
          <w:szCs w:val="28"/>
        </w:rPr>
        <w:fldChar w:fldCharType="end"/>
      </w:r>
      <w:r>
        <w:rPr>
          <w:rFonts w:hint="eastAsia" w:ascii="楷体" w:hAnsi="楷体" w:eastAsia="楷体" w:cs="楷体"/>
          <w:bCs/>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_Toc24156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4.2 “十三五”电网规划执行情况</w:t>
      </w:r>
      <w:r>
        <w:rPr>
          <w:rFonts w:hint="eastAsia" w:ascii="楷体" w:hAnsi="楷体" w:eastAsia="楷体" w:cs="楷体"/>
          <w:bCs/>
          <w:sz w:val="28"/>
          <w:szCs w:val="28"/>
        </w:rPr>
        <w:tab/>
      </w: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PAGEREF _Toc24156 \h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28</w:t>
      </w:r>
      <w:r>
        <w:rPr>
          <w:rFonts w:hint="eastAsia" w:ascii="楷体" w:hAnsi="楷体" w:eastAsia="楷体" w:cs="楷体"/>
          <w:bCs/>
          <w:sz w:val="28"/>
          <w:szCs w:val="28"/>
        </w:rPr>
        <w:fldChar w:fldCharType="end"/>
      </w:r>
      <w:r>
        <w:rPr>
          <w:rFonts w:hint="eastAsia" w:ascii="楷体" w:hAnsi="楷体" w:eastAsia="楷体" w:cs="楷体"/>
          <w:bCs/>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_Toc898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4.3 “十三五”规划执行偏差原因分析</w:t>
      </w:r>
      <w:r>
        <w:rPr>
          <w:rFonts w:hint="eastAsia" w:ascii="楷体" w:hAnsi="楷体" w:eastAsia="楷体" w:cs="楷体"/>
          <w:bCs/>
          <w:sz w:val="28"/>
          <w:szCs w:val="28"/>
        </w:rPr>
        <w:tab/>
      </w: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PAGEREF _Toc898 \h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29</w:t>
      </w:r>
      <w:r>
        <w:rPr>
          <w:rFonts w:hint="eastAsia" w:ascii="楷体" w:hAnsi="楷体" w:eastAsia="楷体" w:cs="楷体"/>
          <w:bCs/>
          <w:sz w:val="28"/>
          <w:szCs w:val="28"/>
        </w:rPr>
        <w:fldChar w:fldCharType="end"/>
      </w:r>
      <w:r>
        <w:rPr>
          <w:rFonts w:hint="eastAsia" w:ascii="楷体" w:hAnsi="楷体" w:eastAsia="楷体" w:cs="楷体"/>
          <w:bCs/>
          <w:sz w:val="28"/>
          <w:szCs w:val="28"/>
        </w:rPr>
        <w:fldChar w:fldCharType="end"/>
      </w:r>
    </w:p>
    <w:p>
      <w:pPr>
        <w:pStyle w:val="59"/>
        <w:keepNext w:val="0"/>
        <w:keepLines w:val="0"/>
        <w:pageBreakBefore w:val="0"/>
        <w:widowControl w:val="0"/>
        <w:tabs>
          <w:tab w:val="right" w:leader="dot" w:pos="8505"/>
        </w:tabs>
        <w:kinsoku/>
        <w:wordWrap/>
        <w:overflowPunct/>
        <w:topLinePunct w:val="0"/>
        <w:autoSpaceDE/>
        <w:autoSpaceDN/>
        <w:bidi w:val="0"/>
        <w:spacing w:line="460" w:lineRule="exact"/>
        <w:textAlignment w:val="auto"/>
        <w:rPr>
          <w:rFonts w:hint="eastAsia" w:ascii="黑体" w:hAnsi="黑体" w:eastAsia="黑体" w:cs="黑体"/>
          <w:b w:val="0"/>
          <w:bCs w:val="0"/>
          <w:sz w:val="28"/>
          <w:szCs w:val="28"/>
        </w:rPr>
      </w:pPr>
      <w:r>
        <w:rPr>
          <w:rFonts w:hint="eastAsia" w:ascii="黑体" w:hAnsi="黑体" w:eastAsia="黑体" w:cs="黑体"/>
          <w:b w:val="0"/>
          <w:bCs w:val="0"/>
          <w:sz w:val="28"/>
          <w:szCs w:val="28"/>
        </w:rPr>
        <w:fldChar w:fldCharType="begin" w:fldLock="1"/>
      </w:r>
      <w:r>
        <w:rPr>
          <w:rFonts w:hint="eastAsia" w:ascii="黑体" w:hAnsi="黑体" w:eastAsia="黑体" w:cs="黑体"/>
          <w:b w:val="0"/>
          <w:bCs w:val="0"/>
          <w:sz w:val="28"/>
          <w:szCs w:val="28"/>
        </w:rPr>
        <w:instrText xml:space="preserve"> HYPERLINK \l _Toc17554 </w:instrText>
      </w:r>
      <w:r>
        <w:rPr>
          <w:rFonts w:hint="eastAsia" w:ascii="黑体" w:hAnsi="黑体" w:eastAsia="黑体" w:cs="黑体"/>
          <w:b w:val="0"/>
          <w:bCs w:val="0"/>
          <w:sz w:val="28"/>
          <w:szCs w:val="28"/>
        </w:rPr>
        <w:fldChar w:fldCharType="separate"/>
      </w:r>
      <w:r>
        <w:rPr>
          <w:rFonts w:hint="eastAsia" w:ascii="黑体" w:hAnsi="黑体" w:eastAsia="黑体" w:cs="黑体"/>
          <w:b w:val="0"/>
          <w:bCs w:val="0"/>
          <w:sz w:val="28"/>
          <w:szCs w:val="28"/>
        </w:rPr>
        <w:t>5 电力需求预测</w:t>
      </w:r>
      <w:r>
        <w:rPr>
          <w:rFonts w:hint="eastAsia" w:ascii="黑体" w:hAnsi="黑体" w:eastAsia="黑体" w:cs="黑体"/>
          <w:b w:val="0"/>
          <w:bCs w:val="0"/>
          <w:sz w:val="28"/>
          <w:szCs w:val="28"/>
        </w:rPr>
        <w:tab/>
      </w:r>
      <w:r>
        <w:rPr>
          <w:rFonts w:hint="eastAsia" w:ascii="黑体" w:hAnsi="黑体" w:eastAsia="黑体" w:cs="黑体"/>
          <w:b w:val="0"/>
          <w:bCs w:val="0"/>
          <w:sz w:val="28"/>
          <w:szCs w:val="28"/>
        </w:rPr>
        <w:fldChar w:fldCharType="begin" w:fldLock="1"/>
      </w:r>
      <w:r>
        <w:rPr>
          <w:rFonts w:hint="eastAsia" w:ascii="黑体" w:hAnsi="黑体" w:eastAsia="黑体" w:cs="黑体"/>
          <w:b w:val="0"/>
          <w:bCs w:val="0"/>
          <w:sz w:val="28"/>
          <w:szCs w:val="28"/>
        </w:rPr>
        <w:instrText xml:space="preserve"> PAGEREF _Toc17554 \h </w:instrText>
      </w:r>
      <w:r>
        <w:rPr>
          <w:rFonts w:hint="eastAsia" w:ascii="黑体" w:hAnsi="黑体" w:eastAsia="黑体" w:cs="黑体"/>
          <w:b w:val="0"/>
          <w:bCs w:val="0"/>
          <w:sz w:val="28"/>
          <w:szCs w:val="28"/>
        </w:rPr>
        <w:fldChar w:fldCharType="separate"/>
      </w:r>
      <w:r>
        <w:rPr>
          <w:rFonts w:hint="eastAsia" w:ascii="黑体" w:hAnsi="黑体" w:eastAsia="黑体" w:cs="黑体"/>
          <w:b w:val="0"/>
          <w:bCs w:val="0"/>
          <w:sz w:val="28"/>
          <w:szCs w:val="28"/>
        </w:rPr>
        <w:t>31</w:t>
      </w:r>
      <w:r>
        <w:rPr>
          <w:rFonts w:hint="eastAsia" w:ascii="黑体" w:hAnsi="黑体" w:eastAsia="黑体" w:cs="黑体"/>
          <w:b w:val="0"/>
          <w:bCs w:val="0"/>
          <w:sz w:val="28"/>
          <w:szCs w:val="28"/>
        </w:rPr>
        <w:fldChar w:fldCharType="end"/>
      </w:r>
      <w:r>
        <w:rPr>
          <w:rFonts w:hint="eastAsia" w:ascii="黑体" w:hAnsi="黑体" w:eastAsia="黑体" w:cs="黑体"/>
          <w:b w:val="0"/>
          <w:bCs w:val="0"/>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_Toc27339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5.1 大用户加自然增长法预测</w:t>
      </w:r>
      <w:r>
        <w:rPr>
          <w:rFonts w:hint="eastAsia" w:ascii="楷体" w:hAnsi="楷体" w:eastAsia="楷体" w:cs="楷体"/>
          <w:bCs/>
          <w:sz w:val="28"/>
          <w:szCs w:val="28"/>
        </w:rPr>
        <w:tab/>
      </w: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PAGEREF _Toc27339 \h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31</w:t>
      </w:r>
      <w:r>
        <w:rPr>
          <w:rFonts w:hint="eastAsia" w:ascii="楷体" w:hAnsi="楷体" w:eastAsia="楷体" w:cs="楷体"/>
          <w:bCs/>
          <w:sz w:val="28"/>
          <w:szCs w:val="28"/>
        </w:rPr>
        <w:fldChar w:fldCharType="end"/>
      </w:r>
      <w:r>
        <w:rPr>
          <w:rFonts w:hint="eastAsia" w:ascii="楷体" w:hAnsi="楷体" w:eastAsia="楷体" w:cs="楷体"/>
          <w:bCs/>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_Toc2834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5.2 负荷密度法预测</w:t>
      </w:r>
      <w:r>
        <w:rPr>
          <w:rFonts w:hint="eastAsia" w:ascii="楷体" w:hAnsi="楷体" w:eastAsia="楷体" w:cs="楷体"/>
          <w:bCs/>
          <w:sz w:val="28"/>
          <w:szCs w:val="28"/>
        </w:rPr>
        <w:tab/>
      </w: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PAGEREF _Toc2834 \h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32</w:t>
      </w:r>
      <w:r>
        <w:rPr>
          <w:rFonts w:hint="eastAsia" w:ascii="楷体" w:hAnsi="楷体" w:eastAsia="楷体" w:cs="楷体"/>
          <w:bCs/>
          <w:sz w:val="28"/>
          <w:szCs w:val="28"/>
        </w:rPr>
        <w:fldChar w:fldCharType="end"/>
      </w:r>
      <w:r>
        <w:rPr>
          <w:rFonts w:hint="eastAsia" w:ascii="楷体" w:hAnsi="楷体" w:eastAsia="楷体" w:cs="楷体"/>
          <w:bCs/>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lang w:val="en-US" w:eastAsia="zh-CN"/>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_Toc17368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5.3 电量预测</w:t>
      </w:r>
      <w:r>
        <w:rPr>
          <w:rFonts w:hint="eastAsia" w:ascii="楷体" w:hAnsi="楷体" w:eastAsia="楷体" w:cs="楷体"/>
          <w:bCs/>
          <w:sz w:val="28"/>
          <w:szCs w:val="28"/>
        </w:rPr>
        <w:tab/>
      </w:r>
      <w:r>
        <w:rPr>
          <w:rFonts w:hint="eastAsia" w:ascii="楷体" w:hAnsi="楷体" w:eastAsia="楷体" w:cs="楷体"/>
          <w:bCs/>
          <w:sz w:val="28"/>
          <w:szCs w:val="28"/>
          <w:lang w:val="en-US" w:eastAsia="zh-CN"/>
        </w:rPr>
        <w:t>3</w:t>
      </w:r>
      <w:r>
        <w:rPr>
          <w:rFonts w:hint="eastAsia" w:ascii="楷体" w:hAnsi="楷体" w:eastAsia="楷体" w:cs="楷体"/>
          <w:bCs/>
          <w:sz w:val="28"/>
          <w:szCs w:val="28"/>
        </w:rPr>
        <w:fldChar w:fldCharType="end"/>
      </w:r>
      <w:r>
        <w:rPr>
          <w:rFonts w:hint="eastAsia" w:ascii="楷体" w:hAnsi="楷体" w:eastAsia="楷体" w:cs="楷体"/>
          <w:bCs/>
          <w:sz w:val="28"/>
          <w:szCs w:val="28"/>
          <w:lang w:val="en-US" w:eastAsia="zh-CN"/>
        </w:rPr>
        <w:t>6</w:t>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eastAsia="楷体"/>
          <w:lang w:val="en-US" w:eastAsia="zh-CN"/>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_Toc5479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5.4 负荷电量预测结果</w:t>
      </w:r>
      <w:r>
        <w:rPr>
          <w:rFonts w:hint="eastAsia" w:ascii="楷体" w:hAnsi="楷体" w:eastAsia="楷体" w:cs="楷体"/>
          <w:bCs/>
          <w:sz w:val="28"/>
          <w:szCs w:val="28"/>
        </w:rPr>
        <w:tab/>
      </w:r>
      <w:r>
        <w:rPr>
          <w:rFonts w:hint="eastAsia" w:ascii="楷体" w:hAnsi="楷体" w:eastAsia="楷体" w:cs="楷体"/>
          <w:bCs/>
          <w:sz w:val="28"/>
          <w:szCs w:val="28"/>
          <w:lang w:val="en-US" w:eastAsia="zh-CN"/>
        </w:rPr>
        <w:t>3</w:t>
      </w:r>
      <w:r>
        <w:rPr>
          <w:rFonts w:hint="eastAsia" w:ascii="楷体" w:hAnsi="楷体" w:eastAsia="楷体" w:cs="楷体"/>
          <w:bCs/>
          <w:sz w:val="28"/>
          <w:szCs w:val="28"/>
        </w:rPr>
        <w:fldChar w:fldCharType="end"/>
      </w:r>
      <w:r>
        <w:rPr>
          <w:rFonts w:hint="eastAsia" w:ascii="楷体" w:hAnsi="楷体" w:eastAsia="楷体" w:cs="楷体"/>
          <w:bCs/>
          <w:sz w:val="28"/>
          <w:szCs w:val="28"/>
          <w:lang w:val="en-US" w:eastAsia="zh-CN"/>
        </w:rPr>
        <w:t>8</w:t>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_Toc4870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5.5 结果校核</w:t>
      </w:r>
      <w:r>
        <w:rPr>
          <w:rFonts w:hint="eastAsia" w:ascii="楷体" w:hAnsi="楷体" w:eastAsia="楷体" w:cs="楷体"/>
          <w:bCs/>
          <w:sz w:val="28"/>
          <w:szCs w:val="28"/>
        </w:rPr>
        <w:tab/>
      </w: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PAGEREF _Toc4870 \h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38</w:t>
      </w:r>
      <w:r>
        <w:rPr>
          <w:rFonts w:hint="eastAsia" w:ascii="楷体" w:hAnsi="楷体" w:eastAsia="楷体" w:cs="楷体"/>
          <w:bCs/>
          <w:sz w:val="28"/>
          <w:szCs w:val="28"/>
        </w:rPr>
        <w:fldChar w:fldCharType="end"/>
      </w:r>
      <w:r>
        <w:rPr>
          <w:rFonts w:hint="eastAsia" w:ascii="楷体" w:hAnsi="楷体" w:eastAsia="楷体" w:cs="楷体"/>
          <w:bCs/>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lang w:val="en-US" w:eastAsia="zh-CN"/>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_Toc20849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5.6 结论</w:t>
      </w:r>
      <w:r>
        <w:rPr>
          <w:rFonts w:hint="eastAsia" w:ascii="楷体" w:hAnsi="楷体" w:eastAsia="楷体" w:cs="楷体"/>
          <w:bCs/>
          <w:sz w:val="28"/>
          <w:szCs w:val="28"/>
        </w:rPr>
        <w:tab/>
      </w:r>
      <w:r>
        <w:rPr>
          <w:rFonts w:hint="eastAsia" w:ascii="楷体" w:hAnsi="楷体" w:eastAsia="楷体" w:cs="楷体"/>
          <w:bCs/>
          <w:sz w:val="28"/>
          <w:szCs w:val="28"/>
          <w:lang w:val="en-US" w:eastAsia="zh-CN"/>
        </w:rPr>
        <w:t>4</w:t>
      </w:r>
      <w:r>
        <w:rPr>
          <w:rFonts w:hint="eastAsia" w:ascii="楷体" w:hAnsi="楷体" w:eastAsia="楷体" w:cs="楷体"/>
          <w:bCs/>
          <w:sz w:val="28"/>
          <w:szCs w:val="28"/>
        </w:rPr>
        <w:fldChar w:fldCharType="end"/>
      </w:r>
      <w:r>
        <w:rPr>
          <w:rFonts w:hint="eastAsia" w:ascii="楷体" w:hAnsi="楷体" w:eastAsia="楷体" w:cs="楷体"/>
          <w:bCs/>
          <w:sz w:val="28"/>
          <w:szCs w:val="28"/>
          <w:lang w:val="en-US" w:eastAsia="zh-CN"/>
        </w:rPr>
        <w:t>0</w:t>
      </w:r>
    </w:p>
    <w:p>
      <w:pPr>
        <w:pStyle w:val="59"/>
        <w:keepNext w:val="0"/>
        <w:keepLines w:val="0"/>
        <w:pageBreakBefore w:val="0"/>
        <w:widowControl w:val="0"/>
        <w:tabs>
          <w:tab w:val="right" w:leader="dot" w:pos="8505"/>
        </w:tabs>
        <w:kinsoku/>
        <w:wordWrap/>
        <w:overflowPunct/>
        <w:topLinePunct w:val="0"/>
        <w:autoSpaceDE/>
        <w:autoSpaceDN/>
        <w:bidi w:val="0"/>
        <w:spacing w:line="460" w:lineRule="exact"/>
        <w:textAlignment w:val="auto"/>
        <w:rPr>
          <w:rFonts w:hint="eastAsia" w:ascii="黑体" w:hAnsi="黑体" w:eastAsia="黑体" w:cs="黑体"/>
          <w:b w:val="0"/>
          <w:bCs w:val="0"/>
          <w:sz w:val="28"/>
          <w:szCs w:val="28"/>
          <w:lang w:val="en-US" w:eastAsia="zh-CN"/>
        </w:rPr>
      </w:pPr>
      <w:r>
        <w:rPr>
          <w:rFonts w:hint="eastAsia" w:ascii="黑体" w:hAnsi="黑体" w:eastAsia="黑体" w:cs="黑体"/>
          <w:b w:val="0"/>
          <w:bCs w:val="0"/>
          <w:sz w:val="28"/>
          <w:szCs w:val="28"/>
        </w:rPr>
        <w:fldChar w:fldCharType="begin" w:fldLock="1"/>
      </w:r>
      <w:r>
        <w:rPr>
          <w:rFonts w:hint="eastAsia" w:ascii="黑体" w:hAnsi="黑体" w:eastAsia="黑体" w:cs="黑体"/>
          <w:b w:val="0"/>
          <w:bCs w:val="0"/>
          <w:sz w:val="28"/>
          <w:szCs w:val="28"/>
        </w:rPr>
        <w:instrText xml:space="preserve"> HYPERLINK \l _Toc1484 </w:instrText>
      </w:r>
      <w:r>
        <w:rPr>
          <w:rFonts w:hint="eastAsia" w:ascii="黑体" w:hAnsi="黑体" w:eastAsia="黑体" w:cs="黑体"/>
          <w:b w:val="0"/>
          <w:bCs w:val="0"/>
          <w:sz w:val="28"/>
          <w:szCs w:val="28"/>
        </w:rPr>
        <w:fldChar w:fldCharType="separate"/>
      </w:r>
      <w:r>
        <w:rPr>
          <w:rFonts w:hint="eastAsia" w:ascii="黑体" w:hAnsi="黑体" w:eastAsia="黑体" w:cs="黑体"/>
          <w:b w:val="0"/>
          <w:bCs w:val="0"/>
          <w:sz w:val="28"/>
          <w:szCs w:val="28"/>
        </w:rPr>
        <w:t>6 西咸新区电网规划目标和技术原则</w:t>
      </w:r>
      <w:r>
        <w:rPr>
          <w:rFonts w:hint="eastAsia" w:ascii="黑体" w:hAnsi="黑体" w:eastAsia="黑体" w:cs="黑体"/>
          <w:b w:val="0"/>
          <w:bCs w:val="0"/>
          <w:sz w:val="28"/>
          <w:szCs w:val="28"/>
        </w:rPr>
        <w:tab/>
      </w:r>
      <w:r>
        <w:rPr>
          <w:rFonts w:hint="eastAsia" w:ascii="黑体" w:hAnsi="黑体" w:eastAsia="黑体" w:cs="黑体"/>
          <w:b w:val="0"/>
          <w:bCs w:val="0"/>
          <w:sz w:val="28"/>
          <w:szCs w:val="28"/>
          <w:lang w:val="en-US" w:eastAsia="zh-CN"/>
        </w:rPr>
        <w:t>4</w:t>
      </w:r>
      <w:r>
        <w:rPr>
          <w:rFonts w:hint="eastAsia" w:ascii="黑体" w:hAnsi="黑体" w:eastAsia="黑体" w:cs="黑体"/>
          <w:b w:val="0"/>
          <w:bCs w:val="0"/>
          <w:sz w:val="28"/>
          <w:szCs w:val="28"/>
        </w:rPr>
        <w:fldChar w:fldCharType="end"/>
      </w:r>
      <w:r>
        <w:rPr>
          <w:rFonts w:hint="eastAsia" w:ascii="黑体" w:hAnsi="黑体" w:eastAsia="黑体" w:cs="黑体"/>
          <w:b w:val="0"/>
          <w:bCs w:val="0"/>
          <w:sz w:val="28"/>
          <w:szCs w:val="28"/>
          <w:lang w:val="en-US" w:eastAsia="zh-CN"/>
        </w:rPr>
        <w:t>1</w:t>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lang w:val="en-US" w:eastAsia="zh-CN"/>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_Toc6550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6.1 规划目标</w:t>
      </w:r>
      <w:r>
        <w:rPr>
          <w:rFonts w:hint="eastAsia" w:ascii="楷体" w:hAnsi="楷体" w:eastAsia="楷体" w:cs="楷体"/>
          <w:bCs/>
          <w:sz w:val="28"/>
          <w:szCs w:val="28"/>
        </w:rPr>
        <w:tab/>
      </w:r>
      <w:r>
        <w:rPr>
          <w:rFonts w:hint="eastAsia" w:ascii="楷体" w:hAnsi="楷体" w:eastAsia="楷体" w:cs="楷体"/>
          <w:bCs/>
          <w:sz w:val="28"/>
          <w:szCs w:val="28"/>
          <w:lang w:val="en-US" w:eastAsia="zh-CN"/>
        </w:rPr>
        <w:t>4</w:t>
      </w:r>
      <w:r>
        <w:rPr>
          <w:rFonts w:hint="eastAsia" w:ascii="楷体" w:hAnsi="楷体" w:eastAsia="楷体" w:cs="楷体"/>
          <w:bCs/>
          <w:sz w:val="28"/>
          <w:szCs w:val="28"/>
        </w:rPr>
        <w:fldChar w:fldCharType="end"/>
      </w:r>
      <w:r>
        <w:rPr>
          <w:rFonts w:hint="eastAsia" w:ascii="楷体" w:hAnsi="楷体" w:eastAsia="楷体" w:cs="楷体"/>
          <w:bCs/>
          <w:sz w:val="28"/>
          <w:szCs w:val="28"/>
          <w:lang w:val="en-US" w:eastAsia="zh-CN"/>
        </w:rPr>
        <w:t>1</w:t>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lang w:val="en-US" w:eastAsia="zh-CN"/>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_Toc3222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6.2 供电分区划分</w:t>
      </w:r>
      <w:r>
        <w:rPr>
          <w:rFonts w:hint="eastAsia" w:ascii="楷体" w:hAnsi="楷体" w:eastAsia="楷体" w:cs="楷体"/>
          <w:bCs/>
          <w:sz w:val="28"/>
          <w:szCs w:val="28"/>
        </w:rPr>
        <w:tab/>
      </w:r>
      <w:r>
        <w:rPr>
          <w:rFonts w:hint="eastAsia" w:ascii="楷体" w:hAnsi="楷体" w:eastAsia="楷体" w:cs="楷体"/>
          <w:bCs/>
          <w:sz w:val="28"/>
          <w:szCs w:val="28"/>
          <w:lang w:val="en-US" w:eastAsia="zh-CN"/>
        </w:rPr>
        <w:t>4</w:t>
      </w:r>
      <w:r>
        <w:rPr>
          <w:rFonts w:hint="eastAsia" w:ascii="楷体" w:hAnsi="楷体" w:eastAsia="楷体" w:cs="楷体"/>
          <w:bCs/>
          <w:sz w:val="28"/>
          <w:szCs w:val="28"/>
        </w:rPr>
        <w:fldChar w:fldCharType="end"/>
      </w:r>
      <w:r>
        <w:rPr>
          <w:rFonts w:hint="eastAsia" w:ascii="楷体" w:hAnsi="楷体" w:eastAsia="楷体" w:cs="楷体"/>
          <w:bCs/>
          <w:sz w:val="28"/>
          <w:szCs w:val="28"/>
          <w:lang w:val="en-US" w:eastAsia="zh-CN"/>
        </w:rPr>
        <w:t>4</w:t>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lang w:val="en-US" w:eastAsia="zh-CN"/>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_Toc9646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6.3 330千伏电网规划技术原则</w:t>
      </w:r>
      <w:r>
        <w:rPr>
          <w:rFonts w:hint="eastAsia" w:ascii="楷体" w:hAnsi="楷体" w:eastAsia="楷体" w:cs="楷体"/>
          <w:bCs/>
          <w:sz w:val="28"/>
          <w:szCs w:val="28"/>
        </w:rPr>
        <w:tab/>
      </w:r>
      <w:r>
        <w:rPr>
          <w:rFonts w:hint="eastAsia" w:ascii="楷体" w:hAnsi="楷体" w:eastAsia="楷体" w:cs="楷体"/>
          <w:bCs/>
          <w:sz w:val="28"/>
          <w:szCs w:val="28"/>
          <w:lang w:val="en-US" w:eastAsia="zh-CN"/>
        </w:rPr>
        <w:t>4</w:t>
      </w:r>
      <w:r>
        <w:rPr>
          <w:rFonts w:hint="eastAsia" w:ascii="楷体" w:hAnsi="楷体" w:eastAsia="楷体" w:cs="楷体"/>
          <w:bCs/>
          <w:sz w:val="28"/>
          <w:szCs w:val="28"/>
        </w:rPr>
        <w:fldChar w:fldCharType="end"/>
      </w:r>
      <w:r>
        <w:rPr>
          <w:rFonts w:hint="eastAsia" w:ascii="楷体" w:hAnsi="楷体" w:eastAsia="楷体" w:cs="楷体"/>
          <w:bCs/>
          <w:sz w:val="28"/>
          <w:szCs w:val="28"/>
          <w:lang w:val="en-US" w:eastAsia="zh-CN"/>
        </w:rPr>
        <w:t>6</w:t>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lang w:val="en-US" w:eastAsia="zh-CN"/>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_Toc19598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6.4 110千伏电网规划技术原则</w:t>
      </w:r>
      <w:r>
        <w:rPr>
          <w:rFonts w:hint="eastAsia" w:ascii="楷体" w:hAnsi="楷体" w:eastAsia="楷体" w:cs="楷体"/>
          <w:bCs/>
          <w:sz w:val="28"/>
          <w:szCs w:val="28"/>
        </w:rPr>
        <w:tab/>
      </w:r>
      <w:r>
        <w:rPr>
          <w:rFonts w:hint="eastAsia" w:ascii="楷体" w:hAnsi="楷体" w:eastAsia="楷体" w:cs="楷体"/>
          <w:bCs/>
          <w:sz w:val="28"/>
          <w:szCs w:val="28"/>
          <w:lang w:val="en-US" w:eastAsia="zh-CN"/>
        </w:rPr>
        <w:t>4</w:t>
      </w:r>
      <w:r>
        <w:rPr>
          <w:rFonts w:hint="eastAsia" w:ascii="楷体" w:hAnsi="楷体" w:eastAsia="楷体" w:cs="楷体"/>
          <w:bCs/>
          <w:sz w:val="28"/>
          <w:szCs w:val="28"/>
        </w:rPr>
        <w:fldChar w:fldCharType="end"/>
      </w:r>
      <w:r>
        <w:rPr>
          <w:rFonts w:hint="eastAsia" w:ascii="楷体" w:hAnsi="楷体" w:eastAsia="楷体" w:cs="楷体"/>
          <w:bCs/>
          <w:sz w:val="28"/>
          <w:szCs w:val="28"/>
          <w:lang w:val="en-US" w:eastAsia="zh-CN"/>
        </w:rPr>
        <w:t>9</w:t>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lang w:val="en-US" w:eastAsia="zh-CN"/>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_Toc26658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6.5 10千伏电网规划技术原则</w:t>
      </w:r>
      <w:r>
        <w:rPr>
          <w:rFonts w:hint="eastAsia" w:ascii="楷体" w:hAnsi="楷体" w:eastAsia="楷体" w:cs="楷体"/>
          <w:bCs/>
          <w:sz w:val="28"/>
          <w:szCs w:val="28"/>
        </w:rPr>
        <w:tab/>
      </w:r>
      <w:r>
        <w:rPr>
          <w:rFonts w:hint="eastAsia" w:ascii="楷体" w:hAnsi="楷体" w:eastAsia="楷体" w:cs="楷体"/>
          <w:bCs/>
          <w:sz w:val="28"/>
          <w:szCs w:val="28"/>
          <w:lang w:val="en-US" w:eastAsia="zh-CN"/>
        </w:rPr>
        <w:t>5</w:t>
      </w:r>
      <w:r>
        <w:rPr>
          <w:rFonts w:hint="eastAsia" w:ascii="楷体" w:hAnsi="楷体" w:eastAsia="楷体" w:cs="楷体"/>
          <w:bCs/>
          <w:sz w:val="28"/>
          <w:szCs w:val="28"/>
        </w:rPr>
        <w:fldChar w:fldCharType="end"/>
      </w:r>
      <w:r>
        <w:rPr>
          <w:rFonts w:hint="eastAsia" w:ascii="楷体" w:hAnsi="楷体" w:eastAsia="楷体" w:cs="楷体"/>
          <w:bCs/>
          <w:sz w:val="28"/>
          <w:szCs w:val="28"/>
          <w:lang w:val="en-US" w:eastAsia="zh-CN"/>
        </w:rPr>
        <w:t>2</w:t>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lang w:val="en-US" w:eastAsia="zh-CN"/>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_Toc28864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6.6 0.38千伏电网规划技术原则</w:t>
      </w:r>
      <w:r>
        <w:rPr>
          <w:rFonts w:hint="eastAsia" w:ascii="楷体" w:hAnsi="楷体" w:eastAsia="楷体" w:cs="楷体"/>
          <w:bCs/>
          <w:sz w:val="28"/>
          <w:szCs w:val="28"/>
        </w:rPr>
        <w:tab/>
      </w:r>
      <w:r>
        <w:rPr>
          <w:rFonts w:hint="eastAsia" w:ascii="楷体" w:hAnsi="楷体" w:eastAsia="楷体" w:cs="楷体"/>
          <w:bCs/>
          <w:sz w:val="28"/>
          <w:szCs w:val="28"/>
          <w:lang w:val="en-US" w:eastAsia="zh-CN"/>
        </w:rPr>
        <w:t>5</w:t>
      </w:r>
      <w:r>
        <w:rPr>
          <w:rFonts w:hint="eastAsia" w:ascii="楷体" w:hAnsi="楷体" w:eastAsia="楷体" w:cs="楷体"/>
          <w:bCs/>
          <w:sz w:val="28"/>
          <w:szCs w:val="28"/>
        </w:rPr>
        <w:fldChar w:fldCharType="end"/>
      </w:r>
      <w:r>
        <w:rPr>
          <w:rFonts w:hint="eastAsia" w:ascii="楷体" w:hAnsi="楷体" w:eastAsia="楷体" w:cs="楷体"/>
          <w:bCs/>
          <w:sz w:val="28"/>
          <w:szCs w:val="28"/>
          <w:lang w:val="en-US" w:eastAsia="zh-CN"/>
        </w:rPr>
        <w:t>4</w:t>
      </w:r>
    </w:p>
    <w:p>
      <w:pPr>
        <w:pStyle w:val="59"/>
        <w:keepNext w:val="0"/>
        <w:keepLines w:val="0"/>
        <w:pageBreakBefore w:val="0"/>
        <w:widowControl w:val="0"/>
        <w:tabs>
          <w:tab w:val="right" w:leader="dot" w:pos="8505"/>
        </w:tabs>
        <w:kinsoku/>
        <w:wordWrap/>
        <w:overflowPunct/>
        <w:topLinePunct w:val="0"/>
        <w:autoSpaceDE/>
        <w:autoSpaceDN/>
        <w:bidi w:val="0"/>
        <w:spacing w:line="460" w:lineRule="exact"/>
        <w:textAlignment w:val="auto"/>
        <w:rPr>
          <w:rFonts w:hint="eastAsia" w:ascii="黑体" w:hAnsi="黑体" w:eastAsia="黑体" w:cs="黑体"/>
          <w:b w:val="0"/>
          <w:bCs w:val="0"/>
          <w:sz w:val="28"/>
          <w:szCs w:val="28"/>
          <w:lang w:val="en-US" w:eastAsia="zh-CN"/>
        </w:rPr>
      </w:pPr>
      <w:r>
        <w:rPr>
          <w:rFonts w:hint="eastAsia" w:ascii="黑体" w:hAnsi="黑体" w:eastAsia="黑体" w:cs="黑体"/>
          <w:b w:val="0"/>
          <w:bCs w:val="0"/>
          <w:sz w:val="28"/>
          <w:szCs w:val="28"/>
        </w:rPr>
        <w:fldChar w:fldCharType="begin" w:fldLock="1"/>
      </w:r>
      <w:r>
        <w:rPr>
          <w:rFonts w:hint="eastAsia" w:ascii="黑体" w:hAnsi="黑体" w:eastAsia="黑体" w:cs="黑体"/>
          <w:b w:val="0"/>
          <w:bCs w:val="0"/>
          <w:sz w:val="28"/>
          <w:szCs w:val="28"/>
        </w:rPr>
        <w:instrText xml:space="preserve"> HYPERLINK \l _Toc24840 </w:instrText>
      </w:r>
      <w:r>
        <w:rPr>
          <w:rFonts w:hint="eastAsia" w:ascii="黑体" w:hAnsi="黑体" w:eastAsia="黑体" w:cs="黑体"/>
          <w:b w:val="0"/>
          <w:bCs w:val="0"/>
          <w:sz w:val="28"/>
          <w:szCs w:val="28"/>
        </w:rPr>
        <w:fldChar w:fldCharType="separate"/>
      </w:r>
      <w:r>
        <w:rPr>
          <w:rFonts w:hint="eastAsia" w:ascii="黑体" w:hAnsi="黑体" w:eastAsia="黑体" w:cs="黑体"/>
          <w:b w:val="0"/>
          <w:bCs w:val="0"/>
          <w:sz w:val="28"/>
          <w:szCs w:val="28"/>
        </w:rPr>
        <w:t>7 330千伏电网规划</w:t>
      </w:r>
      <w:r>
        <w:rPr>
          <w:rFonts w:hint="eastAsia" w:ascii="黑体" w:hAnsi="黑体" w:eastAsia="黑体" w:cs="黑体"/>
          <w:b w:val="0"/>
          <w:bCs w:val="0"/>
          <w:sz w:val="28"/>
          <w:szCs w:val="28"/>
        </w:rPr>
        <w:tab/>
      </w:r>
      <w:r>
        <w:rPr>
          <w:rFonts w:hint="eastAsia" w:ascii="黑体" w:hAnsi="黑体" w:eastAsia="黑体" w:cs="黑体"/>
          <w:b w:val="0"/>
          <w:bCs w:val="0"/>
          <w:sz w:val="28"/>
          <w:szCs w:val="28"/>
          <w:lang w:val="en-US" w:eastAsia="zh-CN"/>
        </w:rPr>
        <w:t>5</w:t>
      </w:r>
      <w:r>
        <w:rPr>
          <w:rFonts w:hint="eastAsia" w:ascii="黑体" w:hAnsi="黑体" w:eastAsia="黑体" w:cs="黑体"/>
          <w:b w:val="0"/>
          <w:bCs w:val="0"/>
          <w:sz w:val="28"/>
          <w:szCs w:val="28"/>
        </w:rPr>
        <w:fldChar w:fldCharType="end"/>
      </w:r>
      <w:r>
        <w:rPr>
          <w:rFonts w:hint="eastAsia" w:ascii="黑体" w:hAnsi="黑体" w:eastAsia="黑体" w:cs="黑体"/>
          <w:b w:val="0"/>
          <w:bCs w:val="0"/>
          <w:sz w:val="28"/>
          <w:szCs w:val="28"/>
          <w:lang w:val="en-US" w:eastAsia="zh-CN"/>
        </w:rPr>
        <w:t>8</w:t>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lang w:val="en-US" w:eastAsia="zh-CN"/>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_Toc23859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7.1 330千伏变电站布点规划</w:t>
      </w:r>
      <w:r>
        <w:rPr>
          <w:rFonts w:hint="eastAsia" w:ascii="楷体" w:hAnsi="楷体" w:eastAsia="楷体" w:cs="楷体"/>
          <w:bCs/>
          <w:sz w:val="28"/>
          <w:szCs w:val="28"/>
        </w:rPr>
        <w:tab/>
      </w:r>
      <w:r>
        <w:rPr>
          <w:rFonts w:hint="eastAsia" w:ascii="楷体" w:hAnsi="楷体" w:eastAsia="楷体" w:cs="楷体"/>
          <w:bCs/>
          <w:sz w:val="28"/>
          <w:szCs w:val="28"/>
          <w:lang w:val="en-US" w:eastAsia="zh-CN"/>
        </w:rPr>
        <w:t>5</w:t>
      </w:r>
      <w:r>
        <w:rPr>
          <w:rFonts w:hint="eastAsia" w:ascii="楷体" w:hAnsi="楷体" w:eastAsia="楷体" w:cs="楷体"/>
          <w:bCs/>
          <w:sz w:val="28"/>
          <w:szCs w:val="28"/>
        </w:rPr>
        <w:fldChar w:fldCharType="end"/>
      </w:r>
      <w:r>
        <w:rPr>
          <w:rFonts w:hint="eastAsia" w:ascii="楷体" w:hAnsi="楷体" w:eastAsia="楷体" w:cs="楷体"/>
          <w:bCs/>
          <w:sz w:val="28"/>
          <w:szCs w:val="28"/>
          <w:lang w:val="en-US" w:eastAsia="zh-CN"/>
        </w:rPr>
        <w:t>8</w:t>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lang w:val="en-US" w:eastAsia="zh-CN"/>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_Toc32599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7.2 330千伏规划方案</w:t>
      </w:r>
      <w:r>
        <w:rPr>
          <w:rFonts w:hint="eastAsia" w:ascii="楷体" w:hAnsi="楷体" w:eastAsia="楷体" w:cs="楷体"/>
          <w:bCs/>
          <w:sz w:val="28"/>
          <w:szCs w:val="28"/>
        </w:rPr>
        <w:tab/>
      </w:r>
      <w:r>
        <w:rPr>
          <w:rFonts w:hint="eastAsia" w:ascii="楷体" w:hAnsi="楷体" w:eastAsia="楷体" w:cs="楷体"/>
          <w:bCs/>
          <w:sz w:val="28"/>
          <w:szCs w:val="28"/>
          <w:lang w:val="en-US" w:eastAsia="zh-CN"/>
        </w:rPr>
        <w:t>5</w:t>
      </w:r>
      <w:r>
        <w:rPr>
          <w:rFonts w:hint="eastAsia" w:ascii="楷体" w:hAnsi="楷体" w:eastAsia="楷体" w:cs="楷体"/>
          <w:bCs/>
          <w:sz w:val="28"/>
          <w:szCs w:val="28"/>
        </w:rPr>
        <w:fldChar w:fldCharType="end"/>
      </w:r>
      <w:r>
        <w:rPr>
          <w:rFonts w:hint="eastAsia" w:ascii="楷体" w:hAnsi="楷体" w:eastAsia="楷体" w:cs="楷体"/>
          <w:bCs/>
          <w:sz w:val="28"/>
          <w:szCs w:val="28"/>
          <w:lang w:val="en-US" w:eastAsia="zh-CN"/>
        </w:rPr>
        <w:t>9</w:t>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_Toc7149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7.3 330千伏规划建设规模</w:t>
      </w:r>
      <w:r>
        <w:rPr>
          <w:rFonts w:hint="eastAsia" w:ascii="楷体" w:hAnsi="楷体" w:eastAsia="楷体" w:cs="楷体"/>
          <w:bCs/>
          <w:sz w:val="28"/>
          <w:szCs w:val="28"/>
        </w:rPr>
        <w:tab/>
      </w: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PAGEREF _Toc7149 \h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6</w:t>
      </w:r>
      <w:r>
        <w:rPr>
          <w:rFonts w:hint="eastAsia" w:ascii="楷体" w:hAnsi="楷体" w:eastAsia="楷体" w:cs="楷体"/>
          <w:bCs/>
          <w:sz w:val="28"/>
          <w:szCs w:val="28"/>
          <w:lang w:val="en-US" w:eastAsia="zh-CN"/>
        </w:rPr>
        <w:t>4</w:t>
      </w:r>
      <w:r>
        <w:rPr>
          <w:rFonts w:hint="eastAsia" w:ascii="楷体" w:hAnsi="楷体" w:eastAsia="楷体" w:cs="楷体"/>
          <w:bCs/>
          <w:sz w:val="28"/>
          <w:szCs w:val="28"/>
        </w:rPr>
        <w:fldChar w:fldCharType="end"/>
      </w:r>
      <w:r>
        <w:rPr>
          <w:rFonts w:hint="eastAsia" w:ascii="楷体" w:hAnsi="楷体" w:eastAsia="楷体" w:cs="楷体"/>
          <w:bCs/>
          <w:sz w:val="28"/>
          <w:szCs w:val="28"/>
        </w:rPr>
        <w:fldChar w:fldCharType="end"/>
      </w:r>
    </w:p>
    <w:p>
      <w:pPr>
        <w:pStyle w:val="59"/>
        <w:keepNext w:val="0"/>
        <w:keepLines w:val="0"/>
        <w:pageBreakBefore w:val="0"/>
        <w:widowControl w:val="0"/>
        <w:tabs>
          <w:tab w:val="right" w:leader="dot" w:pos="8505"/>
        </w:tabs>
        <w:kinsoku/>
        <w:wordWrap/>
        <w:overflowPunct/>
        <w:topLinePunct w:val="0"/>
        <w:autoSpaceDE/>
        <w:autoSpaceDN/>
        <w:bidi w:val="0"/>
        <w:spacing w:line="460" w:lineRule="exact"/>
        <w:textAlignment w:val="auto"/>
        <w:rPr>
          <w:rFonts w:hint="eastAsia" w:ascii="黑体" w:hAnsi="黑体" w:eastAsia="黑体" w:cs="黑体"/>
          <w:b w:val="0"/>
          <w:bCs w:val="0"/>
          <w:sz w:val="28"/>
          <w:szCs w:val="28"/>
        </w:rPr>
      </w:pPr>
      <w:r>
        <w:rPr>
          <w:rFonts w:hint="eastAsia" w:ascii="黑体" w:hAnsi="黑体" w:eastAsia="黑体" w:cs="黑体"/>
          <w:b w:val="0"/>
          <w:bCs w:val="0"/>
          <w:sz w:val="28"/>
          <w:szCs w:val="28"/>
        </w:rPr>
        <w:fldChar w:fldCharType="begin" w:fldLock="1"/>
      </w:r>
      <w:r>
        <w:rPr>
          <w:rFonts w:hint="eastAsia" w:ascii="黑体" w:hAnsi="黑体" w:eastAsia="黑体" w:cs="黑体"/>
          <w:b w:val="0"/>
          <w:bCs w:val="0"/>
          <w:sz w:val="28"/>
          <w:szCs w:val="28"/>
        </w:rPr>
        <w:instrText xml:space="preserve"> HYPERLINK \l _Toc10329 </w:instrText>
      </w:r>
      <w:r>
        <w:rPr>
          <w:rFonts w:hint="eastAsia" w:ascii="黑体" w:hAnsi="黑体" w:eastAsia="黑体" w:cs="黑体"/>
          <w:b w:val="0"/>
          <w:bCs w:val="0"/>
          <w:sz w:val="28"/>
          <w:szCs w:val="28"/>
        </w:rPr>
        <w:fldChar w:fldCharType="separate"/>
      </w:r>
      <w:r>
        <w:rPr>
          <w:rFonts w:hint="eastAsia" w:ascii="黑体" w:hAnsi="黑体" w:eastAsia="黑体" w:cs="黑体"/>
          <w:b w:val="0"/>
          <w:bCs w:val="0"/>
          <w:sz w:val="28"/>
          <w:szCs w:val="28"/>
        </w:rPr>
        <w:t>8 110千伏电网规划</w:t>
      </w:r>
      <w:r>
        <w:rPr>
          <w:rFonts w:hint="eastAsia" w:ascii="黑体" w:hAnsi="黑体" w:eastAsia="黑体" w:cs="黑体"/>
          <w:b w:val="0"/>
          <w:bCs w:val="0"/>
          <w:sz w:val="28"/>
          <w:szCs w:val="28"/>
        </w:rPr>
        <w:tab/>
      </w:r>
      <w:r>
        <w:rPr>
          <w:rFonts w:hint="eastAsia" w:ascii="黑体" w:hAnsi="黑体" w:eastAsia="黑体" w:cs="黑体"/>
          <w:b w:val="0"/>
          <w:bCs w:val="0"/>
          <w:sz w:val="28"/>
          <w:szCs w:val="28"/>
        </w:rPr>
        <w:fldChar w:fldCharType="begin" w:fldLock="1"/>
      </w:r>
      <w:r>
        <w:rPr>
          <w:rFonts w:hint="eastAsia" w:ascii="黑体" w:hAnsi="黑体" w:eastAsia="黑体" w:cs="黑体"/>
          <w:b w:val="0"/>
          <w:bCs w:val="0"/>
          <w:sz w:val="28"/>
          <w:szCs w:val="28"/>
        </w:rPr>
        <w:instrText xml:space="preserve"> PAGEREF _Toc10329 \h </w:instrText>
      </w:r>
      <w:r>
        <w:rPr>
          <w:rFonts w:hint="eastAsia" w:ascii="黑体" w:hAnsi="黑体" w:eastAsia="黑体" w:cs="黑体"/>
          <w:b w:val="0"/>
          <w:bCs w:val="0"/>
          <w:sz w:val="28"/>
          <w:szCs w:val="28"/>
        </w:rPr>
        <w:fldChar w:fldCharType="separate"/>
      </w:r>
      <w:r>
        <w:rPr>
          <w:rFonts w:hint="eastAsia" w:ascii="黑体" w:hAnsi="黑体" w:eastAsia="黑体" w:cs="黑体"/>
          <w:b w:val="0"/>
          <w:bCs w:val="0"/>
          <w:sz w:val="28"/>
          <w:szCs w:val="28"/>
        </w:rPr>
        <w:t>6</w:t>
      </w:r>
      <w:r>
        <w:rPr>
          <w:rFonts w:hint="eastAsia" w:ascii="黑体" w:hAnsi="黑体" w:eastAsia="黑体" w:cs="黑体"/>
          <w:b w:val="0"/>
          <w:bCs w:val="0"/>
          <w:sz w:val="28"/>
          <w:szCs w:val="28"/>
          <w:lang w:val="en-US" w:eastAsia="zh-CN"/>
        </w:rPr>
        <w:t>5</w:t>
      </w:r>
      <w:r>
        <w:rPr>
          <w:rFonts w:hint="eastAsia" w:ascii="黑体" w:hAnsi="黑体" w:eastAsia="黑体" w:cs="黑体"/>
          <w:b w:val="0"/>
          <w:bCs w:val="0"/>
          <w:sz w:val="28"/>
          <w:szCs w:val="28"/>
        </w:rPr>
        <w:fldChar w:fldCharType="end"/>
      </w:r>
      <w:r>
        <w:rPr>
          <w:rFonts w:hint="eastAsia" w:ascii="黑体" w:hAnsi="黑体" w:eastAsia="黑体" w:cs="黑体"/>
          <w:b w:val="0"/>
          <w:bCs w:val="0"/>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_Toc23294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8.1 边界条件</w:t>
      </w:r>
      <w:r>
        <w:rPr>
          <w:rFonts w:hint="eastAsia" w:ascii="楷体" w:hAnsi="楷体" w:eastAsia="楷体" w:cs="楷体"/>
          <w:bCs/>
          <w:sz w:val="28"/>
          <w:szCs w:val="28"/>
        </w:rPr>
        <w:tab/>
      </w: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PAGEREF _Toc23294 \h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6</w:t>
      </w:r>
      <w:r>
        <w:rPr>
          <w:rFonts w:hint="eastAsia" w:ascii="楷体" w:hAnsi="楷体" w:eastAsia="楷体" w:cs="楷体"/>
          <w:bCs/>
          <w:sz w:val="28"/>
          <w:szCs w:val="28"/>
          <w:lang w:val="en-US" w:eastAsia="zh-CN"/>
        </w:rPr>
        <w:t>5</w:t>
      </w:r>
      <w:r>
        <w:rPr>
          <w:rFonts w:hint="eastAsia" w:ascii="楷体" w:hAnsi="楷体" w:eastAsia="楷体" w:cs="楷体"/>
          <w:bCs/>
          <w:sz w:val="28"/>
          <w:szCs w:val="28"/>
        </w:rPr>
        <w:fldChar w:fldCharType="end"/>
      </w:r>
      <w:r>
        <w:rPr>
          <w:rFonts w:hint="eastAsia" w:ascii="楷体" w:hAnsi="楷体" w:eastAsia="楷体" w:cs="楷体"/>
          <w:bCs/>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_Toc3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8.2 “十四五”电源规划</w:t>
      </w:r>
      <w:r>
        <w:rPr>
          <w:rFonts w:hint="eastAsia" w:ascii="楷体" w:hAnsi="楷体" w:eastAsia="楷体" w:cs="楷体"/>
          <w:bCs/>
          <w:sz w:val="28"/>
          <w:szCs w:val="28"/>
        </w:rPr>
        <w:tab/>
      </w: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PAGEREF _Toc3 \h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6</w:t>
      </w:r>
      <w:r>
        <w:rPr>
          <w:rFonts w:hint="eastAsia" w:ascii="楷体" w:hAnsi="楷体" w:eastAsia="楷体" w:cs="楷体"/>
          <w:bCs/>
          <w:sz w:val="28"/>
          <w:szCs w:val="28"/>
          <w:lang w:val="en-US" w:eastAsia="zh-CN"/>
        </w:rPr>
        <w:t>5</w:t>
      </w:r>
      <w:r>
        <w:rPr>
          <w:rFonts w:hint="eastAsia" w:ascii="楷体" w:hAnsi="楷体" w:eastAsia="楷体" w:cs="楷体"/>
          <w:bCs/>
          <w:sz w:val="28"/>
          <w:szCs w:val="28"/>
        </w:rPr>
        <w:fldChar w:fldCharType="end"/>
      </w:r>
      <w:r>
        <w:rPr>
          <w:rFonts w:hint="eastAsia" w:ascii="楷体" w:hAnsi="楷体" w:eastAsia="楷体" w:cs="楷体"/>
          <w:bCs/>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_Toc19464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8.3 “十四五”电网规划</w:t>
      </w:r>
      <w:r>
        <w:rPr>
          <w:rFonts w:hint="eastAsia" w:ascii="楷体" w:hAnsi="楷体" w:eastAsia="楷体" w:cs="楷体"/>
          <w:bCs/>
          <w:sz w:val="28"/>
          <w:szCs w:val="28"/>
        </w:rPr>
        <w:tab/>
      </w: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PAGEREF _Toc19464 \h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6</w:t>
      </w:r>
      <w:r>
        <w:rPr>
          <w:rFonts w:hint="eastAsia" w:ascii="楷体" w:hAnsi="楷体" w:eastAsia="楷体" w:cs="楷体"/>
          <w:bCs/>
          <w:sz w:val="28"/>
          <w:szCs w:val="28"/>
          <w:lang w:val="en-US" w:eastAsia="zh-CN"/>
        </w:rPr>
        <w:t>5</w:t>
      </w:r>
      <w:r>
        <w:rPr>
          <w:rFonts w:hint="eastAsia" w:ascii="楷体" w:hAnsi="楷体" w:eastAsia="楷体" w:cs="楷体"/>
          <w:bCs/>
          <w:sz w:val="28"/>
          <w:szCs w:val="28"/>
        </w:rPr>
        <w:fldChar w:fldCharType="end"/>
      </w:r>
      <w:r>
        <w:rPr>
          <w:rFonts w:hint="eastAsia" w:ascii="楷体" w:hAnsi="楷体" w:eastAsia="楷体" w:cs="楷体"/>
          <w:bCs/>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lang w:val="en-US" w:eastAsia="zh-CN"/>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_Toc8427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8.4 线路迁改规划</w:t>
      </w:r>
      <w:r>
        <w:rPr>
          <w:rFonts w:hint="eastAsia" w:ascii="楷体" w:hAnsi="楷体" w:eastAsia="楷体" w:cs="楷体"/>
          <w:bCs/>
          <w:sz w:val="28"/>
          <w:szCs w:val="28"/>
        </w:rPr>
        <w:tab/>
      </w:r>
      <w:r>
        <w:rPr>
          <w:rFonts w:hint="eastAsia" w:ascii="楷体" w:hAnsi="楷体" w:eastAsia="楷体" w:cs="楷体"/>
          <w:bCs/>
          <w:sz w:val="28"/>
          <w:szCs w:val="28"/>
          <w:lang w:val="en-US" w:eastAsia="zh-CN"/>
        </w:rPr>
        <w:t>8</w:t>
      </w:r>
      <w:r>
        <w:rPr>
          <w:rFonts w:hint="eastAsia" w:ascii="楷体" w:hAnsi="楷体" w:eastAsia="楷体" w:cs="楷体"/>
          <w:bCs/>
          <w:sz w:val="28"/>
          <w:szCs w:val="28"/>
        </w:rPr>
        <w:fldChar w:fldCharType="end"/>
      </w:r>
      <w:r>
        <w:rPr>
          <w:rFonts w:hint="eastAsia" w:ascii="楷体" w:hAnsi="楷体" w:eastAsia="楷体" w:cs="楷体"/>
          <w:bCs/>
          <w:sz w:val="28"/>
          <w:szCs w:val="28"/>
          <w:lang w:val="en-US" w:eastAsia="zh-CN"/>
        </w:rPr>
        <w:t>2</w:t>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lang w:val="en-US" w:eastAsia="zh-CN"/>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_Toc30942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8.5 规划建设规模</w:t>
      </w:r>
      <w:r>
        <w:rPr>
          <w:rFonts w:hint="eastAsia" w:ascii="楷体" w:hAnsi="楷体" w:eastAsia="楷体" w:cs="楷体"/>
          <w:bCs/>
          <w:sz w:val="28"/>
          <w:szCs w:val="28"/>
        </w:rPr>
        <w:tab/>
      </w:r>
      <w:r>
        <w:rPr>
          <w:rFonts w:hint="eastAsia" w:ascii="楷体" w:hAnsi="楷体" w:eastAsia="楷体" w:cs="楷体"/>
          <w:bCs/>
          <w:sz w:val="28"/>
          <w:szCs w:val="28"/>
          <w:lang w:val="en-US" w:eastAsia="zh-CN"/>
        </w:rPr>
        <w:t>9</w:t>
      </w:r>
      <w:r>
        <w:rPr>
          <w:rFonts w:hint="eastAsia" w:ascii="楷体" w:hAnsi="楷体" w:eastAsia="楷体" w:cs="楷体"/>
          <w:bCs/>
          <w:sz w:val="28"/>
          <w:szCs w:val="28"/>
        </w:rPr>
        <w:fldChar w:fldCharType="end"/>
      </w:r>
      <w:r>
        <w:rPr>
          <w:rFonts w:hint="eastAsia" w:ascii="楷体" w:hAnsi="楷体" w:eastAsia="楷体" w:cs="楷体"/>
          <w:bCs/>
          <w:sz w:val="28"/>
          <w:szCs w:val="28"/>
          <w:lang w:val="en-US" w:eastAsia="zh-CN"/>
        </w:rPr>
        <w:t>0</w:t>
      </w:r>
    </w:p>
    <w:p>
      <w:pPr>
        <w:pStyle w:val="59"/>
        <w:keepNext w:val="0"/>
        <w:keepLines w:val="0"/>
        <w:pageBreakBefore w:val="0"/>
        <w:widowControl w:val="0"/>
        <w:tabs>
          <w:tab w:val="right" w:leader="dot" w:pos="8505"/>
        </w:tabs>
        <w:kinsoku/>
        <w:wordWrap/>
        <w:overflowPunct/>
        <w:topLinePunct w:val="0"/>
        <w:autoSpaceDE/>
        <w:autoSpaceDN/>
        <w:bidi w:val="0"/>
        <w:spacing w:line="460" w:lineRule="exact"/>
        <w:textAlignment w:val="auto"/>
        <w:rPr>
          <w:rFonts w:hint="eastAsia" w:ascii="黑体" w:hAnsi="黑体" w:eastAsia="黑体" w:cs="黑体"/>
          <w:b w:val="0"/>
          <w:bCs w:val="0"/>
          <w:sz w:val="28"/>
          <w:szCs w:val="28"/>
        </w:rPr>
      </w:pPr>
      <w:r>
        <w:rPr>
          <w:rFonts w:hint="eastAsia" w:ascii="黑体" w:hAnsi="黑体" w:eastAsia="黑体" w:cs="黑体"/>
          <w:b w:val="0"/>
          <w:bCs w:val="0"/>
          <w:sz w:val="28"/>
          <w:szCs w:val="28"/>
        </w:rPr>
        <w:fldChar w:fldCharType="begin" w:fldLock="1"/>
      </w:r>
      <w:r>
        <w:rPr>
          <w:rFonts w:hint="eastAsia" w:ascii="黑体" w:hAnsi="黑体" w:eastAsia="黑体" w:cs="黑体"/>
          <w:b w:val="0"/>
          <w:bCs w:val="0"/>
          <w:sz w:val="28"/>
          <w:szCs w:val="28"/>
        </w:rPr>
        <w:instrText xml:space="preserve"> HYPERLINK \l _Toc10467 </w:instrText>
      </w:r>
      <w:r>
        <w:rPr>
          <w:rFonts w:hint="eastAsia" w:ascii="黑体" w:hAnsi="黑体" w:eastAsia="黑体" w:cs="黑体"/>
          <w:b w:val="0"/>
          <w:bCs w:val="0"/>
          <w:sz w:val="28"/>
          <w:szCs w:val="28"/>
        </w:rPr>
        <w:fldChar w:fldCharType="separate"/>
      </w:r>
      <w:r>
        <w:rPr>
          <w:rFonts w:hint="eastAsia" w:ascii="黑体" w:hAnsi="黑体" w:eastAsia="黑体" w:cs="黑体"/>
          <w:b w:val="0"/>
          <w:bCs w:val="0"/>
          <w:sz w:val="28"/>
          <w:szCs w:val="28"/>
        </w:rPr>
        <w:t>9 10千伏及以下电网规划</w:t>
      </w:r>
      <w:r>
        <w:rPr>
          <w:rFonts w:hint="eastAsia" w:ascii="黑体" w:hAnsi="黑体" w:eastAsia="黑体" w:cs="黑体"/>
          <w:b w:val="0"/>
          <w:bCs w:val="0"/>
          <w:sz w:val="28"/>
          <w:szCs w:val="28"/>
        </w:rPr>
        <w:tab/>
      </w:r>
      <w:r>
        <w:rPr>
          <w:rFonts w:hint="eastAsia" w:ascii="黑体" w:hAnsi="黑体" w:eastAsia="黑体" w:cs="黑体"/>
          <w:b w:val="0"/>
          <w:bCs w:val="0"/>
          <w:sz w:val="28"/>
          <w:szCs w:val="28"/>
        </w:rPr>
        <w:fldChar w:fldCharType="begin" w:fldLock="1"/>
      </w:r>
      <w:r>
        <w:rPr>
          <w:rFonts w:hint="eastAsia" w:ascii="黑体" w:hAnsi="黑体" w:eastAsia="黑体" w:cs="黑体"/>
          <w:b w:val="0"/>
          <w:bCs w:val="0"/>
          <w:sz w:val="28"/>
          <w:szCs w:val="28"/>
        </w:rPr>
        <w:instrText xml:space="preserve"> PAGEREF _Toc10467 \h </w:instrText>
      </w:r>
      <w:r>
        <w:rPr>
          <w:rFonts w:hint="eastAsia" w:ascii="黑体" w:hAnsi="黑体" w:eastAsia="黑体" w:cs="黑体"/>
          <w:b w:val="0"/>
          <w:bCs w:val="0"/>
          <w:sz w:val="28"/>
          <w:szCs w:val="28"/>
        </w:rPr>
        <w:fldChar w:fldCharType="separate"/>
      </w:r>
      <w:r>
        <w:rPr>
          <w:rFonts w:hint="eastAsia" w:ascii="黑体" w:hAnsi="黑体" w:eastAsia="黑体" w:cs="黑体"/>
          <w:b w:val="0"/>
          <w:bCs w:val="0"/>
          <w:sz w:val="28"/>
          <w:szCs w:val="28"/>
        </w:rPr>
        <w:t>9</w:t>
      </w:r>
      <w:r>
        <w:rPr>
          <w:rFonts w:hint="eastAsia" w:ascii="黑体" w:hAnsi="黑体" w:eastAsia="黑体" w:cs="黑体"/>
          <w:b w:val="0"/>
          <w:bCs w:val="0"/>
          <w:sz w:val="28"/>
          <w:szCs w:val="28"/>
          <w:lang w:val="en-US" w:eastAsia="zh-CN"/>
        </w:rPr>
        <w:t>2</w:t>
      </w:r>
      <w:r>
        <w:rPr>
          <w:rFonts w:hint="eastAsia" w:ascii="黑体" w:hAnsi="黑体" w:eastAsia="黑体" w:cs="黑体"/>
          <w:b w:val="0"/>
          <w:bCs w:val="0"/>
          <w:sz w:val="28"/>
          <w:szCs w:val="28"/>
        </w:rPr>
        <w:fldChar w:fldCharType="end"/>
      </w:r>
      <w:r>
        <w:rPr>
          <w:rFonts w:hint="eastAsia" w:ascii="黑体" w:hAnsi="黑体" w:eastAsia="黑体" w:cs="黑体"/>
          <w:b w:val="0"/>
          <w:bCs w:val="0"/>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_Toc32296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9.1 国家电网西咸新区供电公司“十四五”期间10千伏及以下电网规划</w:t>
      </w:r>
      <w:r>
        <w:rPr>
          <w:rFonts w:hint="eastAsia" w:ascii="楷体" w:hAnsi="楷体" w:eastAsia="楷体" w:cs="楷体"/>
          <w:bCs/>
          <w:sz w:val="28"/>
          <w:szCs w:val="28"/>
        </w:rPr>
        <w:tab/>
      </w: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PAGEREF _Toc32296 \h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9</w:t>
      </w:r>
      <w:r>
        <w:rPr>
          <w:rFonts w:hint="eastAsia" w:ascii="楷体" w:hAnsi="楷体" w:eastAsia="楷体" w:cs="楷体"/>
          <w:bCs/>
          <w:sz w:val="28"/>
          <w:szCs w:val="28"/>
          <w:lang w:val="en-US" w:eastAsia="zh-CN"/>
        </w:rPr>
        <w:t>2</w:t>
      </w:r>
      <w:r>
        <w:rPr>
          <w:rFonts w:hint="eastAsia" w:ascii="楷体" w:hAnsi="楷体" w:eastAsia="楷体" w:cs="楷体"/>
          <w:bCs/>
          <w:sz w:val="28"/>
          <w:szCs w:val="28"/>
        </w:rPr>
        <w:fldChar w:fldCharType="end"/>
      </w:r>
      <w:r>
        <w:rPr>
          <w:rFonts w:hint="eastAsia" w:ascii="楷体" w:hAnsi="楷体" w:eastAsia="楷体" w:cs="楷体"/>
          <w:bCs/>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lang w:val="en-US" w:eastAsia="zh-CN"/>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_Toc26508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9.2 地方电力集团“十四五”期间10千伏及以下电网规划</w:t>
      </w:r>
      <w:r>
        <w:rPr>
          <w:rFonts w:hint="eastAsia" w:ascii="楷体" w:hAnsi="楷体" w:eastAsia="楷体" w:cs="楷体"/>
          <w:bCs/>
          <w:sz w:val="28"/>
          <w:szCs w:val="28"/>
        </w:rPr>
        <w:tab/>
      </w:r>
      <w:r>
        <w:rPr>
          <w:rFonts w:hint="eastAsia" w:ascii="楷体" w:hAnsi="楷体" w:eastAsia="楷体" w:cs="楷体"/>
          <w:bCs/>
          <w:sz w:val="28"/>
          <w:szCs w:val="28"/>
          <w:lang w:val="en-US" w:eastAsia="zh-CN"/>
        </w:rPr>
        <w:t>9</w:t>
      </w:r>
      <w:r>
        <w:rPr>
          <w:rFonts w:hint="eastAsia" w:ascii="楷体" w:hAnsi="楷体" w:eastAsia="楷体" w:cs="楷体"/>
          <w:bCs/>
          <w:sz w:val="28"/>
          <w:szCs w:val="28"/>
        </w:rPr>
        <w:fldChar w:fldCharType="end"/>
      </w:r>
      <w:r>
        <w:rPr>
          <w:rFonts w:hint="eastAsia" w:ascii="楷体" w:hAnsi="楷体" w:eastAsia="楷体" w:cs="楷体"/>
          <w:bCs/>
          <w:sz w:val="28"/>
          <w:szCs w:val="28"/>
          <w:lang w:val="en-US" w:eastAsia="zh-CN"/>
        </w:rPr>
        <w:t>4</w:t>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_Toc25655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9.3 沣西新城增量电网“十四五”期间10千伏及以下电网规划</w:t>
      </w:r>
      <w:r>
        <w:rPr>
          <w:rFonts w:hint="eastAsia" w:ascii="楷体" w:hAnsi="楷体" w:eastAsia="楷体" w:cs="楷体"/>
          <w:bCs/>
          <w:sz w:val="28"/>
          <w:szCs w:val="28"/>
        </w:rPr>
        <w:tab/>
      </w: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PAGEREF _Toc25655 \h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95</w:t>
      </w:r>
      <w:r>
        <w:rPr>
          <w:rFonts w:hint="eastAsia" w:ascii="楷体" w:hAnsi="楷体" w:eastAsia="楷体" w:cs="楷体"/>
          <w:bCs/>
          <w:sz w:val="28"/>
          <w:szCs w:val="28"/>
        </w:rPr>
        <w:fldChar w:fldCharType="end"/>
      </w:r>
      <w:r>
        <w:rPr>
          <w:rFonts w:hint="eastAsia" w:ascii="楷体" w:hAnsi="楷体" w:eastAsia="楷体" w:cs="楷体"/>
          <w:bCs/>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_Toc9820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9.4 空港新城增量电网“十四五”期间10千伏及以下电网规划</w:t>
      </w:r>
      <w:r>
        <w:rPr>
          <w:rFonts w:hint="eastAsia" w:ascii="楷体" w:hAnsi="楷体" w:eastAsia="楷体" w:cs="楷体"/>
          <w:bCs/>
          <w:sz w:val="28"/>
          <w:szCs w:val="28"/>
        </w:rPr>
        <w:tab/>
      </w: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PAGEREF _Toc9820 \h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95</w:t>
      </w:r>
      <w:r>
        <w:rPr>
          <w:rFonts w:hint="eastAsia" w:ascii="楷体" w:hAnsi="楷体" w:eastAsia="楷体" w:cs="楷体"/>
          <w:bCs/>
          <w:sz w:val="28"/>
          <w:szCs w:val="28"/>
        </w:rPr>
        <w:fldChar w:fldCharType="end"/>
      </w:r>
      <w:r>
        <w:rPr>
          <w:rFonts w:hint="eastAsia" w:ascii="楷体" w:hAnsi="楷体" w:eastAsia="楷体" w:cs="楷体"/>
          <w:bCs/>
          <w:sz w:val="28"/>
          <w:szCs w:val="28"/>
        </w:rPr>
        <w:fldChar w:fldCharType="end"/>
      </w:r>
    </w:p>
    <w:p>
      <w:pPr>
        <w:pStyle w:val="59"/>
        <w:keepNext w:val="0"/>
        <w:keepLines w:val="0"/>
        <w:pageBreakBefore w:val="0"/>
        <w:widowControl w:val="0"/>
        <w:tabs>
          <w:tab w:val="right" w:leader="dot" w:pos="8505"/>
        </w:tabs>
        <w:kinsoku/>
        <w:wordWrap/>
        <w:overflowPunct/>
        <w:topLinePunct w:val="0"/>
        <w:autoSpaceDE/>
        <w:autoSpaceDN/>
        <w:bidi w:val="0"/>
        <w:spacing w:line="460" w:lineRule="exact"/>
        <w:textAlignment w:val="auto"/>
        <w:rPr>
          <w:rFonts w:hint="eastAsia" w:ascii="黑体" w:hAnsi="黑体" w:eastAsia="黑体" w:cs="黑体"/>
          <w:b w:val="0"/>
          <w:bCs w:val="0"/>
          <w:sz w:val="28"/>
          <w:szCs w:val="28"/>
        </w:rPr>
      </w:pPr>
      <w:r>
        <w:rPr>
          <w:rFonts w:hint="eastAsia" w:ascii="黑体" w:hAnsi="黑体" w:eastAsia="黑体" w:cs="黑体"/>
          <w:b w:val="0"/>
          <w:bCs w:val="0"/>
          <w:sz w:val="28"/>
          <w:szCs w:val="28"/>
        </w:rPr>
        <w:fldChar w:fldCharType="begin" w:fldLock="1"/>
      </w:r>
      <w:r>
        <w:rPr>
          <w:rFonts w:hint="eastAsia" w:ascii="黑体" w:hAnsi="黑体" w:eastAsia="黑体" w:cs="黑体"/>
          <w:b w:val="0"/>
          <w:bCs w:val="0"/>
          <w:sz w:val="28"/>
          <w:szCs w:val="28"/>
        </w:rPr>
        <w:instrText xml:space="preserve"> HYPERLINK \l _Toc20335 </w:instrText>
      </w:r>
      <w:r>
        <w:rPr>
          <w:rFonts w:hint="eastAsia" w:ascii="黑体" w:hAnsi="黑体" w:eastAsia="黑体" w:cs="黑体"/>
          <w:b w:val="0"/>
          <w:bCs w:val="0"/>
          <w:sz w:val="28"/>
          <w:szCs w:val="28"/>
        </w:rPr>
        <w:fldChar w:fldCharType="separate"/>
      </w:r>
      <w:r>
        <w:rPr>
          <w:rFonts w:hint="eastAsia" w:ascii="黑体" w:hAnsi="黑体" w:eastAsia="黑体" w:cs="黑体"/>
          <w:b w:val="0"/>
          <w:bCs w:val="0"/>
          <w:sz w:val="28"/>
          <w:szCs w:val="28"/>
        </w:rPr>
        <w:t>10 自动化规划</w:t>
      </w:r>
      <w:r>
        <w:rPr>
          <w:rFonts w:hint="eastAsia" w:ascii="黑体" w:hAnsi="黑体" w:eastAsia="黑体" w:cs="黑体"/>
          <w:b w:val="0"/>
          <w:bCs w:val="0"/>
          <w:sz w:val="28"/>
          <w:szCs w:val="28"/>
        </w:rPr>
        <w:tab/>
      </w:r>
      <w:r>
        <w:rPr>
          <w:rFonts w:hint="eastAsia" w:ascii="黑体" w:hAnsi="黑体" w:eastAsia="黑体" w:cs="黑体"/>
          <w:b w:val="0"/>
          <w:bCs w:val="0"/>
          <w:sz w:val="28"/>
          <w:szCs w:val="28"/>
        </w:rPr>
        <w:fldChar w:fldCharType="begin" w:fldLock="1"/>
      </w:r>
      <w:r>
        <w:rPr>
          <w:rFonts w:hint="eastAsia" w:ascii="黑体" w:hAnsi="黑体" w:eastAsia="黑体" w:cs="黑体"/>
          <w:b w:val="0"/>
          <w:bCs w:val="0"/>
          <w:sz w:val="28"/>
          <w:szCs w:val="28"/>
        </w:rPr>
        <w:instrText xml:space="preserve"> PAGEREF _Toc20335 \h </w:instrText>
      </w:r>
      <w:r>
        <w:rPr>
          <w:rFonts w:hint="eastAsia" w:ascii="黑体" w:hAnsi="黑体" w:eastAsia="黑体" w:cs="黑体"/>
          <w:b w:val="0"/>
          <w:bCs w:val="0"/>
          <w:sz w:val="28"/>
          <w:szCs w:val="28"/>
        </w:rPr>
        <w:fldChar w:fldCharType="separate"/>
      </w:r>
      <w:r>
        <w:rPr>
          <w:rFonts w:hint="eastAsia" w:ascii="黑体" w:hAnsi="黑体" w:eastAsia="黑体" w:cs="黑体"/>
          <w:b w:val="0"/>
          <w:bCs w:val="0"/>
          <w:sz w:val="28"/>
          <w:szCs w:val="28"/>
        </w:rPr>
        <w:t>96</w:t>
      </w:r>
      <w:r>
        <w:rPr>
          <w:rFonts w:hint="eastAsia" w:ascii="黑体" w:hAnsi="黑体" w:eastAsia="黑体" w:cs="黑体"/>
          <w:b w:val="0"/>
          <w:bCs w:val="0"/>
          <w:sz w:val="28"/>
          <w:szCs w:val="28"/>
        </w:rPr>
        <w:fldChar w:fldCharType="end"/>
      </w:r>
      <w:r>
        <w:rPr>
          <w:rFonts w:hint="eastAsia" w:ascii="黑体" w:hAnsi="黑体" w:eastAsia="黑体" w:cs="黑体"/>
          <w:b w:val="0"/>
          <w:bCs w:val="0"/>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_Toc32229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10.1 自动化实现方式</w:t>
      </w:r>
      <w:r>
        <w:rPr>
          <w:rFonts w:hint="eastAsia" w:ascii="楷体" w:hAnsi="楷体" w:eastAsia="楷体" w:cs="楷体"/>
          <w:bCs/>
          <w:sz w:val="28"/>
          <w:szCs w:val="28"/>
        </w:rPr>
        <w:tab/>
      </w: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PAGEREF _Toc32229 \h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96</w:t>
      </w:r>
      <w:r>
        <w:rPr>
          <w:rFonts w:hint="eastAsia" w:ascii="楷体" w:hAnsi="楷体" w:eastAsia="楷体" w:cs="楷体"/>
          <w:bCs/>
          <w:sz w:val="28"/>
          <w:szCs w:val="28"/>
        </w:rPr>
        <w:fldChar w:fldCharType="end"/>
      </w:r>
      <w:r>
        <w:rPr>
          <w:rFonts w:hint="eastAsia" w:ascii="楷体" w:hAnsi="楷体" w:eastAsia="楷体" w:cs="楷体"/>
          <w:bCs/>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_Toc19685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10.2 终端建设原则</w:t>
      </w:r>
      <w:r>
        <w:rPr>
          <w:rFonts w:hint="eastAsia" w:ascii="楷体" w:hAnsi="楷体" w:eastAsia="楷体" w:cs="楷体"/>
          <w:bCs/>
          <w:sz w:val="28"/>
          <w:szCs w:val="28"/>
        </w:rPr>
        <w:tab/>
      </w: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PAGEREF _Toc19685 \h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96</w:t>
      </w:r>
      <w:r>
        <w:rPr>
          <w:rFonts w:hint="eastAsia" w:ascii="楷体" w:hAnsi="楷体" w:eastAsia="楷体" w:cs="楷体"/>
          <w:bCs/>
          <w:sz w:val="28"/>
          <w:szCs w:val="28"/>
        </w:rPr>
        <w:fldChar w:fldCharType="end"/>
      </w:r>
      <w:r>
        <w:rPr>
          <w:rFonts w:hint="eastAsia" w:ascii="楷体" w:hAnsi="楷体" w:eastAsia="楷体" w:cs="楷体"/>
          <w:bCs/>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_Toc2667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10.3 通信方式</w:t>
      </w:r>
      <w:r>
        <w:rPr>
          <w:rFonts w:hint="eastAsia" w:ascii="楷体" w:hAnsi="楷体" w:eastAsia="楷体" w:cs="楷体"/>
          <w:bCs/>
          <w:sz w:val="28"/>
          <w:szCs w:val="28"/>
        </w:rPr>
        <w:tab/>
      </w: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PAGEREF _Toc2667 \h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98</w:t>
      </w:r>
      <w:r>
        <w:rPr>
          <w:rFonts w:hint="eastAsia" w:ascii="楷体" w:hAnsi="楷体" w:eastAsia="楷体" w:cs="楷体"/>
          <w:bCs/>
          <w:sz w:val="28"/>
          <w:szCs w:val="28"/>
        </w:rPr>
        <w:fldChar w:fldCharType="end"/>
      </w:r>
      <w:r>
        <w:rPr>
          <w:rFonts w:hint="eastAsia" w:ascii="楷体" w:hAnsi="楷体" w:eastAsia="楷体" w:cs="楷体"/>
          <w:bCs/>
          <w:sz w:val="28"/>
          <w:szCs w:val="28"/>
        </w:rPr>
        <w:fldChar w:fldCharType="end"/>
      </w:r>
    </w:p>
    <w:p>
      <w:pPr>
        <w:pStyle w:val="59"/>
        <w:keepNext w:val="0"/>
        <w:keepLines w:val="0"/>
        <w:pageBreakBefore w:val="0"/>
        <w:widowControl w:val="0"/>
        <w:tabs>
          <w:tab w:val="right" w:leader="dot" w:pos="8505"/>
        </w:tabs>
        <w:kinsoku/>
        <w:wordWrap/>
        <w:overflowPunct/>
        <w:topLinePunct w:val="0"/>
        <w:autoSpaceDE/>
        <w:autoSpaceDN/>
        <w:bidi w:val="0"/>
        <w:spacing w:line="460" w:lineRule="exact"/>
        <w:textAlignment w:val="auto"/>
        <w:rPr>
          <w:rFonts w:hint="eastAsia" w:ascii="黑体" w:hAnsi="黑体" w:eastAsia="黑体" w:cs="黑体"/>
          <w:b w:val="0"/>
          <w:bCs w:val="0"/>
          <w:sz w:val="28"/>
          <w:szCs w:val="28"/>
        </w:rPr>
      </w:pPr>
      <w:r>
        <w:rPr>
          <w:rFonts w:hint="eastAsia" w:ascii="黑体" w:hAnsi="黑体" w:eastAsia="黑体" w:cs="黑体"/>
          <w:b w:val="0"/>
          <w:bCs w:val="0"/>
          <w:sz w:val="28"/>
          <w:szCs w:val="28"/>
        </w:rPr>
        <w:fldChar w:fldCharType="begin" w:fldLock="1"/>
      </w:r>
      <w:r>
        <w:rPr>
          <w:rFonts w:hint="eastAsia" w:ascii="黑体" w:hAnsi="黑体" w:eastAsia="黑体" w:cs="黑体"/>
          <w:b w:val="0"/>
          <w:bCs w:val="0"/>
          <w:sz w:val="28"/>
          <w:szCs w:val="28"/>
        </w:rPr>
        <w:instrText xml:space="preserve"> HYPERLINK \l _Toc25906 </w:instrText>
      </w:r>
      <w:r>
        <w:rPr>
          <w:rFonts w:hint="eastAsia" w:ascii="黑体" w:hAnsi="黑体" w:eastAsia="黑体" w:cs="黑体"/>
          <w:b w:val="0"/>
          <w:bCs w:val="0"/>
          <w:sz w:val="28"/>
          <w:szCs w:val="28"/>
        </w:rPr>
        <w:fldChar w:fldCharType="separate"/>
      </w:r>
      <w:r>
        <w:rPr>
          <w:rFonts w:hint="eastAsia" w:ascii="黑体" w:hAnsi="黑体" w:eastAsia="黑体" w:cs="黑体"/>
          <w:b w:val="0"/>
          <w:bCs w:val="0"/>
          <w:sz w:val="28"/>
          <w:szCs w:val="28"/>
        </w:rPr>
        <w:t>11 投资估算</w:t>
      </w:r>
      <w:r>
        <w:rPr>
          <w:rFonts w:hint="eastAsia" w:ascii="黑体" w:hAnsi="黑体" w:eastAsia="黑体" w:cs="黑体"/>
          <w:b w:val="0"/>
          <w:bCs w:val="0"/>
          <w:sz w:val="28"/>
          <w:szCs w:val="28"/>
        </w:rPr>
        <w:tab/>
      </w:r>
      <w:r>
        <w:rPr>
          <w:rFonts w:hint="eastAsia" w:ascii="黑体" w:hAnsi="黑体" w:eastAsia="黑体" w:cs="黑体"/>
          <w:b w:val="0"/>
          <w:bCs w:val="0"/>
          <w:sz w:val="28"/>
          <w:szCs w:val="28"/>
        </w:rPr>
        <w:fldChar w:fldCharType="begin" w:fldLock="1"/>
      </w:r>
      <w:r>
        <w:rPr>
          <w:rFonts w:hint="eastAsia" w:ascii="黑体" w:hAnsi="黑体" w:eastAsia="黑体" w:cs="黑体"/>
          <w:b w:val="0"/>
          <w:bCs w:val="0"/>
          <w:sz w:val="28"/>
          <w:szCs w:val="28"/>
        </w:rPr>
        <w:instrText xml:space="preserve"> PAGEREF _Toc25906 \h </w:instrText>
      </w:r>
      <w:r>
        <w:rPr>
          <w:rFonts w:hint="eastAsia" w:ascii="黑体" w:hAnsi="黑体" w:eastAsia="黑体" w:cs="黑体"/>
          <w:b w:val="0"/>
          <w:bCs w:val="0"/>
          <w:sz w:val="28"/>
          <w:szCs w:val="28"/>
        </w:rPr>
        <w:fldChar w:fldCharType="separate"/>
      </w:r>
      <w:r>
        <w:rPr>
          <w:rFonts w:hint="eastAsia" w:ascii="黑体" w:hAnsi="黑体" w:eastAsia="黑体" w:cs="黑体"/>
          <w:b w:val="0"/>
          <w:bCs w:val="0"/>
          <w:sz w:val="28"/>
          <w:szCs w:val="28"/>
        </w:rPr>
        <w:t>101</w:t>
      </w:r>
      <w:r>
        <w:rPr>
          <w:rFonts w:hint="eastAsia" w:ascii="黑体" w:hAnsi="黑体" w:eastAsia="黑体" w:cs="黑体"/>
          <w:b w:val="0"/>
          <w:bCs w:val="0"/>
          <w:sz w:val="28"/>
          <w:szCs w:val="28"/>
        </w:rPr>
        <w:fldChar w:fldCharType="end"/>
      </w:r>
      <w:r>
        <w:rPr>
          <w:rFonts w:hint="eastAsia" w:ascii="黑体" w:hAnsi="黑体" w:eastAsia="黑体" w:cs="黑体"/>
          <w:b w:val="0"/>
          <w:bCs w:val="0"/>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_Toc8711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11.1 投资估算依据</w:t>
      </w:r>
      <w:r>
        <w:rPr>
          <w:rFonts w:hint="eastAsia" w:ascii="楷体" w:hAnsi="楷体" w:eastAsia="楷体" w:cs="楷体"/>
          <w:bCs/>
          <w:sz w:val="28"/>
          <w:szCs w:val="28"/>
        </w:rPr>
        <w:tab/>
      </w: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PAGEREF _Toc8711 \h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101</w:t>
      </w:r>
      <w:r>
        <w:rPr>
          <w:rFonts w:hint="eastAsia" w:ascii="楷体" w:hAnsi="楷体" w:eastAsia="楷体" w:cs="楷体"/>
          <w:bCs/>
          <w:sz w:val="28"/>
          <w:szCs w:val="28"/>
        </w:rPr>
        <w:fldChar w:fldCharType="end"/>
      </w:r>
      <w:r>
        <w:rPr>
          <w:rFonts w:hint="eastAsia" w:ascii="楷体" w:hAnsi="楷体" w:eastAsia="楷体" w:cs="楷体"/>
          <w:bCs/>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_Toc11903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11.2 330千伏电网投资</w:t>
      </w:r>
      <w:r>
        <w:rPr>
          <w:rFonts w:hint="eastAsia" w:ascii="楷体" w:hAnsi="楷体" w:eastAsia="楷体" w:cs="楷体"/>
          <w:bCs/>
          <w:sz w:val="28"/>
          <w:szCs w:val="28"/>
        </w:rPr>
        <w:tab/>
      </w: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PAGEREF _Toc11903 \h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102</w:t>
      </w:r>
      <w:r>
        <w:rPr>
          <w:rFonts w:hint="eastAsia" w:ascii="楷体" w:hAnsi="楷体" w:eastAsia="楷体" w:cs="楷体"/>
          <w:bCs/>
          <w:sz w:val="28"/>
          <w:szCs w:val="28"/>
        </w:rPr>
        <w:fldChar w:fldCharType="end"/>
      </w:r>
      <w:r>
        <w:rPr>
          <w:rFonts w:hint="eastAsia" w:ascii="楷体" w:hAnsi="楷体" w:eastAsia="楷体" w:cs="楷体"/>
          <w:bCs/>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_Toc223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11.3 110千伏电网投资</w:t>
      </w:r>
      <w:r>
        <w:rPr>
          <w:rFonts w:hint="eastAsia" w:ascii="楷体" w:hAnsi="楷体" w:eastAsia="楷体" w:cs="楷体"/>
          <w:bCs/>
          <w:sz w:val="28"/>
          <w:szCs w:val="28"/>
        </w:rPr>
        <w:tab/>
      </w: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PAGEREF _Toc223 \h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102</w:t>
      </w:r>
      <w:r>
        <w:rPr>
          <w:rFonts w:hint="eastAsia" w:ascii="楷体" w:hAnsi="楷体" w:eastAsia="楷体" w:cs="楷体"/>
          <w:bCs/>
          <w:sz w:val="28"/>
          <w:szCs w:val="28"/>
        </w:rPr>
        <w:fldChar w:fldCharType="end"/>
      </w:r>
      <w:r>
        <w:rPr>
          <w:rFonts w:hint="eastAsia" w:ascii="楷体" w:hAnsi="楷体" w:eastAsia="楷体" w:cs="楷体"/>
          <w:bCs/>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_Toc8281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11.4 10千伏电网投资</w:t>
      </w:r>
      <w:r>
        <w:rPr>
          <w:rFonts w:hint="eastAsia" w:ascii="楷体" w:hAnsi="楷体" w:eastAsia="楷体" w:cs="楷体"/>
          <w:bCs/>
          <w:sz w:val="28"/>
          <w:szCs w:val="28"/>
        </w:rPr>
        <w:tab/>
      </w: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PAGEREF _Toc8281 \h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105</w:t>
      </w:r>
      <w:r>
        <w:rPr>
          <w:rFonts w:hint="eastAsia" w:ascii="楷体" w:hAnsi="楷体" w:eastAsia="楷体" w:cs="楷体"/>
          <w:bCs/>
          <w:sz w:val="28"/>
          <w:szCs w:val="28"/>
        </w:rPr>
        <w:fldChar w:fldCharType="end"/>
      </w:r>
      <w:r>
        <w:rPr>
          <w:rFonts w:hint="eastAsia" w:ascii="楷体" w:hAnsi="楷体" w:eastAsia="楷体" w:cs="楷体"/>
          <w:bCs/>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_Toc17479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11.5 投资汇总</w:t>
      </w:r>
      <w:r>
        <w:rPr>
          <w:rFonts w:hint="eastAsia" w:ascii="楷体" w:hAnsi="楷体" w:eastAsia="楷体" w:cs="楷体"/>
          <w:bCs/>
          <w:sz w:val="28"/>
          <w:szCs w:val="28"/>
        </w:rPr>
        <w:tab/>
      </w: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PAGEREF _Toc17479 \h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105</w:t>
      </w:r>
      <w:r>
        <w:rPr>
          <w:rFonts w:hint="eastAsia" w:ascii="楷体" w:hAnsi="楷体" w:eastAsia="楷体" w:cs="楷体"/>
          <w:bCs/>
          <w:sz w:val="28"/>
          <w:szCs w:val="28"/>
        </w:rPr>
        <w:fldChar w:fldCharType="end"/>
      </w:r>
      <w:r>
        <w:rPr>
          <w:rFonts w:hint="eastAsia" w:ascii="楷体" w:hAnsi="楷体" w:eastAsia="楷体" w:cs="楷体"/>
          <w:bCs/>
          <w:sz w:val="28"/>
          <w:szCs w:val="28"/>
        </w:rPr>
        <w:fldChar w:fldCharType="end"/>
      </w:r>
    </w:p>
    <w:p>
      <w:pPr>
        <w:pStyle w:val="59"/>
        <w:keepNext w:val="0"/>
        <w:keepLines w:val="0"/>
        <w:pageBreakBefore w:val="0"/>
        <w:widowControl w:val="0"/>
        <w:tabs>
          <w:tab w:val="right" w:leader="dot" w:pos="8505"/>
        </w:tabs>
        <w:kinsoku/>
        <w:wordWrap/>
        <w:overflowPunct/>
        <w:topLinePunct w:val="0"/>
        <w:autoSpaceDE/>
        <w:autoSpaceDN/>
        <w:bidi w:val="0"/>
        <w:spacing w:line="460" w:lineRule="exact"/>
        <w:textAlignment w:val="auto"/>
        <w:rPr>
          <w:rFonts w:hint="eastAsia" w:ascii="黑体" w:hAnsi="黑体" w:eastAsia="黑体" w:cs="黑体"/>
          <w:b w:val="0"/>
          <w:bCs w:val="0"/>
          <w:sz w:val="28"/>
          <w:szCs w:val="28"/>
        </w:rPr>
      </w:pPr>
      <w:r>
        <w:rPr>
          <w:rFonts w:hint="eastAsia" w:ascii="黑体" w:hAnsi="黑体" w:eastAsia="黑体" w:cs="黑体"/>
          <w:b w:val="0"/>
          <w:bCs w:val="0"/>
          <w:sz w:val="28"/>
          <w:szCs w:val="28"/>
        </w:rPr>
        <w:fldChar w:fldCharType="begin" w:fldLock="1"/>
      </w:r>
      <w:r>
        <w:rPr>
          <w:rFonts w:hint="eastAsia" w:ascii="黑体" w:hAnsi="黑体" w:eastAsia="黑体" w:cs="黑体"/>
          <w:b w:val="0"/>
          <w:bCs w:val="0"/>
          <w:sz w:val="28"/>
          <w:szCs w:val="28"/>
        </w:rPr>
        <w:instrText xml:space="preserve"> HYPERLINK \l _Toc16088 </w:instrText>
      </w:r>
      <w:r>
        <w:rPr>
          <w:rFonts w:hint="eastAsia" w:ascii="黑体" w:hAnsi="黑体" w:eastAsia="黑体" w:cs="黑体"/>
          <w:b w:val="0"/>
          <w:bCs w:val="0"/>
          <w:sz w:val="28"/>
          <w:szCs w:val="28"/>
        </w:rPr>
        <w:fldChar w:fldCharType="separate"/>
      </w:r>
      <w:r>
        <w:rPr>
          <w:rFonts w:hint="eastAsia" w:ascii="黑体" w:hAnsi="黑体" w:eastAsia="黑体" w:cs="黑体"/>
          <w:b w:val="0"/>
          <w:bCs w:val="0"/>
          <w:sz w:val="28"/>
          <w:szCs w:val="28"/>
        </w:rPr>
        <w:t>12 规划成效分析</w:t>
      </w:r>
      <w:r>
        <w:rPr>
          <w:rFonts w:hint="eastAsia" w:ascii="黑体" w:hAnsi="黑体" w:eastAsia="黑体" w:cs="黑体"/>
          <w:b w:val="0"/>
          <w:bCs w:val="0"/>
          <w:sz w:val="28"/>
          <w:szCs w:val="28"/>
        </w:rPr>
        <w:tab/>
      </w:r>
      <w:r>
        <w:rPr>
          <w:rFonts w:hint="eastAsia" w:ascii="黑体" w:hAnsi="黑体" w:eastAsia="黑体" w:cs="黑体"/>
          <w:b w:val="0"/>
          <w:bCs w:val="0"/>
          <w:sz w:val="28"/>
          <w:szCs w:val="28"/>
        </w:rPr>
        <w:fldChar w:fldCharType="begin" w:fldLock="1"/>
      </w:r>
      <w:r>
        <w:rPr>
          <w:rFonts w:hint="eastAsia" w:ascii="黑体" w:hAnsi="黑体" w:eastAsia="黑体" w:cs="黑体"/>
          <w:b w:val="0"/>
          <w:bCs w:val="0"/>
          <w:sz w:val="28"/>
          <w:szCs w:val="28"/>
        </w:rPr>
        <w:instrText xml:space="preserve"> PAGEREF _Toc16088 \h </w:instrText>
      </w:r>
      <w:r>
        <w:rPr>
          <w:rFonts w:hint="eastAsia" w:ascii="黑体" w:hAnsi="黑体" w:eastAsia="黑体" w:cs="黑体"/>
          <w:b w:val="0"/>
          <w:bCs w:val="0"/>
          <w:sz w:val="28"/>
          <w:szCs w:val="28"/>
        </w:rPr>
        <w:fldChar w:fldCharType="separate"/>
      </w:r>
      <w:r>
        <w:rPr>
          <w:rFonts w:hint="eastAsia" w:ascii="黑体" w:hAnsi="黑体" w:eastAsia="黑体" w:cs="黑体"/>
          <w:b w:val="0"/>
          <w:bCs w:val="0"/>
          <w:sz w:val="28"/>
          <w:szCs w:val="28"/>
        </w:rPr>
        <w:t>106</w:t>
      </w:r>
      <w:r>
        <w:rPr>
          <w:rFonts w:hint="eastAsia" w:ascii="黑体" w:hAnsi="黑体" w:eastAsia="黑体" w:cs="黑体"/>
          <w:b w:val="0"/>
          <w:bCs w:val="0"/>
          <w:sz w:val="28"/>
          <w:szCs w:val="28"/>
        </w:rPr>
        <w:fldChar w:fldCharType="end"/>
      </w:r>
      <w:r>
        <w:rPr>
          <w:rFonts w:hint="eastAsia" w:ascii="黑体" w:hAnsi="黑体" w:eastAsia="黑体" w:cs="黑体"/>
          <w:b w:val="0"/>
          <w:bCs w:val="0"/>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_Toc5062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12.1 技术成效分析</w:t>
      </w:r>
      <w:r>
        <w:rPr>
          <w:rFonts w:hint="eastAsia" w:ascii="楷体" w:hAnsi="楷体" w:eastAsia="楷体" w:cs="楷体"/>
          <w:bCs/>
          <w:sz w:val="28"/>
          <w:szCs w:val="28"/>
        </w:rPr>
        <w:tab/>
      </w: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PAGEREF _Toc5062 \h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106</w:t>
      </w:r>
      <w:r>
        <w:rPr>
          <w:rFonts w:hint="eastAsia" w:ascii="楷体" w:hAnsi="楷体" w:eastAsia="楷体" w:cs="楷体"/>
          <w:bCs/>
          <w:sz w:val="28"/>
          <w:szCs w:val="28"/>
        </w:rPr>
        <w:fldChar w:fldCharType="end"/>
      </w:r>
      <w:r>
        <w:rPr>
          <w:rFonts w:hint="eastAsia" w:ascii="楷体" w:hAnsi="楷体" w:eastAsia="楷体" w:cs="楷体"/>
          <w:bCs/>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_Toc8201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12.2 社会效益分析</w:t>
      </w:r>
      <w:r>
        <w:rPr>
          <w:rFonts w:hint="eastAsia" w:ascii="楷体" w:hAnsi="楷体" w:eastAsia="楷体" w:cs="楷体"/>
          <w:bCs/>
          <w:sz w:val="28"/>
          <w:szCs w:val="28"/>
        </w:rPr>
        <w:tab/>
      </w: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PAGEREF _Toc8201 \h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109</w:t>
      </w:r>
      <w:r>
        <w:rPr>
          <w:rFonts w:hint="eastAsia" w:ascii="楷体" w:hAnsi="楷体" w:eastAsia="楷体" w:cs="楷体"/>
          <w:bCs/>
          <w:sz w:val="28"/>
          <w:szCs w:val="28"/>
        </w:rPr>
        <w:fldChar w:fldCharType="end"/>
      </w:r>
      <w:r>
        <w:rPr>
          <w:rFonts w:hint="eastAsia" w:ascii="楷体" w:hAnsi="楷体" w:eastAsia="楷体" w:cs="楷体"/>
          <w:bCs/>
          <w:sz w:val="28"/>
          <w:szCs w:val="28"/>
        </w:rPr>
        <w:fldChar w:fldCharType="end"/>
      </w:r>
    </w:p>
    <w:p>
      <w:pPr>
        <w:pStyle w:val="59"/>
        <w:keepNext w:val="0"/>
        <w:keepLines w:val="0"/>
        <w:pageBreakBefore w:val="0"/>
        <w:widowControl w:val="0"/>
        <w:tabs>
          <w:tab w:val="right" w:leader="dot" w:pos="8505"/>
        </w:tabs>
        <w:kinsoku/>
        <w:wordWrap/>
        <w:overflowPunct/>
        <w:topLinePunct w:val="0"/>
        <w:autoSpaceDE/>
        <w:autoSpaceDN/>
        <w:bidi w:val="0"/>
        <w:spacing w:line="460" w:lineRule="exact"/>
        <w:textAlignment w:val="auto"/>
        <w:rPr>
          <w:rFonts w:hint="eastAsia" w:ascii="黑体" w:hAnsi="黑体" w:eastAsia="黑体" w:cs="黑体"/>
          <w:b w:val="0"/>
          <w:bCs w:val="0"/>
          <w:sz w:val="28"/>
          <w:szCs w:val="28"/>
        </w:rPr>
      </w:pPr>
      <w:r>
        <w:rPr>
          <w:rFonts w:hint="eastAsia" w:ascii="黑体" w:hAnsi="黑体" w:eastAsia="黑体" w:cs="黑体"/>
          <w:b w:val="0"/>
          <w:bCs w:val="0"/>
          <w:sz w:val="28"/>
          <w:szCs w:val="28"/>
        </w:rPr>
        <w:fldChar w:fldCharType="begin" w:fldLock="1"/>
      </w:r>
      <w:r>
        <w:rPr>
          <w:rFonts w:hint="eastAsia" w:ascii="黑体" w:hAnsi="黑体" w:eastAsia="黑体" w:cs="黑体"/>
          <w:b w:val="0"/>
          <w:bCs w:val="0"/>
          <w:sz w:val="28"/>
          <w:szCs w:val="28"/>
        </w:rPr>
        <w:instrText xml:space="preserve"> HYPERLINK \l _Toc3916 </w:instrText>
      </w:r>
      <w:r>
        <w:rPr>
          <w:rFonts w:hint="eastAsia" w:ascii="黑体" w:hAnsi="黑体" w:eastAsia="黑体" w:cs="黑体"/>
          <w:b w:val="0"/>
          <w:bCs w:val="0"/>
          <w:sz w:val="28"/>
          <w:szCs w:val="28"/>
        </w:rPr>
        <w:fldChar w:fldCharType="separate"/>
      </w:r>
      <w:r>
        <w:rPr>
          <w:rFonts w:hint="eastAsia" w:ascii="黑体" w:hAnsi="黑体" w:eastAsia="黑体" w:cs="黑体"/>
          <w:b w:val="0"/>
          <w:bCs w:val="0"/>
          <w:sz w:val="28"/>
          <w:szCs w:val="28"/>
        </w:rPr>
        <w:t>13 环境影响</w:t>
      </w:r>
      <w:r>
        <w:rPr>
          <w:rFonts w:hint="eastAsia" w:ascii="黑体" w:hAnsi="黑体" w:eastAsia="黑体" w:cs="黑体"/>
          <w:b w:val="0"/>
          <w:bCs w:val="0"/>
          <w:sz w:val="28"/>
          <w:szCs w:val="28"/>
        </w:rPr>
        <w:tab/>
      </w:r>
      <w:r>
        <w:rPr>
          <w:rFonts w:hint="eastAsia" w:ascii="黑体" w:hAnsi="黑体" w:eastAsia="黑体" w:cs="黑体"/>
          <w:b w:val="0"/>
          <w:bCs w:val="0"/>
          <w:sz w:val="28"/>
          <w:szCs w:val="28"/>
        </w:rPr>
        <w:fldChar w:fldCharType="begin" w:fldLock="1"/>
      </w:r>
      <w:r>
        <w:rPr>
          <w:rFonts w:hint="eastAsia" w:ascii="黑体" w:hAnsi="黑体" w:eastAsia="黑体" w:cs="黑体"/>
          <w:b w:val="0"/>
          <w:bCs w:val="0"/>
          <w:sz w:val="28"/>
          <w:szCs w:val="28"/>
        </w:rPr>
        <w:instrText xml:space="preserve"> PAGEREF _Toc3916 \h </w:instrText>
      </w:r>
      <w:r>
        <w:rPr>
          <w:rFonts w:hint="eastAsia" w:ascii="黑体" w:hAnsi="黑体" w:eastAsia="黑体" w:cs="黑体"/>
          <w:b w:val="0"/>
          <w:bCs w:val="0"/>
          <w:sz w:val="28"/>
          <w:szCs w:val="28"/>
        </w:rPr>
        <w:fldChar w:fldCharType="separate"/>
      </w:r>
      <w:r>
        <w:rPr>
          <w:rFonts w:hint="eastAsia" w:ascii="黑体" w:hAnsi="黑体" w:eastAsia="黑体" w:cs="黑体"/>
          <w:b w:val="0"/>
          <w:bCs w:val="0"/>
          <w:sz w:val="28"/>
          <w:szCs w:val="28"/>
        </w:rPr>
        <w:t>112</w:t>
      </w:r>
      <w:r>
        <w:rPr>
          <w:rFonts w:hint="eastAsia" w:ascii="黑体" w:hAnsi="黑体" w:eastAsia="黑体" w:cs="黑体"/>
          <w:b w:val="0"/>
          <w:bCs w:val="0"/>
          <w:sz w:val="28"/>
          <w:szCs w:val="28"/>
        </w:rPr>
        <w:fldChar w:fldCharType="end"/>
      </w:r>
      <w:r>
        <w:rPr>
          <w:rFonts w:hint="eastAsia" w:ascii="黑体" w:hAnsi="黑体" w:eastAsia="黑体" w:cs="黑体"/>
          <w:b w:val="0"/>
          <w:bCs w:val="0"/>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_Toc9676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13.1 环境保护评价依据及标准</w:t>
      </w:r>
      <w:r>
        <w:rPr>
          <w:rFonts w:hint="eastAsia" w:ascii="楷体" w:hAnsi="楷体" w:eastAsia="楷体" w:cs="楷体"/>
          <w:bCs/>
          <w:sz w:val="28"/>
          <w:szCs w:val="28"/>
        </w:rPr>
        <w:tab/>
      </w: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PAGEREF _Toc9676 \h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112</w:t>
      </w:r>
      <w:r>
        <w:rPr>
          <w:rFonts w:hint="eastAsia" w:ascii="楷体" w:hAnsi="楷体" w:eastAsia="楷体" w:cs="楷体"/>
          <w:bCs/>
          <w:sz w:val="28"/>
          <w:szCs w:val="28"/>
        </w:rPr>
        <w:fldChar w:fldCharType="end"/>
      </w:r>
      <w:r>
        <w:rPr>
          <w:rFonts w:hint="eastAsia" w:ascii="楷体" w:hAnsi="楷体" w:eastAsia="楷体" w:cs="楷体"/>
          <w:bCs/>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lang w:val="en-US" w:eastAsia="zh-CN"/>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_Toc22401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13.</w:t>
      </w:r>
      <w:r>
        <w:rPr>
          <w:rFonts w:hint="eastAsia" w:ascii="楷体" w:hAnsi="楷体" w:eastAsia="楷体" w:cs="楷体"/>
          <w:bCs/>
          <w:sz w:val="28"/>
          <w:szCs w:val="28"/>
          <w:lang w:val="en-US" w:eastAsia="zh-CN"/>
        </w:rPr>
        <w:t>2</w:t>
      </w:r>
      <w:r>
        <w:rPr>
          <w:rFonts w:hint="eastAsia" w:ascii="楷体" w:hAnsi="楷体" w:eastAsia="楷体" w:cs="楷体"/>
          <w:bCs/>
          <w:sz w:val="28"/>
          <w:szCs w:val="28"/>
        </w:rPr>
        <w:t xml:space="preserve"> 变电站电磁环境影响及分析</w:t>
      </w:r>
      <w:r>
        <w:rPr>
          <w:rFonts w:hint="eastAsia" w:ascii="楷体" w:hAnsi="楷体" w:eastAsia="楷体" w:cs="楷体"/>
          <w:bCs/>
          <w:sz w:val="28"/>
          <w:szCs w:val="28"/>
        </w:rPr>
        <w:tab/>
      </w: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PAGEREF _Toc22401 \h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1</w:t>
      </w:r>
      <w:r>
        <w:rPr>
          <w:rFonts w:hint="eastAsia" w:ascii="楷体" w:hAnsi="楷体" w:eastAsia="楷体" w:cs="楷体"/>
          <w:bCs/>
          <w:sz w:val="28"/>
          <w:szCs w:val="28"/>
          <w:lang w:val="en-US" w:eastAsia="zh-CN"/>
        </w:rPr>
        <w:t>1</w:t>
      </w:r>
      <w:r>
        <w:rPr>
          <w:rFonts w:hint="eastAsia" w:ascii="楷体" w:hAnsi="楷体" w:eastAsia="楷体" w:cs="楷体"/>
          <w:bCs/>
          <w:sz w:val="28"/>
          <w:szCs w:val="28"/>
        </w:rPr>
        <w:fldChar w:fldCharType="end"/>
      </w:r>
      <w:r>
        <w:rPr>
          <w:rFonts w:hint="eastAsia" w:ascii="楷体" w:hAnsi="楷体" w:eastAsia="楷体" w:cs="楷体"/>
          <w:bCs/>
          <w:sz w:val="28"/>
          <w:szCs w:val="28"/>
        </w:rPr>
        <w:fldChar w:fldCharType="end"/>
      </w:r>
      <w:r>
        <w:rPr>
          <w:rFonts w:hint="eastAsia" w:ascii="楷体" w:hAnsi="楷体" w:eastAsia="楷体" w:cs="楷体"/>
          <w:bCs/>
          <w:sz w:val="28"/>
          <w:szCs w:val="28"/>
          <w:lang w:val="en-US" w:eastAsia="zh-CN"/>
        </w:rPr>
        <w:t>4</w:t>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_Toc13926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13.</w:t>
      </w:r>
      <w:r>
        <w:rPr>
          <w:rFonts w:hint="eastAsia" w:ascii="楷体" w:hAnsi="楷体" w:eastAsia="楷体" w:cs="楷体"/>
          <w:bCs/>
          <w:sz w:val="28"/>
          <w:szCs w:val="28"/>
          <w:lang w:val="en-US" w:eastAsia="zh-CN"/>
        </w:rPr>
        <w:t>3</w:t>
      </w:r>
      <w:r>
        <w:rPr>
          <w:rFonts w:hint="eastAsia" w:ascii="楷体" w:hAnsi="楷体" w:eastAsia="楷体" w:cs="楷体"/>
          <w:bCs/>
          <w:sz w:val="28"/>
          <w:szCs w:val="28"/>
        </w:rPr>
        <w:t xml:space="preserve"> 变电站噪音影响及分析</w:t>
      </w:r>
      <w:r>
        <w:rPr>
          <w:rFonts w:hint="eastAsia" w:ascii="楷体" w:hAnsi="楷体" w:eastAsia="楷体" w:cs="楷体"/>
          <w:bCs/>
          <w:sz w:val="28"/>
          <w:szCs w:val="28"/>
        </w:rPr>
        <w:tab/>
      </w: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PAGEREF _Toc13926 \h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11</w:t>
      </w:r>
      <w:r>
        <w:rPr>
          <w:rFonts w:hint="eastAsia" w:ascii="楷体" w:hAnsi="楷体" w:eastAsia="楷体" w:cs="楷体"/>
          <w:bCs/>
          <w:sz w:val="28"/>
          <w:szCs w:val="28"/>
          <w:lang w:val="en-US" w:eastAsia="zh-CN"/>
        </w:rPr>
        <w:t>5</w:t>
      </w:r>
      <w:r>
        <w:rPr>
          <w:rFonts w:hint="eastAsia" w:ascii="楷体" w:hAnsi="楷体" w:eastAsia="楷体" w:cs="楷体"/>
          <w:bCs/>
          <w:sz w:val="28"/>
          <w:szCs w:val="28"/>
        </w:rPr>
        <w:fldChar w:fldCharType="end"/>
      </w:r>
      <w:r>
        <w:rPr>
          <w:rFonts w:hint="eastAsia" w:ascii="楷体" w:hAnsi="楷体" w:eastAsia="楷体" w:cs="楷体"/>
          <w:bCs/>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_Toc25145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13.</w:t>
      </w:r>
      <w:r>
        <w:rPr>
          <w:rFonts w:hint="eastAsia" w:ascii="楷体" w:hAnsi="楷体" w:eastAsia="楷体" w:cs="楷体"/>
          <w:bCs/>
          <w:sz w:val="28"/>
          <w:szCs w:val="28"/>
          <w:lang w:val="en-US" w:eastAsia="zh-CN"/>
        </w:rPr>
        <w:t>4</w:t>
      </w:r>
      <w:r>
        <w:rPr>
          <w:rFonts w:hint="eastAsia" w:ascii="楷体" w:hAnsi="楷体" w:eastAsia="楷体" w:cs="楷体"/>
          <w:bCs/>
          <w:sz w:val="28"/>
          <w:szCs w:val="28"/>
        </w:rPr>
        <w:t xml:space="preserve"> 变电站建筑物与环境的协调</w:t>
      </w:r>
      <w:r>
        <w:rPr>
          <w:rFonts w:hint="eastAsia" w:ascii="楷体" w:hAnsi="楷体" w:eastAsia="楷体" w:cs="楷体"/>
          <w:bCs/>
          <w:sz w:val="28"/>
          <w:szCs w:val="28"/>
        </w:rPr>
        <w:tab/>
      </w: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PAGEREF _Toc25145 \h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11</w:t>
      </w:r>
      <w:r>
        <w:rPr>
          <w:rFonts w:hint="eastAsia" w:ascii="楷体" w:hAnsi="楷体" w:eastAsia="楷体" w:cs="楷体"/>
          <w:bCs/>
          <w:sz w:val="28"/>
          <w:szCs w:val="28"/>
          <w:lang w:val="en-US" w:eastAsia="zh-CN"/>
        </w:rPr>
        <w:t>7</w:t>
      </w:r>
      <w:r>
        <w:rPr>
          <w:rFonts w:hint="eastAsia" w:ascii="楷体" w:hAnsi="楷体" w:eastAsia="楷体" w:cs="楷体"/>
          <w:bCs/>
          <w:sz w:val="28"/>
          <w:szCs w:val="28"/>
        </w:rPr>
        <w:fldChar w:fldCharType="end"/>
      </w:r>
      <w:r>
        <w:rPr>
          <w:rFonts w:hint="eastAsia" w:ascii="楷体" w:hAnsi="楷体" w:eastAsia="楷体" w:cs="楷体"/>
          <w:bCs/>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_Toc31468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13.</w:t>
      </w:r>
      <w:r>
        <w:rPr>
          <w:rFonts w:hint="eastAsia" w:ascii="楷体" w:hAnsi="楷体" w:eastAsia="楷体" w:cs="楷体"/>
          <w:bCs/>
          <w:sz w:val="28"/>
          <w:szCs w:val="28"/>
          <w:lang w:val="en-US" w:eastAsia="zh-CN"/>
        </w:rPr>
        <w:t>5</w:t>
      </w:r>
      <w:r>
        <w:rPr>
          <w:rFonts w:hint="eastAsia" w:ascii="楷体" w:hAnsi="楷体" w:eastAsia="楷体" w:cs="楷体"/>
          <w:bCs/>
          <w:sz w:val="28"/>
          <w:szCs w:val="28"/>
        </w:rPr>
        <w:t xml:space="preserve"> 输电线路环境影响分析及措施</w:t>
      </w:r>
      <w:r>
        <w:rPr>
          <w:rFonts w:hint="eastAsia" w:ascii="楷体" w:hAnsi="楷体" w:eastAsia="楷体" w:cs="楷体"/>
          <w:bCs/>
          <w:sz w:val="28"/>
          <w:szCs w:val="28"/>
        </w:rPr>
        <w:tab/>
      </w: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PAGEREF _Toc31468 \h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11</w:t>
      </w:r>
      <w:r>
        <w:rPr>
          <w:rFonts w:hint="eastAsia" w:ascii="楷体" w:hAnsi="楷体" w:eastAsia="楷体" w:cs="楷体"/>
          <w:bCs/>
          <w:sz w:val="28"/>
          <w:szCs w:val="28"/>
          <w:lang w:val="en-US" w:eastAsia="zh-CN"/>
        </w:rPr>
        <w:t>7</w:t>
      </w:r>
      <w:r>
        <w:rPr>
          <w:rFonts w:hint="eastAsia" w:ascii="楷体" w:hAnsi="楷体" w:eastAsia="楷体" w:cs="楷体"/>
          <w:bCs/>
          <w:sz w:val="28"/>
          <w:szCs w:val="28"/>
        </w:rPr>
        <w:fldChar w:fldCharType="end"/>
      </w:r>
      <w:r>
        <w:rPr>
          <w:rFonts w:hint="eastAsia" w:ascii="楷体" w:hAnsi="楷体" w:eastAsia="楷体" w:cs="楷体"/>
          <w:bCs/>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lang w:val="en-US" w:eastAsia="zh-CN"/>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_Toc15170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13.</w:t>
      </w:r>
      <w:r>
        <w:rPr>
          <w:rFonts w:hint="eastAsia" w:ascii="楷体" w:hAnsi="楷体" w:eastAsia="楷体" w:cs="楷体"/>
          <w:bCs/>
          <w:sz w:val="28"/>
          <w:szCs w:val="28"/>
          <w:lang w:val="en-US" w:eastAsia="zh-CN"/>
        </w:rPr>
        <w:t>6</w:t>
      </w:r>
      <w:r>
        <w:rPr>
          <w:rFonts w:hint="eastAsia" w:ascii="楷体" w:hAnsi="楷体" w:eastAsia="楷体" w:cs="楷体"/>
          <w:bCs/>
          <w:sz w:val="28"/>
          <w:szCs w:val="28"/>
        </w:rPr>
        <w:t xml:space="preserve"> 规划建议</w:t>
      </w:r>
      <w:r>
        <w:rPr>
          <w:rFonts w:hint="eastAsia" w:ascii="楷体" w:hAnsi="楷体" w:eastAsia="楷体" w:cs="楷体"/>
          <w:bCs/>
          <w:sz w:val="28"/>
          <w:szCs w:val="28"/>
        </w:rPr>
        <w:tab/>
      </w: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PAGEREF _Toc15170 \h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1</w:t>
      </w:r>
      <w:r>
        <w:rPr>
          <w:rFonts w:hint="eastAsia" w:ascii="楷体" w:hAnsi="楷体" w:eastAsia="楷体" w:cs="楷体"/>
          <w:bCs/>
          <w:sz w:val="28"/>
          <w:szCs w:val="28"/>
          <w:lang w:val="en-US" w:eastAsia="zh-CN"/>
        </w:rPr>
        <w:t>1</w:t>
      </w:r>
      <w:r>
        <w:rPr>
          <w:rFonts w:hint="eastAsia" w:ascii="楷体" w:hAnsi="楷体" w:eastAsia="楷体" w:cs="楷体"/>
          <w:bCs/>
          <w:sz w:val="28"/>
          <w:szCs w:val="28"/>
        </w:rPr>
        <w:fldChar w:fldCharType="end"/>
      </w:r>
      <w:r>
        <w:rPr>
          <w:rFonts w:hint="eastAsia" w:ascii="楷体" w:hAnsi="楷体" w:eastAsia="楷体" w:cs="楷体"/>
          <w:bCs/>
          <w:sz w:val="28"/>
          <w:szCs w:val="28"/>
        </w:rPr>
        <w:fldChar w:fldCharType="end"/>
      </w:r>
      <w:r>
        <w:rPr>
          <w:rFonts w:hint="eastAsia" w:ascii="楷体" w:hAnsi="楷体" w:eastAsia="楷体" w:cs="楷体"/>
          <w:bCs/>
          <w:sz w:val="28"/>
          <w:szCs w:val="28"/>
          <w:lang w:val="en-US" w:eastAsia="zh-CN"/>
        </w:rPr>
        <w:t>8</w:t>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lang w:val="en-US" w:eastAsia="zh-CN"/>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_Toc32289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13.</w:t>
      </w:r>
      <w:r>
        <w:rPr>
          <w:rFonts w:hint="eastAsia" w:ascii="楷体" w:hAnsi="楷体" w:eastAsia="楷体" w:cs="楷体"/>
          <w:bCs/>
          <w:sz w:val="28"/>
          <w:szCs w:val="28"/>
          <w:lang w:val="en-US" w:eastAsia="zh-CN"/>
        </w:rPr>
        <w:t>7</w:t>
      </w:r>
      <w:r>
        <w:rPr>
          <w:rFonts w:hint="eastAsia" w:ascii="楷体" w:hAnsi="楷体" w:eastAsia="楷体" w:cs="楷体"/>
          <w:bCs/>
          <w:sz w:val="28"/>
          <w:szCs w:val="28"/>
        </w:rPr>
        <w:t xml:space="preserve"> 措施</w:t>
      </w:r>
      <w:r>
        <w:rPr>
          <w:rFonts w:hint="eastAsia" w:ascii="楷体" w:hAnsi="楷体" w:eastAsia="楷体" w:cs="楷体"/>
          <w:bCs/>
          <w:sz w:val="28"/>
          <w:szCs w:val="28"/>
        </w:rPr>
        <w:tab/>
      </w: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PAGEREF _Toc32289 \h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1</w:t>
      </w:r>
      <w:r>
        <w:rPr>
          <w:rFonts w:hint="eastAsia" w:ascii="楷体" w:hAnsi="楷体" w:eastAsia="楷体" w:cs="楷体"/>
          <w:bCs/>
          <w:sz w:val="28"/>
          <w:szCs w:val="28"/>
          <w:lang w:val="en-US" w:eastAsia="zh-CN"/>
        </w:rPr>
        <w:t>1</w:t>
      </w:r>
      <w:r>
        <w:rPr>
          <w:rFonts w:hint="eastAsia" w:ascii="楷体" w:hAnsi="楷体" w:eastAsia="楷体" w:cs="楷体"/>
          <w:bCs/>
          <w:sz w:val="28"/>
          <w:szCs w:val="28"/>
        </w:rPr>
        <w:fldChar w:fldCharType="end"/>
      </w:r>
      <w:r>
        <w:rPr>
          <w:rFonts w:hint="eastAsia" w:ascii="楷体" w:hAnsi="楷体" w:eastAsia="楷体" w:cs="楷体"/>
          <w:bCs/>
          <w:sz w:val="28"/>
          <w:szCs w:val="28"/>
        </w:rPr>
        <w:fldChar w:fldCharType="end"/>
      </w:r>
      <w:r>
        <w:rPr>
          <w:rFonts w:hint="eastAsia" w:ascii="楷体" w:hAnsi="楷体" w:eastAsia="楷体" w:cs="楷体"/>
          <w:bCs/>
          <w:sz w:val="28"/>
          <w:szCs w:val="28"/>
          <w:lang w:val="en-US" w:eastAsia="zh-CN"/>
        </w:rPr>
        <w:t>9</w:t>
      </w:r>
    </w:p>
    <w:p>
      <w:pPr>
        <w:pStyle w:val="59"/>
        <w:keepNext w:val="0"/>
        <w:keepLines w:val="0"/>
        <w:pageBreakBefore w:val="0"/>
        <w:widowControl w:val="0"/>
        <w:tabs>
          <w:tab w:val="right" w:leader="dot" w:pos="8505"/>
        </w:tabs>
        <w:kinsoku/>
        <w:wordWrap/>
        <w:overflowPunct/>
        <w:topLinePunct w:val="0"/>
        <w:autoSpaceDE/>
        <w:autoSpaceDN/>
        <w:bidi w:val="0"/>
        <w:spacing w:line="460" w:lineRule="exact"/>
        <w:textAlignment w:val="auto"/>
        <w:rPr>
          <w:rFonts w:hint="eastAsia" w:ascii="黑体" w:hAnsi="黑体" w:eastAsia="黑体" w:cs="黑体"/>
          <w:b w:val="0"/>
          <w:bCs w:val="0"/>
          <w:sz w:val="28"/>
          <w:szCs w:val="28"/>
        </w:rPr>
      </w:pPr>
      <w:r>
        <w:rPr>
          <w:rFonts w:hint="eastAsia" w:ascii="黑体" w:hAnsi="黑体" w:eastAsia="黑体" w:cs="黑体"/>
          <w:b w:val="0"/>
          <w:bCs w:val="0"/>
          <w:sz w:val="28"/>
          <w:szCs w:val="28"/>
        </w:rPr>
        <w:fldChar w:fldCharType="begin" w:fldLock="1"/>
      </w:r>
      <w:r>
        <w:rPr>
          <w:rFonts w:hint="eastAsia" w:ascii="黑体" w:hAnsi="黑体" w:eastAsia="黑体" w:cs="黑体"/>
          <w:b w:val="0"/>
          <w:bCs w:val="0"/>
          <w:sz w:val="28"/>
          <w:szCs w:val="28"/>
        </w:rPr>
        <w:instrText xml:space="preserve"> HYPERLINK \l _Toc75 </w:instrText>
      </w:r>
      <w:r>
        <w:rPr>
          <w:rFonts w:hint="eastAsia" w:ascii="黑体" w:hAnsi="黑体" w:eastAsia="黑体" w:cs="黑体"/>
          <w:b w:val="0"/>
          <w:bCs w:val="0"/>
          <w:sz w:val="28"/>
          <w:szCs w:val="28"/>
        </w:rPr>
        <w:fldChar w:fldCharType="separate"/>
      </w:r>
      <w:r>
        <w:rPr>
          <w:rFonts w:hint="eastAsia" w:ascii="黑体" w:hAnsi="黑体" w:eastAsia="黑体" w:cs="黑体"/>
          <w:b w:val="0"/>
          <w:bCs w:val="0"/>
          <w:sz w:val="28"/>
          <w:szCs w:val="28"/>
        </w:rPr>
        <w:t>14 主要结论</w:t>
      </w:r>
      <w:r>
        <w:rPr>
          <w:rFonts w:hint="eastAsia" w:ascii="黑体" w:hAnsi="黑体" w:eastAsia="黑体" w:cs="黑体"/>
          <w:b w:val="0"/>
          <w:bCs w:val="0"/>
          <w:sz w:val="28"/>
          <w:szCs w:val="28"/>
        </w:rPr>
        <w:tab/>
      </w:r>
      <w:r>
        <w:rPr>
          <w:rFonts w:hint="eastAsia" w:ascii="黑体" w:hAnsi="黑体" w:eastAsia="黑体" w:cs="黑体"/>
          <w:b w:val="0"/>
          <w:bCs w:val="0"/>
          <w:sz w:val="28"/>
          <w:szCs w:val="28"/>
        </w:rPr>
        <w:fldChar w:fldCharType="begin" w:fldLock="1"/>
      </w:r>
      <w:r>
        <w:rPr>
          <w:rFonts w:hint="eastAsia" w:ascii="黑体" w:hAnsi="黑体" w:eastAsia="黑体" w:cs="黑体"/>
          <w:b w:val="0"/>
          <w:bCs w:val="0"/>
          <w:sz w:val="28"/>
          <w:szCs w:val="28"/>
        </w:rPr>
        <w:instrText xml:space="preserve"> PAGEREF _Toc75 \h </w:instrText>
      </w:r>
      <w:r>
        <w:rPr>
          <w:rFonts w:hint="eastAsia" w:ascii="黑体" w:hAnsi="黑体" w:eastAsia="黑体" w:cs="黑体"/>
          <w:b w:val="0"/>
          <w:bCs w:val="0"/>
          <w:sz w:val="28"/>
          <w:szCs w:val="28"/>
        </w:rPr>
        <w:fldChar w:fldCharType="separate"/>
      </w:r>
      <w:r>
        <w:rPr>
          <w:rFonts w:hint="eastAsia" w:ascii="黑体" w:hAnsi="黑体" w:eastAsia="黑体" w:cs="黑体"/>
          <w:b w:val="0"/>
          <w:bCs w:val="0"/>
          <w:sz w:val="28"/>
          <w:szCs w:val="28"/>
        </w:rPr>
        <w:t>12</w:t>
      </w:r>
      <w:r>
        <w:rPr>
          <w:rFonts w:hint="eastAsia" w:ascii="黑体" w:hAnsi="黑体" w:eastAsia="黑体" w:cs="黑体"/>
          <w:b w:val="0"/>
          <w:bCs w:val="0"/>
          <w:sz w:val="28"/>
          <w:szCs w:val="28"/>
          <w:lang w:val="en-US" w:eastAsia="zh-CN"/>
        </w:rPr>
        <w:t>2</w:t>
      </w:r>
      <w:r>
        <w:rPr>
          <w:rFonts w:hint="eastAsia" w:ascii="黑体" w:hAnsi="黑体" w:eastAsia="黑体" w:cs="黑体"/>
          <w:b w:val="0"/>
          <w:bCs w:val="0"/>
          <w:sz w:val="28"/>
          <w:szCs w:val="28"/>
        </w:rPr>
        <w:fldChar w:fldCharType="end"/>
      </w:r>
      <w:r>
        <w:rPr>
          <w:rFonts w:hint="eastAsia" w:ascii="黑体" w:hAnsi="黑体" w:eastAsia="黑体" w:cs="黑体"/>
          <w:b w:val="0"/>
          <w:bCs w:val="0"/>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_Toc22056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14.1 电力电量</w:t>
      </w:r>
      <w:r>
        <w:rPr>
          <w:rFonts w:hint="eastAsia" w:ascii="楷体" w:hAnsi="楷体" w:eastAsia="楷体" w:cs="楷体"/>
          <w:bCs/>
          <w:sz w:val="28"/>
          <w:szCs w:val="28"/>
        </w:rPr>
        <w:tab/>
      </w: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PAGEREF _Toc22056 \h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12</w:t>
      </w:r>
      <w:r>
        <w:rPr>
          <w:rFonts w:hint="eastAsia" w:ascii="楷体" w:hAnsi="楷体" w:eastAsia="楷体" w:cs="楷体"/>
          <w:bCs/>
          <w:sz w:val="28"/>
          <w:szCs w:val="28"/>
          <w:lang w:val="en-US" w:eastAsia="zh-CN"/>
        </w:rPr>
        <w:t>2</w:t>
      </w:r>
      <w:r>
        <w:rPr>
          <w:rFonts w:hint="eastAsia" w:ascii="楷体" w:hAnsi="楷体" w:eastAsia="楷体" w:cs="楷体"/>
          <w:bCs/>
          <w:sz w:val="28"/>
          <w:szCs w:val="28"/>
        </w:rPr>
        <w:fldChar w:fldCharType="end"/>
      </w:r>
      <w:r>
        <w:rPr>
          <w:rFonts w:hint="eastAsia" w:ascii="楷体" w:hAnsi="楷体" w:eastAsia="楷体" w:cs="楷体"/>
          <w:bCs/>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_Toc18803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14.2 电网建设规模</w:t>
      </w:r>
      <w:r>
        <w:rPr>
          <w:rFonts w:hint="eastAsia" w:ascii="楷体" w:hAnsi="楷体" w:eastAsia="楷体" w:cs="楷体"/>
          <w:bCs/>
          <w:sz w:val="28"/>
          <w:szCs w:val="28"/>
        </w:rPr>
        <w:tab/>
      </w: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PAGEREF _Toc18803 \h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12</w:t>
      </w:r>
      <w:r>
        <w:rPr>
          <w:rFonts w:hint="eastAsia" w:ascii="楷体" w:hAnsi="楷体" w:eastAsia="楷体" w:cs="楷体"/>
          <w:bCs/>
          <w:sz w:val="28"/>
          <w:szCs w:val="28"/>
          <w:lang w:val="en-US" w:eastAsia="zh-CN"/>
        </w:rPr>
        <w:t>2</w:t>
      </w:r>
      <w:r>
        <w:rPr>
          <w:rFonts w:hint="eastAsia" w:ascii="楷体" w:hAnsi="楷体" w:eastAsia="楷体" w:cs="楷体"/>
          <w:bCs/>
          <w:sz w:val="28"/>
          <w:szCs w:val="28"/>
        </w:rPr>
        <w:fldChar w:fldCharType="end"/>
      </w:r>
      <w:r>
        <w:rPr>
          <w:rFonts w:hint="eastAsia" w:ascii="楷体" w:hAnsi="楷体" w:eastAsia="楷体" w:cs="楷体"/>
          <w:bCs/>
          <w:sz w:val="28"/>
          <w:szCs w:val="28"/>
        </w:rPr>
        <w:fldChar w:fldCharType="end"/>
      </w:r>
    </w:p>
    <w:p>
      <w:pPr>
        <w:pStyle w:val="74"/>
        <w:keepNext w:val="0"/>
        <w:keepLines w:val="0"/>
        <w:pageBreakBefore w:val="0"/>
        <w:widowControl w:val="0"/>
        <w:tabs>
          <w:tab w:val="right" w:leader="dot" w:pos="8505"/>
          <w:tab w:val="clear" w:pos="8495"/>
        </w:tabs>
        <w:kinsoku/>
        <w:wordWrap/>
        <w:overflowPunct/>
        <w:topLinePunct w:val="0"/>
        <w:autoSpaceDE/>
        <w:autoSpaceDN/>
        <w:bidi w:val="0"/>
        <w:spacing w:line="460" w:lineRule="exact"/>
        <w:textAlignment w:val="auto"/>
        <w:rPr>
          <w:rFonts w:hint="eastAsia" w:ascii="楷体" w:hAnsi="楷体" w:eastAsia="楷体" w:cs="楷体"/>
          <w:bCs/>
          <w:sz w:val="28"/>
          <w:szCs w:val="28"/>
        </w:rPr>
      </w:pP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HYPERLINK \l _Toc13083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14.3 投资估算</w:t>
      </w:r>
      <w:r>
        <w:rPr>
          <w:rFonts w:hint="eastAsia" w:ascii="楷体" w:hAnsi="楷体" w:eastAsia="楷体" w:cs="楷体"/>
          <w:bCs/>
          <w:sz w:val="28"/>
          <w:szCs w:val="28"/>
        </w:rPr>
        <w:tab/>
      </w:r>
      <w:r>
        <w:rPr>
          <w:rFonts w:hint="eastAsia" w:ascii="楷体" w:hAnsi="楷体" w:eastAsia="楷体" w:cs="楷体"/>
          <w:bCs/>
          <w:sz w:val="28"/>
          <w:szCs w:val="28"/>
        </w:rPr>
        <w:fldChar w:fldCharType="begin" w:fldLock="1"/>
      </w:r>
      <w:r>
        <w:rPr>
          <w:rFonts w:hint="eastAsia" w:ascii="楷体" w:hAnsi="楷体" w:eastAsia="楷体" w:cs="楷体"/>
          <w:bCs/>
          <w:sz w:val="28"/>
          <w:szCs w:val="28"/>
        </w:rPr>
        <w:instrText xml:space="preserve"> PAGEREF _Toc13083 \h </w:instrText>
      </w:r>
      <w:r>
        <w:rPr>
          <w:rFonts w:hint="eastAsia" w:ascii="楷体" w:hAnsi="楷体" w:eastAsia="楷体" w:cs="楷体"/>
          <w:bCs/>
          <w:sz w:val="28"/>
          <w:szCs w:val="28"/>
        </w:rPr>
        <w:fldChar w:fldCharType="separate"/>
      </w:r>
      <w:r>
        <w:rPr>
          <w:rFonts w:hint="eastAsia" w:ascii="楷体" w:hAnsi="楷体" w:eastAsia="楷体" w:cs="楷体"/>
          <w:bCs/>
          <w:sz w:val="28"/>
          <w:szCs w:val="28"/>
        </w:rPr>
        <w:t>12</w:t>
      </w:r>
      <w:r>
        <w:rPr>
          <w:rFonts w:hint="eastAsia" w:ascii="楷体" w:hAnsi="楷体" w:eastAsia="楷体" w:cs="楷体"/>
          <w:bCs/>
          <w:sz w:val="28"/>
          <w:szCs w:val="28"/>
          <w:lang w:val="en-US" w:eastAsia="zh-CN"/>
        </w:rPr>
        <w:t>3</w:t>
      </w:r>
      <w:r>
        <w:rPr>
          <w:rFonts w:hint="eastAsia" w:ascii="楷体" w:hAnsi="楷体" w:eastAsia="楷体" w:cs="楷体"/>
          <w:bCs/>
          <w:sz w:val="28"/>
          <w:szCs w:val="28"/>
        </w:rPr>
        <w:fldChar w:fldCharType="end"/>
      </w:r>
      <w:r>
        <w:rPr>
          <w:rFonts w:hint="eastAsia" w:ascii="楷体" w:hAnsi="楷体" w:eastAsia="楷体" w:cs="楷体"/>
          <w:bCs/>
          <w:sz w:val="28"/>
          <w:szCs w:val="28"/>
        </w:rPr>
        <w:fldChar w:fldCharType="end"/>
      </w:r>
    </w:p>
    <w:p>
      <w:pPr>
        <w:pStyle w:val="59"/>
        <w:keepNext w:val="0"/>
        <w:keepLines w:val="0"/>
        <w:pageBreakBefore w:val="0"/>
        <w:widowControl w:val="0"/>
        <w:tabs>
          <w:tab w:val="right" w:leader="dot" w:pos="8505"/>
        </w:tabs>
        <w:kinsoku/>
        <w:wordWrap/>
        <w:overflowPunct/>
        <w:topLinePunct w:val="0"/>
        <w:autoSpaceDE/>
        <w:autoSpaceDN/>
        <w:bidi w:val="0"/>
        <w:spacing w:line="460" w:lineRule="exact"/>
        <w:textAlignment w:val="auto"/>
        <w:rPr>
          <w:rFonts w:hint="eastAsia" w:ascii="黑体" w:hAnsi="黑体" w:eastAsia="黑体" w:cs="黑体"/>
          <w:b w:val="0"/>
          <w:bCs w:val="0"/>
          <w:sz w:val="28"/>
          <w:szCs w:val="28"/>
        </w:rPr>
      </w:pPr>
      <w:r>
        <w:rPr>
          <w:rFonts w:hint="eastAsia" w:ascii="黑体" w:hAnsi="黑体" w:eastAsia="黑体" w:cs="黑体"/>
          <w:b w:val="0"/>
          <w:bCs w:val="0"/>
          <w:sz w:val="28"/>
          <w:szCs w:val="28"/>
        </w:rPr>
        <w:fldChar w:fldCharType="begin" w:fldLock="1"/>
      </w:r>
      <w:r>
        <w:rPr>
          <w:rFonts w:hint="eastAsia" w:ascii="黑体" w:hAnsi="黑体" w:eastAsia="黑体" w:cs="黑体"/>
          <w:b w:val="0"/>
          <w:bCs w:val="0"/>
          <w:sz w:val="28"/>
          <w:szCs w:val="28"/>
        </w:rPr>
        <w:instrText xml:space="preserve"> HYPERLINK \l _Toc1277 </w:instrText>
      </w:r>
      <w:r>
        <w:rPr>
          <w:rFonts w:hint="eastAsia" w:ascii="黑体" w:hAnsi="黑体" w:eastAsia="黑体" w:cs="黑体"/>
          <w:b w:val="0"/>
          <w:bCs w:val="0"/>
          <w:sz w:val="28"/>
          <w:szCs w:val="28"/>
        </w:rPr>
        <w:fldChar w:fldCharType="separate"/>
      </w:r>
      <w:r>
        <w:rPr>
          <w:rFonts w:hint="eastAsia" w:ascii="黑体" w:hAnsi="黑体" w:eastAsia="黑体" w:cs="黑体"/>
          <w:b w:val="0"/>
          <w:bCs w:val="0"/>
          <w:sz w:val="28"/>
          <w:szCs w:val="28"/>
        </w:rPr>
        <w:t>附图：</w:t>
      </w:r>
      <w:r>
        <w:rPr>
          <w:rFonts w:hint="eastAsia" w:ascii="黑体" w:hAnsi="黑体" w:eastAsia="黑体" w:cs="黑体"/>
          <w:b w:val="0"/>
          <w:bCs w:val="0"/>
          <w:sz w:val="28"/>
          <w:szCs w:val="28"/>
        </w:rPr>
        <w:tab/>
      </w:r>
      <w:r>
        <w:rPr>
          <w:rFonts w:hint="eastAsia" w:ascii="黑体" w:hAnsi="黑体" w:eastAsia="黑体" w:cs="黑体"/>
          <w:b w:val="0"/>
          <w:bCs w:val="0"/>
          <w:sz w:val="28"/>
          <w:szCs w:val="28"/>
        </w:rPr>
        <w:fldChar w:fldCharType="begin" w:fldLock="1"/>
      </w:r>
      <w:r>
        <w:rPr>
          <w:rFonts w:hint="eastAsia" w:ascii="黑体" w:hAnsi="黑体" w:eastAsia="黑体" w:cs="黑体"/>
          <w:b w:val="0"/>
          <w:bCs w:val="0"/>
          <w:sz w:val="28"/>
          <w:szCs w:val="28"/>
        </w:rPr>
        <w:instrText xml:space="preserve"> PAGEREF _Toc1277 \h </w:instrText>
      </w:r>
      <w:r>
        <w:rPr>
          <w:rFonts w:hint="eastAsia" w:ascii="黑体" w:hAnsi="黑体" w:eastAsia="黑体" w:cs="黑体"/>
          <w:b w:val="0"/>
          <w:bCs w:val="0"/>
          <w:sz w:val="28"/>
          <w:szCs w:val="28"/>
        </w:rPr>
        <w:fldChar w:fldCharType="separate"/>
      </w:r>
      <w:r>
        <w:rPr>
          <w:rFonts w:hint="eastAsia" w:ascii="黑体" w:hAnsi="黑体" w:eastAsia="黑体" w:cs="黑体"/>
          <w:b w:val="0"/>
          <w:bCs w:val="0"/>
          <w:sz w:val="28"/>
          <w:szCs w:val="28"/>
        </w:rPr>
        <w:t>12</w:t>
      </w:r>
      <w:r>
        <w:rPr>
          <w:rFonts w:hint="eastAsia" w:ascii="黑体" w:hAnsi="黑体" w:eastAsia="黑体" w:cs="黑体"/>
          <w:b w:val="0"/>
          <w:bCs w:val="0"/>
          <w:sz w:val="28"/>
          <w:szCs w:val="28"/>
          <w:lang w:val="en-US" w:eastAsia="zh-CN"/>
        </w:rPr>
        <w:t>4</w:t>
      </w:r>
      <w:r>
        <w:rPr>
          <w:rFonts w:hint="eastAsia" w:ascii="黑体" w:hAnsi="黑体" w:eastAsia="黑体" w:cs="黑体"/>
          <w:b w:val="0"/>
          <w:bCs w:val="0"/>
          <w:sz w:val="28"/>
          <w:szCs w:val="28"/>
        </w:rPr>
        <w:fldChar w:fldCharType="end"/>
      </w:r>
      <w:r>
        <w:rPr>
          <w:rFonts w:hint="eastAsia" w:ascii="黑体" w:hAnsi="黑体" w:eastAsia="黑体" w:cs="黑体"/>
          <w:b w:val="0"/>
          <w:bCs w:val="0"/>
          <w:sz w:val="28"/>
          <w:szCs w:val="28"/>
        </w:rPr>
        <w:fldChar w:fldCharType="end"/>
      </w:r>
    </w:p>
    <w:p>
      <w:pPr>
        <w:keepNext w:val="0"/>
        <w:keepLines w:val="0"/>
        <w:pageBreakBefore w:val="0"/>
        <w:widowControl w:val="0"/>
        <w:kinsoku/>
        <w:wordWrap/>
        <w:overflowPunct/>
        <w:topLinePunct w:val="0"/>
        <w:autoSpaceDE/>
        <w:autoSpaceDN/>
        <w:bidi w:val="0"/>
        <w:adjustRightInd w:val="0"/>
        <w:snapToGrid w:val="0"/>
        <w:spacing w:before="120" w:beforeLines="50" w:after="120" w:afterLines="50" w:line="460" w:lineRule="exact"/>
        <w:jc w:val="both"/>
        <w:textAlignment w:val="auto"/>
        <w:rPr>
          <w:rFonts w:eastAsia="仿宋"/>
          <w:sz w:val="44"/>
        </w:rPr>
        <w:sectPr>
          <w:headerReference r:id="rId5" w:type="default"/>
          <w:footerReference r:id="rId6" w:type="default"/>
          <w:pgSz w:w="11907" w:h="16840"/>
          <w:pgMar w:top="1440" w:right="1701" w:bottom="1440" w:left="1701" w:header="851" w:footer="992" w:gutter="0"/>
          <w:pgBorders>
            <w:top w:val="none" w:sz="0" w:space="0"/>
            <w:left w:val="none" w:sz="0" w:space="0"/>
            <w:bottom w:val="none" w:sz="0" w:space="0"/>
            <w:right w:val="none" w:sz="0" w:space="0"/>
          </w:pgBorders>
          <w:pgNumType w:fmt="upperRoman" w:start="1"/>
          <w:cols w:space="720" w:num="1"/>
          <w:docGrid w:linePitch="312" w:charSpace="0"/>
        </w:sectPr>
      </w:pPr>
      <w:r>
        <w:rPr>
          <w:rFonts w:eastAsia="仿宋"/>
          <w:bCs/>
          <w:szCs w:val="20"/>
        </w:rPr>
        <w:fldChar w:fldCharType="end"/>
      </w:r>
    </w:p>
    <w:p>
      <w:pPr>
        <w:pStyle w:val="4"/>
        <w:keepNext/>
        <w:keepLines/>
        <w:pageBreakBefore/>
        <w:widowControl w:val="0"/>
        <w:kinsoku/>
        <w:wordWrap/>
        <w:overflowPunct/>
        <w:topLinePunct w:val="0"/>
        <w:autoSpaceDE/>
        <w:autoSpaceDN/>
        <w:bidi w:val="0"/>
        <w:adjustRightInd/>
        <w:snapToGrid/>
        <w:spacing w:before="157" w:beforeLines="50" w:after="157" w:afterLines="50" w:line="560" w:lineRule="exact"/>
        <w:textAlignment w:val="auto"/>
        <w:rPr>
          <w:rFonts w:eastAsia="仿宋"/>
          <w:sz w:val="44"/>
          <w:szCs w:val="44"/>
        </w:rPr>
      </w:pPr>
      <w:bookmarkStart w:id="1" w:name="_Toc253743964"/>
      <w:bookmarkStart w:id="2" w:name="_Toc306780057"/>
      <w:bookmarkStart w:id="3" w:name="_Toc307053907"/>
      <w:bookmarkStart w:id="4" w:name="_Toc253594476"/>
      <w:bookmarkStart w:id="5" w:name="_Toc253584908"/>
      <w:bookmarkStart w:id="6" w:name="_Toc252935338"/>
      <w:bookmarkStart w:id="7" w:name="_Toc74041133"/>
      <w:bookmarkStart w:id="8" w:name="_Toc306766266"/>
      <w:bookmarkStart w:id="9" w:name="_Toc306956197"/>
      <w:bookmarkStart w:id="10" w:name="_Toc21605"/>
      <w:bookmarkStart w:id="11" w:name="_Toc352610536"/>
      <w:r>
        <w:rPr>
          <w:rFonts w:eastAsia="仿宋"/>
          <w:sz w:val="44"/>
          <w:szCs w:val="44"/>
        </w:rPr>
        <w:t>前言</w:t>
      </w:r>
      <w:bookmarkEnd w:id="1"/>
      <w:bookmarkEnd w:id="2"/>
      <w:bookmarkEnd w:id="3"/>
      <w:bookmarkEnd w:id="4"/>
      <w:bookmarkEnd w:id="5"/>
      <w:bookmarkEnd w:id="6"/>
      <w:bookmarkEnd w:id="7"/>
      <w:bookmarkEnd w:id="8"/>
      <w:bookmarkEnd w:id="9"/>
      <w:bookmarkEnd w:id="10"/>
      <w:bookmarkEnd w:id="11"/>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rPr>
      </w:pPr>
      <w:bookmarkStart w:id="12" w:name="_Toc252935339"/>
      <w:bookmarkStart w:id="13" w:name="_Toc306766267"/>
      <w:bookmarkStart w:id="14" w:name="_Toc306780058"/>
      <w:bookmarkStart w:id="15" w:name="_Toc352610537"/>
      <w:bookmarkStart w:id="16" w:name="_Toc253584909"/>
      <w:bookmarkStart w:id="17" w:name="_Toc253743965"/>
      <w:bookmarkStart w:id="18" w:name="_Toc306956198"/>
      <w:bookmarkStart w:id="19" w:name="_Toc307053908"/>
      <w:bookmarkStart w:id="20" w:name="_Toc253594477"/>
      <w:bookmarkStart w:id="21" w:name="_Toc74041134"/>
      <w:bookmarkStart w:id="22" w:name="_Toc20842"/>
      <w:r>
        <w:rPr>
          <w:rFonts w:hint="eastAsia" w:ascii="黑体" w:hAnsi="黑体" w:eastAsia="黑体" w:cs="黑体"/>
          <w:b w:val="0"/>
          <w:bCs w:val="0"/>
          <w:sz w:val="32"/>
          <w:szCs w:val="32"/>
        </w:rPr>
        <w:t>编制</w:t>
      </w:r>
      <w:bookmarkEnd w:id="12"/>
      <w:bookmarkEnd w:id="13"/>
      <w:bookmarkEnd w:id="14"/>
      <w:bookmarkEnd w:id="15"/>
      <w:bookmarkEnd w:id="16"/>
      <w:bookmarkEnd w:id="17"/>
      <w:bookmarkEnd w:id="18"/>
      <w:bookmarkEnd w:id="19"/>
      <w:bookmarkEnd w:id="20"/>
      <w:r>
        <w:rPr>
          <w:rFonts w:hint="eastAsia" w:ascii="黑体" w:hAnsi="黑体" w:eastAsia="黑体" w:cs="黑体"/>
          <w:b w:val="0"/>
          <w:bCs w:val="0"/>
          <w:sz w:val="32"/>
          <w:szCs w:val="32"/>
        </w:rPr>
        <w:t>背景和目的</w:t>
      </w:r>
      <w:bookmarkEnd w:id="21"/>
      <w:bookmarkEnd w:id="22"/>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sz w:val="32"/>
          <w:szCs w:val="32"/>
        </w:rPr>
      </w:pPr>
      <w:bookmarkStart w:id="23" w:name="_Toc306780060"/>
      <w:bookmarkStart w:id="24" w:name="_Toc253743967"/>
      <w:bookmarkStart w:id="25" w:name="_Toc253594479"/>
      <w:bookmarkStart w:id="26" w:name="_Toc306766269"/>
      <w:bookmarkStart w:id="27" w:name="_Toc306956200"/>
      <w:bookmarkStart w:id="28" w:name="_Toc307053910"/>
      <w:bookmarkStart w:id="29" w:name="_Toc352610539"/>
      <w:bookmarkStart w:id="30" w:name="_Toc253584911"/>
      <w:r>
        <w:rPr>
          <w:rFonts w:hint="eastAsia" w:ascii="仿宋_GB2312" w:hAnsi="仿宋_GB2312" w:eastAsia="仿宋_GB2312" w:cs="仿宋_GB2312"/>
          <w:sz w:val="32"/>
          <w:szCs w:val="32"/>
        </w:rPr>
        <w:t>电力系统是关系国计民生的重要基础设施，在经济社会各个方面起着重要的作用。电网规划是电力工程前期工作的重要组成部分，是具体建设项目实施的方针和原则，具有非常重要的战略意义。</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为服务西咸新区经济社会发展，满足</w:t>
      </w:r>
      <w:r>
        <w:rPr>
          <w:rFonts w:hint="eastAsia" w:ascii="仿宋_GB2312" w:hAnsi="仿宋_GB2312" w:eastAsia="仿宋_GB2312" w:cs="仿宋_GB2312"/>
          <w:sz w:val="32"/>
          <w:szCs w:val="32"/>
          <w:lang w:val="en-US" w:eastAsia="zh-CN"/>
        </w:rPr>
        <w:t>新区</w:t>
      </w:r>
      <w:r>
        <w:rPr>
          <w:rFonts w:hint="eastAsia" w:ascii="仿宋_GB2312" w:hAnsi="仿宋_GB2312" w:eastAsia="仿宋_GB2312" w:cs="仿宋_GB2312"/>
          <w:sz w:val="32"/>
          <w:szCs w:val="32"/>
        </w:rPr>
        <w:t>开发建设需要，此次规划</w:t>
      </w:r>
      <w:r>
        <w:rPr>
          <w:rFonts w:hint="eastAsia" w:ascii="仿宋_GB2312" w:hAnsi="仿宋_GB2312" w:eastAsia="仿宋_GB2312" w:cs="仿宋_GB2312"/>
          <w:sz w:val="32"/>
          <w:szCs w:val="32"/>
          <w:lang w:val="en-US" w:eastAsia="zh-CN"/>
        </w:rPr>
        <w:t>特</w:t>
      </w:r>
      <w:r>
        <w:rPr>
          <w:rFonts w:hint="eastAsia" w:ascii="仿宋_GB2312" w:hAnsi="仿宋_GB2312" w:eastAsia="仿宋_GB2312" w:cs="仿宋_GB2312"/>
          <w:sz w:val="32"/>
          <w:szCs w:val="32"/>
        </w:rPr>
        <w:t>以“智能程度高、供电能力强”为目标，进一步完善电网规划建设方案，梳理优化规划项目，加快解决现状电网薄弱问题，优化网架结构、提高供电能力、降低网络损耗，尽早建成西咸新区坚强</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绿色、</w:t>
      </w:r>
      <w:r>
        <w:rPr>
          <w:rFonts w:hint="eastAsia" w:ascii="仿宋_GB2312" w:hAnsi="仿宋_GB2312" w:eastAsia="仿宋_GB2312" w:cs="仿宋_GB2312"/>
          <w:sz w:val="32"/>
          <w:szCs w:val="32"/>
        </w:rPr>
        <w:t>智能电网。</w:t>
      </w:r>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rPr>
      </w:pPr>
      <w:bookmarkStart w:id="31" w:name="_Toc74041135"/>
      <w:bookmarkStart w:id="32" w:name="_Toc1194"/>
      <w:r>
        <w:rPr>
          <w:rFonts w:hint="eastAsia" w:ascii="黑体" w:hAnsi="黑体" w:eastAsia="黑体" w:cs="黑体"/>
          <w:b w:val="0"/>
          <w:bCs w:val="0"/>
          <w:sz w:val="32"/>
          <w:szCs w:val="32"/>
        </w:rPr>
        <w:t>规划思路</w:t>
      </w:r>
      <w:bookmarkEnd w:id="31"/>
      <w:bookmarkEnd w:id="32"/>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本次规划以习近平新时代中国特色社会主义思想为指导，认真践行新发展理念，深入贯彻“四个革命、一个合作”能源安全新战略，按照“构建大电网、形成大枢纽、融入大市场、支撑大发展”的发展思路，以“摸清存在问题、优化网架结构、提升电网供电能力、提高区域供电可靠性”为规划原则，紧紧围绕建设“供电容量充裕、供电分区明确、网架结构清晰、环网供电能力强、智能灵活可靠”的坚强智能电网目标，坚持以城市总体发展规划为指导，以电力为城市经济发展服务为宗旨，遵循资产全寿命周期管理，应用先进网格化规划方法，差异化设计城市核心功能区和负荷集中区。积极推进电能替代、节能减排，扩大替代范围和实施规模，促进分布式电源和多元化负荷的即插即用，实现各级电网的协调发展，加快实现“智能程度高、供电能力强、市场响应快、服务品质优”的发展目标，奋力推动电网高质量发展，更好地服务西咸新区追赶超越。</w:t>
      </w:r>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rPr>
      </w:pPr>
      <w:bookmarkStart w:id="33" w:name="_Toc74041136"/>
      <w:bookmarkStart w:id="34" w:name="_Toc32623"/>
      <w:r>
        <w:rPr>
          <w:rFonts w:hint="eastAsia" w:ascii="黑体" w:hAnsi="黑体" w:eastAsia="黑体" w:cs="黑体"/>
          <w:b w:val="0"/>
          <w:bCs w:val="0"/>
          <w:sz w:val="32"/>
          <w:szCs w:val="32"/>
        </w:rPr>
        <w:t>规划范围及年限</w:t>
      </w:r>
      <w:bookmarkEnd w:id="23"/>
      <w:bookmarkEnd w:id="24"/>
      <w:bookmarkEnd w:id="25"/>
      <w:bookmarkEnd w:id="26"/>
      <w:bookmarkEnd w:id="27"/>
      <w:bookmarkEnd w:id="28"/>
      <w:bookmarkEnd w:id="29"/>
      <w:bookmarkEnd w:id="30"/>
      <w:bookmarkEnd w:id="33"/>
      <w:bookmarkEnd w:id="34"/>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规划范围涵盖西咸新区5个新城，规划电压等级为330千伏及以下各级电网。</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规划项目包括新建、扩建及扩展性的改造项目。扩展性改造项目包括改变生产能力、改变电压等级、改变网络结构、改变通道资源使用方式，以及因系统参数、设备标准变化而实施的设备整体更换。整站、整变、整线、整间隔改造项目纳入扩展性改造 。随一次电网建设改造之外的相关投资单独计列。</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规划基准年为2020年，规划年限为2021年～2025年，规划水平年为2025年，远景展望至2035年。规划期内要求逐年规划工程规模和投资，其中110千伏电网要求2021~2025年逐年细化到工程项目。</w:t>
      </w:r>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rPr>
      </w:pPr>
      <w:bookmarkStart w:id="35" w:name="_Toc74041137"/>
      <w:bookmarkStart w:id="36" w:name="_Toc306780061"/>
      <w:bookmarkStart w:id="37" w:name="_Toc253743968"/>
      <w:bookmarkStart w:id="38" w:name="_Toc306766270"/>
      <w:bookmarkStart w:id="39" w:name="_Toc22335"/>
      <w:bookmarkStart w:id="40" w:name="_Toc253584912"/>
      <w:bookmarkStart w:id="41" w:name="_Toc307053911"/>
      <w:bookmarkStart w:id="42" w:name="_Toc253594480"/>
      <w:bookmarkStart w:id="43" w:name="_Toc352610540"/>
      <w:bookmarkStart w:id="44" w:name="_Toc306956201"/>
      <w:r>
        <w:rPr>
          <w:rFonts w:hint="eastAsia" w:ascii="黑体" w:hAnsi="黑体" w:eastAsia="黑体" w:cs="黑体"/>
          <w:b w:val="0"/>
          <w:bCs w:val="0"/>
          <w:sz w:val="32"/>
          <w:szCs w:val="32"/>
        </w:rPr>
        <w:t>编制依据</w:t>
      </w:r>
      <w:bookmarkEnd w:id="35"/>
      <w:bookmarkEnd w:id="36"/>
      <w:bookmarkEnd w:id="37"/>
      <w:bookmarkEnd w:id="38"/>
      <w:bookmarkEnd w:id="39"/>
      <w:bookmarkEnd w:id="40"/>
      <w:bookmarkEnd w:id="41"/>
      <w:bookmarkEnd w:id="42"/>
      <w:bookmarkEnd w:id="43"/>
      <w:bookmarkEnd w:id="44"/>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default" w:ascii="仿宋_GB2312" w:hAnsi="仿宋_GB2312" w:eastAsia="仿宋_GB2312" w:cs="仿宋_GB2312"/>
          <w:sz w:val="32"/>
          <w:szCs w:val="32"/>
          <w:lang w:val="en"/>
        </w:rPr>
      </w:pPr>
      <w:r>
        <w:rPr>
          <w:rFonts w:hint="eastAsia" w:ascii="仿宋_GB2312" w:hAnsi="仿宋_GB2312" w:eastAsia="仿宋_GB2312" w:cs="仿宋_GB2312"/>
          <w:sz w:val="32"/>
          <w:szCs w:val="32"/>
          <w:lang w:val="en-US" w:eastAsia="zh-CN"/>
        </w:rPr>
        <w:t>1.</w:t>
      </w:r>
      <w:r>
        <w:rPr>
          <w:rFonts w:hint="eastAsia" w:ascii="仿宋_GB2312" w:hAnsi="仿宋_GB2312" w:eastAsia="仿宋_GB2312" w:cs="仿宋_GB2312"/>
          <w:sz w:val="32"/>
          <w:szCs w:val="32"/>
        </w:rPr>
        <w:t>城乡总体规划、国民经济和社会发展规划</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《西咸新区国民经济和社会发展第十四个五年规划和二〇三五年远景目标纲要》</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《西咸新区沣西新城中国丝路科创谷及现代综合商务区增量配电业务试点项目增量配电区域电力发展规划（2021-2025年）》</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《西咸新区供电分公司配电网“十四五”规划（2021-2025年）</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《西咸新区“十四五”配电网发展规划报告》</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《空港新城第五批增量配电业务改革试点项目电力规划报告》</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rPr>
        <w:t>电网规划、设计和运行应遵循的有关规程、规范和规定</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《配电网规划设计技术导则》（DL／T5729-2016）</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《国家电网公司配电网规划内容深度规定》（Q/GDW 10865-2017）</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《配电自动化规划设计技术导则》（Q/GDW11184-2014）</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《配电自动化规划内容深度规定》（Q/GDW11185-2014）</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《国家电网公司统一统计指标体系规范》（Q/GDW11180-2014）</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《电力安全事故应急处置和调查处理条例》（国务院599号令）</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《城市电力网规划设计导则》（Q/GDW156-2006）</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《城市配电网技术导则》（Q/GDW370-2009）</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《电能质量—供电电压允许偏差》（GB12325-2008）</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《电力二次系统安全防护总体方案》（电监安全[2006]3号）</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《配电二次系统安全防护方案》（电监安全[2006]3号）</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《中低压配电网自动化系统安全防护补充规定》（国家电网[2011]168号）</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《配电自动化主站系统功能规范》（Q/GDW 513-2010）</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《配电自动化建设与改造标准化设计技术规定》（Q/GDW 625-2011）</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《配电网典型供电模式》（发展规二〔2014〕21号）</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rPr>
        <w:t>其他与配电网规划相关的资料</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《西咸新区电网“十三五”规划》</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《关于推进电能替代的指导意见》（发改能源[2016]1054号）</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sz w:val="32"/>
          <w:szCs w:val="32"/>
        </w:rPr>
        <w:sectPr>
          <w:footerReference r:id="rId7" w:type="default"/>
          <w:footnotePr>
            <w:numFmt w:val="decimalEnclosedCircleChinese"/>
          </w:footnotePr>
          <w:pgSz w:w="11907" w:h="16839"/>
          <w:pgMar w:top="1440" w:right="1701" w:bottom="1440" w:left="1701" w:header="851" w:footer="992" w:gutter="0"/>
          <w:pgBorders>
            <w:top w:val="none" w:sz="0" w:space="0"/>
            <w:left w:val="none" w:sz="0" w:space="0"/>
            <w:bottom w:val="none" w:sz="0" w:space="0"/>
            <w:right w:val="none" w:sz="0" w:space="0"/>
          </w:pgBorders>
          <w:pgNumType w:fmt="numberInDash" w:start="1"/>
          <w:cols w:space="720" w:num="1"/>
          <w:docGrid w:linePitch="312" w:charSpace="0"/>
        </w:sectPr>
      </w:pPr>
    </w:p>
    <w:p>
      <w:pPr>
        <w:pStyle w:val="4"/>
        <w:keepNext/>
        <w:keepLines/>
        <w:pageBreakBefore/>
        <w:widowControl w:val="0"/>
        <w:kinsoku/>
        <w:wordWrap/>
        <w:overflowPunct/>
        <w:topLinePunct w:val="0"/>
        <w:autoSpaceDE/>
        <w:autoSpaceDN/>
        <w:bidi w:val="0"/>
        <w:adjustRightInd/>
        <w:snapToGrid/>
        <w:spacing w:before="157" w:beforeLines="50" w:after="157" w:afterLines="50" w:line="560" w:lineRule="exact"/>
        <w:textAlignment w:val="auto"/>
        <w:rPr>
          <w:rFonts w:eastAsia="仿宋"/>
          <w:sz w:val="44"/>
          <w:szCs w:val="44"/>
        </w:rPr>
      </w:pPr>
      <w:bookmarkStart w:id="45" w:name="_Toc352610541"/>
      <w:bookmarkStart w:id="46" w:name="_Toc253594481"/>
      <w:bookmarkStart w:id="47" w:name="_Toc253743969"/>
      <w:bookmarkStart w:id="48" w:name="_Toc306780062"/>
      <w:bookmarkStart w:id="49" w:name="_Toc9827"/>
      <w:bookmarkStart w:id="50" w:name="_Toc307053912"/>
      <w:bookmarkStart w:id="51" w:name="_Toc74041138"/>
      <w:bookmarkStart w:id="52" w:name="_Toc306956202"/>
      <w:bookmarkStart w:id="53" w:name="_Toc306766271"/>
      <w:bookmarkStart w:id="54" w:name="_Toc253584913"/>
      <w:r>
        <w:rPr>
          <w:rFonts w:eastAsia="仿宋"/>
          <w:sz w:val="44"/>
          <w:szCs w:val="44"/>
        </w:rPr>
        <w:t>西咸新区概况</w:t>
      </w:r>
      <w:bookmarkEnd w:id="45"/>
      <w:bookmarkEnd w:id="46"/>
      <w:bookmarkEnd w:id="47"/>
      <w:bookmarkEnd w:id="48"/>
      <w:bookmarkEnd w:id="49"/>
      <w:bookmarkEnd w:id="50"/>
      <w:bookmarkEnd w:id="51"/>
      <w:bookmarkEnd w:id="52"/>
      <w:bookmarkEnd w:id="53"/>
      <w:bookmarkEnd w:id="54"/>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rPr>
      </w:pPr>
      <w:bookmarkStart w:id="55" w:name="_Toc26733"/>
      <w:bookmarkStart w:id="56" w:name="_Toc14939"/>
      <w:bookmarkStart w:id="57" w:name="_Toc164589839"/>
      <w:bookmarkStart w:id="58" w:name="_Toc199841971"/>
      <w:r>
        <w:rPr>
          <w:rFonts w:hint="eastAsia" w:ascii="黑体" w:hAnsi="黑体" w:eastAsia="黑体" w:cs="黑体"/>
          <w:b w:val="0"/>
          <w:bCs w:val="0"/>
          <w:sz w:val="32"/>
          <w:szCs w:val="32"/>
        </w:rPr>
        <w:t>规划范围</w:t>
      </w:r>
      <w:bookmarkEnd w:id="55"/>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西咸新区位于西安、咸阳两市建成区之间，西起茂陵及涝河入渭口，东至包茂高速，北至规划中的西咸环线，南至京昆高速，规划控制范围882平方公里，包括空港、沣东、秦汉、沣西、泾河五个组团。</w:t>
      </w:r>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rPr>
      </w:pPr>
      <w:r>
        <w:rPr>
          <w:rFonts w:hint="eastAsia" w:ascii="黑体" w:hAnsi="黑体" w:eastAsia="黑体" w:cs="黑体"/>
          <w:b w:val="0"/>
          <w:bCs w:val="0"/>
          <w:sz w:val="32"/>
          <w:szCs w:val="32"/>
        </w:rPr>
        <w:t>战略定位</w:t>
      </w:r>
      <w:bookmarkEnd w:id="56"/>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到2025年，西咸新区创新城市发展方式试验区综合功能进一步增强。经济高质量发展迈出新步伐，经济总量突破1200亿元，年均增长12%，地方财政收入超过160亿，财政收入年均增长15%以上，全社会固定资产投资年均增长10%以上。创新城市发展方式取得新突破，以秦创原创新驱动平台建设为牵引的创新驱动发展取得实质性成效，国家级高新技术企业突破2000家。改革开放彰显新活力，开放型经济发展水平显著提高。生态文明建设迈上新台阶，单位地区生产总值二氧化碳排放累计降低15%。民生保障实现新提升，多层次社会保障体系更加健全，城乡居民人均可支配收入年均增长8%以上。协调发展形成新格局，产城一体化、城乡一体化、西咸一体化推进成效显著，新区发展质量、结构、规模、速度、效益、安全高效协同推进，发展迈上新台阶。</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b/>
          <w:bCs/>
          <w:sz w:val="32"/>
          <w:szCs w:val="32"/>
          <w:lang w:val="en-US" w:eastAsia="zh-CN"/>
        </w:rPr>
        <w:t>空港新城：</w:t>
      </w:r>
      <w:r>
        <w:rPr>
          <w:rFonts w:hint="eastAsia" w:ascii="仿宋_GB2312" w:hAnsi="仿宋_GB2312" w:eastAsia="仿宋_GB2312" w:cs="仿宋_GB2312"/>
          <w:sz w:val="32"/>
          <w:szCs w:val="32"/>
          <w:lang w:val="en-US" w:eastAsia="zh-CN"/>
        </w:rPr>
        <w:t>打造枢纽功能完善、功能要素齐备的机场城市，构建“一核、双心、两环、五区”空间格局，国际性航空枢纽、千亿级临空产业、创新型机场城市基本形成，成为陕西、西安对外开放的新名片和经济增长的新引擎。到2025年，地区生产总值突破100亿元，临空主导产业营收达到1000亿元，固定资产投资年均增长8%。一般公共预算收入达到25亿元，年均增长20%。</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b/>
          <w:bCs/>
          <w:sz w:val="32"/>
          <w:szCs w:val="32"/>
          <w:lang w:val="en-US" w:eastAsia="zh-CN"/>
        </w:rPr>
        <w:t>沣东新城：</w:t>
      </w:r>
      <w:r>
        <w:rPr>
          <w:rFonts w:hint="eastAsia" w:ascii="仿宋_GB2312" w:hAnsi="仿宋_GB2312" w:eastAsia="仿宋_GB2312" w:cs="仿宋_GB2312"/>
          <w:sz w:val="32"/>
          <w:szCs w:val="32"/>
          <w:lang w:val="en-US" w:eastAsia="zh-CN"/>
        </w:rPr>
        <w:t>依托科教资源和产业基础优势，聚焦科技资源统筹、先进制造业、现代服务业、文旅体育融合，加快形成具有沣东特色的现代产业体系，构建“一轴三带四板块”空间布局，打造经济新引擎和生态宜居之城。到2025年，地区生产总值力争达到450亿元以上，一般公共预算收入达到65亿元，年均全社会固定资产投资增速不低于11%。</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b/>
          <w:bCs/>
          <w:sz w:val="32"/>
          <w:szCs w:val="32"/>
          <w:lang w:val="en-US" w:eastAsia="zh-CN"/>
        </w:rPr>
        <w:t>秦汉新城：</w:t>
      </w:r>
      <w:r>
        <w:rPr>
          <w:rFonts w:hint="eastAsia" w:ascii="仿宋_GB2312" w:hAnsi="仿宋_GB2312" w:eastAsia="仿宋_GB2312" w:cs="仿宋_GB2312"/>
          <w:sz w:val="32"/>
          <w:szCs w:val="32"/>
          <w:lang w:val="en-US" w:eastAsia="zh-CN"/>
        </w:rPr>
        <w:t>发挥区域文化和生态资源优势，全面构建“3515”产业体系，先进制造、生命健康、文化旅游成为支撑新城高质量发展的主引擎，三次产业实现深度融合发展，初步建成国家中心城市产业融合发展示范区。“十四五”时期形成由一个战略定位、六个功能定位组成的“1+6”定位体系，构建“一核五区一节点”的发展格局。到2025年，地区生产总值突破260亿元，年均增15%，规模以上工业增加值增速保持在18%以上，全社会固定资产投资增速保持10%以上。</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b/>
          <w:bCs/>
          <w:sz w:val="32"/>
          <w:szCs w:val="32"/>
          <w:lang w:val="en-US" w:eastAsia="zh-CN"/>
        </w:rPr>
        <w:t>沣西新城：</w:t>
      </w:r>
      <w:bookmarkStart w:id="59" w:name="_Hlk67652405"/>
      <w:bookmarkStart w:id="60" w:name="_Hlk67647028"/>
      <w:r>
        <w:rPr>
          <w:rFonts w:hint="eastAsia" w:ascii="仿宋_GB2312" w:hAnsi="仿宋_GB2312" w:eastAsia="仿宋_GB2312" w:cs="仿宋_GB2312"/>
          <w:sz w:val="32"/>
          <w:szCs w:val="32"/>
          <w:lang w:val="en-US" w:eastAsia="zh-CN"/>
        </w:rPr>
        <w:t>构建“一核三圈”科技创新圈层，打造高品质科创空间，加快“双链”深度融合；发挥海绵城市、中深层地热、建筑垃圾循环再利用等综合优势，以绿色可持续为方向，统筹推进“四城”共建，形成更多可复制可推广的创新成果，构建未来城市发展新范式，打造高质量创新城市发展方式样板区</w:t>
      </w:r>
      <w:bookmarkEnd w:id="59"/>
      <w:bookmarkEnd w:id="60"/>
      <w:r>
        <w:rPr>
          <w:rFonts w:hint="eastAsia" w:ascii="仿宋_GB2312" w:hAnsi="仿宋_GB2312" w:eastAsia="仿宋_GB2312" w:cs="仿宋_GB2312"/>
          <w:sz w:val="32"/>
          <w:szCs w:val="32"/>
          <w:lang w:val="en-US" w:eastAsia="zh-CN"/>
        </w:rPr>
        <w:t>，总体形成</w:t>
      </w:r>
      <w:bookmarkStart w:id="61" w:name="_Hlk67652141"/>
      <w:r>
        <w:rPr>
          <w:rFonts w:hint="eastAsia" w:ascii="仿宋_GB2312" w:hAnsi="仿宋_GB2312" w:eastAsia="仿宋_GB2312" w:cs="仿宋_GB2312"/>
          <w:sz w:val="32"/>
          <w:szCs w:val="32"/>
          <w:lang w:val="en-US" w:eastAsia="zh-CN"/>
        </w:rPr>
        <w:t>一个战略定位和四个功能定位相统一协调的“1+4”发展定位体系。</w:t>
      </w:r>
      <w:bookmarkEnd w:id="61"/>
      <w:r>
        <w:rPr>
          <w:rFonts w:hint="eastAsia" w:ascii="仿宋_GB2312" w:hAnsi="仿宋_GB2312" w:eastAsia="仿宋_GB2312" w:cs="仿宋_GB2312"/>
          <w:sz w:val="32"/>
          <w:szCs w:val="32"/>
          <w:lang w:val="en-US" w:eastAsia="zh-CN"/>
        </w:rPr>
        <w:t>到2025年，经济保持12%左右中高速增长，地区生产总值突破260亿元，全社会固定资产投资年均增速10%以上，规模以上工业增加值年均增速突破15%。</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b/>
          <w:bCs/>
          <w:sz w:val="32"/>
          <w:szCs w:val="32"/>
          <w:lang w:val="en-US" w:eastAsia="zh-CN"/>
        </w:rPr>
        <w:t>泾河新城：</w:t>
      </w:r>
      <w:r>
        <w:rPr>
          <w:rFonts w:hint="eastAsia" w:ascii="仿宋_GB2312" w:hAnsi="仿宋_GB2312" w:eastAsia="仿宋_GB2312" w:cs="仿宋_GB2312"/>
          <w:sz w:val="32"/>
          <w:szCs w:val="32"/>
          <w:lang w:val="en-US" w:eastAsia="zh-CN"/>
        </w:rPr>
        <w:t>建设西安北跨战略核心聚集区，打造先进制造业新引擎，加快迈进“宜业宜居宜乐宜游”现代化新城，先进制造业和文旅产业规模实力进一步增强。到2025年，地区生产总值保持年均20%以上的增速，达到150亿元，全社会固定资产投资年均增速10%以上，高端化、品质化、智慧化、精美化、现代化发展水平显著提升。</w:t>
      </w:r>
    </w:p>
    <w:p>
      <w:pPr>
        <w:pStyle w:val="2"/>
        <w:ind w:firstLine="480"/>
        <w:rPr>
          <w:rFonts w:eastAsia="仿宋"/>
        </w:rPr>
      </w:pPr>
    </w:p>
    <w:p>
      <w:pPr>
        <w:pStyle w:val="2"/>
        <w:ind w:firstLine="480"/>
        <w:rPr>
          <w:rFonts w:eastAsia="仿宋"/>
        </w:rPr>
      </w:pPr>
    </w:p>
    <w:p>
      <w:pPr>
        <w:pStyle w:val="150"/>
        <w:ind w:firstLine="560"/>
      </w:pPr>
    </w:p>
    <w:p>
      <w:pPr>
        <w:pStyle w:val="4"/>
        <w:keepNext/>
        <w:keepLines/>
        <w:pageBreakBefore/>
        <w:widowControl w:val="0"/>
        <w:kinsoku/>
        <w:wordWrap/>
        <w:overflowPunct/>
        <w:topLinePunct w:val="0"/>
        <w:autoSpaceDE/>
        <w:autoSpaceDN/>
        <w:bidi w:val="0"/>
        <w:adjustRightInd/>
        <w:snapToGrid/>
        <w:spacing w:before="157" w:beforeLines="50" w:after="157" w:afterLines="50" w:line="560" w:lineRule="exact"/>
        <w:textAlignment w:val="auto"/>
        <w:rPr>
          <w:rFonts w:eastAsia="仿宋"/>
          <w:sz w:val="44"/>
          <w:szCs w:val="44"/>
        </w:rPr>
      </w:pPr>
      <w:bookmarkStart w:id="62" w:name="_Toc253584931"/>
      <w:bookmarkEnd w:id="62"/>
      <w:bookmarkStart w:id="63" w:name="_Toc253595525"/>
      <w:bookmarkEnd w:id="63"/>
      <w:bookmarkStart w:id="64" w:name="_Toc253594499"/>
      <w:bookmarkEnd w:id="64"/>
      <w:bookmarkStart w:id="65" w:name="_Toc253599401"/>
      <w:bookmarkEnd w:id="65"/>
      <w:bookmarkStart w:id="66" w:name="_Toc18719"/>
      <w:bookmarkStart w:id="67" w:name="_Toc74041149"/>
      <w:bookmarkStart w:id="68" w:name="_Toc306956209"/>
      <w:bookmarkStart w:id="69" w:name="_Toc253594500"/>
      <w:bookmarkStart w:id="70" w:name="_Toc306766278"/>
      <w:bookmarkStart w:id="71" w:name="_Toc250995851"/>
      <w:bookmarkStart w:id="72" w:name="_Toc307053919"/>
      <w:bookmarkStart w:id="73" w:name="_Toc253743976"/>
      <w:bookmarkStart w:id="74" w:name="_Toc253584932"/>
      <w:bookmarkStart w:id="75" w:name="_Toc306780069"/>
      <w:bookmarkStart w:id="76" w:name="_Toc352610542"/>
      <w:r>
        <w:rPr>
          <w:rFonts w:eastAsia="仿宋"/>
          <w:sz w:val="44"/>
          <w:szCs w:val="44"/>
        </w:rPr>
        <w:t>电网现状</w:t>
      </w:r>
      <w:bookmarkEnd w:id="66"/>
      <w:bookmarkEnd w:id="67"/>
      <w:bookmarkEnd w:id="68"/>
      <w:bookmarkEnd w:id="69"/>
      <w:bookmarkEnd w:id="70"/>
      <w:bookmarkEnd w:id="71"/>
      <w:bookmarkEnd w:id="72"/>
      <w:bookmarkEnd w:id="73"/>
      <w:bookmarkEnd w:id="74"/>
      <w:bookmarkEnd w:id="75"/>
      <w:bookmarkEnd w:id="76"/>
      <w:bookmarkStart w:id="77" w:name="_Toc253564753"/>
      <w:bookmarkEnd w:id="77"/>
      <w:bookmarkStart w:id="78" w:name="_Toc253747380"/>
      <w:bookmarkEnd w:id="78"/>
      <w:bookmarkStart w:id="79" w:name="_Toc253743978"/>
      <w:bookmarkEnd w:id="79"/>
      <w:bookmarkStart w:id="80" w:name="_Toc253745679"/>
      <w:bookmarkEnd w:id="80"/>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rPr>
      </w:pPr>
      <w:bookmarkStart w:id="81" w:name="_Toc307053920"/>
      <w:bookmarkStart w:id="82" w:name="_Toc253743977"/>
      <w:bookmarkStart w:id="83" w:name="_Toc306766279"/>
      <w:bookmarkStart w:id="84" w:name="_Toc253594501"/>
      <w:bookmarkStart w:id="85" w:name="_Toc74041150"/>
      <w:bookmarkStart w:id="86" w:name="_Toc26906"/>
      <w:bookmarkStart w:id="87" w:name="_Toc410030616"/>
      <w:bookmarkStart w:id="88" w:name="_Toc306956210"/>
      <w:bookmarkStart w:id="89" w:name="_Toc306780070"/>
      <w:bookmarkStart w:id="90" w:name="_Toc250995852"/>
      <w:bookmarkStart w:id="91" w:name="_Toc253584933"/>
      <w:bookmarkStart w:id="92" w:name="_Toc253744076"/>
      <w:bookmarkStart w:id="93" w:name="_Toc306766303"/>
      <w:bookmarkStart w:id="94" w:name="_Toc250995869"/>
      <w:bookmarkStart w:id="95" w:name="_Toc352610561"/>
      <w:bookmarkStart w:id="96" w:name="_Toc307054050"/>
      <w:bookmarkStart w:id="97" w:name="_Toc253584956"/>
      <w:bookmarkStart w:id="98" w:name="_Toc253594526"/>
      <w:bookmarkStart w:id="99" w:name="_Toc306780095"/>
      <w:bookmarkStart w:id="100" w:name="_Toc306956235"/>
      <w:r>
        <w:rPr>
          <w:rFonts w:hint="eastAsia" w:ascii="黑体" w:hAnsi="黑体" w:eastAsia="黑体" w:cs="黑体"/>
          <w:b w:val="0"/>
          <w:bCs w:val="0"/>
          <w:sz w:val="32"/>
          <w:szCs w:val="32"/>
        </w:rPr>
        <w:t>供电区概况</w:t>
      </w:r>
      <w:bookmarkEnd w:id="81"/>
      <w:bookmarkEnd w:id="82"/>
      <w:bookmarkEnd w:id="83"/>
      <w:bookmarkEnd w:id="84"/>
      <w:bookmarkEnd w:id="85"/>
      <w:bookmarkEnd w:id="86"/>
      <w:bookmarkEnd w:id="87"/>
      <w:bookmarkEnd w:id="88"/>
      <w:bookmarkEnd w:id="89"/>
      <w:bookmarkEnd w:id="90"/>
      <w:bookmarkEnd w:id="91"/>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西咸新区地处西安、咸阳两市建成区之间，东距西安市中心10公里，西距咸阳市中心3公里，西起茂陵及涝河入渭口，东至包茂高速，北至规划中的西咸环线，南至京昆高速。</w:t>
      </w:r>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rPr>
      </w:pPr>
      <w:bookmarkStart w:id="101" w:name="_Toc307053922"/>
      <w:bookmarkStart w:id="102" w:name="_Toc352610544"/>
      <w:bookmarkStart w:id="103" w:name="_Toc253743980"/>
      <w:bookmarkStart w:id="104" w:name="_Toc306956212"/>
      <w:bookmarkStart w:id="105" w:name="_Toc306766281"/>
      <w:bookmarkStart w:id="106" w:name="_Toc253594503"/>
      <w:bookmarkStart w:id="107" w:name="_Toc22148"/>
      <w:bookmarkStart w:id="108" w:name="_Toc306780072"/>
      <w:bookmarkStart w:id="109" w:name="_Toc253584935"/>
      <w:bookmarkStart w:id="110" w:name="_Toc74041151"/>
      <w:bookmarkStart w:id="111" w:name="_Toc250995854"/>
      <w:r>
        <w:rPr>
          <w:rFonts w:hint="eastAsia" w:ascii="黑体" w:hAnsi="黑体" w:eastAsia="黑体" w:cs="黑体"/>
          <w:b w:val="0"/>
          <w:bCs w:val="0"/>
          <w:sz w:val="32"/>
          <w:szCs w:val="32"/>
        </w:rPr>
        <w:t>电源建设情况</w:t>
      </w:r>
      <w:bookmarkEnd w:id="101"/>
      <w:bookmarkEnd w:id="102"/>
      <w:bookmarkEnd w:id="103"/>
      <w:bookmarkEnd w:id="104"/>
      <w:bookmarkEnd w:id="105"/>
      <w:bookmarkEnd w:id="106"/>
      <w:bookmarkEnd w:id="107"/>
      <w:bookmarkEnd w:id="108"/>
      <w:bookmarkEnd w:id="109"/>
      <w:bookmarkEnd w:id="110"/>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bookmarkStart w:id="112" w:name="_Toc251779035"/>
      <w:bookmarkEnd w:id="112"/>
      <w:bookmarkStart w:id="113" w:name="_Toc253743991"/>
      <w:bookmarkEnd w:id="113"/>
      <w:bookmarkStart w:id="114" w:name="_Toc251779036"/>
      <w:bookmarkEnd w:id="114"/>
      <w:bookmarkStart w:id="115" w:name="_Toc253747392"/>
      <w:bookmarkEnd w:id="115"/>
      <w:bookmarkStart w:id="116" w:name="_Toc253747393"/>
      <w:bookmarkEnd w:id="116"/>
      <w:bookmarkStart w:id="117" w:name="_Toc253745692"/>
      <w:bookmarkEnd w:id="117"/>
      <w:bookmarkStart w:id="118" w:name="_Toc253745691"/>
      <w:bookmarkEnd w:id="118"/>
      <w:bookmarkStart w:id="119" w:name="_Toc251779037"/>
      <w:bookmarkEnd w:id="119"/>
      <w:bookmarkStart w:id="120" w:name="_Toc253743990"/>
      <w:bookmarkEnd w:id="120"/>
      <w:bookmarkStart w:id="121" w:name="_Toc306766282"/>
      <w:bookmarkStart w:id="122" w:name="_Toc306780073"/>
      <w:bookmarkStart w:id="123" w:name="_Toc253743992"/>
      <w:bookmarkStart w:id="124" w:name="_Toc253594504"/>
      <w:bookmarkStart w:id="125" w:name="_Toc306956213"/>
      <w:bookmarkStart w:id="126" w:name="_Toc253584936"/>
      <w:bookmarkStart w:id="127" w:name="_Toc352610545"/>
      <w:bookmarkStart w:id="128" w:name="_Toc307053923"/>
      <w:r>
        <w:rPr>
          <w:rFonts w:hint="eastAsia" w:ascii="仿宋_GB2312" w:hAnsi="仿宋_GB2312" w:eastAsia="仿宋_GB2312" w:cs="仿宋_GB2312"/>
          <w:kern w:val="2"/>
          <w:sz w:val="32"/>
          <w:szCs w:val="32"/>
          <w:lang w:val="en-US" w:eastAsia="zh-CN" w:bidi="ar-SA"/>
        </w:rPr>
        <w:t>截至2020年底，西咸新区电网共有330千伏发电站总计2座，分别为渭河二厂（2×320兆瓦+2×300兆瓦）和渭河热电厂（2×300兆瓦），总装机容量1840兆瓦。</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截至2020年底，西咸新区电网共有110千伏及以下发电站总计7座，有机组11台、光伏单元1个，总容量312.06兆瓦。其中：小火电厂1座，机组4台，容量175兆瓦；光伏发电站1座，容量4.5兆瓦；其它发电类型5座，机组7台，容量132.56兆瓦。</w:t>
      </w:r>
    </w:p>
    <w:p>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表3</w:t>
      </w:r>
      <w:r>
        <w:rPr>
          <w:rFonts w:hint="eastAsia" w:ascii="黑体" w:hAnsi="黑体" w:eastAsia="黑体" w:cs="黑体"/>
          <w:sz w:val="28"/>
          <w:szCs w:val="28"/>
          <w:lang w:val="en" w:eastAsia="zh-CN"/>
        </w:rPr>
        <w:t>-</w:t>
      </w:r>
      <w:r>
        <w:rPr>
          <w:rFonts w:hint="eastAsia" w:ascii="黑体" w:hAnsi="黑体" w:eastAsia="黑体" w:cs="黑体"/>
          <w:sz w:val="28"/>
          <w:szCs w:val="28"/>
          <w:lang w:val="en-US" w:eastAsia="zh-CN"/>
        </w:rPr>
        <w:t>1   2020年西咸新区装机规模表</w:t>
      </w:r>
    </w:p>
    <w:tbl>
      <w:tblPr>
        <w:tblStyle w:val="88"/>
        <w:tblW w:w="8627" w:type="dxa"/>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0" w:type="dxa"/>
          <w:bottom w:w="0" w:type="dxa"/>
          <w:right w:w="0" w:type="dxa"/>
        </w:tblCellMar>
      </w:tblPr>
      <w:tblGrid>
        <w:gridCol w:w="480"/>
        <w:gridCol w:w="1439"/>
        <w:gridCol w:w="925"/>
        <w:gridCol w:w="835"/>
        <w:gridCol w:w="877"/>
        <w:gridCol w:w="909"/>
        <w:gridCol w:w="985"/>
        <w:gridCol w:w="1026"/>
        <w:gridCol w:w="1151"/>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3" w:hRule="atLeast"/>
          <w:tblHeader/>
        </w:trPr>
        <w:tc>
          <w:tcPr>
            <w:tcW w:w="8627" w:type="dxa"/>
            <w:gridSpan w:val="9"/>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rPr>
              <w:t>2020年度末装机容量合计</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3" w:hRule="atLeast"/>
        </w:trPr>
        <w:tc>
          <w:tcPr>
            <w:tcW w:w="480" w:type="dxa"/>
            <w:vMerge w:val="restart"/>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序号</w:t>
            </w:r>
          </w:p>
        </w:tc>
        <w:tc>
          <w:tcPr>
            <w:tcW w:w="1439" w:type="dxa"/>
            <w:vMerge w:val="restart"/>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电厂名称</w:t>
            </w:r>
          </w:p>
        </w:tc>
        <w:tc>
          <w:tcPr>
            <w:tcW w:w="925" w:type="dxa"/>
            <w:vMerge w:val="restart"/>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装机</w:t>
            </w:r>
          </w:p>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容量</w:t>
            </w:r>
          </w:p>
        </w:tc>
        <w:tc>
          <w:tcPr>
            <w:tcW w:w="835" w:type="dxa"/>
            <w:vMerge w:val="restart"/>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最大可调出力</w:t>
            </w:r>
          </w:p>
        </w:tc>
        <w:tc>
          <w:tcPr>
            <w:tcW w:w="1786" w:type="dxa"/>
            <w:gridSpan w:val="2"/>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单机组合</w:t>
            </w:r>
          </w:p>
        </w:tc>
        <w:tc>
          <w:tcPr>
            <w:tcW w:w="985" w:type="dxa"/>
            <w:vMerge w:val="restart"/>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机组性质</w:t>
            </w:r>
          </w:p>
        </w:tc>
        <w:tc>
          <w:tcPr>
            <w:tcW w:w="1026" w:type="dxa"/>
            <w:vMerge w:val="restart"/>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接入系统电压等级</w:t>
            </w:r>
          </w:p>
        </w:tc>
        <w:tc>
          <w:tcPr>
            <w:tcW w:w="1151" w:type="dxa"/>
            <w:vMerge w:val="restart"/>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调度关系</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17" w:hRule="atLeast"/>
        </w:trPr>
        <w:tc>
          <w:tcPr>
            <w:tcW w:w="480" w:type="dxa"/>
            <w:vMerge w:val="continue"/>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p>
        </w:tc>
        <w:tc>
          <w:tcPr>
            <w:tcW w:w="1439" w:type="dxa"/>
            <w:vMerge w:val="continue"/>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p>
        </w:tc>
        <w:tc>
          <w:tcPr>
            <w:tcW w:w="925" w:type="dxa"/>
            <w:vMerge w:val="continue"/>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p>
        </w:tc>
        <w:tc>
          <w:tcPr>
            <w:tcW w:w="835" w:type="dxa"/>
            <w:vMerge w:val="continue"/>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p>
        </w:tc>
        <w:tc>
          <w:tcPr>
            <w:tcW w:w="877"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机组容量</w:t>
            </w:r>
          </w:p>
        </w:tc>
        <w:tc>
          <w:tcPr>
            <w:tcW w:w="909"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机组数目</w:t>
            </w:r>
          </w:p>
        </w:tc>
        <w:tc>
          <w:tcPr>
            <w:tcW w:w="985" w:type="dxa"/>
            <w:vMerge w:val="continue"/>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p>
        </w:tc>
        <w:tc>
          <w:tcPr>
            <w:tcW w:w="1026" w:type="dxa"/>
            <w:vMerge w:val="continue"/>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p>
        </w:tc>
        <w:tc>
          <w:tcPr>
            <w:tcW w:w="1151" w:type="dxa"/>
            <w:vMerge w:val="continue"/>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547" w:hRule="atLeast"/>
        </w:trPr>
        <w:tc>
          <w:tcPr>
            <w:tcW w:w="480"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w:t>
            </w:r>
          </w:p>
        </w:tc>
        <w:tc>
          <w:tcPr>
            <w:tcW w:w="1439"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渭河二厂</w:t>
            </w:r>
          </w:p>
        </w:tc>
        <w:tc>
          <w:tcPr>
            <w:tcW w:w="925"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2×320+2×300</w:t>
            </w:r>
          </w:p>
        </w:tc>
        <w:tc>
          <w:tcPr>
            <w:tcW w:w="835"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1240</w:t>
            </w:r>
          </w:p>
        </w:tc>
        <w:tc>
          <w:tcPr>
            <w:tcW w:w="877"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300、320</w:t>
            </w:r>
          </w:p>
        </w:tc>
        <w:tc>
          <w:tcPr>
            <w:tcW w:w="909"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4</w:t>
            </w:r>
          </w:p>
        </w:tc>
        <w:tc>
          <w:tcPr>
            <w:tcW w:w="985"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公用</w:t>
            </w:r>
          </w:p>
        </w:tc>
        <w:tc>
          <w:tcPr>
            <w:tcW w:w="1026"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330千伏</w:t>
            </w:r>
          </w:p>
        </w:tc>
        <w:tc>
          <w:tcPr>
            <w:tcW w:w="1151"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省调</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3" w:hRule="atLeast"/>
        </w:trPr>
        <w:tc>
          <w:tcPr>
            <w:tcW w:w="480"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w:t>
            </w:r>
          </w:p>
        </w:tc>
        <w:tc>
          <w:tcPr>
            <w:tcW w:w="1439"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渭河热电厂</w:t>
            </w:r>
          </w:p>
        </w:tc>
        <w:tc>
          <w:tcPr>
            <w:tcW w:w="925"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2×300</w:t>
            </w:r>
          </w:p>
        </w:tc>
        <w:tc>
          <w:tcPr>
            <w:tcW w:w="835"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600</w:t>
            </w:r>
          </w:p>
        </w:tc>
        <w:tc>
          <w:tcPr>
            <w:tcW w:w="877"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300</w:t>
            </w:r>
          </w:p>
        </w:tc>
        <w:tc>
          <w:tcPr>
            <w:tcW w:w="909"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w:t>
            </w:r>
          </w:p>
        </w:tc>
        <w:tc>
          <w:tcPr>
            <w:tcW w:w="985"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公用</w:t>
            </w:r>
          </w:p>
        </w:tc>
        <w:tc>
          <w:tcPr>
            <w:tcW w:w="1026"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330千伏</w:t>
            </w:r>
          </w:p>
        </w:tc>
        <w:tc>
          <w:tcPr>
            <w:tcW w:w="1151"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省调</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3" w:hRule="atLeast"/>
        </w:trPr>
        <w:tc>
          <w:tcPr>
            <w:tcW w:w="480" w:type="dxa"/>
            <w:vMerge w:val="restart"/>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w:t>
            </w:r>
          </w:p>
        </w:tc>
        <w:tc>
          <w:tcPr>
            <w:tcW w:w="1439" w:type="dxa"/>
            <w:vMerge w:val="restart"/>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西郊热电</w:t>
            </w:r>
          </w:p>
        </w:tc>
        <w:tc>
          <w:tcPr>
            <w:tcW w:w="925"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2×60</w:t>
            </w:r>
          </w:p>
        </w:tc>
        <w:tc>
          <w:tcPr>
            <w:tcW w:w="835"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120</w:t>
            </w:r>
          </w:p>
        </w:tc>
        <w:tc>
          <w:tcPr>
            <w:tcW w:w="877"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60</w:t>
            </w:r>
          </w:p>
        </w:tc>
        <w:tc>
          <w:tcPr>
            <w:tcW w:w="909"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w:t>
            </w:r>
          </w:p>
        </w:tc>
        <w:tc>
          <w:tcPr>
            <w:tcW w:w="985"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公用</w:t>
            </w:r>
          </w:p>
        </w:tc>
        <w:tc>
          <w:tcPr>
            <w:tcW w:w="1026"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110千伏</w:t>
            </w:r>
          </w:p>
        </w:tc>
        <w:tc>
          <w:tcPr>
            <w:tcW w:w="1151"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省调</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3" w:hRule="atLeast"/>
        </w:trPr>
        <w:tc>
          <w:tcPr>
            <w:tcW w:w="480" w:type="dxa"/>
            <w:vMerge w:val="continue"/>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p>
        </w:tc>
        <w:tc>
          <w:tcPr>
            <w:tcW w:w="1439" w:type="dxa"/>
            <w:vMerge w:val="continue"/>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p>
        </w:tc>
        <w:tc>
          <w:tcPr>
            <w:tcW w:w="925"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30+25</w:t>
            </w:r>
          </w:p>
        </w:tc>
        <w:tc>
          <w:tcPr>
            <w:tcW w:w="835"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55</w:t>
            </w:r>
          </w:p>
        </w:tc>
        <w:tc>
          <w:tcPr>
            <w:tcW w:w="877"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w:t>
            </w:r>
          </w:p>
        </w:tc>
        <w:tc>
          <w:tcPr>
            <w:tcW w:w="909"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w:t>
            </w:r>
          </w:p>
        </w:tc>
        <w:tc>
          <w:tcPr>
            <w:tcW w:w="985"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公用</w:t>
            </w:r>
          </w:p>
        </w:tc>
        <w:tc>
          <w:tcPr>
            <w:tcW w:w="1026"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35千伏</w:t>
            </w:r>
          </w:p>
        </w:tc>
        <w:tc>
          <w:tcPr>
            <w:tcW w:w="1151"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西咸地调</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3" w:hRule="atLeast"/>
        </w:trPr>
        <w:tc>
          <w:tcPr>
            <w:tcW w:w="480"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4</w:t>
            </w:r>
          </w:p>
        </w:tc>
        <w:tc>
          <w:tcPr>
            <w:tcW w:w="1439"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张良电厂</w:t>
            </w:r>
          </w:p>
        </w:tc>
        <w:tc>
          <w:tcPr>
            <w:tcW w:w="925"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2×30</w:t>
            </w:r>
          </w:p>
        </w:tc>
        <w:tc>
          <w:tcPr>
            <w:tcW w:w="835"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60</w:t>
            </w:r>
          </w:p>
        </w:tc>
        <w:tc>
          <w:tcPr>
            <w:tcW w:w="877"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30</w:t>
            </w:r>
          </w:p>
        </w:tc>
        <w:tc>
          <w:tcPr>
            <w:tcW w:w="909"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w:t>
            </w:r>
          </w:p>
        </w:tc>
        <w:tc>
          <w:tcPr>
            <w:tcW w:w="985"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公用</w:t>
            </w:r>
          </w:p>
        </w:tc>
        <w:tc>
          <w:tcPr>
            <w:tcW w:w="1026"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110千伏</w:t>
            </w:r>
          </w:p>
        </w:tc>
        <w:tc>
          <w:tcPr>
            <w:tcW w:w="1151"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省调</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3" w:hRule="atLeast"/>
        </w:trPr>
        <w:tc>
          <w:tcPr>
            <w:tcW w:w="480"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5</w:t>
            </w:r>
          </w:p>
        </w:tc>
        <w:tc>
          <w:tcPr>
            <w:tcW w:w="1439"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兆伦电厂</w:t>
            </w:r>
          </w:p>
        </w:tc>
        <w:tc>
          <w:tcPr>
            <w:tcW w:w="925"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2×25</w:t>
            </w:r>
          </w:p>
        </w:tc>
        <w:tc>
          <w:tcPr>
            <w:tcW w:w="835"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50</w:t>
            </w:r>
          </w:p>
        </w:tc>
        <w:tc>
          <w:tcPr>
            <w:tcW w:w="877"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25</w:t>
            </w:r>
          </w:p>
        </w:tc>
        <w:tc>
          <w:tcPr>
            <w:tcW w:w="909"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w:t>
            </w:r>
          </w:p>
        </w:tc>
        <w:tc>
          <w:tcPr>
            <w:tcW w:w="985"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公用</w:t>
            </w:r>
          </w:p>
        </w:tc>
        <w:tc>
          <w:tcPr>
            <w:tcW w:w="1026"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110千伏</w:t>
            </w:r>
          </w:p>
        </w:tc>
        <w:tc>
          <w:tcPr>
            <w:tcW w:w="1151"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省调</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3" w:hRule="atLeast"/>
        </w:trPr>
        <w:tc>
          <w:tcPr>
            <w:tcW w:w="480"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6</w:t>
            </w:r>
          </w:p>
        </w:tc>
        <w:tc>
          <w:tcPr>
            <w:tcW w:w="1439"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蓝玻余热</w:t>
            </w:r>
          </w:p>
        </w:tc>
        <w:tc>
          <w:tcPr>
            <w:tcW w:w="925"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6</w:t>
            </w:r>
          </w:p>
        </w:tc>
        <w:tc>
          <w:tcPr>
            <w:tcW w:w="835"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6</w:t>
            </w:r>
          </w:p>
        </w:tc>
        <w:tc>
          <w:tcPr>
            <w:tcW w:w="877"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6</w:t>
            </w:r>
          </w:p>
        </w:tc>
        <w:tc>
          <w:tcPr>
            <w:tcW w:w="909"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w:t>
            </w:r>
          </w:p>
        </w:tc>
        <w:tc>
          <w:tcPr>
            <w:tcW w:w="985"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企业自备</w:t>
            </w:r>
          </w:p>
        </w:tc>
        <w:tc>
          <w:tcPr>
            <w:tcW w:w="1026"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6千伏</w:t>
            </w:r>
          </w:p>
        </w:tc>
        <w:tc>
          <w:tcPr>
            <w:tcW w:w="1151"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西咸地调</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3" w:hRule="atLeast"/>
        </w:trPr>
        <w:tc>
          <w:tcPr>
            <w:tcW w:w="480"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7</w:t>
            </w:r>
          </w:p>
        </w:tc>
        <w:tc>
          <w:tcPr>
            <w:tcW w:w="1439"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万泉电厂</w:t>
            </w:r>
          </w:p>
        </w:tc>
        <w:tc>
          <w:tcPr>
            <w:tcW w:w="925"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15</w:t>
            </w:r>
          </w:p>
        </w:tc>
        <w:tc>
          <w:tcPr>
            <w:tcW w:w="835"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15</w:t>
            </w:r>
          </w:p>
        </w:tc>
        <w:tc>
          <w:tcPr>
            <w:tcW w:w="877"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15</w:t>
            </w:r>
          </w:p>
        </w:tc>
        <w:tc>
          <w:tcPr>
            <w:tcW w:w="909"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w:t>
            </w:r>
          </w:p>
        </w:tc>
        <w:tc>
          <w:tcPr>
            <w:tcW w:w="985"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公用</w:t>
            </w:r>
          </w:p>
        </w:tc>
        <w:tc>
          <w:tcPr>
            <w:tcW w:w="1026"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110千伏</w:t>
            </w:r>
          </w:p>
        </w:tc>
        <w:tc>
          <w:tcPr>
            <w:tcW w:w="1151"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西咸地调</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3" w:hRule="atLeast"/>
        </w:trPr>
        <w:tc>
          <w:tcPr>
            <w:tcW w:w="480"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8</w:t>
            </w:r>
          </w:p>
        </w:tc>
        <w:tc>
          <w:tcPr>
            <w:tcW w:w="1439"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新地光伏</w:t>
            </w:r>
          </w:p>
        </w:tc>
        <w:tc>
          <w:tcPr>
            <w:tcW w:w="925"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4.5</w:t>
            </w:r>
          </w:p>
        </w:tc>
        <w:tc>
          <w:tcPr>
            <w:tcW w:w="835"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4.5</w:t>
            </w:r>
          </w:p>
        </w:tc>
        <w:tc>
          <w:tcPr>
            <w:tcW w:w="877"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4.5</w:t>
            </w:r>
          </w:p>
        </w:tc>
        <w:tc>
          <w:tcPr>
            <w:tcW w:w="909"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w:t>
            </w:r>
          </w:p>
        </w:tc>
        <w:tc>
          <w:tcPr>
            <w:tcW w:w="985"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公用</w:t>
            </w:r>
          </w:p>
        </w:tc>
        <w:tc>
          <w:tcPr>
            <w:tcW w:w="1026"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10千伏</w:t>
            </w:r>
          </w:p>
        </w:tc>
        <w:tc>
          <w:tcPr>
            <w:tcW w:w="1151"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配调调管</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3" w:hRule="atLeast"/>
        </w:trPr>
        <w:tc>
          <w:tcPr>
            <w:tcW w:w="480"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9</w:t>
            </w:r>
          </w:p>
        </w:tc>
        <w:tc>
          <w:tcPr>
            <w:tcW w:w="1439"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18"/>
                <w:szCs w:val="18"/>
              </w:rPr>
              <w:t>维尔利沼气发电</w:t>
            </w:r>
          </w:p>
        </w:tc>
        <w:tc>
          <w:tcPr>
            <w:tcW w:w="925"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1.56</w:t>
            </w:r>
          </w:p>
        </w:tc>
        <w:tc>
          <w:tcPr>
            <w:tcW w:w="835"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1.56</w:t>
            </w:r>
          </w:p>
        </w:tc>
        <w:tc>
          <w:tcPr>
            <w:tcW w:w="877"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1.56</w:t>
            </w:r>
          </w:p>
        </w:tc>
        <w:tc>
          <w:tcPr>
            <w:tcW w:w="909"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w:t>
            </w:r>
          </w:p>
        </w:tc>
        <w:tc>
          <w:tcPr>
            <w:tcW w:w="985"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公用</w:t>
            </w:r>
          </w:p>
        </w:tc>
        <w:tc>
          <w:tcPr>
            <w:tcW w:w="1026"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10千伏</w:t>
            </w:r>
          </w:p>
        </w:tc>
        <w:tc>
          <w:tcPr>
            <w:tcW w:w="1151"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配调调管</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3" w:hRule="atLeast"/>
        </w:trPr>
        <w:tc>
          <w:tcPr>
            <w:tcW w:w="480"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合计</w:t>
            </w:r>
          </w:p>
        </w:tc>
        <w:tc>
          <w:tcPr>
            <w:tcW w:w="1439"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w:t>
            </w:r>
          </w:p>
        </w:tc>
        <w:tc>
          <w:tcPr>
            <w:tcW w:w="925"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2152.06</w:t>
            </w:r>
          </w:p>
        </w:tc>
        <w:tc>
          <w:tcPr>
            <w:tcW w:w="835"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2152.06</w:t>
            </w:r>
          </w:p>
        </w:tc>
        <w:tc>
          <w:tcPr>
            <w:tcW w:w="877"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w:t>
            </w:r>
          </w:p>
        </w:tc>
        <w:tc>
          <w:tcPr>
            <w:tcW w:w="909"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17</w:t>
            </w:r>
          </w:p>
        </w:tc>
        <w:tc>
          <w:tcPr>
            <w:tcW w:w="985"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w:t>
            </w:r>
          </w:p>
        </w:tc>
        <w:tc>
          <w:tcPr>
            <w:tcW w:w="1026"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w:t>
            </w:r>
          </w:p>
        </w:tc>
        <w:tc>
          <w:tcPr>
            <w:tcW w:w="1151" w:type="dxa"/>
            <w:shd w:val="clear" w:color="auto" w:fill="FFFFFF"/>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w:t>
            </w:r>
          </w:p>
        </w:tc>
      </w:tr>
    </w:tbl>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rPr>
      </w:pPr>
      <w:bookmarkStart w:id="129" w:name="_Toc20386"/>
      <w:bookmarkStart w:id="130" w:name="_Toc74041152"/>
      <w:r>
        <w:rPr>
          <w:rFonts w:hint="eastAsia" w:ascii="黑体" w:hAnsi="黑体" w:eastAsia="黑体" w:cs="黑体"/>
          <w:b w:val="0"/>
          <w:bCs w:val="0"/>
          <w:sz w:val="32"/>
          <w:szCs w:val="32"/>
        </w:rPr>
        <w:t>330千伏电网现状</w:t>
      </w:r>
      <w:bookmarkEnd w:id="129"/>
      <w:bookmarkEnd w:id="130"/>
      <w:bookmarkStart w:id="131" w:name="_Toc410030620"/>
      <w:bookmarkStart w:id="132" w:name="_Toc74041153"/>
      <w:bookmarkStart w:id="133" w:name="_Toc59973890"/>
    </w:p>
    <w:p>
      <w:pPr>
        <w:pStyle w:val="5"/>
        <w:keepNext/>
        <w:keepLines/>
        <w:pageBreakBefore w:val="0"/>
        <w:widowControl w:val="0"/>
        <w:numPr>
          <w:ilvl w:val="1"/>
          <w:numId w:val="0"/>
        </w:numPr>
        <w:kinsoku/>
        <w:wordWrap/>
        <w:overflowPunct/>
        <w:topLinePunct w:val="0"/>
        <w:autoSpaceDE/>
        <w:autoSpaceDN/>
        <w:bidi w:val="0"/>
        <w:adjustRightInd/>
        <w:snapToGrid/>
        <w:spacing w:before="157" w:beforeLines="50" w:after="157" w:afterLines="50" w:line="560" w:lineRule="exact"/>
        <w:ind w:leftChars="0"/>
        <w:textAlignment w:val="auto"/>
        <w:rPr>
          <w:rFonts w:hint="eastAsia" w:ascii="仿宋" w:hAnsi="仿宋" w:eastAsia="仿宋" w:cs="仿宋"/>
          <w:b/>
          <w:bCs/>
          <w:sz w:val="32"/>
          <w:szCs w:val="32"/>
        </w:rPr>
      </w:pPr>
      <w:r>
        <w:rPr>
          <w:rFonts w:hint="eastAsia" w:ascii="仿宋" w:hAnsi="仿宋" w:eastAsia="仿宋" w:cs="仿宋"/>
          <w:b/>
          <w:bCs/>
          <w:sz w:val="32"/>
          <w:szCs w:val="32"/>
          <w:lang w:val="en-US" w:eastAsia="zh-CN"/>
        </w:rPr>
        <w:t xml:space="preserve">3.3.1  </w:t>
      </w:r>
      <w:r>
        <w:rPr>
          <w:rFonts w:hint="eastAsia" w:ascii="仿宋" w:hAnsi="仿宋" w:eastAsia="仿宋" w:cs="仿宋"/>
          <w:b/>
          <w:bCs/>
          <w:sz w:val="32"/>
          <w:szCs w:val="32"/>
        </w:rPr>
        <w:t>电网</w:t>
      </w:r>
      <w:bookmarkEnd w:id="131"/>
      <w:r>
        <w:rPr>
          <w:rFonts w:hint="eastAsia" w:ascii="仿宋" w:hAnsi="仿宋" w:eastAsia="仿宋" w:cs="仿宋"/>
          <w:b/>
          <w:bCs/>
          <w:sz w:val="32"/>
          <w:szCs w:val="32"/>
        </w:rPr>
        <w:t>规模</w:t>
      </w:r>
      <w:bookmarkEnd w:id="132"/>
      <w:bookmarkEnd w:id="133"/>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1.变电情况。截至2020年底，西咸新区电网共有330千伏变电站 3座，主变8台/2520兆伏安,分别为古渡变、沣河变、云谷变。3座330千伏变电站分布在秦汉、沣东、沣西新城，并与750千伏南山变、泾渭变、乾县变供电区以及渭热、渭二河电厂相连。</w:t>
      </w:r>
    </w:p>
    <w:p>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表3-</w:t>
      </w:r>
      <w:r>
        <w:rPr>
          <w:rFonts w:hint="eastAsia" w:ascii="黑体" w:hAnsi="黑体" w:eastAsia="黑体" w:cs="黑体"/>
          <w:sz w:val="28"/>
          <w:szCs w:val="28"/>
          <w:lang w:val="en" w:eastAsia="zh-CN"/>
        </w:rPr>
        <w:t>2</w:t>
      </w:r>
      <w:r>
        <w:rPr>
          <w:rFonts w:hint="eastAsia" w:ascii="黑体" w:hAnsi="黑体" w:eastAsia="黑体" w:cs="黑体"/>
          <w:sz w:val="28"/>
          <w:szCs w:val="28"/>
          <w:lang w:val="en-US" w:eastAsia="zh-CN"/>
        </w:rPr>
        <w:t xml:space="preserve">  2020年度末西咸新区电网330千伏变电规模统计</w:t>
      </w:r>
    </w:p>
    <w:tbl>
      <w:tblPr>
        <w:tblStyle w:val="88"/>
        <w:tblW w:w="87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90"/>
        <w:gridCol w:w="686"/>
        <w:gridCol w:w="440"/>
        <w:gridCol w:w="2328"/>
        <w:gridCol w:w="1098"/>
        <w:gridCol w:w="2653"/>
        <w:gridCol w:w="641"/>
        <w:gridCol w:w="5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1977" w:hRule="atLeast"/>
          <w:tblHeader/>
          <w:jc w:val="center"/>
        </w:trPr>
        <w:tc>
          <w:tcPr>
            <w:tcW w:w="390"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序号</w:t>
            </w:r>
          </w:p>
        </w:tc>
        <w:tc>
          <w:tcPr>
            <w:tcW w:w="686"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变电站名</w:t>
            </w:r>
          </w:p>
        </w:tc>
        <w:tc>
          <w:tcPr>
            <w:tcW w:w="440"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变压器号</w:t>
            </w:r>
          </w:p>
        </w:tc>
        <w:tc>
          <w:tcPr>
            <w:tcW w:w="2328"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型号</w:t>
            </w:r>
          </w:p>
        </w:tc>
        <w:tc>
          <w:tcPr>
            <w:tcW w:w="1098"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额定容量（兆伏安）</w:t>
            </w:r>
          </w:p>
        </w:tc>
        <w:tc>
          <w:tcPr>
            <w:tcW w:w="2653"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额定电压</w:t>
            </w:r>
          </w:p>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（高/中/低电压及分档）</w:t>
            </w:r>
          </w:p>
        </w:tc>
        <w:tc>
          <w:tcPr>
            <w:tcW w:w="641"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调压方式</w:t>
            </w:r>
          </w:p>
        </w:tc>
        <w:tc>
          <w:tcPr>
            <w:tcW w:w="561"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调度关系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687" w:hRule="atLeast"/>
          <w:tblHeader/>
          <w:jc w:val="center"/>
        </w:trPr>
        <w:tc>
          <w:tcPr>
            <w:tcW w:w="390" w:type="dxa"/>
            <w:vMerge w:val="restart"/>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w:t>
            </w:r>
          </w:p>
        </w:tc>
        <w:tc>
          <w:tcPr>
            <w:tcW w:w="686" w:type="dxa"/>
            <w:vMerge w:val="restart"/>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沣河变</w:t>
            </w:r>
          </w:p>
        </w:tc>
        <w:tc>
          <w:tcPr>
            <w:tcW w:w="440"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w:t>
            </w:r>
          </w:p>
        </w:tc>
        <w:tc>
          <w:tcPr>
            <w:tcW w:w="2328"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OSFPS7-240000/330</w:t>
            </w:r>
          </w:p>
        </w:tc>
        <w:tc>
          <w:tcPr>
            <w:tcW w:w="1098"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240</w:t>
            </w:r>
          </w:p>
        </w:tc>
        <w:tc>
          <w:tcPr>
            <w:tcW w:w="2653"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345±2×2.5%/121/10.5</w:t>
            </w:r>
          </w:p>
        </w:tc>
        <w:tc>
          <w:tcPr>
            <w:tcW w:w="641"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无载</w:t>
            </w:r>
          </w:p>
        </w:tc>
        <w:tc>
          <w:tcPr>
            <w:tcW w:w="561"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省调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679" w:hRule="atLeast"/>
          <w:tblHeader/>
          <w:jc w:val="center"/>
        </w:trPr>
        <w:tc>
          <w:tcPr>
            <w:tcW w:w="390" w:type="dxa"/>
            <w:vMerge w:val="continue"/>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p>
        </w:tc>
        <w:tc>
          <w:tcPr>
            <w:tcW w:w="686" w:type="dxa"/>
            <w:vMerge w:val="continue"/>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p>
        </w:tc>
        <w:tc>
          <w:tcPr>
            <w:tcW w:w="440"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w:t>
            </w:r>
          </w:p>
        </w:tc>
        <w:tc>
          <w:tcPr>
            <w:tcW w:w="2328"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OSFSZ-240000/330</w:t>
            </w:r>
          </w:p>
        </w:tc>
        <w:tc>
          <w:tcPr>
            <w:tcW w:w="1098"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240</w:t>
            </w:r>
          </w:p>
        </w:tc>
        <w:tc>
          <w:tcPr>
            <w:tcW w:w="2653"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345±8×1.25%/121/35</w:t>
            </w:r>
          </w:p>
        </w:tc>
        <w:tc>
          <w:tcPr>
            <w:tcW w:w="641"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有载</w:t>
            </w:r>
          </w:p>
        </w:tc>
        <w:tc>
          <w:tcPr>
            <w:tcW w:w="561"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省调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538" w:hRule="atLeast"/>
          <w:tblHeader/>
          <w:jc w:val="center"/>
        </w:trPr>
        <w:tc>
          <w:tcPr>
            <w:tcW w:w="390" w:type="dxa"/>
            <w:vMerge w:val="continue"/>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p>
        </w:tc>
        <w:tc>
          <w:tcPr>
            <w:tcW w:w="686" w:type="dxa"/>
            <w:vMerge w:val="continue"/>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p>
        </w:tc>
        <w:tc>
          <w:tcPr>
            <w:tcW w:w="440"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w:t>
            </w:r>
          </w:p>
        </w:tc>
        <w:tc>
          <w:tcPr>
            <w:tcW w:w="2328"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OSFPSZ-240000/330</w:t>
            </w:r>
          </w:p>
        </w:tc>
        <w:tc>
          <w:tcPr>
            <w:tcW w:w="1098"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240</w:t>
            </w:r>
          </w:p>
        </w:tc>
        <w:tc>
          <w:tcPr>
            <w:tcW w:w="2653"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345±8×1.25%/121/35</w:t>
            </w:r>
          </w:p>
        </w:tc>
        <w:tc>
          <w:tcPr>
            <w:tcW w:w="641"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有载</w:t>
            </w:r>
          </w:p>
        </w:tc>
        <w:tc>
          <w:tcPr>
            <w:tcW w:w="561"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省调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625" w:hRule="atLeast"/>
          <w:tblHeader/>
          <w:jc w:val="center"/>
        </w:trPr>
        <w:tc>
          <w:tcPr>
            <w:tcW w:w="390" w:type="dxa"/>
            <w:vMerge w:val="restart"/>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w:t>
            </w:r>
          </w:p>
        </w:tc>
        <w:tc>
          <w:tcPr>
            <w:tcW w:w="686" w:type="dxa"/>
            <w:vMerge w:val="restart"/>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古渡变</w:t>
            </w:r>
          </w:p>
        </w:tc>
        <w:tc>
          <w:tcPr>
            <w:tcW w:w="440"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w:t>
            </w:r>
          </w:p>
        </w:tc>
        <w:tc>
          <w:tcPr>
            <w:tcW w:w="2328"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OSFPSZ-360000/330</w:t>
            </w:r>
          </w:p>
        </w:tc>
        <w:tc>
          <w:tcPr>
            <w:tcW w:w="1098"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360</w:t>
            </w:r>
          </w:p>
        </w:tc>
        <w:tc>
          <w:tcPr>
            <w:tcW w:w="2653"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345±8×1.25%/121/35</w:t>
            </w:r>
          </w:p>
        </w:tc>
        <w:tc>
          <w:tcPr>
            <w:tcW w:w="641"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有载</w:t>
            </w:r>
          </w:p>
        </w:tc>
        <w:tc>
          <w:tcPr>
            <w:tcW w:w="561"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省调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602" w:hRule="atLeast"/>
          <w:tblHeader/>
          <w:jc w:val="center"/>
        </w:trPr>
        <w:tc>
          <w:tcPr>
            <w:tcW w:w="390" w:type="dxa"/>
            <w:vMerge w:val="continue"/>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p>
        </w:tc>
        <w:tc>
          <w:tcPr>
            <w:tcW w:w="686" w:type="dxa"/>
            <w:vMerge w:val="continue"/>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p>
        </w:tc>
        <w:tc>
          <w:tcPr>
            <w:tcW w:w="440"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w:t>
            </w:r>
          </w:p>
        </w:tc>
        <w:tc>
          <w:tcPr>
            <w:tcW w:w="2328"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OSFPSZ-360000/330</w:t>
            </w:r>
          </w:p>
        </w:tc>
        <w:tc>
          <w:tcPr>
            <w:tcW w:w="1098"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360</w:t>
            </w:r>
          </w:p>
        </w:tc>
        <w:tc>
          <w:tcPr>
            <w:tcW w:w="2653"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345±8×1.25%/121/35</w:t>
            </w:r>
          </w:p>
        </w:tc>
        <w:tc>
          <w:tcPr>
            <w:tcW w:w="641"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有载</w:t>
            </w:r>
          </w:p>
        </w:tc>
        <w:tc>
          <w:tcPr>
            <w:tcW w:w="561"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省调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653" w:hRule="atLeast"/>
          <w:tblHeader/>
          <w:jc w:val="center"/>
        </w:trPr>
        <w:tc>
          <w:tcPr>
            <w:tcW w:w="390" w:type="dxa"/>
            <w:vMerge w:val="continue"/>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p>
        </w:tc>
        <w:tc>
          <w:tcPr>
            <w:tcW w:w="686" w:type="dxa"/>
            <w:vMerge w:val="continue"/>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p>
        </w:tc>
        <w:tc>
          <w:tcPr>
            <w:tcW w:w="440"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w:t>
            </w:r>
          </w:p>
        </w:tc>
        <w:tc>
          <w:tcPr>
            <w:tcW w:w="2328"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OSFPSZ-360000/330</w:t>
            </w:r>
          </w:p>
        </w:tc>
        <w:tc>
          <w:tcPr>
            <w:tcW w:w="1098"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360</w:t>
            </w:r>
          </w:p>
        </w:tc>
        <w:tc>
          <w:tcPr>
            <w:tcW w:w="2653"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345±8×1.25%/121/35</w:t>
            </w:r>
          </w:p>
        </w:tc>
        <w:tc>
          <w:tcPr>
            <w:tcW w:w="641"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有载</w:t>
            </w:r>
          </w:p>
        </w:tc>
        <w:tc>
          <w:tcPr>
            <w:tcW w:w="561"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省调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660" w:hRule="atLeast"/>
          <w:tblHeader/>
          <w:jc w:val="center"/>
        </w:trPr>
        <w:tc>
          <w:tcPr>
            <w:tcW w:w="390" w:type="dxa"/>
            <w:vMerge w:val="restart"/>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w:t>
            </w:r>
          </w:p>
        </w:tc>
        <w:tc>
          <w:tcPr>
            <w:tcW w:w="686" w:type="dxa"/>
            <w:vMerge w:val="restart"/>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云谷变</w:t>
            </w:r>
          </w:p>
        </w:tc>
        <w:tc>
          <w:tcPr>
            <w:tcW w:w="440"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w:t>
            </w:r>
          </w:p>
        </w:tc>
        <w:tc>
          <w:tcPr>
            <w:tcW w:w="2328"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OSFSZ10-360000/330</w:t>
            </w:r>
          </w:p>
        </w:tc>
        <w:tc>
          <w:tcPr>
            <w:tcW w:w="1098"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360</w:t>
            </w:r>
          </w:p>
        </w:tc>
        <w:tc>
          <w:tcPr>
            <w:tcW w:w="2653"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345±8×1.25%/121/35</w:t>
            </w:r>
          </w:p>
        </w:tc>
        <w:tc>
          <w:tcPr>
            <w:tcW w:w="641"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有载</w:t>
            </w:r>
          </w:p>
        </w:tc>
        <w:tc>
          <w:tcPr>
            <w:tcW w:w="561"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省调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599" w:hRule="atLeast"/>
          <w:tblHeader/>
          <w:jc w:val="center"/>
        </w:trPr>
        <w:tc>
          <w:tcPr>
            <w:tcW w:w="390" w:type="dxa"/>
            <w:vMerge w:val="continue"/>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p>
        </w:tc>
        <w:tc>
          <w:tcPr>
            <w:tcW w:w="686" w:type="dxa"/>
            <w:vMerge w:val="continue"/>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p>
        </w:tc>
        <w:tc>
          <w:tcPr>
            <w:tcW w:w="440"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w:t>
            </w:r>
          </w:p>
        </w:tc>
        <w:tc>
          <w:tcPr>
            <w:tcW w:w="2328"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OSFSZ10-360000/330</w:t>
            </w:r>
          </w:p>
        </w:tc>
        <w:tc>
          <w:tcPr>
            <w:tcW w:w="1098"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360</w:t>
            </w:r>
          </w:p>
        </w:tc>
        <w:tc>
          <w:tcPr>
            <w:tcW w:w="2653"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345±8×1.25%/121/35</w:t>
            </w:r>
          </w:p>
        </w:tc>
        <w:tc>
          <w:tcPr>
            <w:tcW w:w="641"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有载</w:t>
            </w:r>
          </w:p>
        </w:tc>
        <w:tc>
          <w:tcPr>
            <w:tcW w:w="561"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省调</w:t>
            </w:r>
          </w:p>
        </w:tc>
      </w:tr>
    </w:tbl>
    <w:p>
      <w:pPr>
        <w:pStyle w:val="150"/>
        <w:ind w:firstLine="560"/>
      </w:pPr>
    </w:p>
    <w:p>
      <w:pPr>
        <w:pStyle w:val="150"/>
        <w:ind w:firstLine="0" w:firstLineChars="0"/>
        <w:jc w:val="center"/>
      </w:pPr>
      <w:r>
        <w:rPr>
          <w:sz w:val="32"/>
          <w:szCs w:val="32"/>
        </w:rPr>
        <w:drawing>
          <wp:inline distT="0" distB="0" distL="0" distR="0">
            <wp:extent cx="5099685" cy="6795770"/>
            <wp:effectExtent l="0" t="0" r="5715" b="5080"/>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78"/>
                    <pic:cNvPicPr>
                      <a:picLocks noChangeAspect="1" noChangeArrowheads="1"/>
                    </pic:cNvPicPr>
                  </pic:nvPicPr>
                  <pic:blipFill>
                    <a:blip r:embed="rId11" cstate="print">
                      <a:extLst>
                        <a:ext uri="{28A0092B-C50C-407E-A947-70E740481C1C}">
                          <a14:useLocalDpi xmlns:a14="http://schemas.microsoft.com/office/drawing/2010/main" val="0"/>
                        </a:ext>
                      </a:extLst>
                    </a:blip>
                    <a:srcRect l="7843" t="1371" r="2310" b="7610"/>
                    <a:stretch>
                      <a:fillRect/>
                    </a:stretch>
                  </pic:blipFill>
                  <pic:spPr>
                    <a:xfrm>
                      <a:off x="0" y="0"/>
                      <a:ext cx="5099685" cy="679577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图3-1  2020年西咸新区330千伏电网变电站分布情况</w:t>
      </w:r>
    </w:p>
    <w:p>
      <w:pPr>
        <w:pStyle w:val="2"/>
        <w:rPr>
          <w:rFonts w:hint="eastAsia"/>
          <w:lang w:val="en-US" w:eastAsia="zh-CN"/>
        </w:rPr>
      </w:pP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2.线路设备情况。截至2020年底，西咸新区电网共有330千伏线路10条，总长度127.936公里，主要分布在沣东、沣西、秦汉、空港。</w:t>
      </w:r>
    </w:p>
    <w:p>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表3-3  2020年度末西咸新区电网330千伏线路明细</w:t>
      </w:r>
    </w:p>
    <w:tbl>
      <w:tblPr>
        <w:tblStyle w:val="88"/>
        <w:tblW w:w="8716" w:type="dxa"/>
        <w:tblInd w:w="0" w:type="dxa"/>
        <w:tblLayout w:type="fixed"/>
        <w:tblCellMar>
          <w:top w:w="0" w:type="dxa"/>
          <w:left w:w="108" w:type="dxa"/>
          <w:bottom w:w="0" w:type="dxa"/>
          <w:right w:w="108" w:type="dxa"/>
        </w:tblCellMar>
      </w:tblPr>
      <w:tblGrid>
        <w:gridCol w:w="440"/>
        <w:gridCol w:w="1154"/>
        <w:gridCol w:w="582"/>
        <w:gridCol w:w="533"/>
        <w:gridCol w:w="2901"/>
        <w:gridCol w:w="868"/>
        <w:gridCol w:w="794"/>
        <w:gridCol w:w="1444"/>
      </w:tblGrid>
      <w:tr>
        <w:tblPrEx>
          <w:tblCellMar>
            <w:top w:w="0" w:type="dxa"/>
            <w:left w:w="108" w:type="dxa"/>
            <w:bottom w:w="0" w:type="dxa"/>
            <w:right w:w="108" w:type="dxa"/>
          </w:tblCellMar>
        </w:tblPrEx>
        <w:trPr>
          <w:trHeight w:val="1068" w:hRule="atLeast"/>
        </w:trPr>
        <w:tc>
          <w:tcPr>
            <w:tcW w:w="440"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bookmarkStart w:id="134" w:name="_Toc410030621"/>
            <w:r>
              <w:rPr>
                <w:rFonts w:hint="eastAsia" w:ascii="方正仿宋_GB2312" w:hAnsi="方正仿宋_GB2312" w:eastAsia="方正仿宋_GB2312" w:cs="方正仿宋_GB2312"/>
                <w:kern w:val="0"/>
                <w:sz w:val="21"/>
                <w:szCs w:val="21"/>
              </w:rPr>
              <w:t>序号</w:t>
            </w:r>
          </w:p>
        </w:tc>
        <w:tc>
          <w:tcPr>
            <w:tcW w:w="1154" w:type="dxa"/>
            <w:tcBorders>
              <w:top w:val="single" w:color="auto" w:sz="4" w:space="0"/>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线路名</w:t>
            </w:r>
          </w:p>
        </w:tc>
        <w:tc>
          <w:tcPr>
            <w:tcW w:w="1115" w:type="dxa"/>
            <w:gridSpan w:val="2"/>
            <w:tcBorders>
              <w:top w:val="single" w:color="auto" w:sz="4" w:space="0"/>
              <w:left w:val="nil"/>
              <w:bottom w:val="single" w:color="auto" w:sz="4" w:space="0"/>
              <w:right w:val="single" w:color="000000"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两侧厂站</w:t>
            </w:r>
          </w:p>
        </w:tc>
        <w:tc>
          <w:tcPr>
            <w:tcW w:w="2901" w:type="dxa"/>
            <w:tcBorders>
              <w:top w:val="single" w:color="auto" w:sz="4" w:space="0"/>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线路型号</w:t>
            </w:r>
          </w:p>
        </w:tc>
        <w:tc>
          <w:tcPr>
            <w:tcW w:w="868" w:type="dxa"/>
            <w:tcBorders>
              <w:top w:val="single" w:color="auto" w:sz="4" w:space="0"/>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长度</w:t>
            </w:r>
          </w:p>
        </w:tc>
        <w:tc>
          <w:tcPr>
            <w:tcW w:w="794" w:type="dxa"/>
            <w:tcBorders>
              <w:top w:val="single" w:color="auto" w:sz="4" w:space="0"/>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电压等级</w:t>
            </w:r>
          </w:p>
        </w:tc>
        <w:tc>
          <w:tcPr>
            <w:tcW w:w="1444" w:type="dxa"/>
            <w:tcBorders>
              <w:top w:val="single" w:color="auto" w:sz="4" w:space="0"/>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备注</w:t>
            </w:r>
          </w:p>
        </w:tc>
      </w:tr>
      <w:tr>
        <w:tblPrEx>
          <w:tblCellMar>
            <w:top w:w="0" w:type="dxa"/>
            <w:left w:w="108" w:type="dxa"/>
            <w:bottom w:w="0" w:type="dxa"/>
            <w:right w:w="108" w:type="dxa"/>
          </w:tblCellMar>
        </w:tblPrEx>
        <w:trPr>
          <w:trHeight w:val="1783" w:hRule="atLeast"/>
        </w:trPr>
        <w:tc>
          <w:tcPr>
            <w:tcW w:w="440" w:type="dxa"/>
            <w:tcBorders>
              <w:top w:val="nil"/>
              <w:left w:val="single" w:color="auto" w:sz="4" w:space="0"/>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w:t>
            </w:r>
          </w:p>
        </w:tc>
        <w:tc>
          <w:tcPr>
            <w:tcW w:w="1154"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3911热沣I线</w:t>
            </w:r>
          </w:p>
        </w:tc>
        <w:tc>
          <w:tcPr>
            <w:tcW w:w="582"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沣河变</w:t>
            </w:r>
          </w:p>
        </w:tc>
        <w:tc>
          <w:tcPr>
            <w:tcW w:w="533"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渭热电厂</w:t>
            </w:r>
          </w:p>
        </w:tc>
        <w:tc>
          <w:tcPr>
            <w:tcW w:w="2901"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2ｘLGJQ-400/35（1#-4#）+2ｘLGJQ-400（4#-36#）+2ｘLGJ-300/40（36#-41#）+4ｘLGJ-300/40（51#-65#）+2ｘLGJ-300/40   （65#-73#）+2ｘLGJQ-400/35（73#-77#）</w:t>
            </w:r>
          </w:p>
        </w:tc>
        <w:tc>
          <w:tcPr>
            <w:tcW w:w="868"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24.804</w:t>
            </w:r>
          </w:p>
        </w:tc>
        <w:tc>
          <w:tcPr>
            <w:tcW w:w="794"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330</w:t>
            </w:r>
          </w:p>
        </w:tc>
        <w:tc>
          <w:tcPr>
            <w:tcW w:w="1444"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#1-#77（全线）</w:t>
            </w:r>
          </w:p>
        </w:tc>
      </w:tr>
      <w:tr>
        <w:tblPrEx>
          <w:tblCellMar>
            <w:top w:w="0" w:type="dxa"/>
            <w:left w:w="108" w:type="dxa"/>
            <w:bottom w:w="0" w:type="dxa"/>
            <w:right w:w="108" w:type="dxa"/>
          </w:tblCellMar>
        </w:tblPrEx>
        <w:trPr>
          <w:trHeight w:val="1600" w:hRule="atLeast"/>
        </w:trPr>
        <w:tc>
          <w:tcPr>
            <w:tcW w:w="440"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w:t>
            </w:r>
          </w:p>
        </w:tc>
        <w:tc>
          <w:tcPr>
            <w:tcW w:w="1154" w:type="dxa"/>
            <w:tcBorders>
              <w:top w:val="single" w:color="auto" w:sz="4" w:space="0"/>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3962热沣II线</w:t>
            </w:r>
          </w:p>
        </w:tc>
        <w:tc>
          <w:tcPr>
            <w:tcW w:w="582" w:type="dxa"/>
            <w:tcBorders>
              <w:top w:val="single" w:color="auto" w:sz="4" w:space="0"/>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沣河变</w:t>
            </w:r>
          </w:p>
        </w:tc>
        <w:tc>
          <w:tcPr>
            <w:tcW w:w="533" w:type="dxa"/>
            <w:tcBorders>
              <w:top w:val="single" w:color="auto" w:sz="4" w:space="0"/>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渭热电厂</w:t>
            </w:r>
          </w:p>
        </w:tc>
        <w:tc>
          <w:tcPr>
            <w:tcW w:w="2901" w:type="dxa"/>
            <w:tcBorders>
              <w:top w:val="single" w:color="auto" w:sz="4" w:space="0"/>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2ｘLGJQ-400/35（1#-4#）+2ｘLGJQ-400（4#-35#）+2ｘLGJ-300/40（35#-40#）+4ｘLGJ-300/40（50#-64#）+2ｘLGJ-300/40（64#-72#）+2ｘLGJQ-400/35（72#-76#）</w:t>
            </w:r>
          </w:p>
        </w:tc>
        <w:tc>
          <w:tcPr>
            <w:tcW w:w="868" w:type="dxa"/>
            <w:tcBorders>
              <w:top w:val="single" w:color="auto" w:sz="4" w:space="0"/>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24.624</w:t>
            </w:r>
          </w:p>
        </w:tc>
        <w:tc>
          <w:tcPr>
            <w:tcW w:w="794" w:type="dxa"/>
            <w:tcBorders>
              <w:top w:val="single" w:color="auto" w:sz="4" w:space="0"/>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330</w:t>
            </w:r>
          </w:p>
        </w:tc>
        <w:tc>
          <w:tcPr>
            <w:tcW w:w="1444" w:type="dxa"/>
            <w:tcBorders>
              <w:top w:val="single" w:color="auto" w:sz="4" w:space="0"/>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#1-#76（全线）</w:t>
            </w:r>
          </w:p>
        </w:tc>
      </w:tr>
      <w:tr>
        <w:tblPrEx>
          <w:tblCellMar>
            <w:top w:w="0" w:type="dxa"/>
            <w:left w:w="108" w:type="dxa"/>
            <w:bottom w:w="0" w:type="dxa"/>
            <w:right w:w="108" w:type="dxa"/>
          </w:tblCellMar>
        </w:tblPrEx>
        <w:trPr>
          <w:trHeight w:val="805" w:hRule="atLeast"/>
        </w:trPr>
        <w:tc>
          <w:tcPr>
            <w:tcW w:w="440" w:type="dxa"/>
            <w:tcBorders>
              <w:top w:val="nil"/>
              <w:left w:val="single" w:color="auto" w:sz="4" w:space="0"/>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w:t>
            </w:r>
          </w:p>
        </w:tc>
        <w:tc>
          <w:tcPr>
            <w:tcW w:w="1154"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3S1733谷沣I线</w:t>
            </w:r>
          </w:p>
        </w:tc>
        <w:tc>
          <w:tcPr>
            <w:tcW w:w="582"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沣河变</w:t>
            </w:r>
          </w:p>
        </w:tc>
        <w:tc>
          <w:tcPr>
            <w:tcW w:w="533"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云谷变</w:t>
            </w:r>
          </w:p>
        </w:tc>
        <w:tc>
          <w:tcPr>
            <w:tcW w:w="2901"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4ｘJL/G1A-400/35（1#-20#）+2ｘJL/G1A-300/40（20#-27#）</w:t>
            </w:r>
          </w:p>
        </w:tc>
        <w:tc>
          <w:tcPr>
            <w:tcW w:w="868"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 xml:space="preserve">7.284 </w:t>
            </w:r>
          </w:p>
        </w:tc>
        <w:tc>
          <w:tcPr>
            <w:tcW w:w="794"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330</w:t>
            </w:r>
          </w:p>
        </w:tc>
        <w:tc>
          <w:tcPr>
            <w:tcW w:w="1444"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#1-#27（全线）</w:t>
            </w:r>
          </w:p>
        </w:tc>
      </w:tr>
      <w:tr>
        <w:tblPrEx>
          <w:tblCellMar>
            <w:top w:w="0" w:type="dxa"/>
            <w:left w:w="108" w:type="dxa"/>
            <w:bottom w:w="0" w:type="dxa"/>
            <w:right w:w="108" w:type="dxa"/>
          </w:tblCellMar>
        </w:tblPrEx>
        <w:trPr>
          <w:trHeight w:val="995" w:hRule="atLeast"/>
        </w:trPr>
        <w:tc>
          <w:tcPr>
            <w:tcW w:w="440" w:type="dxa"/>
            <w:tcBorders>
              <w:top w:val="nil"/>
              <w:left w:val="single" w:color="auto" w:sz="4" w:space="0"/>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4</w:t>
            </w:r>
          </w:p>
        </w:tc>
        <w:tc>
          <w:tcPr>
            <w:tcW w:w="1154"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3S1734谷沣II线</w:t>
            </w:r>
          </w:p>
        </w:tc>
        <w:tc>
          <w:tcPr>
            <w:tcW w:w="582"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沣河变</w:t>
            </w:r>
          </w:p>
        </w:tc>
        <w:tc>
          <w:tcPr>
            <w:tcW w:w="533"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云谷变</w:t>
            </w:r>
          </w:p>
        </w:tc>
        <w:tc>
          <w:tcPr>
            <w:tcW w:w="2901"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4ｘJL/G1A-400/35（1#-20#）+2ｘJL/G1A-300/40（20#-25#）</w:t>
            </w:r>
          </w:p>
        </w:tc>
        <w:tc>
          <w:tcPr>
            <w:tcW w:w="868"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 xml:space="preserve">6.952 </w:t>
            </w:r>
          </w:p>
        </w:tc>
        <w:tc>
          <w:tcPr>
            <w:tcW w:w="794"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330</w:t>
            </w:r>
          </w:p>
        </w:tc>
        <w:tc>
          <w:tcPr>
            <w:tcW w:w="1444"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#1-#25（全线）</w:t>
            </w:r>
          </w:p>
        </w:tc>
      </w:tr>
      <w:tr>
        <w:tblPrEx>
          <w:tblCellMar>
            <w:top w:w="0" w:type="dxa"/>
            <w:left w:w="108" w:type="dxa"/>
            <w:bottom w:w="0" w:type="dxa"/>
            <w:right w:w="108" w:type="dxa"/>
          </w:tblCellMar>
        </w:tblPrEx>
        <w:trPr>
          <w:trHeight w:val="1294" w:hRule="atLeast"/>
        </w:trPr>
        <w:tc>
          <w:tcPr>
            <w:tcW w:w="440" w:type="dxa"/>
            <w:tcBorders>
              <w:top w:val="nil"/>
              <w:left w:val="single" w:color="auto" w:sz="4" w:space="0"/>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5</w:t>
            </w:r>
          </w:p>
        </w:tc>
        <w:tc>
          <w:tcPr>
            <w:tcW w:w="1154"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3057沣草I线</w:t>
            </w:r>
          </w:p>
        </w:tc>
        <w:tc>
          <w:tcPr>
            <w:tcW w:w="582"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沣河变</w:t>
            </w:r>
          </w:p>
        </w:tc>
        <w:tc>
          <w:tcPr>
            <w:tcW w:w="533"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草滩变</w:t>
            </w:r>
          </w:p>
        </w:tc>
        <w:tc>
          <w:tcPr>
            <w:tcW w:w="2901"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2×LIGQ-400（1#-3#）+2×LGJ-300/40 （3#-4#）+2×JL/G1A-330/40（4#-13#）+2ｘLGJ-300/40（13#-44#）</w:t>
            </w:r>
          </w:p>
        </w:tc>
        <w:tc>
          <w:tcPr>
            <w:tcW w:w="868"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17.459</w:t>
            </w:r>
          </w:p>
        </w:tc>
        <w:tc>
          <w:tcPr>
            <w:tcW w:w="794"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330</w:t>
            </w:r>
          </w:p>
        </w:tc>
        <w:tc>
          <w:tcPr>
            <w:tcW w:w="1444"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#1-#43（全线）</w:t>
            </w:r>
          </w:p>
        </w:tc>
      </w:tr>
      <w:tr>
        <w:tblPrEx>
          <w:tblCellMar>
            <w:top w:w="0" w:type="dxa"/>
            <w:left w:w="108" w:type="dxa"/>
            <w:bottom w:w="0" w:type="dxa"/>
            <w:right w:w="108" w:type="dxa"/>
          </w:tblCellMar>
        </w:tblPrEx>
        <w:trPr>
          <w:trHeight w:val="1240" w:hRule="atLeast"/>
        </w:trPr>
        <w:tc>
          <w:tcPr>
            <w:tcW w:w="440" w:type="dxa"/>
            <w:tcBorders>
              <w:top w:val="nil"/>
              <w:left w:val="single" w:color="auto" w:sz="4" w:space="0"/>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6</w:t>
            </w:r>
          </w:p>
        </w:tc>
        <w:tc>
          <w:tcPr>
            <w:tcW w:w="1154"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30518沣草II线</w:t>
            </w:r>
          </w:p>
        </w:tc>
        <w:tc>
          <w:tcPr>
            <w:tcW w:w="582"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沣河变</w:t>
            </w:r>
          </w:p>
        </w:tc>
        <w:tc>
          <w:tcPr>
            <w:tcW w:w="533"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草滩变</w:t>
            </w:r>
          </w:p>
        </w:tc>
        <w:tc>
          <w:tcPr>
            <w:tcW w:w="2901"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2×LIGQ-400（1#-3#）+2×LGJ-300/40 （3#-4#）+2×JL/G1A-330/40（4#-13#）+2ｘLGJ-300/40（13#-44#）</w:t>
            </w:r>
          </w:p>
        </w:tc>
        <w:tc>
          <w:tcPr>
            <w:tcW w:w="868"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17.621</w:t>
            </w:r>
          </w:p>
        </w:tc>
        <w:tc>
          <w:tcPr>
            <w:tcW w:w="794"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330</w:t>
            </w:r>
          </w:p>
        </w:tc>
        <w:tc>
          <w:tcPr>
            <w:tcW w:w="1444"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#1-#44（全线）</w:t>
            </w:r>
          </w:p>
        </w:tc>
      </w:tr>
      <w:tr>
        <w:tblPrEx>
          <w:tblCellMar>
            <w:top w:w="0" w:type="dxa"/>
            <w:left w:w="108" w:type="dxa"/>
            <w:bottom w:w="0" w:type="dxa"/>
            <w:right w:w="108" w:type="dxa"/>
          </w:tblCellMar>
        </w:tblPrEx>
        <w:trPr>
          <w:trHeight w:val="828" w:hRule="atLeast"/>
        </w:trPr>
        <w:tc>
          <w:tcPr>
            <w:tcW w:w="440" w:type="dxa"/>
            <w:tcBorders>
              <w:top w:val="nil"/>
              <w:left w:val="single" w:color="auto" w:sz="4" w:space="0"/>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7</w:t>
            </w:r>
          </w:p>
        </w:tc>
        <w:tc>
          <w:tcPr>
            <w:tcW w:w="1154"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3865庄谷I线</w:t>
            </w:r>
          </w:p>
        </w:tc>
        <w:tc>
          <w:tcPr>
            <w:tcW w:w="582"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庄头变</w:t>
            </w:r>
          </w:p>
        </w:tc>
        <w:tc>
          <w:tcPr>
            <w:tcW w:w="533"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云谷变</w:t>
            </w:r>
          </w:p>
        </w:tc>
        <w:tc>
          <w:tcPr>
            <w:tcW w:w="2901"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4ｘLGJ-300/40（68#-75#）</w:t>
            </w:r>
          </w:p>
        </w:tc>
        <w:tc>
          <w:tcPr>
            <w:tcW w:w="868"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1.69</w:t>
            </w:r>
          </w:p>
        </w:tc>
        <w:tc>
          <w:tcPr>
            <w:tcW w:w="794"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330</w:t>
            </w:r>
          </w:p>
        </w:tc>
        <w:tc>
          <w:tcPr>
            <w:tcW w:w="1444"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#68-#75（全线1-75#，23.092公里）</w:t>
            </w:r>
          </w:p>
        </w:tc>
      </w:tr>
      <w:tr>
        <w:tblPrEx>
          <w:tblCellMar>
            <w:top w:w="0" w:type="dxa"/>
            <w:left w:w="108" w:type="dxa"/>
            <w:bottom w:w="0" w:type="dxa"/>
            <w:right w:w="108" w:type="dxa"/>
          </w:tblCellMar>
        </w:tblPrEx>
        <w:trPr>
          <w:trHeight w:val="805" w:hRule="atLeast"/>
        </w:trPr>
        <w:tc>
          <w:tcPr>
            <w:tcW w:w="440" w:type="dxa"/>
            <w:tcBorders>
              <w:top w:val="nil"/>
              <w:left w:val="single" w:color="auto" w:sz="4" w:space="0"/>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8</w:t>
            </w:r>
          </w:p>
        </w:tc>
        <w:tc>
          <w:tcPr>
            <w:tcW w:w="1154"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31022庄谷II线</w:t>
            </w:r>
          </w:p>
        </w:tc>
        <w:tc>
          <w:tcPr>
            <w:tcW w:w="582"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庄头变</w:t>
            </w:r>
          </w:p>
        </w:tc>
        <w:tc>
          <w:tcPr>
            <w:tcW w:w="533"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云谷变</w:t>
            </w:r>
          </w:p>
        </w:tc>
        <w:tc>
          <w:tcPr>
            <w:tcW w:w="2901"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4ｘLGJ-300/40（70#-78#）</w:t>
            </w:r>
          </w:p>
        </w:tc>
        <w:tc>
          <w:tcPr>
            <w:tcW w:w="868"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1.69</w:t>
            </w:r>
          </w:p>
        </w:tc>
        <w:tc>
          <w:tcPr>
            <w:tcW w:w="794"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330</w:t>
            </w:r>
          </w:p>
        </w:tc>
        <w:tc>
          <w:tcPr>
            <w:tcW w:w="1444"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#70-#78（全线1-78#，23.265公里）</w:t>
            </w:r>
          </w:p>
        </w:tc>
      </w:tr>
      <w:tr>
        <w:tblPrEx>
          <w:tblCellMar>
            <w:top w:w="0" w:type="dxa"/>
            <w:left w:w="108" w:type="dxa"/>
            <w:bottom w:w="0" w:type="dxa"/>
            <w:right w:w="108" w:type="dxa"/>
          </w:tblCellMar>
        </w:tblPrEx>
        <w:trPr>
          <w:trHeight w:val="805" w:hRule="atLeast"/>
        </w:trPr>
        <w:tc>
          <w:tcPr>
            <w:tcW w:w="440" w:type="dxa"/>
            <w:tcBorders>
              <w:top w:val="nil"/>
              <w:left w:val="single" w:color="auto" w:sz="4" w:space="0"/>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9</w:t>
            </w:r>
          </w:p>
        </w:tc>
        <w:tc>
          <w:tcPr>
            <w:tcW w:w="1154"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3357</w:t>
            </w:r>
          </w:p>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乾谷I线</w:t>
            </w:r>
          </w:p>
        </w:tc>
        <w:tc>
          <w:tcPr>
            <w:tcW w:w="582"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乾县变</w:t>
            </w:r>
          </w:p>
        </w:tc>
        <w:tc>
          <w:tcPr>
            <w:tcW w:w="533"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云谷变</w:t>
            </w:r>
          </w:p>
        </w:tc>
        <w:tc>
          <w:tcPr>
            <w:tcW w:w="2901"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4×JL1/LHA1-210/220（132#-173#）</w:t>
            </w:r>
          </w:p>
        </w:tc>
        <w:tc>
          <w:tcPr>
            <w:tcW w:w="868"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12.906</w:t>
            </w:r>
          </w:p>
        </w:tc>
        <w:tc>
          <w:tcPr>
            <w:tcW w:w="794"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330</w:t>
            </w:r>
          </w:p>
        </w:tc>
        <w:tc>
          <w:tcPr>
            <w:tcW w:w="1444"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132-173#</w:t>
            </w:r>
          </w:p>
        </w:tc>
      </w:tr>
      <w:tr>
        <w:tblPrEx>
          <w:tblCellMar>
            <w:top w:w="0" w:type="dxa"/>
            <w:left w:w="108" w:type="dxa"/>
            <w:bottom w:w="0" w:type="dxa"/>
            <w:right w:w="108" w:type="dxa"/>
          </w:tblCellMar>
        </w:tblPrEx>
        <w:trPr>
          <w:trHeight w:val="813" w:hRule="atLeast"/>
        </w:trPr>
        <w:tc>
          <w:tcPr>
            <w:tcW w:w="440" w:type="dxa"/>
            <w:tcBorders>
              <w:top w:val="nil"/>
              <w:left w:val="single" w:color="auto" w:sz="4" w:space="0"/>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10</w:t>
            </w:r>
          </w:p>
        </w:tc>
        <w:tc>
          <w:tcPr>
            <w:tcW w:w="1154"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3358</w:t>
            </w:r>
          </w:p>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乾谷II线</w:t>
            </w:r>
          </w:p>
        </w:tc>
        <w:tc>
          <w:tcPr>
            <w:tcW w:w="582"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乾县变</w:t>
            </w:r>
          </w:p>
        </w:tc>
        <w:tc>
          <w:tcPr>
            <w:tcW w:w="533"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云谷变</w:t>
            </w:r>
          </w:p>
        </w:tc>
        <w:tc>
          <w:tcPr>
            <w:tcW w:w="2901"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4×JL1/LHA1-210/220（132#-173#）</w:t>
            </w:r>
          </w:p>
        </w:tc>
        <w:tc>
          <w:tcPr>
            <w:tcW w:w="868"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12.906</w:t>
            </w:r>
          </w:p>
        </w:tc>
        <w:tc>
          <w:tcPr>
            <w:tcW w:w="794"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330</w:t>
            </w:r>
          </w:p>
        </w:tc>
        <w:tc>
          <w:tcPr>
            <w:tcW w:w="1444" w:type="dxa"/>
            <w:tcBorders>
              <w:top w:val="nil"/>
              <w:left w:val="nil"/>
              <w:bottom w:val="single" w:color="auto" w:sz="4" w:space="0"/>
              <w:right w:val="single" w:color="auto" w:sz="4" w:space="0"/>
            </w:tcBorders>
            <w:shd w:val="clear" w:color="auto" w:fill="auto"/>
            <w:vAlign w:val="center"/>
          </w:tcPr>
          <w:p>
            <w:pPr>
              <w:adjustRightInd w:val="0"/>
              <w:snapToGrid w:val="0"/>
              <w:spacing w:line="240" w:lineRule="auto"/>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132-173#</w:t>
            </w:r>
          </w:p>
        </w:tc>
      </w:tr>
    </w:tbl>
    <w:p>
      <w:pPr>
        <w:pStyle w:val="5"/>
        <w:keepNext/>
        <w:keepLines/>
        <w:pageBreakBefore w:val="0"/>
        <w:widowControl w:val="0"/>
        <w:numPr>
          <w:ilvl w:val="1"/>
          <w:numId w:val="0"/>
        </w:numPr>
        <w:kinsoku/>
        <w:wordWrap/>
        <w:overflowPunct/>
        <w:topLinePunct w:val="0"/>
        <w:autoSpaceDE/>
        <w:autoSpaceDN/>
        <w:bidi w:val="0"/>
        <w:adjustRightInd/>
        <w:snapToGrid/>
        <w:spacing w:before="157" w:beforeLines="50" w:after="157" w:afterLines="50" w:line="560" w:lineRule="exact"/>
        <w:ind w:leftChars="0"/>
        <w:textAlignment w:val="auto"/>
        <w:rPr>
          <w:rFonts w:hint="eastAsia" w:ascii="仿宋" w:hAnsi="仿宋" w:eastAsia="仿宋" w:cs="仿宋"/>
          <w:b/>
          <w:bCs/>
          <w:sz w:val="32"/>
          <w:szCs w:val="32"/>
          <w:lang w:val="en-US" w:eastAsia="zh-CN"/>
        </w:rPr>
      </w:pPr>
      <w:bookmarkStart w:id="135" w:name="_Toc59973891"/>
      <w:bookmarkStart w:id="136" w:name="_Toc74041154"/>
      <w:r>
        <w:rPr>
          <w:rFonts w:hint="eastAsia" w:ascii="仿宋" w:hAnsi="仿宋" w:eastAsia="仿宋" w:cs="仿宋"/>
          <w:b/>
          <w:bCs/>
          <w:sz w:val="32"/>
          <w:szCs w:val="32"/>
          <w:lang w:val="en-US" w:eastAsia="zh-CN"/>
        </w:rPr>
        <w:t>3.3.2  电网结构</w:t>
      </w:r>
      <w:bookmarkEnd w:id="134"/>
      <w:bookmarkEnd w:id="135"/>
      <w:bookmarkEnd w:id="136"/>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西咸新区330千伏电网结构以双环网结构为主，同时存在少量双辐射结构。</w:t>
      </w:r>
    </w:p>
    <w:p>
      <w:pPr>
        <w:pStyle w:val="154"/>
        <w:rPr>
          <w:rFonts w:eastAsia="仿宋" w:cs="Times New Roman"/>
        </w:rPr>
      </w:pPr>
      <w:r>
        <w:rPr>
          <w:rFonts w:eastAsia="仿宋" w:cs="Times New Roman"/>
        </w:rPr>
        <w:drawing>
          <wp:inline distT="0" distB="0" distL="0" distR="0">
            <wp:extent cx="4123690" cy="2968625"/>
            <wp:effectExtent l="0" t="0" r="10160" b="3175"/>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77"/>
                    <pic:cNvPicPr>
                      <a:picLocks noChangeAspect="1"/>
                    </pic:cNvPicPr>
                  </pic:nvPicPr>
                  <pic:blipFill>
                    <a:blip r:embed="rId12"/>
                    <a:srcRect t="1386" b="6690"/>
                    <a:stretch>
                      <a:fillRect/>
                    </a:stretch>
                  </pic:blipFill>
                  <pic:spPr>
                    <a:xfrm>
                      <a:off x="0" y="0"/>
                      <a:ext cx="4129863" cy="2968625"/>
                    </a:xfrm>
                    <a:prstGeom prst="rect">
                      <a:avLst/>
                    </a:prstGeom>
                    <a:ln>
                      <a:noFill/>
                    </a:ln>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图3-2  2020年西咸新区330千伏电网结构图</w:t>
      </w:r>
    </w:p>
    <w:p>
      <w:pPr>
        <w:pStyle w:val="5"/>
        <w:keepNext/>
        <w:keepLines/>
        <w:pageBreakBefore w:val="0"/>
        <w:widowControl w:val="0"/>
        <w:numPr>
          <w:ilvl w:val="1"/>
          <w:numId w:val="0"/>
        </w:numPr>
        <w:kinsoku/>
        <w:wordWrap/>
        <w:overflowPunct/>
        <w:topLinePunct w:val="0"/>
        <w:autoSpaceDE/>
        <w:autoSpaceDN/>
        <w:bidi w:val="0"/>
        <w:adjustRightInd/>
        <w:snapToGrid/>
        <w:spacing w:before="157" w:beforeLines="50" w:after="157" w:afterLines="50" w:line="560" w:lineRule="exact"/>
        <w:ind w:leftChars="0"/>
        <w:textAlignment w:val="auto"/>
        <w:rPr>
          <w:rFonts w:hint="eastAsia" w:ascii="仿宋" w:hAnsi="仿宋" w:eastAsia="仿宋" w:cs="仿宋"/>
          <w:b/>
          <w:bCs/>
          <w:sz w:val="32"/>
          <w:szCs w:val="32"/>
          <w:lang w:val="en-US" w:eastAsia="zh-CN"/>
        </w:rPr>
      </w:pPr>
      <w:bookmarkStart w:id="137" w:name="_Toc74041155"/>
      <w:bookmarkStart w:id="138" w:name="_Toc59973892"/>
      <w:r>
        <w:rPr>
          <w:rFonts w:hint="eastAsia" w:ascii="仿宋" w:hAnsi="仿宋" w:eastAsia="仿宋" w:cs="仿宋"/>
          <w:b/>
          <w:bCs/>
          <w:sz w:val="32"/>
          <w:szCs w:val="32"/>
          <w:lang w:val="en-US" w:eastAsia="zh-CN"/>
        </w:rPr>
        <w:t>3.3.3  供电能力</w:t>
      </w:r>
      <w:bookmarkEnd w:id="137"/>
      <w:bookmarkEnd w:id="138"/>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截至2020年底，西咸新区电网共有330千伏变电站3座，主变8台，变电容量2520兆伏安。330千伏变电站有0站0变负载率超过100%，1站3变负载率在70%-100%，2站6变负载率在50%-70%，沣河、云谷两座变电站不满足N-1校核。</w:t>
      </w:r>
    </w:p>
    <w:p>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表3-4  地区最大负荷日（2020-12-14）变电站最大负荷统计</w:t>
      </w:r>
    </w:p>
    <w:tbl>
      <w:tblPr>
        <w:tblStyle w:val="88"/>
        <w:tblW w:w="8576" w:type="dxa"/>
        <w:jc w:val="center"/>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Layout w:type="fixed"/>
        <w:tblCellMar>
          <w:top w:w="0" w:type="dxa"/>
          <w:left w:w="108" w:type="dxa"/>
          <w:bottom w:w="0" w:type="dxa"/>
          <w:right w:w="108" w:type="dxa"/>
        </w:tblCellMar>
      </w:tblPr>
      <w:tblGrid>
        <w:gridCol w:w="727"/>
        <w:gridCol w:w="864"/>
        <w:gridCol w:w="1148"/>
        <w:gridCol w:w="1666"/>
        <w:gridCol w:w="1510"/>
        <w:gridCol w:w="1538"/>
        <w:gridCol w:w="1123"/>
      </w:tblGrid>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517" w:hRule="atLeast"/>
          <w:jc w:val="center"/>
        </w:trPr>
        <w:tc>
          <w:tcPr>
            <w:tcW w:w="727" w:type="dxa"/>
            <w:vAlign w:val="center"/>
          </w:tcPr>
          <w:p>
            <w:pPr>
              <w:adjustRightInd w:val="0"/>
              <w:snapToGrid w:val="0"/>
              <w:spacing w:line="240" w:lineRule="auto"/>
              <w:jc w:val="center"/>
              <w:rPr>
                <w:rFonts w:hint="eastAsia" w:ascii="方正仿宋_GB2312" w:hAnsi="方正仿宋_GB2312" w:eastAsia="方正仿宋_GB2312" w:cs="方正仿宋_GB2312"/>
                <w:b/>
                <w:bCs/>
                <w:kern w:val="0"/>
                <w:sz w:val="21"/>
                <w:szCs w:val="21"/>
              </w:rPr>
            </w:pPr>
            <w:bookmarkStart w:id="139" w:name="_Toc74041156"/>
            <w:r>
              <w:rPr>
                <w:rFonts w:hint="eastAsia" w:ascii="方正仿宋_GB2312" w:hAnsi="方正仿宋_GB2312" w:eastAsia="方正仿宋_GB2312" w:cs="方正仿宋_GB2312"/>
                <w:b/>
                <w:bCs/>
                <w:kern w:val="0"/>
                <w:sz w:val="21"/>
                <w:szCs w:val="21"/>
              </w:rPr>
              <mc:AlternateContent>
                <mc:Choice Requires="wps">
                  <w:drawing>
                    <wp:anchor distT="0" distB="0" distL="114300" distR="114300" simplePos="0" relativeHeight="251666432" behindDoc="0" locked="0" layoutInCell="1" hidden="1" allowOverlap="1">
                      <wp:simplePos x="0" y="0"/>
                      <wp:positionH relativeFrom="column">
                        <wp:posOffset>0</wp:posOffset>
                      </wp:positionH>
                      <wp:positionV relativeFrom="paragraph">
                        <wp:posOffset>0</wp:posOffset>
                      </wp:positionV>
                      <wp:extent cx="685800" cy="180975"/>
                      <wp:effectExtent l="0" t="0" r="0" b="0"/>
                      <wp:wrapNone/>
                      <wp:docPr id="180" name="矩形 180" hidden="1"/>
                      <wp:cNvGraphicFramePr/>
                      <a:graphic xmlns:a="http://schemas.openxmlformats.org/drawingml/2006/main">
                        <a:graphicData uri="http://schemas.microsoft.com/office/word/2010/wordprocessingShape">
                          <wps:wsp>
                            <wps:cNvSpPr/>
                            <wps:spPr>
                              <a:xfrm>
                                <a:off x="0" y="0"/>
                                <a:ext cx="685800" cy="180975"/>
                              </a:xfrm>
                              <a:prstGeom prst="rect">
                                <a:avLst/>
                              </a:prstGeom>
                              <a:noFill/>
                              <a:ln w="9525">
                                <a:noFill/>
                              </a:ln>
                              <a:effectLst/>
                            </wps:spPr>
                            <wps:txbx>
                              <w:txbxContent>
                                <w:p>
                                  <w:pPr>
                                    <w:jc w:val="center"/>
                                  </w:pPr>
                                </w:p>
                              </w:txbxContent>
                            </wps:txbx>
                            <wps:bodyPr upright="1"/>
                          </wps:wsp>
                        </a:graphicData>
                      </a:graphic>
                    </wp:anchor>
                  </w:drawing>
                </mc:Choice>
                <mc:Fallback>
                  <w:pict>
                    <v:rect id="_x0000_s1026" o:spid="_x0000_s1026" o:spt="1" style="position:absolute;left:0pt;margin-left:0pt;margin-top:0pt;height:14.25pt;width:54pt;visibility:hidden;z-index:251666432;mso-width-relative:page;mso-height-relative:page;" filled="f" stroked="f" coordsize="21600,21600" o:gfxdata="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gkEZ&#10;O9QAAAAEAQAADwAAAAAAAAABACAAAAAiAAAAZHJzL2Rvd25yZXYueG1sUEsBAhQAFAAAAAgAh07i&#10;QMcIPmy0AQAAZgMAAA4AAAAAAAAAAQAgAAAAIwEAAGRycy9lMm9Eb2MueG1sUEsFBgAAAAAGAAYA&#10;WQEAAEkFAAAAAA==&#10;">
                      <v:fill on="f" focussize="0,0"/>
                      <v:stroke on="f"/>
                      <v:imagedata o:title=""/>
                      <o:lock v:ext="edit" aspectratio="f"/>
                      <v:textbox>
                        <w:txbxContent>
                          <w:p>
                            <w:pPr>
                              <w:jc w:val="center"/>
                            </w:pPr>
                          </w:p>
                        </w:txbxContent>
                      </v:textbox>
                    </v:rect>
                  </w:pict>
                </mc:Fallback>
              </mc:AlternateContent>
            </w:r>
            <w:r>
              <w:rPr>
                <w:rFonts w:hint="eastAsia" w:ascii="方正仿宋_GB2312" w:hAnsi="方正仿宋_GB2312" w:eastAsia="方正仿宋_GB2312" w:cs="方正仿宋_GB2312"/>
                <w:b/>
                <w:bCs/>
                <w:kern w:val="0"/>
                <w:sz w:val="21"/>
                <w:szCs w:val="21"/>
              </w:rPr>
              <w:t>电压等级</w:t>
            </w:r>
          </w:p>
        </w:tc>
        <w:tc>
          <w:tcPr>
            <w:tcW w:w="864" w:type="dxa"/>
            <w:vAlign w:val="center"/>
          </w:tcPr>
          <w:p>
            <w:pPr>
              <w:adjustRightInd w:val="0"/>
              <w:snapToGrid w:val="0"/>
              <w:spacing w:line="240" w:lineRule="auto"/>
              <w:jc w:val="center"/>
              <w:rPr>
                <w:rFonts w:hint="eastAsia" w:ascii="方正仿宋_GB2312" w:hAnsi="方正仿宋_GB2312" w:eastAsia="方正仿宋_GB2312" w:cs="方正仿宋_GB2312"/>
                <w:b/>
                <w:bCs/>
                <w:kern w:val="0"/>
                <w:sz w:val="21"/>
                <w:szCs w:val="21"/>
              </w:rPr>
            </w:pPr>
            <w:r>
              <w:rPr>
                <w:rFonts w:hint="eastAsia" w:ascii="方正仿宋_GB2312" w:hAnsi="方正仿宋_GB2312" w:eastAsia="方正仿宋_GB2312" w:cs="方正仿宋_GB2312"/>
                <w:b/>
                <w:bCs/>
                <w:kern w:val="0"/>
                <w:sz w:val="21"/>
                <w:szCs w:val="21"/>
              </w:rPr>
              <w:t>变电</w:t>
            </w:r>
          </w:p>
          <w:p>
            <w:pPr>
              <w:adjustRightInd w:val="0"/>
              <w:snapToGrid w:val="0"/>
              <w:spacing w:line="240" w:lineRule="auto"/>
              <w:jc w:val="center"/>
              <w:rPr>
                <w:rFonts w:hint="eastAsia" w:ascii="方正仿宋_GB2312" w:hAnsi="方正仿宋_GB2312" w:eastAsia="方正仿宋_GB2312" w:cs="方正仿宋_GB2312"/>
                <w:b/>
                <w:bCs/>
                <w:kern w:val="0"/>
                <w:sz w:val="21"/>
                <w:szCs w:val="21"/>
              </w:rPr>
            </w:pPr>
            <w:r>
              <w:rPr>
                <w:rFonts w:hint="eastAsia" w:ascii="方正仿宋_GB2312" w:hAnsi="方正仿宋_GB2312" w:eastAsia="方正仿宋_GB2312" w:cs="方正仿宋_GB2312"/>
                <w:b/>
                <w:bCs/>
                <w:kern w:val="0"/>
                <w:sz w:val="21"/>
                <w:szCs w:val="21"/>
              </w:rPr>
              <w:t>站名</w:t>
            </w:r>
          </w:p>
        </w:tc>
        <w:tc>
          <w:tcPr>
            <w:tcW w:w="1148" w:type="dxa"/>
            <w:vAlign w:val="center"/>
          </w:tcPr>
          <w:p>
            <w:pPr>
              <w:adjustRightInd w:val="0"/>
              <w:snapToGrid w:val="0"/>
              <w:spacing w:line="240" w:lineRule="auto"/>
              <w:jc w:val="center"/>
              <w:rPr>
                <w:rFonts w:hint="eastAsia" w:ascii="方正仿宋_GB2312" w:hAnsi="方正仿宋_GB2312" w:eastAsia="方正仿宋_GB2312" w:cs="方正仿宋_GB2312"/>
                <w:b/>
                <w:bCs/>
                <w:kern w:val="0"/>
                <w:sz w:val="21"/>
                <w:szCs w:val="21"/>
              </w:rPr>
            </w:pPr>
            <w:r>
              <w:rPr>
                <w:rFonts w:hint="eastAsia" w:ascii="方正仿宋_GB2312" w:hAnsi="方正仿宋_GB2312" w:eastAsia="方正仿宋_GB2312" w:cs="方正仿宋_GB2312"/>
                <w:b/>
                <w:bCs/>
                <w:kern w:val="0"/>
                <w:sz w:val="21"/>
                <w:szCs w:val="21"/>
              </w:rPr>
              <w:t>变压器名</w:t>
            </w:r>
          </w:p>
        </w:tc>
        <w:tc>
          <w:tcPr>
            <w:tcW w:w="1666" w:type="dxa"/>
            <w:vAlign w:val="center"/>
          </w:tcPr>
          <w:p>
            <w:pPr>
              <w:adjustRightInd w:val="0"/>
              <w:snapToGrid w:val="0"/>
              <w:spacing w:line="240" w:lineRule="auto"/>
              <w:jc w:val="center"/>
              <w:rPr>
                <w:rFonts w:hint="eastAsia" w:ascii="方正仿宋_GB2312" w:hAnsi="方正仿宋_GB2312" w:eastAsia="方正仿宋_GB2312" w:cs="方正仿宋_GB2312"/>
                <w:b/>
                <w:bCs/>
                <w:kern w:val="0"/>
                <w:sz w:val="21"/>
                <w:szCs w:val="21"/>
              </w:rPr>
            </w:pPr>
            <w:r>
              <w:rPr>
                <w:rFonts w:hint="eastAsia" w:ascii="方正仿宋_GB2312" w:hAnsi="方正仿宋_GB2312" w:eastAsia="方正仿宋_GB2312" w:cs="方正仿宋_GB2312"/>
                <w:b/>
                <w:bCs/>
                <w:kern w:val="0"/>
                <w:sz w:val="21"/>
                <w:szCs w:val="21"/>
              </w:rPr>
              <w:t>主变容量(万千伏安)</w:t>
            </w:r>
          </w:p>
        </w:tc>
        <w:tc>
          <w:tcPr>
            <w:tcW w:w="1510" w:type="dxa"/>
            <w:vAlign w:val="center"/>
          </w:tcPr>
          <w:p>
            <w:pPr>
              <w:adjustRightInd w:val="0"/>
              <w:snapToGrid w:val="0"/>
              <w:spacing w:line="240" w:lineRule="auto"/>
              <w:jc w:val="center"/>
              <w:rPr>
                <w:rFonts w:hint="eastAsia" w:ascii="方正仿宋_GB2312" w:hAnsi="方正仿宋_GB2312" w:eastAsia="方正仿宋_GB2312" w:cs="方正仿宋_GB2312"/>
                <w:b/>
                <w:bCs/>
                <w:kern w:val="0"/>
                <w:sz w:val="21"/>
                <w:szCs w:val="21"/>
              </w:rPr>
            </w:pPr>
            <w:r>
              <w:rPr>
                <w:rFonts w:hint="eastAsia" w:ascii="方正仿宋_GB2312" w:hAnsi="方正仿宋_GB2312" w:eastAsia="方正仿宋_GB2312" w:cs="方正仿宋_GB2312"/>
                <w:b/>
                <w:bCs/>
                <w:kern w:val="0"/>
                <w:sz w:val="21"/>
                <w:szCs w:val="21"/>
              </w:rPr>
              <w:t>有功负荷(万千瓦)</w:t>
            </w:r>
          </w:p>
        </w:tc>
        <w:tc>
          <w:tcPr>
            <w:tcW w:w="1538" w:type="dxa"/>
            <w:vAlign w:val="center"/>
          </w:tcPr>
          <w:p>
            <w:pPr>
              <w:adjustRightInd w:val="0"/>
              <w:snapToGrid w:val="0"/>
              <w:spacing w:line="240" w:lineRule="auto"/>
              <w:jc w:val="center"/>
              <w:rPr>
                <w:rFonts w:hint="eastAsia" w:ascii="方正仿宋_GB2312" w:hAnsi="方正仿宋_GB2312" w:eastAsia="方正仿宋_GB2312" w:cs="方正仿宋_GB2312"/>
                <w:b/>
                <w:bCs/>
                <w:kern w:val="0"/>
                <w:sz w:val="21"/>
                <w:szCs w:val="21"/>
              </w:rPr>
            </w:pPr>
            <w:r>
              <w:rPr>
                <w:rFonts w:hint="eastAsia" w:ascii="方正仿宋_GB2312" w:hAnsi="方正仿宋_GB2312" w:eastAsia="方正仿宋_GB2312" w:cs="方正仿宋_GB2312"/>
                <w:b/>
                <w:bCs/>
                <w:kern w:val="0"/>
                <w:sz w:val="21"/>
                <w:szCs w:val="21"/>
              </w:rPr>
              <w:t>无功负荷(万千伐)</w:t>
            </w:r>
          </w:p>
        </w:tc>
        <w:tc>
          <w:tcPr>
            <w:tcW w:w="1123" w:type="dxa"/>
            <w:vAlign w:val="center"/>
          </w:tcPr>
          <w:p>
            <w:pPr>
              <w:adjustRightInd w:val="0"/>
              <w:snapToGrid w:val="0"/>
              <w:spacing w:line="240" w:lineRule="auto"/>
              <w:jc w:val="center"/>
              <w:rPr>
                <w:rFonts w:hint="eastAsia" w:ascii="方正仿宋_GB2312" w:hAnsi="方正仿宋_GB2312" w:eastAsia="方正仿宋_GB2312" w:cs="方正仿宋_GB2312"/>
                <w:b/>
                <w:bCs/>
                <w:kern w:val="0"/>
                <w:sz w:val="21"/>
                <w:szCs w:val="21"/>
              </w:rPr>
            </w:pPr>
            <w:r>
              <w:rPr>
                <w:rFonts w:hint="eastAsia" w:ascii="方正仿宋_GB2312" w:hAnsi="方正仿宋_GB2312" w:eastAsia="方正仿宋_GB2312" w:cs="方正仿宋_GB2312"/>
                <w:b/>
                <w:bCs/>
                <w:kern w:val="0"/>
                <w:sz w:val="21"/>
                <w:szCs w:val="21"/>
              </w:rPr>
              <w:t>负载率(%)</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285" w:hRule="atLeast"/>
          <w:jc w:val="center"/>
        </w:trPr>
        <w:tc>
          <w:tcPr>
            <w:tcW w:w="727" w:type="dxa"/>
            <w:vMerge w:val="restart"/>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330千伏</w:t>
            </w:r>
          </w:p>
        </w:tc>
        <w:tc>
          <w:tcPr>
            <w:tcW w:w="864" w:type="dxa"/>
            <w:vMerge w:val="restart"/>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沣河变</w:t>
            </w:r>
          </w:p>
        </w:tc>
        <w:tc>
          <w:tcPr>
            <w:tcW w:w="1148"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#1主变</w:t>
            </w:r>
          </w:p>
        </w:tc>
        <w:tc>
          <w:tcPr>
            <w:tcW w:w="1666"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24</w:t>
            </w:r>
          </w:p>
        </w:tc>
        <w:tc>
          <w:tcPr>
            <w:tcW w:w="1510"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17.69</w:t>
            </w:r>
          </w:p>
        </w:tc>
        <w:tc>
          <w:tcPr>
            <w:tcW w:w="1538"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1.18</w:t>
            </w:r>
          </w:p>
        </w:tc>
        <w:tc>
          <w:tcPr>
            <w:tcW w:w="1123"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73.71</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198" w:hRule="atLeast"/>
          <w:jc w:val="center"/>
        </w:trPr>
        <w:tc>
          <w:tcPr>
            <w:tcW w:w="727" w:type="dxa"/>
            <w:vMerge w:val="continue"/>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p>
        </w:tc>
        <w:tc>
          <w:tcPr>
            <w:tcW w:w="864" w:type="dxa"/>
            <w:vMerge w:val="continue"/>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p>
        </w:tc>
        <w:tc>
          <w:tcPr>
            <w:tcW w:w="1148"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#2主变</w:t>
            </w:r>
          </w:p>
        </w:tc>
        <w:tc>
          <w:tcPr>
            <w:tcW w:w="1666"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24</w:t>
            </w:r>
          </w:p>
        </w:tc>
        <w:tc>
          <w:tcPr>
            <w:tcW w:w="1510"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17.86</w:t>
            </w:r>
          </w:p>
        </w:tc>
        <w:tc>
          <w:tcPr>
            <w:tcW w:w="1538"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1.19</w:t>
            </w:r>
          </w:p>
        </w:tc>
        <w:tc>
          <w:tcPr>
            <w:tcW w:w="1123"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74.41</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167" w:hRule="atLeast"/>
          <w:jc w:val="center"/>
        </w:trPr>
        <w:tc>
          <w:tcPr>
            <w:tcW w:w="727" w:type="dxa"/>
            <w:vMerge w:val="continue"/>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p>
        </w:tc>
        <w:tc>
          <w:tcPr>
            <w:tcW w:w="864" w:type="dxa"/>
            <w:vMerge w:val="continue"/>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p>
        </w:tc>
        <w:tc>
          <w:tcPr>
            <w:tcW w:w="1148"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#3主变</w:t>
            </w:r>
          </w:p>
        </w:tc>
        <w:tc>
          <w:tcPr>
            <w:tcW w:w="1666"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24</w:t>
            </w:r>
          </w:p>
        </w:tc>
        <w:tc>
          <w:tcPr>
            <w:tcW w:w="1510"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17.23</w:t>
            </w:r>
          </w:p>
        </w:tc>
        <w:tc>
          <w:tcPr>
            <w:tcW w:w="1538"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1.15</w:t>
            </w:r>
          </w:p>
        </w:tc>
        <w:tc>
          <w:tcPr>
            <w:tcW w:w="1123"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71.79</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285" w:hRule="atLeast"/>
          <w:jc w:val="center"/>
        </w:trPr>
        <w:tc>
          <w:tcPr>
            <w:tcW w:w="727" w:type="dxa"/>
            <w:vMerge w:val="restart"/>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330千伏</w:t>
            </w:r>
          </w:p>
        </w:tc>
        <w:tc>
          <w:tcPr>
            <w:tcW w:w="864" w:type="dxa"/>
            <w:vMerge w:val="restart"/>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古渡变</w:t>
            </w:r>
          </w:p>
        </w:tc>
        <w:tc>
          <w:tcPr>
            <w:tcW w:w="1148"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#1主变</w:t>
            </w:r>
          </w:p>
        </w:tc>
        <w:tc>
          <w:tcPr>
            <w:tcW w:w="1666"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36</w:t>
            </w:r>
          </w:p>
        </w:tc>
        <w:tc>
          <w:tcPr>
            <w:tcW w:w="1510"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20.88</w:t>
            </w:r>
          </w:p>
        </w:tc>
        <w:tc>
          <w:tcPr>
            <w:tcW w:w="1538"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1.39</w:t>
            </w:r>
          </w:p>
        </w:tc>
        <w:tc>
          <w:tcPr>
            <w:tcW w:w="1123"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57.99</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198" w:hRule="atLeast"/>
          <w:jc w:val="center"/>
        </w:trPr>
        <w:tc>
          <w:tcPr>
            <w:tcW w:w="727" w:type="dxa"/>
            <w:vMerge w:val="continue"/>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p>
        </w:tc>
        <w:tc>
          <w:tcPr>
            <w:tcW w:w="864" w:type="dxa"/>
            <w:vMerge w:val="continue"/>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p>
        </w:tc>
        <w:tc>
          <w:tcPr>
            <w:tcW w:w="1148"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#2主变</w:t>
            </w:r>
          </w:p>
        </w:tc>
        <w:tc>
          <w:tcPr>
            <w:tcW w:w="1666" w:type="dxa"/>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36</w:t>
            </w:r>
          </w:p>
        </w:tc>
        <w:tc>
          <w:tcPr>
            <w:tcW w:w="1510"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20.89</w:t>
            </w:r>
          </w:p>
        </w:tc>
        <w:tc>
          <w:tcPr>
            <w:tcW w:w="1538"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1.39</w:t>
            </w:r>
          </w:p>
        </w:tc>
        <w:tc>
          <w:tcPr>
            <w:tcW w:w="1123"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58.04</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285" w:hRule="atLeast"/>
          <w:jc w:val="center"/>
        </w:trPr>
        <w:tc>
          <w:tcPr>
            <w:tcW w:w="727" w:type="dxa"/>
            <w:vMerge w:val="continue"/>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p>
        </w:tc>
        <w:tc>
          <w:tcPr>
            <w:tcW w:w="864" w:type="dxa"/>
            <w:vMerge w:val="continue"/>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p>
        </w:tc>
        <w:tc>
          <w:tcPr>
            <w:tcW w:w="1148"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#3主变</w:t>
            </w:r>
          </w:p>
        </w:tc>
        <w:tc>
          <w:tcPr>
            <w:tcW w:w="1666" w:type="dxa"/>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36</w:t>
            </w:r>
          </w:p>
        </w:tc>
        <w:tc>
          <w:tcPr>
            <w:tcW w:w="1510"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18.82</w:t>
            </w:r>
          </w:p>
        </w:tc>
        <w:tc>
          <w:tcPr>
            <w:tcW w:w="1538"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1.25</w:t>
            </w:r>
          </w:p>
        </w:tc>
        <w:tc>
          <w:tcPr>
            <w:tcW w:w="1123"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52.27</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285" w:hRule="atLeast"/>
          <w:jc w:val="center"/>
        </w:trPr>
        <w:tc>
          <w:tcPr>
            <w:tcW w:w="727" w:type="dxa"/>
            <w:vMerge w:val="restart"/>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330千伏</w:t>
            </w:r>
          </w:p>
        </w:tc>
        <w:tc>
          <w:tcPr>
            <w:tcW w:w="864" w:type="dxa"/>
            <w:vMerge w:val="restart"/>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云谷变</w:t>
            </w:r>
          </w:p>
        </w:tc>
        <w:tc>
          <w:tcPr>
            <w:tcW w:w="1148"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#2主变</w:t>
            </w:r>
          </w:p>
        </w:tc>
        <w:tc>
          <w:tcPr>
            <w:tcW w:w="1666" w:type="dxa"/>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36</w:t>
            </w:r>
          </w:p>
        </w:tc>
        <w:tc>
          <w:tcPr>
            <w:tcW w:w="1510"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18.83</w:t>
            </w:r>
          </w:p>
        </w:tc>
        <w:tc>
          <w:tcPr>
            <w:tcW w:w="1538"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1.26</w:t>
            </w:r>
          </w:p>
        </w:tc>
        <w:tc>
          <w:tcPr>
            <w:tcW w:w="1123"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52.31</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285" w:hRule="atLeast"/>
          <w:jc w:val="center"/>
        </w:trPr>
        <w:tc>
          <w:tcPr>
            <w:tcW w:w="727" w:type="dxa"/>
            <w:vMerge w:val="continue"/>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p>
        </w:tc>
        <w:tc>
          <w:tcPr>
            <w:tcW w:w="864" w:type="dxa"/>
            <w:vMerge w:val="continue"/>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p>
        </w:tc>
        <w:tc>
          <w:tcPr>
            <w:tcW w:w="1148"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#3主变</w:t>
            </w:r>
          </w:p>
        </w:tc>
        <w:tc>
          <w:tcPr>
            <w:tcW w:w="1666" w:type="dxa"/>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36</w:t>
            </w:r>
          </w:p>
        </w:tc>
        <w:tc>
          <w:tcPr>
            <w:tcW w:w="1510"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19.11</w:t>
            </w:r>
          </w:p>
        </w:tc>
        <w:tc>
          <w:tcPr>
            <w:tcW w:w="1538"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1.27</w:t>
            </w:r>
          </w:p>
        </w:tc>
        <w:tc>
          <w:tcPr>
            <w:tcW w:w="1123" w:type="dxa"/>
            <w:vAlign w:val="center"/>
          </w:tcPr>
          <w:p>
            <w:pPr>
              <w:adjustRightInd w:val="0"/>
              <w:snapToGrid w:val="0"/>
              <w:spacing w:line="240" w:lineRule="auto"/>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53.08</w:t>
            </w:r>
          </w:p>
        </w:tc>
      </w:tr>
    </w:tbl>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rPr>
      </w:pPr>
      <w:bookmarkStart w:id="140" w:name="_Toc25570"/>
      <w:r>
        <w:rPr>
          <w:rFonts w:hint="eastAsia" w:ascii="黑体" w:hAnsi="黑体" w:eastAsia="黑体" w:cs="黑体"/>
          <w:b w:val="0"/>
          <w:bCs w:val="0"/>
          <w:sz w:val="32"/>
          <w:szCs w:val="32"/>
        </w:rPr>
        <w:t>110千伏电网</w:t>
      </w:r>
      <w:bookmarkEnd w:id="121"/>
      <w:bookmarkEnd w:id="122"/>
      <w:bookmarkEnd w:id="123"/>
      <w:bookmarkEnd w:id="124"/>
      <w:bookmarkEnd w:id="125"/>
      <w:bookmarkEnd w:id="126"/>
      <w:bookmarkEnd w:id="127"/>
      <w:bookmarkEnd w:id="128"/>
      <w:r>
        <w:rPr>
          <w:rFonts w:hint="eastAsia" w:ascii="黑体" w:hAnsi="黑体" w:eastAsia="黑体" w:cs="黑体"/>
          <w:b w:val="0"/>
          <w:bCs w:val="0"/>
          <w:sz w:val="32"/>
          <w:szCs w:val="32"/>
        </w:rPr>
        <w:t>现状</w:t>
      </w:r>
      <w:bookmarkEnd w:id="139"/>
      <w:bookmarkEnd w:id="140"/>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141" w:name="_Toc74041157"/>
      <w:bookmarkStart w:id="142" w:name="_Toc59973894"/>
      <w:r>
        <w:rPr>
          <w:rFonts w:eastAsia="仿宋"/>
          <w:sz w:val="32"/>
          <w:szCs w:val="32"/>
        </w:rPr>
        <w:t>电网规模</w:t>
      </w:r>
      <w:bookmarkEnd w:id="141"/>
      <w:bookmarkEnd w:id="142"/>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1.变电情况。截止2020年底，西咸新区电网共有110千伏变电站共计40座，主变88台，变电容量3508兆伏安（国网西咸新区供电公司所属变电站24座，主变51台/2276.5兆伏安；地方电力所属变电站3座，主变6台/226兆伏安；用户变电站13座，主变31台/1005.5兆伏安）。</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截止2020年底，沣东新城110千伏变电站13座，变电容量合计1150兆伏安，其中公用变电站10座，变电容量1006兆伏安；用户变2座，变电容量144兆伏安。</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截止2020年底，沣西新城110千伏变电站8座，变电容量合计729兆伏安，其中公用变电站6座，变电容量合计563兆伏安；用户变2座，变电容量166兆伏安。</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截止2020年底，空港新城110千伏变电站4座，变电容量合计315兆伏安，其中公用变电站2座，变电容量140兆伏安；用户变2座，变电容量175兆伏安。</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截止2020年底，秦汉新城110千伏变电站9座，变电容量合计729兆伏安，其中公用变电站4座，变电容量344.5兆伏安；用户变5座，变电容量437.5兆伏安。</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截止2020年底，泾河新城110千伏变电站6座，变电容量合计472兆伏安，其中其中公用变电站5座，变电容量389兆伏安；用户变1座，变电容量83兆伏安。</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2.线路情况。截至2020年底，西咸新区电网共有110千伏线路96条，总长度723.648公里。</w:t>
      </w:r>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143" w:name="_Toc74041158"/>
      <w:bookmarkStart w:id="144" w:name="_Toc59973895"/>
      <w:bookmarkStart w:id="145" w:name="_Toc352610547"/>
      <w:r>
        <w:rPr>
          <w:rFonts w:eastAsia="仿宋"/>
          <w:sz w:val="32"/>
          <w:szCs w:val="32"/>
        </w:rPr>
        <w:t>电网结构</w:t>
      </w:r>
      <w:bookmarkEnd w:id="143"/>
      <w:bookmarkEnd w:id="144"/>
      <w:bookmarkEnd w:id="145"/>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西咸新区电网以110千伏电网为主网架，以沣河、古渡、河寨、池阳、草滩、云谷6座330千伏变电站为主要电源，分区、分片运行，各供电区之间通过110千伏变电站及联络线联系。110千伏网架结构主要以双链式、双辐射和单环网为主。</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2020年，西咸新区电网典型结构示意图如下。</w:t>
      </w:r>
    </w:p>
    <w:p>
      <w:pPr>
        <w:pStyle w:val="337"/>
        <w:ind w:firstLine="0" w:firstLineChars="0"/>
        <w:jc w:val="center"/>
        <w:rPr>
          <w:rFonts w:eastAsia="仿宋"/>
          <w:kern w:val="0"/>
          <w:szCs w:val="21"/>
        </w:rPr>
      </w:pPr>
      <w:r>
        <w:rPr>
          <w:rFonts w:eastAsia="仿宋"/>
          <w:sz w:val="24"/>
          <w:szCs w:val="24"/>
        </w:rPr>
        <w:drawing>
          <wp:inline distT="0" distB="0" distL="114300" distR="114300">
            <wp:extent cx="5761990" cy="2495550"/>
            <wp:effectExtent l="0" t="0" r="3810" b="6350"/>
            <wp:docPr id="181"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5" descr="IMG_256"/>
                    <pic:cNvPicPr>
                      <a:picLocks noChangeAspect="1"/>
                    </pic:cNvPicPr>
                  </pic:nvPicPr>
                  <pic:blipFill>
                    <a:blip r:embed="rId13"/>
                    <a:stretch>
                      <a:fillRect/>
                    </a:stretch>
                  </pic:blipFill>
                  <pic:spPr>
                    <a:xfrm>
                      <a:off x="0" y="0"/>
                      <a:ext cx="5761990" cy="2495550"/>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图3-3  2020年西咸新区电网典型结构</w:t>
      </w:r>
    </w:p>
    <w:p>
      <w:pPr>
        <w:pStyle w:val="150"/>
        <w:keepNext w:val="0"/>
        <w:keepLines w:val="0"/>
        <w:pageBreakBefore w:val="0"/>
        <w:widowControl w:val="0"/>
        <w:kinsoku/>
        <w:wordWrap/>
        <w:overflowPunct/>
        <w:topLinePunct w:val="0"/>
        <w:autoSpaceDE/>
        <w:autoSpaceDN/>
        <w:bidi w:val="0"/>
        <w:adjustRightInd w:val="0"/>
        <w:snapToGrid w:val="0"/>
        <w:spacing w:line="400" w:lineRule="exact"/>
        <w:ind w:left="0" w:leftChars="0" w:firstLine="0" w:firstLineChars="0"/>
        <w:jc w:val="center"/>
        <w:textAlignment w:val="auto"/>
        <w:rPr>
          <w:rFonts w:hint="eastAsia" w:cs="Times New Roman"/>
          <w:b/>
          <w:bCs/>
          <w:kern w:val="0"/>
          <w:sz w:val="22"/>
          <w:szCs w:val="22"/>
          <w:lang w:val="en-US" w:eastAsia="zh-CN" w:bidi="ar-SA"/>
        </w:rPr>
      </w:pP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可以看出，西咸电网由于缺少330千伏电源布点，110千伏网架梳理困难，存在T接、两个330千伏变电站间多处单环等接线方式。依靠目前的330千伏变电站布点，难以形成链式、双环、双辐射全覆盖的网架结构。</w:t>
      </w:r>
    </w:p>
    <w:p>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表3-5  2020年西咸新区110千伏电网结构情况表</w:t>
      </w:r>
    </w:p>
    <w:tbl>
      <w:tblPr>
        <w:tblStyle w:val="88"/>
        <w:tblW w:w="8475"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1389"/>
        <w:gridCol w:w="1152"/>
        <w:gridCol w:w="636"/>
        <w:gridCol w:w="864"/>
        <w:gridCol w:w="639"/>
        <w:gridCol w:w="1024"/>
        <w:gridCol w:w="1022"/>
        <w:gridCol w:w="876"/>
        <w:gridCol w:w="873"/>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389" w:type="dxa"/>
            <w:vMerge w:val="restart"/>
            <w:vAlign w:val="center"/>
          </w:tcPr>
          <w:p>
            <w:pPr>
              <w:autoSpaceDN w:val="0"/>
              <w:jc w:val="center"/>
              <w:textAlignment w:val="center"/>
              <w:rPr>
                <w:rFonts w:hint="eastAsia" w:ascii="方正楷体_GB2312" w:hAnsi="方正楷体_GB2312" w:eastAsia="方正楷体_GB2312" w:cs="方正楷体_GB2312"/>
                <w:sz w:val="21"/>
                <w:szCs w:val="21"/>
              </w:rPr>
            </w:pPr>
            <w:bookmarkStart w:id="146" w:name="_Toc74041159"/>
            <w:bookmarkStart w:id="147" w:name="_Toc59973896"/>
            <w:r>
              <w:rPr>
                <w:rFonts w:hint="eastAsia" w:ascii="方正楷体_GB2312" w:hAnsi="方正楷体_GB2312" w:eastAsia="方正楷体_GB2312" w:cs="方正楷体_GB2312"/>
                <w:sz w:val="21"/>
                <w:szCs w:val="21"/>
              </w:rPr>
              <w:t>供电区域</w:t>
            </w:r>
          </w:p>
        </w:tc>
        <w:tc>
          <w:tcPr>
            <w:tcW w:w="1152" w:type="dxa"/>
            <w:vMerge w:val="restart"/>
            <w:vAlign w:val="center"/>
          </w:tcPr>
          <w:p>
            <w:pPr>
              <w:autoSpaceDN w:val="0"/>
              <w:jc w:val="center"/>
              <w:textAlignment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z w:val="21"/>
                <w:szCs w:val="21"/>
              </w:rPr>
              <w:t>线路总条数（条）</w:t>
            </w:r>
          </w:p>
        </w:tc>
        <w:tc>
          <w:tcPr>
            <w:tcW w:w="2139" w:type="dxa"/>
            <w:gridSpan w:val="3"/>
            <w:vAlign w:val="center"/>
          </w:tcPr>
          <w:p>
            <w:pPr>
              <w:autoSpaceDN w:val="0"/>
              <w:jc w:val="center"/>
              <w:textAlignment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z w:val="21"/>
                <w:szCs w:val="21"/>
              </w:rPr>
              <w:t>链式（条）</w:t>
            </w:r>
          </w:p>
        </w:tc>
        <w:tc>
          <w:tcPr>
            <w:tcW w:w="2046" w:type="dxa"/>
            <w:gridSpan w:val="2"/>
            <w:vAlign w:val="center"/>
          </w:tcPr>
          <w:p>
            <w:pPr>
              <w:autoSpaceDN w:val="0"/>
              <w:jc w:val="center"/>
              <w:textAlignment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z w:val="21"/>
                <w:szCs w:val="21"/>
              </w:rPr>
              <w:t>环网（条）</w:t>
            </w:r>
          </w:p>
        </w:tc>
        <w:tc>
          <w:tcPr>
            <w:tcW w:w="1749" w:type="dxa"/>
            <w:gridSpan w:val="2"/>
            <w:vAlign w:val="center"/>
          </w:tcPr>
          <w:p>
            <w:pPr>
              <w:autoSpaceDN w:val="0"/>
              <w:jc w:val="center"/>
              <w:textAlignment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z w:val="21"/>
                <w:szCs w:val="21"/>
              </w:rPr>
              <w:t>辐射（条）</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26" w:hRule="atLeast"/>
          <w:jc w:val="center"/>
        </w:trPr>
        <w:tc>
          <w:tcPr>
            <w:tcW w:w="1389" w:type="dxa"/>
            <w:vMerge w:val="continue"/>
            <w:vAlign w:val="center"/>
          </w:tcPr>
          <w:p>
            <w:pPr>
              <w:autoSpaceDN w:val="0"/>
              <w:jc w:val="center"/>
              <w:textAlignment w:val="center"/>
              <w:rPr>
                <w:rFonts w:hint="eastAsia" w:ascii="方正楷体_GB2312" w:hAnsi="方正楷体_GB2312" w:eastAsia="方正楷体_GB2312" w:cs="方正楷体_GB2312"/>
                <w:sz w:val="21"/>
                <w:szCs w:val="21"/>
              </w:rPr>
            </w:pPr>
          </w:p>
        </w:tc>
        <w:tc>
          <w:tcPr>
            <w:tcW w:w="1152" w:type="dxa"/>
            <w:vMerge w:val="continue"/>
            <w:vAlign w:val="center"/>
          </w:tcPr>
          <w:p>
            <w:pPr>
              <w:autoSpaceDN w:val="0"/>
              <w:jc w:val="center"/>
              <w:textAlignment w:val="center"/>
              <w:rPr>
                <w:rFonts w:hint="eastAsia" w:ascii="方正楷体_GB2312" w:hAnsi="方正楷体_GB2312" w:eastAsia="方正楷体_GB2312" w:cs="方正楷体_GB2312"/>
                <w:sz w:val="21"/>
                <w:szCs w:val="21"/>
              </w:rPr>
            </w:pPr>
          </w:p>
        </w:tc>
        <w:tc>
          <w:tcPr>
            <w:tcW w:w="636" w:type="dxa"/>
            <w:vAlign w:val="center"/>
          </w:tcPr>
          <w:p>
            <w:pPr>
              <w:autoSpaceDN w:val="0"/>
              <w:jc w:val="center"/>
              <w:textAlignment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z w:val="21"/>
                <w:szCs w:val="21"/>
              </w:rPr>
              <w:t>三链</w:t>
            </w:r>
          </w:p>
        </w:tc>
        <w:tc>
          <w:tcPr>
            <w:tcW w:w="864" w:type="dxa"/>
            <w:vAlign w:val="center"/>
          </w:tcPr>
          <w:p>
            <w:pPr>
              <w:autoSpaceDN w:val="0"/>
              <w:jc w:val="center"/>
              <w:textAlignment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z w:val="21"/>
                <w:szCs w:val="21"/>
              </w:rPr>
              <w:t>双链</w:t>
            </w:r>
          </w:p>
        </w:tc>
        <w:tc>
          <w:tcPr>
            <w:tcW w:w="639" w:type="dxa"/>
            <w:vAlign w:val="center"/>
          </w:tcPr>
          <w:p>
            <w:pPr>
              <w:autoSpaceDN w:val="0"/>
              <w:jc w:val="center"/>
              <w:textAlignment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z w:val="21"/>
                <w:szCs w:val="21"/>
              </w:rPr>
              <w:t>单链</w:t>
            </w:r>
          </w:p>
        </w:tc>
        <w:tc>
          <w:tcPr>
            <w:tcW w:w="1024" w:type="dxa"/>
            <w:vAlign w:val="center"/>
          </w:tcPr>
          <w:p>
            <w:pPr>
              <w:autoSpaceDN w:val="0"/>
              <w:jc w:val="center"/>
              <w:textAlignment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z w:val="21"/>
                <w:szCs w:val="21"/>
              </w:rPr>
              <w:t>双环网</w:t>
            </w:r>
          </w:p>
        </w:tc>
        <w:tc>
          <w:tcPr>
            <w:tcW w:w="1022" w:type="dxa"/>
            <w:vAlign w:val="center"/>
          </w:tcPr>
          <w:p>
            <w:pPr>
              <w:autoSpaceDN w:val="0"/>
              <w:jc w:val="center"/>
              <w:textAlignment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z w:val="21"/>
                <w:szCs w:val="21"/>
              </w:rPr>
              <w:t>单环网</w:t>
            </w:r>
          </w:p>
        </w:tc>
        <w:tc>
          <w:tcPr>
            <w:tcW w:w="876" w:type="dxa"/>
            <w:vAlign w:val="center"/>
          </w:tcPr>
          <w:p>
            <w:pPr>
              <w:autoSpaceDN w:val="0"/>
              <w:jc w:val="center"/>
              <w:textAlignment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z w:val="21"/>
                <w:szCs w:val="21"/>
              </w:rPr>
              <w:t>双辐射</w:t>
            </w:r>
          </w:p>
        </w:tc>
        <w:tc>
          <w:tcPr>
            <w:tcW w:w="873" w:type="dxa"/>
            <w:vAlign w:val="center"/>
          </w:tcPr>
          <w:p>
            <w:pPr>
              <w:autoSpaceDN w:val="0"/>
              <w:jc w:val="center"/>
              <w:textAlignment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z w:val="21"/>
                <w:szCs w:val="21"/>
              </w:rPr>
              <w:t>单辐射</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85" w:hRule="atLeast"/>
          <w:jc w:val="center"/>
        </w:trPr>
        <w:tc>
          <w:tcPr>
            <w:tcW w:w="1389" w:type="dxa"/>
            <w:vAlign w:val="center"/>
          </w:tcPr>
          <w:p>
            <w:pPr>
              <w:autoSpaceDN w:val="0"/>
              <w:jc w:val="center"/>
              <w:textAlignment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z w:val="21"/>
                <w:szCs w:val="21"/>
              </w:rPr>
              <w:t>市辖供电区</w:t>
            </w:r>
          </w:p>
        </w:tc>
        <w:tc>
          <w:tcPr>
            <w:tcW w:w="1152" w:type="dxa"/>
            <w:vAlign w:val="center"/>
          </w:tcPr>
          <w:p>
            <w:pPr>
              <w:autoSpaceDN w:val="0"/>
              <w:jc w:val="center"/>
              <w:textAlignment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z w:val="21"/>
                <w:szCs w:val="21"/>
              </w:rPr>
              <w:t>63</w:t>
            </w:r>
          </w:p>
        </w:tc>
        <w:tc>
          <w:tcPr>
            <w:tcW w:w="636" w:type="dxa"/>
            <w:vAlign w:val="center"/>
          </w:tcPr>
          <w:p>
            <w:pPr>
              <w:autoSpaceDN w:val="0"/>
              <w:jc w:val="center"/>
              <w:textAlignment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z w:val="21"/>
                <w:szCs w:val="21"/>
              </w:rPr>
              <w:t>0</w:t>
            </w:r>
          </w:p>
        </w:tc>
        <w:tc>
          <w:tcPr>
            <w:tcW w:w="864" w:type="dxa"/>
            <w:vAlign w:val="center"/>
          </w:tcPr>
          <w:p>
            <w:pPr>
              <w:autoSpaceDN w:val="0"/>
              <w:jc w:val="center"/>
              <w:textAlignment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z w:val="21"/>
                <w:szCs w:val="21"/>
              </w:rPr>
              <w:t>26</w:t>
            </w:r>
          </w:p>
        </w:tc>
        <w:tc>
          <w:tcPr>
            <w:tcW w:w="639" w:type="dxa"/>
            <w:vAlign w:val="center"/>
          </w:tcPr>
          <w:p>
            <w:pPr>
              <w:autoSpaceDN w:val="0"/>
              <w:jc w:val="center"/>
              <w:textAlignment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z w:val="21"/>
                <w:szCs w:val="21"/>
              </w:rPr>
              <w:t>6</w:t>
            </w:r>
          </w:p>
        </w:tc>
        <w:tc>
          <w:tcPr>
            <w:tcW w:w="1024" w:type="dxa"/>
            <w:vAlign w:val="center"/>
          </w:tcPr>
          <w:p>
            <w:pPr>
              <w:autoSpaceDN w:val="0"/>
              <w:jc w:val="center"/>
              <w:textAlignment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z w:val="21"/>
                <w:szCs w:val="21"/>
              </w:rPr>
              <w:t>0</w:t>
            </w:r>
          </w:p>
        </w:tc>
        <w:tc>
          <w:tcPr>
            <w:tcW w:w="1022" w:type="dxa"/>
            <w:vAlign w:val="center"/>
          </w:tcPr>
          <w:p>
            <w:pPr>
              <w:autoSpaceDN w:val="0"/>
              <w:jc w:val="center"/>
              <w:textAlignment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z w:val="21"/>
                <w:szCs w:val="21"/>
              </w:rPr>
              <w:t>8</w:t>
            </w:r>
          </w:p>
        </w:tc>
        <w:tc>
          <w:tcPr>
            <w:tcW w:w="876" w:type="dxa"/>
            <w:vAlign w:val="center"/>
          </w:tcPr>
          <w:p>
            <w:pPr>
              <w:autoSpaceDN w:val="0"/>
              <w:jc w:val="center"/>
              <w:textAlignment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z w:val="21"/>
                <w:szCs w:val="21"/>
              </w:rPr>
              <w:t>22</w:t>
            </w:r>
          </w:p>
        </w:tc>
        <w:tc>
          <w:tcPr>
            <w:tcW w:w="873" w:type="dxa"/>
            <w:vAlign w:val="center"/>
          </w:tcPr>
          <w:p>
            <w:pPr>
              <w:autoSpaceDN w:val="0"/>
              <w:jc w:val="center"/>
              <w:textAlignment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z w:val="21"/>
                <w:szCs w:val="21"/>
              </w:rPr>
              <w:t>1</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31" w:hRule="atLeast"/>
          <w:jc w:val="center"/>
        </w:trPr>
        <w:tc>
          <w:tcPr>
            <w:tcW w:w="8475" w:type="dxa"/>
            <w:gridSpan w:val="9"/>
            <w:vMerge w:val="restart"/>
          </w:tcPr>
          <w:p>
            <w:pPr>
              <w:autoSpaceDN w:val="0"/>
              <w:jc w:val="left"/>
              <w:textAlignment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z w:val="21"/>
                <w:szCs w:val="21"/>
              </w:rPr>
              <w:t>注：</w:t>
            </w:r>
            <w:r>
              <w:rPr>
                <w:rFonts w:hint="eastAsia" w:ascii="方正楷体_GB2312" w:hAnsi="方正楷体_GB2312" w:eastAsia="方正楷体_GB2312" w:cs="方正楷体_GB2312"/>
                <w:sz w:val="21"/>
                <w:szCs w:val="21"/>
              </w:rPr>
              <w:br w:type="textWrapping"/>
            </w:r>
            <w:r>
              <w:rPr>
                <w:rFonts w:hint="eastAsia" w:ascii="方正楷体_GB2312" w:hAnsi="方正楷体_GB2312" w:eastAsia="方正楷体_GB2312" w:cs="方正楷体_GB2312"/>
                <w:sz w:val="21"/>
                <w:szCs w:val="21"/>
              </w:rPr>
              <w:t>（1）110千伏电网结构包括链式、环网和辐射状结构，不包括变电站的T接和π接方式。</w:t>
            </w:r>
            <w:r>
              <w:rPr>
                <w:rFonts w:hint="eastAsia" w:ascii="方正楷体_GB2312" w:hAnsi="方正楷体_GB2312" w:eastAsia="方正楷体_GB2312" w:cs="方正楷体_GB2312"/>
                <w:sz w:val="21"/>
                <w:szCs w:val="21"/>
              </w:rPr>
              <w:br w:type="textWrapping"/>
            </w:r>
            <w:r>
              <w:rPr>
                <w:rFonts w:hint="eastAsia" w:ascii="方正楷体_GB2312" w:hAnsi="方正楷体_GB2312" w:eastAsia="方正楷体_GB2312" w:cs="方正楷体_GB2312"/>
                <w:sz w:val="21"/>
                <w:szCs w:val="21"/>
              </w:rPr>
              <w:t xml:space="preserve">（2）“条”精确度为整数。 </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639" w:hRule="atLeast"/>
          <w:jc w:val="center"/>
        </w:trPr>
        <w:tc>
          <w:tcPr>
            <w:tcW w:w="8475" w:type="dxa"/>
            <w:gridSpan w:val="9"/>
            <w:vMerge w:val="continue"/>
            <w:vAlign w:val="center"/>
          </w:tcPr>
          <w:p>
            <w:pPr>
              <w:widowControl/>
              <w:ind w:firstLine="440"/>
              <w:jc w:val="left"/>
              <w:rPr>
                <w:rFonts w:eastAsia="仿宋"/>
                <w:kern w:val="0"/>
                <w:sz w:val="18"/>
                <w:szCs w:val="18"/>
              </w:rPr>
            </w:pPr>
          </w:p>
        </w:tc>
      </w:tr>
    </w:tbl>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r>
        <w:rPr>
          <w:rFonts w:eastAsia="仿宋"/>
          <w:sz w:val="32"/>
          <w:szCs w:val="32"/>
        </w:rPr>
        <w:t>装备水平</w:t>
      </w:r>
      <w:bookmarkEnd w:id="146"/>
      <w:bookmarkEnd w:id="147"/>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bookmarkStart w:id="148" w:name="_Toc253743993"/>
      <w:bookmarkStart w:id="149" w:name="_Toc306956214"/>
      <w:bookmarkStart w:id="150" w:name="_Toc253594505"/>
      <w:bookmarkStart w:id="151" w:name="_Toc253584937"/>
      <w:bookmarkStart w:id="152" w:name="_Toc306766283"/>
      <w:bookmarkStart w:id="153" w:name="_Toc306780074"/>
      <w:bookmarkStart w:id="154" w:name="_Toc307053924"/>
      <w:r>
        <w:rPr>
          <w:rFonts w:hint="eastAsia" w:ascii="仿宋_GB2312" w:hAnsi="仿宋_GB2312" w:eastAsia="仿宋_GB2312" w:cs="仿宋_GB2312"/>
          <w:kern w:val="2"/>
          <w:sz w:val="32"/>
          <w:szCs w:val="32"/>
          <w:lang w:val="en-US" w:eastAsia="zh-CN" w:bidi="ar-SA"/>
        </w:rPr>
        <w:t>截至2020年底，西咸电网共有1台110千伏主变，6条110千伏线路运行年限超过20年，具体情况如下表：</w:t>
      </w:r>
    </w:p>
    <w:p>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表3-6  西咸新区110千伏电网主要设备运行年限分布</w:t>
      </w:r>
    </w:p>
    <w:tbl>
      <w:tblPr>
        <w:tblStyle w:val="88"/>
        <w:tblW w:w="7484" w:type="dxa"/>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 w:type="dxa"/>
          <w:bottom w:w="0" w:type="dxa"/>
          <w:right w:w="10" w:type="dxa"/>
        </w:tblCellMar>
      </w:tblPr>
      <w:tblGrid>
        <w:gridCol w:w="641"/>
        <w:gridCol w:w="1181"/>
        <w:gridCol w:w="1450"/>
        <w:gridCol w:w="1135"/>
        <w:gridCol w:w="1707"/>
        <w:gridCol w:w="1370"/>
      </w:tblGrid>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 w:type="dxa"/>
            <w:bottom w:w="0" w:type="dxa"/>
            <w:right w:w="10" w:type="dxa"/>
          </w:tblCellMar>
        </w:tblPrEx>
        <w:trPr>
          <w:trHeight w:val="423" w:hRule="atLeast"/>
          <w:jc w:val="center"/>
        </w:trPr>
        <w:tc>
          <w:tcPr>
            <w:tcW w:w="641" w:type="dxa"/>
            <w:tcBorders>
              <w:top w:val="single" w:color="000000" w:sz="12" w:space="0"/>
              <w:left w:val="single" w:color="000000" w:sz="12" w:space="0"/>
              <w:bottom w:val="single" w:color="000000" w:sz="6" w:space="0"/>
              <w:right w:val="single" w:color="000000" w:sz="6" w:space="0"/>
            </w:tcBorders>
            <w:vAlign w:val="center"/>
          </w:tcPr>
          <w:p>
            <w:pPr>
              <w:autoSpaceDN w:val="0"/>
              <w:adjustRightInd w:val="0"/>
              <w:snapToGrid w:val="0"/>
              <w:spacing w:line="360" w:lineRule="auto"/>
              <w:jc w:val="center"/>
              <w:textAlignment w:val="center"/>
              <w:rPr>
                <w:rFonts w:hint="eastAsia" w:ascii="方正仿宋_GB2312" w:hAnsi="方正仿宋_GB2312" w:eastAsia="方正仿宋_GB2312" w:cs="方正仿宋_GB2312"/>
                <w:kern w:val="0"/>
                <w:sz w:val="21"/>
                <w:szCs w:val="21"/>
              </w:rPr>
            </w:pPr>
            <w:bookmarkStart w:id="155" w:name="_Toc352610549"/>
            <w:r>
              <w:rPr>
                <w:rFonts w:hint="eastAsia" w:ascii="方正仿宋_GB2312" w:hAnsi="方正仿宋_GB2312" w:eastAsia="方正仿宋_GB2312" w:cs="方正仿宋_GB2312"/>
                <w:kern w:val="0"/>
                <w:sz w:val="21"/>
                <w:szCs w:val="21"/>
              </w:rPr>
              <w:t>编号</w:t>
            </w:r>
          </w:p>
        </w:tc>
        <w:tc>
          <w:tcPr>
            <w:tcW w:w="1181" w:type="dxa"/>
            <w:tcBorders>
              <w:top w:val="single" w:color="000000" w:sz="12" w:space="0"/>
              <w:left w:val="nil"/>
              <w:bottom w:val="single" w:color="000000" w:sz="6" w:space="0"/>
              <w:right w:val="single" w:color="000000" w:sz="6" w:space="0"/>
            </w:tcBorders>
            <w:vAlign w:val="center"/>
          </w:tcPr>
          <w:p>
            <w:pPr>
              <w:autoSpaceDN w:val="0"/>
              <w:adjustRightInd w:val="0"/>
              <w:snapToGrid w:val="0"/>
              <w:spacing w:line="360" w:lineRule="auto"/>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类型</w:t>
            </w:r>
          </w:p>
        </w:tc>
        <w:tc>
          <w:tcPr>
            <w:tcW w:w="1450" w:type="dxa"/>
            <w:tcBorders>
              <w:top w:val="single" w:color="000000" w:sz="12" w:space="0"/>
              <w:left w:val="nil"/>
              <w:bottom w:val="single" w:color="000000" w:sz="6" w:space="0"/>
              <w:right w:val="single" w:color="000000" w:sz="6" w:space="0"/>
            </w:tcBorders>
            <w:vAlign w:val="center"/>
          </w:tcPr>
          <w:p>
            <w:pPr>
              <w:autoSpaceDN w:val="0"/>
              <w:adjustRightInd w:val="0"/>
              <w:snapToGrid w:val="0"/>
              <w:spacing w:line="360" w:lineRule="auto"/>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电压等级（千伏）</w:t>
            </w:r>
          </w:p>
        </w:tc>
        <w:tc>
          <w:tcPr>
            <w:tcW w:w="1135" w:type="dxa"/>
            <w:tcBorders>
              <w:top w:val="single" w:color="000000" w:sz="12" w:space="0"/>
              <w:left w:val="nil"/>
              <w:bottom w:val="single" w:color="000000" w:sz="6" w:space="0"/>
              <w:right w:val="single" w:color="000000" w:sz="6" w:space="0"/>
            </w:tcBorders>
            <w:vAlign w:val="center"/>
          </w:tcPr>
          <w:p>
            <w:pPr>
              <w:autoSpaceDN w:val="0"/>
              <w:adjustRightInd w:val="0"/>
              <w:snapToGrid w:val="0"/>
              <w:spacing w:line="360" w:lineRule="auto"/>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变电站名称</w:t>
            </w:r>
          </w:p>
        </w:tc>
        <w:tc>
          <w:tcPr>
            <w:tcW w:w="1707" w:type="dxa"/>
            <w:tcBorders>
              <w:top w:val="single" w:color="000000" w:sz="12" w:space="0"/>
              <w:left w:val="nil"/>
              <w:bottom w:val="single" w:color="000000" w:sz="6" w:space="0"/>
              <w:right w:val="single" w:color="000000" w:sz="6" w:space="0"/>
            </w:tcBorders>
            <w:vAlign w:val="center"/>
          </w:tcPr>
          <w:p>
            <w:pPr>
              <w:autoSpaceDN w:val="0"/>
              <w:adjustRightInd w:val="0"/>
              <w:snapToGrid w:val="0"/>
              <w:spacing w:line="360" w:lineRule="auto"/>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主变名称</w:t>
            </w:r>
          </w:p>
        </w:tc>
        <w:tc>
          <w:tcPr>
            <w:tcW w:w="1370" w:type="dxa"/>
            <w:tcBorders>
              <w:top w:val="single" w:color="000000" w:sz="12" w:space="0"/>
              <w:left w:val="nil"/>
              <w:bottom w:val="single" w:color="000000" w:sz="6" w:space="0"/>
              <w:right w:val="single" w:color="000000" w:sz="12" w:space="0"/>
            </w:tcBorders>
            <w:vAlign w:val="center"/>
          </w:tcPr>
          <w:p>
            <w:pPr>
              <w:autoSpaceDN w:val="0"/>
              <w:adjustRightInd w:val="0"/>
              <w:snapToGrid w:val="0"/>
              <w:spacing w:line="360" w:lineRule="auto"/>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运行年限（年）</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 w:type="dxa"/>
            <w:bottom w:w="0" w:type="dxa"/>
            <w:right w:w="10" w:type="dxa"/>
          </w:tblCellMar>
        </w:tblPrEx>
        <w:trPr>
          <w:trHeight w:val="543" w:hRule="atLeast"/>
          <w:jc w:val="center"/>
        </w:trPr>
        <w:tc>
          <w:tcPr>
            <w:tcW w:w="641" w:type="dxa"/>
            <w:tcBorders>
              <w:top w:val="single" w:color="000000" w:sz="6" w:space="0"/>
              <w:left w:val="single" w:color="000000" w:sz="12" w:space="0"/>
              <w:bottom w:val="single" w:color="000000" w:sz="6" w:space="0"/>
              <w:right w:val="single" w:color="000000" w:sz="6" w:space="0"/>
            </w:tcBorders>
            <w:vAlign w:val="center"/>
          </w:tcPr>
          <w:p>
            <w:pPr>
              <w:autoSpaceDN w:val="0"/>
              <w:adjustRightInd w:val="0"/>
              <w:snapToGrid w:val="0"/>
              <w:spacing w:line="360" w:lineRule="auto"/>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w:t>
            </w:r>
          </w:p>
        </w:tc>
        <w:tc>
          <w:tcPr>
            <w:tcW w:w="1181" w:type="dxa"/>
            <w:tcBorders>
              <w:top w:val="single" w:color="000000" w:sz="6" w:space="0"/>
              <w:left w:val="nil"/>
              <w:bottom w:val="single" w:color="000000" w:sz="6" w:space="0"/>
              <w:right w:val="single" w:color="000000" w:sz="6" w:space="0"/>
            </w:tcBorders>
            <w:vAlign w:val="center"/>
          </w:tcPr>
          <w:p>
            <w:pPr>
              <w:autoSpaceDN w:val="0"/>
              <w:adjustRightInd w:val="0"/>
              <w:snapToGrid w:val="0"/>
              <w:spacing w:line="360" w:lineRule="auto"/>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变电设备</w:t>
            </w:r>
          </w:p>
        </w:tc>
        <w:tc>
          <w:tcPr>
            <w:tcW w:w="1450" w:type="dxa"/>
            <w:tcBorders>
              <w:top w:val="single" w:color="000000" w:sz="6" w:space="0"/>
              <w:left w:val="nil"/>
              <w:bottom w:val="single" w:color="000000" w:sz="6" w:space="0"/>
              <w:right w:val="single" w:color="000000" w:sz="6" w:space="0"/>
            </w:tcBorders>
            <w:vAlign w:val="center"/>
          </w:tcPr>
          <w:p>
            <w:pPr>
              <w:autoSpaceDN w:val="0"/>
              <w:adjustRightInd w:val="0"/>
              <w:snapToGrid w:val="0"/>
              <w:spacing w:line="360" w:lineRule="auto"/>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110</w:t>
            </w:r>
          </w:p>
        </w:tc>
        <w:tc>
          <w:tcPr>
            <w:tcW w:w="1135" w:type="dxa"/>
            <w:tcBorders>
              <w:top w:val="single" w:color="000000" w:sz="6" w:space="0"/>
              <w:left w:val="nil"/>
              <w:bottom w:val="single" w:color="000000" w:sz="6" w:space="0"/>
              <w:right w:val="single" w:color="000000" w:sz="6" w:space="0"/>
            </w:tcBorders>
            <w:vAlign w:val="center"/>
          </w:tcPr>
          <w:p>
            <w:pPr>
              <w:autoSpaceDN w:val="0"/>
              <w:adjustRightInd w:val="0"/>
              <w:snapToGrid w:val="0"/>
              <w:spacing w:line="360" w:lineRule="auto"/>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陈阳变</w:t>
            </w:r>
          </w:p>
        </w:tc>
        <w:tc>
          <w:tcPr>
            <w:tcW w:w="1707" w:type="dxa"/>
            <w:tcBorders>
              <w:top w:val="single" w:color="000000" w:sz="6" w:space="0"/>
              <w:left w:val="nil"/>
              <w:bottom w:val="single" w:color="000000" w:sz="6" w:space="0"/>
              <w:right w:val="single" w:color="000000" w:sz="6" w:space="0"/>
            </w:tcBorders>
            <w:vAlign w:val="center"/>
          </w:tcPr>
          <w:p>
            <w:pPr>
              <w:autoSpaceDN w:val="0"/>
              <w:adjustRightInd w:val="0"/>
              <w:snapToGrid w:val="0"/>
              <w:spacing w:line="360" w:lineRule="auto"/>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1#主变</w:t>
            </w:r>
          </w:p>
        </w:tc>
        <w:tc>
          <w:tcPr>
            <w:tcW w:w="1370" w:type="dxa"/>
            <w:tcBorders>
              <w:top w:val="single" w:color="000000" w:sz="6" w:space="0"/>
              <w:left w:val="nil"/>
              <w:bottom w:val="single" w:color="000000" w:sz="6" w:space="0"/>
              <w:right w:val="single" w:color="000000" w:sz="12" w:space="0"/>
            </w:tcBorders>
            <w:vAlign w:val="center"/>
          </w:tcPr>
          <w:p>
            <w:pPr>
              <w:autoSpaceDN w:val="0"/>
              <w:adjustRightInd w:val="0"/>
              <w:snapToGrid w:val="0"/>
              <w:spacing w:line="360" w:lineRule="auto"/>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29</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 w:type="dxa"/>
            <w:bottom w:w="0" w:type="dxa"/>
            <w:right w:w="10" w:type="dxa"/>
          </w:tblCellMar>
        </w:tblPrEx>
        <w:trPr>
          <w:trHeight w:val="255" w:hRule="atLeast"/>
          <w:jc w:val="center"/>
        </w:trPr>
        <w:tc>
          <w:tcPr>
            <w:tcW w:w="641" w:type="dxa"/>
            <w:vMerge w:val="restart"/>
            <w:tcBorders>
              <w:top w:val="nil"/>
              <w:left w:val="single" w:color="000000" w:sz="12" w:space="0"/>
              <w:bottom w:val="single" w:color="000000" w:sz="12" w:space="0"/>
              <w:right w:val="single" w:color="000000" w:sz="6" w:space="0"/>
            </w:tcBorders>
            <w:vAlign w:val="center"/>
          </w:tcPr>
          <w:p>
            <w:pPr>
              <w:autoSpaceDN w:val="0"/>
              <w:adjustRightInd w:val="0"/>
              <w:snapToGrid w:val="0"/>
              <w:spacing w:line="360" w:lineRule="auto"/>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w:t>
            </w:r>
          </w:p>
        </w:tc>
        <w:tc>
          <w:tcPr>
            <w:tcW w:w="1181" w:type="dxa"/>
            <w:vMerge w:val="restart"/>
            <w:tcBorders>
              <w:top w:val="nil"/>
              <w:left w:val="nil"/>
              <w:bottom w:val="single" w:color="000000" w:sz="12" w:space="0"/>
              <w:right w:val="single" w:color="000000" w:sz="6" w:space="0"/>
            </w:tcBorders>
            <w:vAlign w:val="center"/>
          </w:tcPr>
          <w:p>
            <w:pPr>
              <w:autoSpaceDN w:val="0"/>
              <w:adjustRightInd w:val="0"/>
              <w:snapToGrid w:val="0"/>
              <w:spacing w:line="360" w:lineRule="auto"/>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线路</w:t>
            </w:r>
          </w:p>
        </w:tc>
        <w:tc>
          <w:tcPr>
            <w:tcW w:w="1450" w:type="dxa"/>
            <w:vMerge w:val="restart"/>
            <w:tcBorders>
              <w:top w:val="nil"/>
              <w:left w:val="nil"/>
              <w:bottom w:val="single" w:color="000000" w:sz="12" w:space="0"/>
              <w:right w:val="single" w:color="000000" w:sz="6" w:space="0"/>
            </w:tcBorders>
            <w:vAlign w:val="center"/>
          </w:tcPr>
          <w:p>
            <w:pPr>
              <w:autoSpaceDN w:val="0"/>
              <w:adjustRightInd w:val="0"/>
              <w:snapToGrid w:val="0"/>
              <w:spacing w:line="360" w:lineRule="auto"/>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110</w:t>
            </w:r>
          </w:p>
        </w:tc>
        <w:tc>
          <w:tcPr>
            <w:tcW w:w="1135" w:type="dxa"/>
            <w:tcBorders>
              <w:top w:val="single" w:color="000000" w:sz="6" w:space="0"/>
              <w:left w:val="nil"/>
              <w:bottom w:val="single" w:color="000000" w:sz="6" w:space="0"/>
              <w:right w:val="single" w:color="000000" w:sz="6" w:space="0"/>
            </w:tcBorders>
            <w:vAlign w:val="center"/>
          </w:tcPr>
          <w:p>
            <w:pPr>
              <w:autoSpaceDN w:val="0"/>
              <w:adjustRightInd w:val="0"/>
              <w:snapToGrid w:val="0"/>
              <w:spacing w:line="360" w:lineRule="auto"/>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线路名称</w:t>
            </w:r>
          </w:p>
        </w:tc>
        <w:tc>
          <w:tcPr>
            <w:tcW w:w="1707" w:type="dxa"/>
            <w:tcBorders>
              <w:top w:val="single" w:color="000000" w:sz="6" w:space="0"/>
              <w:left w:val="nil"/>
              <w:bottom w:val="single" w:color="000000" w:sz="6" w:space="0"/>
              <w:right w:val="single" w:color="000000" w:sz="6" w:space="0"/>
            </w:tcBorders>
            <w:vAlign w:val="center"/>
          </w:tcPr>
          <w:p>
            <w:pPr>
              <w:autoSpaceDN w:val="0"/>
              <w:adjustRightInd w:val="0"/>
              <w:snapToGrid w:val="0"/>
              <w:spacing w:line="360" w:lineRule="auto"/>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线路长度（公里）</w:t>
            </w:r>
          </w:p>
        </w:tc>
        <w:tc>
          <w:tcPr>
            <w:tcW w:w="1370" w:type="dxa"/>
            <w:tcBorders>
              <w:top w:val="single" w:color="000000" w:sz="6" w:space="0"/>
              <w:left w:val="nil"/>
              <w:bottom w:val="single" w:color="000000" w:sz="6" w:space="0"/>
              <w:right w:val="single" w:color="000000" w:sz="12" w:space="0"/>
            </w:tcBorders>
            <w:vAlign w:val="center"/>
          </w:tcPr>
          <w:p>
            <w:pPr>
              <w:autoSpaceDN w:val="0"/>
              <w:adjustRightInd w:val="0"/>
              <w:snapToGrid w:val="0"/>
              <w:spacing w:line="360" w:lineRule="auto"/>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运行年限（年）</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 w:type="dxa"/>
            <w:bottom w:w="0" w:type="dxa"/>
            <w:right w:w="10" w:type="dxa"/>
          </w:tblCellMar>
        </w:tblPrEx>
        <w:trPr>
          <w:trHeight w:val="255" w:hRule="atLeast"/>
          <w:jc w:val="center"/>
        </w:trPr>
        <w:tc>
          <w:tcPr>
            <w:tcW w:w="641" w:type="dxa"/>
            <w:vMerge w:val="continue"/>
            <w:tcBorders>
              <w:top w:val="nil"/>
              <w:left w:val="single" w:color="000000" w:sz="12" w:space="0"/>
              <w:bottom w:val="single" w:color="000000" w:sz="12" w:space="0"/>
              <w:right w:val="single" w:color="000000" w:sz="6" w:space="0"/>
            </w:tcBorders>
            <w:vAlign w:val="center"/>
          </w:tcPr>
          <w:p>
            <w:pPr>
              <w:widowControl/>
              <w:jc w:val="center"/>
              <w:rPr>
                <w:rFonts w:hint="eastAsia" w:ascii="方正仿宋_GB2312" w:hAnsi="方正仿宋_GB2312" w:eastAsia="方正仿宋_GB2312" w:cs="方正仿宋_GB2312"/>
                <w:kern w:val="0"/>
                <w:sz w:val="21"/>
                <w:szCs w:val="21"/>
              </w:rPr>
            </w:pPr>
          </w:p>
        </w:tc>
        <w:tc>
          <w:tcPr>
            <w:tcW w:w="1181" w:type="dxa"/>
            <w:vMerge w:val="continue"/>
            <w:tcBorders>
              <w:top w:val="nil"/>
              <w:left w:val="nil"/>
              <w:bottom w:val="single" w:color="000000" w:sz="12" w:space="0"/>
              <w:right w:val="single" w:color="000000" w:sz="6" w:space="0"/>
            </w:tcBorders>
            <w:vAlign w:val="center"/>
          </w:tcPr>
          <w:p>
            <w:pPr>
              <w:widowControl/>
              <w:jc w:val="center"/>
              <w:rPr>
                <w:rFonts w:hint="eastAsia" w:ascii="方正仿宋_GB2312" w:hAnsi="方正仿宋_GB2312" w:eastAsia="方正仿宋_GB2312" w:cs="方正仿宋_GB2312"/>
                <w:kern w:val="0"/>
                <w:sz w:val="21"/>
                <w:szCs w:val="21"/>
              </w:rPr>
            </w:pPr>
          </w:p>
        </w:tc>
        <w:tc>
          <w:tcPr>
            <w:tcW w:w="1450" w:type="dxa"/>
            <w:vMerge w:val="continue"/>
            <w:tcBorders>
              <w:top w:val="nil"/>
              <w:left w:val="nil"/>
              <w:bottom w:val="single" w:color="000000" w:sz="12" w:space="0"/>
              <w:right w:val="single" w:color="000000" w:sz="6" w:space="0"/>
            </w:tcBorders>
            <w:vAlign w:val="center"/>
          </w:tcPr>
          <w:p>
            <w:pPr>
              <w:widowControl/>
              <w:jc w:val="center"/>
              <w:rPr>
                <w:rFonts w:hint="eastAsia" w:ascii="方正仿宋_GB2312" w:hAnsi="方正仿宋_GB2312" w:eastAsia="方正仿宋_GB2312" w:cs="方正仿宋_GB2312"/>
                <w:kern w:val="0"/>
                <w:sz w:val="21"/>
                <w:szCs w:val="21"/>
              </w:rPr>
            </w:pPr>
          </w:p>
        </w:tc>
        <w:tc>
          <w:tcPr>
            <w:tcW w:w="1135" w:type="dxa"/>
            <w:tcBorders>
              <w:top w:val="single" w:color="000000" w:sz="6" w:space="0"/>
              <w:left w:val="nil"/>
              <w:bottom w:val="single" w:color="000000" w:sz="6" w:space="0"/>
              <w:right w:val="single" w:color="000000" w:sz="6" w:space="0"/>
            </w:tcBorders>
            <w:vAlign w:val="center"/>
          </w:tcPr>
          <w:p>
            <w:pPr>
              <w:autoSpaceDN w:val="0"/>
              <w:adjustRightInd w:val="0"/>
              <w:snapToGrid w:val="0"/>
              <w:spacing w:line="360" w:lineRule="auto"/>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沣肖线</w:t>
            </w:r>
          </w:p>
        </w:tc>
        <w:tc>
          <w:tcPr>
            <w:tcW w:w="1707" w:type="dxa"/>
            <w:tcBorders>
              <w:top w:val="single" w:color="000000" w:sz="6" w:space="0"/>
              <w:left w:val="nil"/>
              <w:bottom w:val="single" w:color="000000" w:sz="6" w:space="0"/>
              <w:right w:val="single" w:color="000000" w:sz="6" w:space="0"/>
            </w:tcBorders>
            <w:vAlign w:val="center"/>
          </w:tcPr>
          <w:p>
            <w:pPr>
              <w:autoSpaceDN w:val="0"/>
              <w:adjustRightInd w:val="0"/>
              <w:snapToGrid w:val="0"/>
              <w:spacing w:line="360" w:lineRule="auto"/>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27.968</w:t>
            </w:r>
          </w:p>
        </w:tc>
        <w:tc>
          <w:tcPr>
            <w:tcW w:w="1370" w:type="dxa"/>
            <w:tcBorders>
              <w:top w:val="single" w:color="000000" w:sz="6" w:space="0"/>
              <w:left w:val="nil"/>
              <w:bottom w:val="single" w:color="000000" w:sz="6" w:space="0"/>
              <w:right w:val="single" w:color="000000" w:sz="12" w:space="0"/>
            </w:tcBorders>
            <w:vAlign w:val="center"/>
          </w:tcPr>
          <w:p>
            <w:pPr>
              <w:autoSpaceDN w:val="0"/>
              <w:adjustRightInd w:val="0"/>
              <w:snapToGrid w:val="0"/>
              <w:spacing w:line="360" w:lineRule="auto"/>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sz w:val="21"/>
                <w:szCs w:val="21"/>
              </w:rPr>
              <w:t>39</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 w:type="dxa"/>
            <w:bottom w:w="0" w:type="dxa"/>
            <w:right w:w="10" w:type="dxa"/>
          </w:tblCellMar>
        </w:tblPrEx>
        <w:trPr>
          <w:trHeight w:val="255" w:hRule="atLeast"/>
          <w:jc w:val="center"/>
        </w:trPr>
        <w:tc>
          <w:tcPr>
            <w:tcW w:w="641" w:type="dxa"/>
            <w:vMerge w:val="continue"/>
            <w:tcBorders>
              <w:top w:val="nil"/>
              <w:left w:val="single" w:color="000000" w:sz="12" w:space="0"/>
              <w:bottom w:val="single" w:color="000000" w:sz="12" w:space="0"/>
              <w:right w:val="single" w:color="000000" w:sz="6" w:space="0"/>
            </w:tcBorders>
            <w:vAlign w:val="center"/>
          </w:tcPr>
          <w:p>
            <w:pPr>
              <w:widowControl/>
              <w:jc w:val="center"/>
              <w:rPr>
                <w:rFonts w:hint="eastAsia" w:ascii="方正仿宋_GB2312" w:hAnsi="方正仿宋_GB2312" w:eastAsia="方正仿宋_GB2312" w:cs="方正仿宋_GB2312"/>
                <w:kern w:val="0"/>
                <w:sz w:val="21"/>
                <w:szCs w:val="21"/>
              </w:rPr>
            </w:pPr>
          </w:p>
        </w:tc>
        <w:tc>
          <w:tcPr>
            <w:tcW w:w="1181" w:type="dxa"/>
            <w:vMerge w:val="continue"/>
            <w:tcBorders>
              <w:top w:val="nil"/>
              <w:left w:val="nil"/>
              <w:bottom w:val="single" w:color="000000" w:sz="12" w:space="0"/>
              <w:right w:val="single" w:color="000000" w:sz="6" w:space="0"/>
            </w:tcBorders>
            <w:vAlign w:val="center"/>
          </w:tcPr>
          <w:p>
            <w:pPr>
              <w:widowControl/>
              <w:jc w:val="center"/>
              <w:rPr>
                <w:rFonts w:hint="eastAsia" w:ascii="方正仿宋_GB2312" w:hAnsi="方正仿宋_GB2312" w:eastAsia="方正仿宋_GB2312" w:cs="方正仿宋_GB2312"/>
                <w:kern w:val="0"/>
                <w:sz w:val="21"/>
                <w:szCs w:val="21"/>
              </w:rPr>
            </w:pPr>
          </w:p>
        </w:tc>
        <w:tc>
          <w:tcPr>
            <w:tcW w:w="1450" w:type="dxa"/>
            <w:vMerge w:val="continue"/>
            <w:tcBorders>
              <w:top w:val="nil"/>
              <w:left w:val="nil"/>
              <w:bottom w:val="single" w:color="000000" w:sz="12" w:space="0"/>
              <w:right w:val="single" w:color="000000" w:sz="6" w:space="0"/>
            </w:tcBorders>
            <w:vAlign w:val="center"/>
          </w:tcPr>
          <w:p>
            <w:pPr>
              <w:widowControl/>
              <w:jc w:val="center"/>
              <w:rPr>
                <w:rFonts w:hint="eastAsia" w:ascii="方正仿宋_GB2312" w:hAnsi="方正仿宋_GB2312" w:eastAsia="方正仿宋_GB2312" w:cs="方正仿宋_GB2312"/>
                <w:kern w:val="0"/>
                <w:sz w:val="21"/>
                <w:szCs w:val="21"/>
              </w:rPr>
            </w:pPr>
          </w:p>
        </w:tc>
        <w:tc>
          <w:tcPr>
            <w:tcW w:w="1135" w:type="dxa"/>
            <w:tcBorders>
              <w:top w:val="single" w:color="000000" w:sz="6" w:space="0"/>
              <w:left w:val="nil"/>
              <w:bottom w:val="single" w:color="000000" w:sz="6" w:space="0"/>
              <w:right w:val="single" w:color="000000" w:sz="6" w:space="0"/>
            </w:tcBorders>
            <w:vAlign w:val="center"/>
          </w:tcPr>
          <w:p>
            <w:pPr>
              <w:autoSpaceDN w:val="0"/>
              <w:adjustRightInd w:val="0"/>
              <w:snapToGrid w:val="0"/>
              <w:spacing w:line="360" w:lineRule="auto"/>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sz w:val="21"/>
                <w:szCs w:val="21"/>
              </w:rPr>
              <w:t>永渭T线</w:t>
            </w:r>
          </w:p>
        </w:tc>
        <w:tc>
          <w:tcPr>
            <w:tcW w:w="1707" w:type="dxa"/>
            <w:tcBorders>
              <w:top w:val="single" w:color="000000" w:sz="6" w:space="0"/>
              <w:left w:val="nil"/>
              <w:bottom w:val="single" w:color="000000" w:sz="6" w:space="0"/>
              <w:right w:val="single" w:color="000000" w:sz="6" w:space="0"/>
            </w:tcBorders>
            <w:vAlign w:val="center"/>
          </w:tcPr>
          <w:p>
            <w:pPr>
              <w:autoSpaceDN w:val="0"/>
              <w:adjustRightInd w:val="0"/>
              <w:snapToGrid w:val="0"/>
              <w:spacing w:line="360" w:lineRule="auto"/>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sz w:val="21"/>
                <w:szCs w:val="21"/>
              </w:rPr>
              <w:t>5.605</w:t>
            </w:r>
          </w:p>
        </w:tc>
        <w:tc>
          <w:tcPr>
            <w:tcW w:w="1370" w:type="dxa"/>
            <w:tcBorders>
              <w:top w:val="single" w:color="000000" w:sz="6" w:space="0"/>
              <w:left w:val="nil"/>
              <w:bottom w:val="single" w:color="000000" w:sz="6" w:space="0"/>
              <w:right w:val="single" w:color="000000" w:sz="12" w:space="0"/>
            </w:tcBorders>
            <w:vAlign w:val="center"/>
          </w:tcPr>
          <w:p>
            <w:pPr>
              <w:autoSpaceDN w:val="0"/>
              <w:adjustRightInd w:val="0"/>
              <w:snapToGrid w:val="0"/>
              <w:spacing w:line="360" w:lineRule="auto"/>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46</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 w:type="dxa"/>
            <w:bottom w:w="0" w:type="dxa"/>
            <w:right w:w="10" w:type="dxa"/>
          </w:tblCellMar>
        </w:tblPrEx>
        <w:trPr>
          <w:trHeight w:val="255" w:hRule="atLeast"/>
          <w:jc w:val="center"/>
        </w:trPr>
        <w:tc>
          <w:tcPr>
            <w:tcW w:w="641" w:type="dxa"/>
            <w:vMerge w:val="continue"/>
            <w:tcBorders>
              <w:top w:val="nil"/>
              <w:left w:val="single" w:color="000000" w:sz="12" w:space="0"/>
              <w:bottom w:val="single" w:color="000000" w:sz="12" w:space="0"/>
              <w:right w:val="single" w:color="000000" w:sz="6" w:space="0"/>
            </w:tcBorders>
            <w:vAlign w:val="center"/>
          </w:tcPr>
          <w:p>
            <w:pPr>
              <w:widowControl/>
              <w:jc w:val="center"/>
              <w:rPr>
                <w:rFonts w:hint="eastAsia" w:ascii="方正仿宋_GB2312" w:hAnsi="方正仿宋_GB2312" w:eastAsia="方正仿宋_GB2312" w:cs="方正仿宋_GB2312"/>
                <w:kern w:val="0"/>
                <w:sz w:val="21"/>
                <w:szCs w:val="21"/>
              </w:rPr>
            </w:pPr>
          </w:p>
        </w:tc>
        <w:tc>
          <w:tcPr>
            <w:tcW w:w="1181" w:type="dxa"/>
            <w:vMerge w:val="continue"/>
            <w:tcBorders>
              <w:top w:val="nil"/>
              <w:left w:val="nil"/>
              <w:bottom w:val="single" w:color="000000" w:sz="12" w:space="0"/>
              <w:right w:val="single" w:color="000000" w:sz="6" w:space="0"/>
            </w:tcBorders>
            <w:vAlign w:val="center"/>
          </w:tcPr>
          <w:p>
            <w:pPr>
              <w:widowControl/>
              <w:jc w:val="center"/>
              <w:rPr>
                <w:rFonts w:hint="eastAsia" w:ascii="方正仿宋_GB2312" w:hAnsi="方正仿宋_GB2312" w:eastAsia="方正仿宋_GB2312" w:cs="方正仿宋_GB2312"/>
                <w:kern w:val="0"/>
                <w:sz w:val="21"/>
                <w:szCs w:val="21"/>
              </w:rPr>
            </w:pPr>
          </w:p>
        </w:tc>
        <w:tc>
          <w:tcPr>
            <w:tcW w:w="1450" w:type="dxa"/>
            <w:vMerge w:val="continue"/>
            <w:tcBorders>
              <w:top w:val="nil"/>
              <w:left w:val="nil"/>
              <w:bottom w:val="single" w:color="000000" w:sz="12" w:space="0"/>
              <w:right w:val="single" w:color="000000" w:sz="6" w:space="0"/>
            </w:tcBorders>
            <w:vAlign w:val="center"/>
          </w:tcPr>
          <w:p>
            <w:pPr>
              <w:widowControl/>
              <w:jc w:val="center"/>
              <w:rPr>
                <w:rFonts w:hint="eastAsia" w:ascii="方正仿宋_GB2312" w:hAnsi="方正仿宋_GB2312" w:eastAsia="方正仿宋_GB2312" w:cs="方正仿宋_GB2312"/>
                <w:kern w:val="0"/>
                <w:sz w:val="21"/>
                <w:szCs w:val="21"/>
              </w:rPr>
            </w:pPr>
          </w:p>
        </w:tc>
        <w:tc>
          <w:tcPr>
            <w:tcW w:w="1135" w:type="dxa"/>
            <w:tcBorders>
              <w:top w:val="single" w:color="000000" w:sz="6" w:space="0"/>
              <w:left w:val="nil"/>
              <w:bottom w:val="single" w:color="000000" w:sz="6" w:space="0"/>
              <w:right w:val="single" w:color="000000" w:sz="6" w:space="0"/>
            </w:tcBorders>
            <w:vAlign w:val="center"/>
          </w:tcPr>
          <w:p>
            <w:pPr>
              <w:autoSpaceDN w:val="0"/>
              <w:adjustRightInd w:val="0"/>
              <w:snapToGrid w:val="0"/>
              <w:spacing w:line="360" w:lineRule="auto"/>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肖农线</w:t>
            </w:r>
          </w:p>
        </w:tc>
        <w:tc>
          <w:tcPr>
            <w:tcW w:w="1707" w:type="dxa"/>
            <w:tcBorders>
              <w:top w:val="single" w:color="000000" w:sz="6" w:space="0"/>
              <w:left w:val="nil"/>
              <w:bottom w:val="single" w:color="000000" w:sz="6" w:space="0"/>
              <w:right w:val="single" w:color="000000" w:sz="6" w:space="0"/>
            </w:tcBorders>
            <w:vAlign w:val="center"/>
          </w:tcPr>
          <w:p>
            <w:pPr>
              <w:autoSpaceDN w:val="0"/>
              <w:adjustRightInd w:val="0"/>
              <w:snapToGrid w:val="0"/>
              <w:spacing w:line="360" w:lineRule="auto"/>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0.936</w:t>
            </w:r>
          </w:p>
        </w:tc>
        <w:tc>
          <w:tcPr>
            <w:tcW w:w="1370" w:type="dxa"/>
            <w:tcBorders>
              <w:top w:val="single" w:color="000000" w:sz="6" w:space="0"/>
              <w:left w:val="nil"/>
              <w:bottom w:val="single" w:color="000000" w:sz="6" w:space="0"/>
              <w:right w:val="single" w:color="000000" w:sz="12" w:space="0"/>
            </w:tcBorders>
            <w:vAlign w:val="center"/>
          </w:tcPr>
          <w:p>
            <w:pPr>
              <w:autoSpaceDN w:val="0"/>
              <w:adjustRightInd w:val="0"/>
              <w:snapToGrid w:val="0"/>
              <w:spacing w:line="360" w:lineRule="auto"/>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27</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 w:type="dxa"/>
            <w:bottom w:w="0" w:type="dxa"/>
            <w:right w:w="10" w:type="dxa"/>
          </w:tblCellMar>
        </w:tblPrEx>
        <w:trPr>
          <w:trHeight w:val="90" w:hRule="atLeast"/>
          <w:jc w:val="center"/>
        </w:trPr>
        <w:tc>
          <w:tcPr>
            <w:tcW w:w="641" w:type="dxa"/>
            <w:vMerge w:val="continue"/>
            <w:tcBorders>
              <w:top w:val="nil"/>
              <w:left w:val="single" w:color="000000" w:sz="12" w:space="0"/>
              <w:bottom w:val="single" w:color="000000" w:sz="12" w:space="0"/>
              <w:right w:val="single" w:color="000000" w:sz="6" w:space="0"/>
            </w:tcBorders>
            <w:vAlign w:val="center"/>
          </w:tcPr>
          <w:p>
            <w:pPr>
              <w:widowControl/>
              <w:jc w:val="center"/>
              <w:rPr>
                <w:rFonts w:hint="eastAsia" w:ascii="方正仿宋_GB2312" w:hAnsi="方正仿宋_GB2312" w:eastAsia="方正仿宋_GB2312" w:cs="方正仿宋_GB2312"/>
                <w:kern w:val="0"/>
                <w:sz w:val="21"/>
                <w:szCs w:val="21"/>
              </w:rPr>
            </w:pPr>
          </w:p>
        </w:tc>
        <w:tc>
          <w:tcPr>
            <w:tcW w:w="1181" w:type="dxa"/>
            <w:vMerge w:val="continue"/>
            <w:tcBorders>
              <w:top w:val="nil"/>
              <w:left w:val="nil"/>
              <w:bottom w:val="single" w:color="000000" w:sz="12" w:space="0"/>
              <w:right w:val="single" w:color="000000" w:sz="6" w:space="0"/>
            </w:tcBorders>
            <w:vAlign w:val="center"/>
          </w:tcPr>
          <w:p>
            <w:pPr>
              <w:widowControl/>
              <w:jc w:val="center"/>
              <w:rPr>
                <w:rFonts w:hint="eastAsia" w:ascii="方正仿宋_GB2312" w:hAnsi="方正仿宋_GB2312" w:eastAsia="方正仿宋_GB2312" w:cs="方正仿宋_GB2312"/>
                <w:kern w:val="0"/>
                <w:sz w:val="21"/>
                <w:szCs w:val="21"/>
              </w:rPr>
            </w:pPr>
          </w:p>
        </w:tc>
        <w:tc>
          <w:tcPr>
            <w:tcW w:w="1450" w:type="dxa"/>
            <w:vMerge w:val="continue"/>
            <w:tcBorders>
              <w:top w:val="nil"/>
              <w:left w:val="nil"/>
              <w:bottom w:val="single" w:color="000000" w:sz="12" w:space="0"/>
              <w:right w:val="single" w:color="000000" w:sz="6" w:space="0"/>
            </w:tcBorders>
            <w:vAlign w:val="center"/>
          </w:tcPr>
          <w:p>
            <w:pPr>
              <w:widowControl/>
              <w:jc w:val="center"/>
              <w:rPr>
                <w:rFonts w:hint="eastAsia" w:ascii="方正仿宋_GB2312" w:hAnsi="方正仿宋_GB2312" w:eastAsia="方正仿宋_GB2312" w:cs="方正仿宋_GB2312"/>
                <w:kern w:val="0"/>
                <w:sz w:val="21"/>
                <w:szCs w:val="21"/>
              </w:rPr>
            </w:pPr>
          </w:p>
        </w:tc>
        <w:tc>
          <w:tcPr>
            <w:tcW w:w="1135" w:type="dxa"/>
            <w:tcBorders>
              <w:top w:val="single" w:color="000000" w:sz="6" w:space="0"/>
              <w:left w:val="nil"/>
              <w:bottom w:val="single" w:color="000000" w:sz="6" w:space="0"/>
              <w:right w:val="single" w:color="000000" w:sz="6" w:space="0"/>
            </w:tcBorders>
            <w:vAlign w:val="center"/>
          </w:tcPr>
          <w:p>
            <w:pPr>
              <w:autoSpaceDN w:val="0"/>
              <w:adjustRightInd w:val="0"/>
              <w:snapToGrid w:val="0"/>
              <w:spacing w:line="360" w:lineRule="auto"/>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池泾线</w:t>
            </w:r>
          </w:p>
        </w:tc>
        <w:tc>
          <w:tcPr>
            <w:tcW w:w="1707" w:type="dxa"/>
            <w:tcBorders>
              <w:top w:val="single" w:color="000000" w:sz="6" w:space="0"/>
              <w:left w:val="nil"/>
              <w:bottom w:val="single" w:color="000000" w:sz="6" w:space="0"/>
              <w:right w:val="single" w:color="000000" w:sz="6" w:space="0"/>
            </w:tcBorders>
            <w:vAlign w:val="center"/>
          </w:tcPr>
          <w:p>
            <w:pPr>
              <w:autoSpaceDN w:val="0"/>
              <w:adjustRightInd w:val="0"/>
              <w:snapToGrid w:val="0"/>
              <w:spacing w:line="360" w:lineRule="auto"/>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12.257</w:t>
            </w:r>
          </w:p>
        </w:tc>
        <w:tc>
          <w:tcPr>
            <w:tcW w:w="1370" w:type="dxa"/>
            <w:tcBorders>
              <w:top w:val="single" w:color="000000" w:sz="6" w:space="0"/>
              <w:left w:val="nil"/>
              <w:bottom w:val="single" w:color="000000" w:sz="6" w:space="0"/>
              <w:right w:val="single" w:color="000000" w:sz="12" w:space="0"/>
            </w:tcBorders>
            <w:vAlign w:val="center"/>
          </w:tcPr>
          <w:p>
            <w:pPr>
              <w:autoSpaceDN w:val="0"/>
              <w:adjustRightInd w:val="0"/>
              <w:snapToGrid w:val="0"/>
              <w:spacing w:line="360" w:lineRule="auto"/>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29</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 w:type="dxa"/>
            <w:bottom w:w="0" w:type="dxa"/>
            <w:right w:w="10" w:type="dxa"/>
          </w:tblCellMar>
        </w:tblPrEx>
        <w:trPr>
          <w:trHeight w:val="90" w:hRule="atLeast"/>
          <w:jc w:val="center"/>
        </w:trPr>
        <w:tc>
          <w:tcPr>
            <w:tcW w:w="641" w:type="dxa"/>
            <w:vMerge w:val="continue"/>
            <w:tcBorders>
              <w:top w:val="nil"/>
              <w:left w:val="single" w:color="000000" w:sz="12" w:space="0"/>
              <w:bottom w:val="single" w:color="000000" w:sz="12" w:space="0"/>
              <w:right w:val="single" w:color="000000" w:sz="6" w:space="0"/>
            </w:tcBorders>
            <w:vAlign w:val="center"/>
          </w:tcPr>
          <w:p>
            <w:pPr>
              <w:widowControl/>
              <w:jc w:val="center"/>
              <w:rPr>
                <w:rFonts w:hint="eastAsia" w:ascii="方正仿宋_GB2312" w:hAnsi="方正仿宋_GB2312" w:eastAsia="方正仿宋_GB2312" w:cs="方正仿宋_GB2312"/>
                <w:kern w:val="0"/>
                <w:sz w:val="21"/>
                <w:szCs w:val="21"/>
              </w:rPr>
            </w:pPr>
          </w:p>
        </w:tc>
        <w:tc>
          <w:tcPr>
            <w:tcW w:w="1181" w:type="dxa"/>
            <w:vMerge w:val="continue"/>
            <w:tcBorders>
              <w:top w:val="nil"/>
              <w:left w:val="nil"/>
              <w:bottom w:val="single" w:color="000000" w:sz="12" w:space="0"/>
              <w:right w:val="single" w:color="000000" w:sz="6" w:space="0"/>
            </w:tcBorders>
            <w:vAlign w:val="center"/>
          </w:tcPr>
          <w:p>
            <w:pPr>
              <w:widowControl/>
              <w:jc w:val="center"/>
              <w:rPr>
                <w:rFonts w:hint="eastAsia" w:ascii="方正仿宋_GB2312" w:hAnsi="方正仿宋_GB2312" w:eastAsia="方正仿宋_GB2312" w:cs="方正仿宋_GB2312"/>
                <w:kern w:val="0"/>
                <w:sz w:val="21"/>
                <w:szCs w:val="21"/>
              </w:rPr>
            </w:pPr>
          </w:p>
        </w:tc>
        <w:tc>
          <w:tcPr>
            <w:tcW w:w="1450" w:type="dxa"/>
            <w:vMerge w:val="continue"/>
            <w:tcBorders>
              <w:top w:val="nil"/>
              <w:left w:val="nil"/>
              <w:bottom w:val="single" w:color="000000" w:sz="12" w:space="0"/>
              <w:right w:val="single" w:color="000000" w:sz="6" w:space="0"/>
            </w:tcBorders>
            <w:vAlign w:val="center"/>
          </w:tcPr>
          <w:p>
            <w:pPr>
              <w:widowControl/>
              <w:jc w:val="center"/>
              <w:rPr>
                <w:rFonts w:hint="eastAsia" w:ascii="方正仿宋_GB2312" w:hAnsi="方正仿宋_GB2312" w:eastAsia="方正仿宋_GB2312" w:cs="方正仿宋_GB2312"/>
                <w:kern w:val="0"/>
                <w:sz w:val="21"/>
                <w:szCs w:val="21"/>
              </w:rPr>
            </w:pPr>
          </w:p>
        </w:tc>
        <w:tc>
          <w:tcPr>
            <w:tcW w:w="1135" w:type="dxa"/>
            <w:tcBorders>
              <w:top w:val="single" w:color="000000" w:sz="6" w:space="0"/>
              <w:left w:val="nil"/>
              <w:bottom w:val="single" w:color="000000" w:sz="6" w:space="0"/>
              <w:right w:val="single" w:color="000000" w:sz="6" w:space="0"/>
            </w:tcBorders>
            <w:vAlign w:val="center"/>
          </w:tcPr>
          <w:p>
            <w:pPr>
              <w:autoSpaceDN w:val="0"/>
              <w:adjustRightInd w:val="0"/>
              <w:snapToGrid w:val="0"/>
              <w:spacing w:line="360" w:lineRule="auto"/>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池永线</w:t>
            </w:r>
          </w:p>
        </w:tc>
        <w:tc>
          <w:tcPr>
            <w:tcW w:w="1707" w:type="dxa"/>
            <w:tcBorders>
              <w:top w:val="single" w:color="000000" w:sz="6" w:space="0"/>
              <w:left w:val="nil"/>
              <w:bottom w:val="single" w:color="000000" w:sz="6" w:space="0"/>
              <w:right w:val="single" w:color="000000" w:sz="6" w:space="0"/>
            </w:tcBorders>
            <w:vAlign w:val="center"/>
          </w:tcPr>
          <w:p>
            <w:pPr>
              <w:autoSpaceDN w:val="0"/>
              <w:adjustRightInd w:val="0"/>
              <w:snapToGrid w:val="0"/>
              <w:spacing w:line="360" w:lineRule="auto"/>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13.145</w:t>
            </w:r>
          </w:p>
        </w:tc>
        <w:tc>
          <w:tcPr>
            <w:tcW w:w="1370" w:type="dxa"/>
            <w:tcBorders>
              <w:top w:val="single" w:color="000000" w:sz="6" w:space="0"/>
              <w:left w:val="nil"/>
              <w:bottom w:val="single" w:color="000000" w:sz="6" w:space="0"/>
              <w:right w:val="single" w:color="000000" w:sz="12" w:space="0"/>
            </w:tcBorders>
            <w:vAlign w:val="center"/>
          </w:tcPr>
          <w:p>
            <w:pPr>
              <w:autoSpaceDN w:val="0"/>
              <w:adjustRightInd w:val="0"/>
              <w:snapToGrid w:val="0"/>
              <w:spacing w:line="360" w:lineRule="auto"/>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46</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 w:type="dxa"/>
            <w:bottom w:w="0" w:type="dxa"/>
            <w:right w:w="10" w:type="dxa"/>
          </w:tblCellMar>
        </w:tblPrEx>
        <w:trPr>
          <w:trHeight w:val="90" w:hRule="atLeast"/>
          <w:jc w:val="center"/>
        </w:trPr>
        <w:tc>
          <w:tcPr>
            <w:tcW w:w="641" w:type="dxa"/>
            <w:vMerge w:val="continue"/>
            <w:tcBorders>
              <w:top w:val="nil"/>
              <w:left w:val="single" w:color="000000" w:sz="12" w:space="0"/>
              <w:bottom w:val="single" w:color="000000" w:sz="12" w:space="0"/>
              <w:right w:val="single" w:color="000000" w:sz="6" w:space="0"/>
            </w:tcBorders>
            <w:vAlign w:val="center"/>
          </w:tcPr>
          <w:p>
            <w:pPr>
              <w:widowControl/>
              <w:jc w:val="center"/>
              <w:rPr>
                <w:rFonts w:hint="eastAsia" w:ascii="方正仿宋_GB2312" w:hAnsi="方正仿宋_GB2312" w:eastAsia="方正仿宋_GB2312" w:cs="方正仿宋_GB2312"/>
                <w:kern w:val="0"/>
                <w:sz w:val="21"/>
                <w:szCs w:val="21"/>
              </w:rPr>
            </w:pPr>
          </w:p>
        </w:tc>
        <w:tc>
          <w:tcPr>
            <w:tcW w:w="1181" w:type="dxa"/>
            <w:vMerge w:val="continue"/>
            <w:tcBorders>
              <w:top w:val="nil"/>
              <w:left w:val="nil"/>
              <w:bottom w:val="single" w:color="000000" w:sz="12" w:space="0"/>
              <w:right w:val="single" w:color="000000" w:sz="6" w:space="0"/>
            </w:tcBorders>
            <w:vAlign w:val="center"/>
          </w:tcPr>
          <w:p>
            <w:pPr>
              <w:widowControl/>
              <w:jc w:val="center"/>
              <w:rPr>
                <w:rFonts w:hint="eastAsia" w:ascii="方正仿宋_GB2312" w:hAnsi="方正仿宋_GB2312" w:eastAsia="方正仿宋_GB2312" w:cs="方正仿宋_GB2312"/>
                <w:kern w:val="0"/>
                <w:sz w:val="21"/>
                <w:szCs w:val="21"/>
              </w:rPr>
            </w:pPr>
          </w:p>
        </w:tc>
        <w:tc>
          <w:tcPr>
            <w:tcW w:w="1450" w:type="dxa"/>
            <w:vMerge w:val="continue"/>
            <w:tcBorders>
              <w:top w:val="nil"/>
              <w:left w:val="nil"/>
              <w:bottom w:val="single" w:color="000000" w:sz="12" w:space="0"/>
              <w:right w:val="single" w:color="000000" w:sz="6" w:space="0"/>
            </w:tcBorders>
            <w:vAlign w:val="center"/>
          </w:tcPr>
          <w:p>
            <w:pPr>
              <w:widowControl/>
              <w:jc w:val="center"/>
              <w:rPr>
                <w:rFonts w:hint="eastAsia" w:ascii="方正仿宋_GB2312" w:hAnsi="方正仿宋_GB2312" w:eastAsia="方正仿宋_GB2312" w:cs="方正仿宋_GB2312"/>
                <w:kern w:val="0"/>
                <w:sz w:val="21"/>
                <w:szCs w:val="21"/>
              </w:rPr>
            </w:pPr>
          </w:p>
        </w:tc>
        <w:tc>
          <w:tcPr>
            <w:tcW w:w="1135" w:type="dxa"/>
            <w:tcBorders>
              <w:top w:val="single" w:color="000000" w:sz="6" w:space="0"/>
              <w:left w:val="nil"/>
              <w:bottom w:val="single" w:color="000000" w:sz="12" w:space="0"/>
              <w:right w:val="single" w:color="000000" w:sz="6" w:space="0"/>
            </w:tcBorders>
            <w:vAlign w:val="center"/>
          </w:tcPr>
          <w:p>
            <w:pPr>
              <w:autoSpaceDN w:val="0"/>
              <w:adjustRightInd w:val="0"/>
              <w:snapToGrid w:val="0"/>
              <w:spacing w:line="360" w:lineRule="auto"/>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三渭线</w:t>
            </w:r>
          </w:p>
        </w:tc>
        <w:tc>
          <w:tcPr>
            <w:tcW w:w="1707" w:type="dxa"/>
            <w:tcBorders>
              <w:top w:val="single" w:color="000000" w:sz="6" w:space="0"/>
              <w:left w:val="nil"/>
              <w:bottom w:val="single" w:color="000000" w:sz="12" w:space="0"/>
              <w:right w:val="single" w:color="000000" w:sz="6" w:space="0"/>
            </w:tcBorders>
            <w:vAlign w:val="center"/>
          </w:tcPr>
          <w:p>
            <w:pPr>
              <w:autoSpaceDN w:val="0"/>
              <w:adjustRightInd w:val="0"/>
              <w:snapToGrid w:val="0"/>
              <w:spacing w:line="360" w:lineRule="auto"/>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21.704</w:t>
            </w:r>
          </w:p>
        </w:tc>
        <w:tc>
          <w:tcPr>
            <w:tcW w:w="1370" w:type="dxa"/>
            <w:tcBorders>
              <w:top w:val="single" w:color="000000" w:sz="6" w:space="0"/>
              <w:left w:val="nil"/>
              <w:bottom w:val="single" w:color="000000" w:sz="12" w:space="0"/>
              <w:right w:val="single" w:color="000000" w:sz="12" w:space="0"/>
            </w:tcBorders>
            <w:vAlign w:val="center"/>
          </w:tcPr>
          <w:p>
            <w:pPr>
              <w:autoSpaceDN w:val="0"/>
              <w:adjustRightInd w:val="0"/>
              <w:snapToGrid w:val="0"/>
              <w:spacing w:line="360" w:lineRule="auto"/>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23</w:t>
            </w:r>
          </w:p>
        </w:tc>
      </w:tr>
    </w:tbl>
    <w:p>
      <w:pPr>
        <w:rPr>
          <w:rFonts w:hint="eastAsia" w:ascii="方正楷体_GB2312" w:hAnsi="方正楷体_GB2312" w:eastAsia="方正楷体_GB2312" w:cs="方正楷体_GB2312"/>
        </w:rPr>
      </w:pPr>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156" w:name="_Toc59973897"/>
      <w:bookmarkStart w:id="157" w:name="_Toc74041160"/>
      <w:r>
        <w:rPr>
          <w:rFonts w:eastAsia="仿宋"/>
          <w:sz w:val="32"/>
          <w:szCs w:val="32"/>
        </w:rPr>
        <w:t>供电能力</w:t>
      </w:r>
      <w:bookmarkEnd w:id="156"/>
      <w:bookmarkEnd w:id="157"/>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2020年，西咸电网110千伏变电站无主变负载率超过100%，有2座330千伏变电站5台330千伏主变负载率超过70%，分别为沣河变#1、#2、#3主变，古渡变#1、#2主变；110千伏变电站有3座站4台主变负载率在80%-100%,分别为泾阳变#1、#2主变，永乐变#2主变，咏佳变#1主变；3座站4台主变负载率在70%-80%，分别为三桥变#2，陈阳变#1、#2主变，空港变#2主变。</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 w:hAnsi="仿宋" w:cs="仿宋"/>
          <w:kern w:val="2"/>
          <w:sz w:val="32"/>
          <w:szCs w:val="32"/>
          <w:lang w:val="en-US" w:eastAsia="zh-CN" w:bidi="ar-SA"/>
        </w:rPr>
      </w:pP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 w:hAnsi="仿宋" w:cs="仿宋"/>
          <w:kern w:val="2"/>
          <w:sz w:val="32"/>
          <w:szCs w:val="32"/>
          <w:lang w:val="en-US" w:eastAsia="zh-CN" w:bidi="ar-SA"/>
        </w:rPr>
      </w:pPr>
    </w:p>
    <w:p>
      <w:pPr>
        <w:pStyle w:val="2"/>
        <w:rPr>
          <w:rFonts w:hint="eastAsia"/>
          <w:lang w:eastAsia="zh-CN"/>
        </w:rPr>
      </w:pPr>
    </w:p>
    <w:p>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表3-7  110千伏变电站、主变重载情况</w:t>
      </w:r>
    </w:p>
    <w:tbl>
      <w:tblPr>
        <w:tblStyle w:val="89"/>
        <w:tblW w:w="94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50"/>
        <w:gridCol w:w="2350"/>
        <w:gridCol w:w="2350"/>
        <w:gridCol w:w="23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7" w:hRule="atLeast"/>
        </w:trPr>
        <w:tc>
          <w:tcPr>
            <w:tcW w:w="9420" w:type="dxa"/>
            <w:gridSpan w:val="4"/>
          </w:tcPr>
          <w:p>
            <w:pPr>
              <w:keepNext w:val="0"/>
              <w:keepLines w:val="0"/>
              <w:pageBreakBefore w:val="0"/>
              <w:kinsoku/>
              <w:wordWrap/>
              <w:overflowPunct/>
              <w:topLinePunct w:val="0"/>
              <w:autoSpaceDE/>
              <w:autoSpaceDN/>
              <w:bidi w:val="0"/>
              <w:adjustRightInd w:val="0"/>
              <w:snapToGrid w:val="0"/>
              <w:spacing w:line="400" w:lineRule="exact"/>
              <w:jc w:val="center"/>
              <w:rPr>
                <w:rFonts w:hint="eastAsia" w:ascii="方正仿宋_GB2312" w:hAnsi="方正仿宋_GB2312" w:eastAsia="方正仿宋_GB2312" w:cs="方正仿宋_GB2312"/>
                <w:sz w:val="21"/>
                <w:szCs w:val="21"/>
                <w:vertAlign w:val="baseline"/>
                <w:lang w:val="en-US" w:eastAsia="zh-CN"/>
              </w:rPr>
            </w:pPr>
            <w:r>
              <w:rPr>
                <w:rFonts w:hint="eastAsia" w:ascii="方正仿宋_GB2312" w:hAnsi="方正仿宋_GB2312" w:eastAsia="方正仿宋_GB2312" w:cs="方正仿宋_GB2312"/>
                <w:bCs/>
                <w:sz w:val="21"/>
                <w:szCs w:val="21"/>
                <w:lang w:bidi="ar"/>
              </w:rPr>
              <w:t>330千伏主变（负载率≥70%）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7" w:hRule="atLeast"/>
        </w:trPr>
        <w:tc>
          <w:tcPr>
            <w:tcW w:w="2350" w:type="dxa"/>
            <w:vAlign w:val="center"/>
          </w:tcPr>
          <w:p>
            <w:pPr>
              <w:pStyle w:val="81"/>
              <w:keepNext w:val="0"/>
              <w:keepLines w:val="0"/>
              <w:pageBreakBefore w:val="0"/>
              <w:kinsoku/>
              <w:wordWrap/>
              <w:overflowPunct/>
              <w:topLinePunct w:val="0"/>
              <w:autoSpaceDE/>
              <w:autoSpaceDN/>
              <w:bidi w:val="0"/>
              <w:spacing w:before="0" w:beforeAutospacing="0" w:after="0" w:afterAutospacing="0" w:line="400" w:lineRule="exact"/>
              <w:ind w:firstLine="360" w:firstLineChars="0"/>
              <w:jc w:val="center"/>
              <w:textAlignment w:val="center"/>
              <w:rPr>
                <w:rFonts w:hint="eastAsia" w:ascii="方正仿宋_GB2312" w:hAnsi="方正仿宋_GB2312" w:eastAsia="方正仿宋_GB2312" w:cs="方正仿宋_GB2312"/>
                <w:kern w:val="2"/>
                <w:sz w:val="21"/>
                <w:szCs w:val="21"/>
                <w:lang w:val="en-US" w:eastAsia="zh-CN" w:bidi="ar-SA"/>
              </w:rPr>
            </w:pPr>
            <w:r>
              <w:rPr>
                <w:rFonts w:hint="eastAsia" w:ascii="方正仿宋_GB2312" w:hAnsi="方正仿宋_GB2312" w:eastAsia="方正仿宋_GB2312" w:cs="方正仿宋_GB2312"/>
                <w:bCs/>
                <w:color w:val="000000"/>
                <w:kern w:val="24"/>
                <w:sz w:val="21"/>
                <w:szCs w:val="21"/>
              </w:rPr>
              <w:t>序号</w:t>
            </w:r>
          </w:p>
        </w:tc>
        <w:tc>
          <w:tcPr>
            <w:tcW w:w="2350" w:type="dxa"/>
            <w:vAlign w:val="center"/>
          </w:tcPr>
          <w:p>
            <w:pPr>
              <w:pStyle w:val="81"/>
              <w:keepNext w:val="0"/>
              <w:keepLines w:val="0"/>
              <w:pageBreakBefore w:val="0"/>
              <w:kinsoku/>
              <w:wordWrap/>
              <w:overflowPunct/>
              <w:topLinePunct w:val="0"/>
              <w:autoSpaceDE/>
              <w:autoSpaceDN/>
              <w:bidi w:val="0"/>
              <w:spacing w:before="0" w:beforeAutospacing="0" w:after="0" w:afterAutospacing="0" w:line="400" w:lineRule="exact"/>
              <w:ind w:firstLine="360" w:firstLineChars="0"/>
              <w:jc w:val="center"/>
              <w:textAlignment w:val="center"/>
              <w:rPr>
                <w:rFonts w:hint="eastAsia" w:ascii="方正仿宋_GB2312" w:hAnsi="方正仿宋_GB2312" w:eastAsia="方正仿宋_GB2312" w:cs="方正仿宋_GB2312"/>
                <w:kern w:val="2"/>
                <w:sz w:val="21"/>
                <w:szCs w:val="21"/>
                <w:lang w:val="en-US" w:eastAsia="zh-CN" w:bidi="ar-SA"/>
              </w:rPr>
            </w:pPr>
            <w:r>
              <w:rPr>
                <w:rFonts w:hint="eastAsia" w:ascii="方正仿宋_GB2312" w:hAnsi="方正仿宋_GB2312" w:eastAsia="方正仿宋_GB2312" w:cs="方正仿宋_GB2312"/>
                <w:bCs/>
                <w:color w:val="000000"/>
                <w:kern w:val="24"/>
                <w:sz w:val="21"/>
                <w:szCs w:val="21"/>
              </w:rPr>
              <w:t>主变名称</w:t>
            </w:r>
          </w:p>
        </w:tc>
        <w:tc>
          <w:tcPr>
            <w:tcW w:w="2350" w:type="dxa"/>
            <w:vAlign w:val="center"/>
          </w:tcPr>
          <w:p>
            <w:pPr>
              <w:pStyle w:val="81"/>
              <w:keepNext w:val="0"/>
              <w:keepLines w:val="0"/>
              <w:pageBreakBefore w:val="0"/>
              <w:kinsoku/>
              <w:wordWrap/>
              <w:overflowPunct/>
              <w:topLinePunct w:val="0"/>
              <w:autoSpaceDE/>
              <w:autoSpaceDN/>
              <w:bidi w:val="0"/>
              <w:spacing w:before="0" w:beforeAutospacing="0" w:after="0" w:afterAutospacing="0" w:line="400" w:lineRule="exact"/>
              <w:ind w:firstLine="360" w:firstLineChars="0"/>
              <w:jc w:val="center"/>
              <w:textAlignment w:val="center"/>
              <w:rPr>
                <w:rFonts w:hint="eastAsia" w:ascii="方正仿宋_GB2312" w:hAnsi="方正仿宋_GB2312" w:eastAsia="方正仿宋_GB2312" w:cs="方正仿宋_GB2312"/>
                <w:kern w:val="2"/>
                <w:sz w:val="21"/>
                <w:szCs w:val="21"/>
                <w:lang w:val="en-US" w:eastAsia="zh-CN" w:bidi="ar-SA"/>
              </w:rPr>
            </w:pPr>
            <w:r>
              <w:rPr>
                <w:rFonts w:hint="eastAsia" w:ascii="方正仿宋_GB2312" w:hAnsi="方正仿宋_GB2312" w:eastAsia="方正仿宋_GB2312" w:cs="方正仿宋_GB2312"/>
                <w:bCs/>
                <w:color w:val="000000"/>
                <w:kern w:val="24"/>
                <w:sz w:val="21"/>
                <w:szCs w:val="21"/>
              </w:rPr>
              <w:t>最大负荷</w:t>
            </w:r>
          </w:p>
        </w:tc>
        <w:tc>
          <w:tcPr>
            <w:tcW w:w="2370" w:type="dxa"/>
            <w:vAlign w:val="center"/>
          </w:tcPr>
          <w:p>
            <w:pPr>
              <w:pStyle w:val="81"/>
              <w:keepNext w:val="0"/>
              <w:keepLines w:val="0"/>
              <w:pageBreakBefore w:val="0"/>
              <w:kinsoku/>
              <w:wordWrap/>
              <w:overflowPunct/>
              <w:topLinePunct w:val="0"/>
              <w:autoSpaceDE/>
              <w:autoSpaceDN/>
              <w:bidi w:val="0"/>
              <w:spacing w:before="0" w:beforeAutospacing="0" w:after="0" w:afterAutospacing="0" w:line="400" w:lineRule="exact"/>
              <w:ind w:firstLine="360" w:firstLineChars="0"/>
              <w:jc w:val="center"/>
              <w:textAlignment w:val="center"/>
              <w:rPr>
                <w:rFonts w:hint="eastAsia" w:ascii="方正仿宋_GB2312" w:hAnsi="方正仿宋_GB2312" w:eastAsia="方正仿宋_GB2312" w:cs="方正仿宋_GB2312"/>
                <w:kern w:val="2"/>
                <w:sz w:val="21"/>
                <w:szCs w:val="21"/>
                <w:lang w:val="en-US" w:eastAsia="zh-CN" w:bidi="ar-SA"/>
              </w:rPr>
            </w:pPr>
            <w:r>
              <w:rPr>
                <w:rFonts w:hint="eastAsia" w:ascii="方正仿宋_GB2312" w:hAnsi="方正仿宋_GB2312" w:eastAsia="方正仿宋_GB2312" w:cs="方正仿宋_GB2312"/>
                <w:bCs/>
                <w:color w:val="000000"/>
                <w:kern w:val="24"/>
                <w:sz w:val="21"/>
                <w:szCs w:val="21"/>
              </w:rPr>
              <w:t>负载率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2" w:hRule="atLeast"/>
        </w:trPr>
        <w:tc>
          <w:tcPr>
            <w:tcW w:w="2350" w:type="dxa"/>
            <w:vAlign w:val="center"/>
          </w:tcPr>
          <w:p>
            <w:pPr>
              <w:pStyle w:val="81"/>
              <w:keepNext w:val="0"/>
              <w:keepLines w:val="0"/>
              <w:pageBreakBefore w:val="0"/>
              <w:kinsoku/>
              <w:wordWrap/>
              <w:overflowPunct/>
              <w:topLinePunct w:val="0"/>
              <w:autoSpaceDE/>
              <w:autoSpaceDN/>
              <w:bidi w:val="0"/>
              <w:spacing w:before="0" w:beforeAutospacing="0" w:after="0" w:afterAutospacing="0" w:line="400" w:lineRule="exact"/>
              <w:ind w:firstLine="360" w:firstLineChars="0"/>
              <w:jc w:val="center"/>
              <w:textAlignment w:val="center"/>
              <w:rPr>
                <w:rFonts w:hint="eastAsia" w:ascii="方正仿宋_GB2312" w:hAnsi="方正仿宋_GB2312" w:eastAsia="方正仿宋_GB2312" w:cs="方正仿宋_GB2312"/>
                <w:kern w:val="2"/>
                <w:sz w:val="21"/>
                <w:szCs w:val="21"/>
                <w:lang w:val="en-US" w:eastAsia="zh-CN" w:bidi="ar-SA"/>
              </w:rPr>
            </w:pPr>
            <w:r>
              <w:rPr>
                <w:rFonts w:hint="eastAsia" w:ascii="方正仿宋_GB2312" w:hAnsi="方正仿宋_GB2312" w:eastAsia="方正仿宋_GB2312" w:cs="方正仿宋_GB2312"/>
                <w:bCs/>
                <w:color w:val="000000"/>
                <w:kern w:val="24"/>
                <w:sz w:val="21"/>
                <w:szCs w:val="21"/>
              </w:rPr>
              <w:t>1</w:t>
            </w:r>
          </w:p>
        </w:tc>
        <w:tc>
          <w:tcPr>
            <w:tcW w:w="2350" w:type="dxa"/>
            <w:vAlign w:val="center"/>
          </w:tcPr>
          <w:p>
            <w:pPr>
              <w:pStyle w:val="81"/>
              <w:keepNext w:val="0"/>
              <w:keepLines w:val="0"/>
              <w:pageBreakBefore w:val="0"/>
              <w:kinsoku/>
              <w:wordWrap/>
              <w:overflowPunct/>
              <w:topLinePunct w:val="0"/>
              <w:autoSpaceDE/>
              <w:autoSpaceDN/>
              <w:bidi w:val="0"/>
              <w:spacing w:before="0" w:beforeAutospacing="0" w:after="0" w:afterAutospacing="0" w:line="400" w:lineRule="exact"/>
              <w:ind w:firstLine="360" w:firstLineChars="0"/>
              <w:jc w:val="center"/>
              <w:textAlignment w:val="center"/>
              <w:rPr>
                <w:rFonts w:hint="eastAsia" w:ascii="方正仿宋_GB2312" w:hAnsi="方正仿宋_GB2312" w:eastAsia="方正仿宋_GB2312" w:cs="方正仿宋_GB2312"/>
                <w:kern w:val="2"/>
                <w:sz w:val="21"/>
                <w:szCs w:val="21"/>
                <w:lang w:val="en-US" w:eastAsia="zh-CN" w:bidi="ar-SA"/>
              </w:rPr>
            </w:pPr>
            <w:r>
              <w:rPr>
                <w:rFonts w:hint="eastAsia" w:ascii="方正仿宋_GB2312" w:hAnsi="方正仿宋_GB2312" w:eastAsia="方正仿宋_GB2312" w:cs="方正仿宋_GB2312"/>
                <w:bCs/>
                <w:color w:val="000000"/>
                <w:kern w:val="24"/>
                <w:sz w:val="21"/>
                <w:szCs w:val="21"/>
              </w:rPr>
              <w:t>沣河变#1主变</w:t>
            </w:r>
          </w:p>
        </w:tc>
        <w:tc>
          <w:tcPr>
            <w:tcW w:w="2350" w:type="dxa"/>
            <w:vAlign w:val="center"/>
          </w:tcPr>
          <w:p>
            <w:pPr>
              <w:pStyle w:val="81"/>
              <w:keepNext w:val="0"/>
              <w:keepLines w:val="0"/>
              <w:pageBreakBefore w:val="0"/>
              <w:kinsoku/>
              <w:wordWrap/>
              <w:overflowPunct/>
              <w:topLinePunct w:val="0"/>
              <w:autoSpaceDE/>
              <w:autoSpaceDN/>
              <w:bidi w:val="0"/>
              <w:spacing w:before="0" w:beforeAutospacing="0" w:after="0" w:afterAutospacing="0" w:line="400" w:lineRule="exact"/>
              <w:ind w:firstLine="360" w:firstLineChars="0"/>
              <w:jc w:val="center"/>
              <w:textAlignment w:val="center"/>
              <w:rPr>
                <w:rFonts w:hint="eastAsia" w:ascii="方正仿宋_GB2312" w:hAnsi="方正仿宋_GB2312" w:eastAsia="方正仿宋_GB2312" w:cs="方正仿宋_GB2312"/>
                <w:kern w:val="2"/>
                <w:sz w:val="21"/>
                <w:szCs w:val="21"/>
                <w:lang w:val="en-US" w:eastAsia="zh-CN" w:bidi="ar-SA"/>
              </w:rPr>
            </w:pPr>
            <w:r>
              <w:rPr>
                <w:rFonts w:hint="eastAsia" w:ascii="方正仿宋_GB2312" w:hAnsi="方正仿宋_GB2312" w:eastAsia="方正仿宋_GB2312" w:cs="方正仿宋_GB2312"/>
                <w:bCs/>
                <w:color w:val="000000"/>
                <w:kern w:val="24"/>
                <w:sz w:val="21"/>
                <w:szCs w:val="21"/>
              </w:rPr>
              <w:t xml:space="preserve">179.08兆瓦 </w:t>
            </w:r>
          </w:p>
        </w:tc>
        <w:tc>
          <w:tcPr>
            <w:tcW w:w="2370" w:type="dxa"/>
            <w:vAlign w:val="center"/>
          </w:tcPr>
          <w:p>
            <w:pPr>
              <w:pStyle w:val="81"/>
              <w:keepNext w:val="0"/>
              <w:keepLines w:val="0"/>
              <w:pageBreakBefore w:val="0"/>
              <w:kinsoku/>
              <w:wordWrap/>
              <w:overflowPunct/>
              <w:topLinePunct w:val="0"/>
              <w:autoSpaceDE/>
              <w:autoSpaceDN/>
              <w:bidi w:val="0"/>
              <w:spacing w:before="0" w:beforeAutospacing="0" w:after="0" w:afterAutospacing="0" w:line="400" w:lineRule="exact"/>
              <w:ind w:firstLine="360" w:firstLineChars="0"/>
              <w:jc w:val="center"/>
              <w:textAlignment w:val="center"/>
              <w:rPr>
                <w:rFonts w:hint="eastAsia" w:ascii="方正仿宋_GB2312" w:hAnsi="方正仿宋_GB2312" w:eastAsia="方正仿宋_GB2312" w:cs="方正仿宋_GB2312"/>
                <w:kern w:val="2"/>
                <w:sz w:val="21"/>
                <w:szCs w:val="21"/>
                <w:lang w:val="en-US" w:eastAsia="zh-CN" w:bidi="ar-SA"/>
              </w:rPr>
            </w:pPr>
            <w:r>
              <w:rPr>
                <w:rFonts w:hint="eastAsia" w:ascii="方正仿宋_GB2312" w:hAnsi="方正仿宋_GB2312" w:eastAsia="方正仿宋_GB2312" w:cs="方正仿宋_GB2312"/>
                <w:bCs/>
                <w:color w:val="000000"/>
                <w:kern w:val="24"/>
                <w:sz w:val="21"/>
                <w:szCs w:val="21"/>
              </w:rPr>
              <w:t xml:space="preserve">74.62%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trPr>
        <w:tc>
          <w:tcPr>
            <w:tcW w:w="2350" w:type="dxa"/>
            <w:vAlign w:val="center"/>
          </w:tcPr>
          <w:p>
            <w:pPr>
              <w:pStyle w:val="81"/>
              <w:spacing w:before="0" w:beforeAutospacing="0" w:after="0" w:afterAutospacing="0"/>
              <w:ind w:firstLine="360" w:firstLineChars="0"/>
              <w:jc w:val="center"/>
              <w:textAlignment w:val="center"/>
              <w:rPr>
                <w:rFonts w:hint="eastAsia" w:ascii="方正仿宋_GB2312" w:hAnsi="方正仿宋_GB2312" w:eastAsia="方正仿宋_GB2312" w:cs="方正仿宋_GB2312"/>
                <w:kern w:val="2"/>
                <w:sz w:val="21"/>
                <w:szCs w:val="21"/>
                <w:lang w:val="en-US" w:eastAsia="zh-CN" w:bidi="ar-SA"/>
              </w:rPr>
            </w:pPr>
            <w:r>
              <w:rPr>
                <w:rFonts w:hint="eastAsia" w:ascii="方正仿宋_GB2312" w:hAnsi="方正仿宋_GB2312" w:eastAsia="方正仿宋_GB2312" w:cs="方正仿宋_GB2312"/>
                <w:bCs/>
                <w:color w:val="000000"/>
                <w:kern w:val="24"/>
                <w:sz w:val="21"/>
                <w:szCs w:val="21"/>
              </w:rPr>
              <w:t>2</w:t>
            </w:r>
          </w:p>
        </w:tc>
        <w:tc>
          <w:tcPr>
            <w:tcW w:w="2350" w:type="dxa"/>
            <w:vAlign w:val="center"/>
          </w:tcPr>
          <w:p>
            <w:pPr>
              <w:pStyle w:val="81"/>
              <w:spacing w:before="0" w:beforeAutospacing="0" w:after="0" w:afterAutospacing="0"/>
              <w:ind w:firstLine="360" w:firstLineChars="0"/>
              <w:jc w:val="center"/>
              <w:textAlignment w:val="center"/>
              <w:rPr>
                <w:rFonts w:hint="eastAsia" w:ascii="方正仿宋_GB2312" w:hAnsi="方正仿宋_GB2312" w:eastAsia="方正仿宋_GB2312" w:cs="方正仿宋_GB2312"/>
                <w:kern w:val="2"/>
                <w:sz w:val="21"/>
                <w:szCs w:val="21"/>
                <w:lang w:val="en-US" w:eastAsia="zh-CN" w:bidi="ar-SA"/>
              </w:rPr>
            </w:pPr>
            <w:r>
              <w:rPr>
                <w:rFonts w:hint="eastAsia" w:ascii="方正仿宋_GB2312" w:hAnsi="方正仿宋_GB2312" w:eastAsia="方正仿宋_GB2312" w:cs="方正仿宋_GB2312"/>
                <w:bCs/>
                <w:color w:val="000000"/>
                <w:kern w:val="24"/>
                <w:sz w:val="21"/>
                <w:szCs w:val="21"/>
              </w:rPr>
              <w:t>沣河变#2主变</w:t>
            </w:r>
          </w:p>
        </w:tc>
        <w:tc>
          <w:tcPr>
            <w:tcW w:w="2350" w:type="dxa"/>
            <w:vAlign w:val="center"/>
          </w:tcPr>
          <w:p>
            <w:pPr>
              <w:pStyle w:val="81"/>
              <w:spacing w:before="0" w:beforeAutospacing="0" w:after="0" w:afterAutospacing="0"/>
              <w:ind w:firstLine="360" w:firstLineChars="0"/>
              <w:jc w:val="center"/>
              <w:textAlignment w:val="center"/>
              <w:rPr>
                <w:rFonts w:hint="eastAsia" w:ascii="方正仿宋_GB2312" w:hAnsi="方正仿宋_GB2312" w:eastAsia="方正仿宋_GB2312" w:cs="方正仿宋_GB2312"/>
                <w:kern w:val="2"/>
                <w:sz w:val="21"/>
                <w:szCs w:val="21"/>
                <w:lang w:val="en-US" w:eastAsia="zh-CN" w:bidi="ar-SA"/>
              </w:rPr>
            </w:pPr>
            <w:r>
              <w:rPr>
                <w:rFonts w:hint="eastAsia" w:ascii="方正仿宋_GB2312" w:hAnsi="方正仿宋_GB2312" w:eastAsia="方正仿宋_GB2312" w:cs="方正仿宋_GB2312"/>
                <w:bCs/>
                <w:color w:val="000000"/>
                <w:kern w:val="24"/>
                <w:sz w:val="21"/>
                <w:szCs w:val="21"/>
              </w:rPr>
              <w:t xml:space="preserve">180.62兆瓦 </w:t>
            </w:r>
          </w:p>
        </w:tc>
        <w:tc>
          <w:tcPr>
            <w:tcW w:w="2370" w:type="dxa"/>
            <w:vAlign w:val="center"/>
          </w:tcPr>
          <w:p>
            <w:pPr>
              <w:pStyle w:val="81"/>
              <w:spacing w:before="0" w:beforeAutospacing="0" w:after="0" w:afterAutospacing="0"/>
              <w:ind w:firstLine="360" w:firstLineChars="0"/>
              <w:jc w:val="center"/>
              <w:textAlignment w:val="center"/>
              <w:rPr>
                <w:rFonts w:hint="eastAsia" w:ascii="方正仿宋_GB2312" w:hAnsi="方正仿宋_GB2312" w:eastAsia="方正仿宋_GB2312" w:cs="方正仿宋_GB2312"/>
                <w:kern w:val="2"/>
                <w:sz w:val="21"/>
                <w:szCs w:val="21"/>
                <w:lang w:val="en-US" w:eastAsia="zh-CN" w:bidi="ar-SA"/>
              </w:rPr>
            </w:pPr>
            <w:r>
              <w:rPr>
                <w:rFonts w:hint="eastAsia" w:ascii="方正仿宋_GB2312" w:hAnsi="方正仿宋_GB2312" w:eastAsia="方正仿宋_GB2312" w:cs="方正仿宋_GB2312"/>
                <w:bCs/>
                <w:color w:val="000000"/>
                <w:kern w:val="24"/>
                <w:sz w:val="21"/>
                <w:szCs w:val="21"/>
              </w:rPr>
              <w:t xml:space="preserve">75.26%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8" w:hRule="atLeast"/>
        </w:trPr>
        <w:tc>
          <w:tcPr>
            <w:tcW w:w="2350" w:type="dxa"/>
            <w:vAlign w:val="center"/>
          </w:tcPr>
          <w:p>
            <w:pPr>
              <w:pStyle w:val="81"/>
              <w:spacing w:before="0" w:beforeAutospacing="0" w:after="0" w:afterAutospacing="0"/>
              <w:ind w:firstLine="360" w:firstLineChars="0"/>
              <w:jc w:val="center"/>
              <w:textAlignment w:val="center"/>
              <w:rPr>
                <w:rFonts w:hint="eastAsia" w:ascii="方正仿宋_GB2312" w:hAnsi="方正仿宋_GB2312" w:eastAsia="方正仿宋_GB2312" w:cs="方正仿宋_GB2312"/>
                <w:kern w:val="2"/>
                <w:sz w:val="21"/>
                <w:szCs w:val="21"/>
                <w:lang w:val="en-US" w:eastAsia="zh-CN" w:bidi="ar-SA"/>
              </w:rPr>
            </w:pPr>
            <w:r>
              <w:rPr>
                <w:rFonts w:hint="eastAsia" w:ascii="方正仿宋_GB2312" w:hAnsi="方正仿宋_GB2312" w:eastAsia="方正仿宋_GB2312" w:cs="方正仿宋_GB2312"/>
                <w:bCs/>
                <w:color w:val="000000"/>
                <w:kern w:val="24"/>
                <w:sz w:val="21"/>
                <w:szCs w:val="21"/>
              </w:rPr>
              <w:t>3</w:t>
            </w:r>
          </w:p>
        </w:tc>
        <w:tc>
          <w:tcPr>
            <w:tcW w:w="2350" w:type="dxa"/>
            <w:vAlign w:val="center"/>
          </w:tcPr>
          <w:p>
            <w:pPr>
              <w:pStyle w:val="81"/>
              <w:spacing w:before="0" w:beforeAutospacing="0" w:after="0" w:afterAutospacing="0"/>
              <w:ind w:firstLine="360" w:firstLineChars="0"/>
              <w:jc w:val="center"/>
              <w:textAlignment w:val="center"/>
              <w:rPr>
                <w:rFonts w:hint="eastAsia" w:ascii="方正仿宋_GB2312" w:hAnsi="方正仿宋_GB2312" w:eastAsia="方正仿宋_GB2312" w:cs="方正仿宋_GB2312"/>
                <w:kern w:val="2"/>
                <w:sz w:val="21"/>
                <w:szCs w:val="21"/>
                <w:lang w:val="en-US" w:eastAsia="zh-CN" w:bidi="ar-SA"/>
              </w:rPr>
            </w:pPr>
            <w:r>
              <w:rPr>
                <w:rFonts w:hint="eastAsia" w:ascii="方正仿宋_GB2312" w:hAnsi="方正仿宋_GB2312" w:eastAsia="方正仿宋_GB2312" w:cs="方正仿宋_GB2312"/>
                <w:bCs/>
                <w:color w:val="000000"/>
                <w:kern w:val="24"/>
                <w:sz w:val="21"/>
                <w:szCs w:val="21"/>
              </w:rPr>
              <w:t>沣河变#3主变</w:t>
            </w:r>
          </w:p>
        </w:tc>
        <w:tc>
          <w:tcPr>
            <w:tcW w:w="2350" w:type="dxa"/>
            <w:vAlign w:val="center"/>
          </w:tcPr>
          <w:p>
            <w:pPr>
              <w:pStyle w:val="81"/>
              <w:spacing w:before="0" w:beforeAutospacing="0" w:after="0" w:afterAutospacing="0"/>
              <w:ind w:firstLine="360" w:firstLineChars="0"/>
              <w:jc w:val="center"/>
              <w:textAlignment w:val="center"/>
              <w:rPr>
                <w:rFonts w:hint="eastAsia" w:ascii="方正仿宋_GB2312" w:hAnsi="方正仿宋_GB2312" w:eastAsia="方正仿宋_GB2312" w:cs="方正仿宋_GB2312"/>
                <w:kern w:val="2"/>
                <w:sz w:val="21"/>
                <w:szCs w:val="21"/>
                <w:lang w:val="en-US" w:eastAsia="zh-CN" w:bidi="ar-SA"/>
              </w:rPr>
            </w:pPr>
            <w:r>
              <w:rPr>
                <w:rFonts w:hint="eastAsia" w:ascii="方正仿宋_GB2312" w:hAnsi="方正仿宋_GB2312" w:eastAsia="方正仿宋_GB2312" w:cs="方正仿宋_GB2312"/>
                <w:bCs/>
                <w:color w:val="000000"/>
                <w:kern w:val="24"/>
                <w:sz w:val="21"/>
                <w:szCs w:val="21"/>
              </w:rPr>
              <w:t xml:space="preserve">174.9兆瓦 </w:t>
            </w:r>
          </w:p>
        </w:tc>
        <w:tc>
          <w:tcPr>
            <w:tcW w:w="2370" w:type="dxa"/>
            <w:vAlign w:val="center"/>
          </w:tcPr>
          <w:p>
            <w:pPr>
              <w:pStyle w:val="81"/>
              <w:spacing w:before="0" w:beforeAutospacing="0" w:after="0" w:afterAutospacing="0"/>
              <w:ind w:firstLine="360" w:firstLineChars="0"/>
              <w:jc w:val="center"/>
              <w:textAlignment w:val="center"/>
              <w:rPr>
                <w:rFonts w:hint="eastAsia" w:ascii="方正仿宋_GB2312" w:hAnsi="方正仿宋_GB2312" w:eastAsia="方正仿宋_GB2312" w:cs="方正仿宋_GB2312"/>
                <w:kern w:val="2"/>
                <w:sz w:val="21"/>
                <w:szCs w:val="21"/>
                <w:lang w:val="en-US" w:eastAsia="zh-CN" w:bidi="ar-SA"/>
              </w:rPr>
            </w:pPr>
            <w:r>
              <w:rPr>
                <w:rFonts w:hint="eastAsia" w:ascii="方正仿宋_GB2312" w:hAnsi="方正仿宋_GB2312" w:eastAsia="方正仿宋_GB2312" w:cs="方正仿宋_GB2312"/>
                <w:bCs/>
                <w:color w:val="000000"/>
                <w:kern w:val="24"/>
                <w:sz w:val="21"/>
                <w:szCs w:val="21"/>
              </w:rPr>
              <w:t xml:space="preserve">72.87%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trPr>
        <w:tc>
          <w:tcPr>
            <w:tcW w:w="2350" w:type="dxa"/>
            <w:vAlign w:val="center"/>
          </w:tcPr>
          <w:p>
            <w:pPr>
              <w:pStyle w:val="81"/>
              <w:spacing w:before="0" w:beforeAutospacing="0" w:after="0" w:afterAutospacing="0"/>
              <w:ind w:firstLine="360" w:firstLineChars="0"/>
              <w:jc w:val="center"/>
              <w:textAlignment w:val="center"/>
              <w:rPr>
                <w:rFonts w:hint="eastAsia" w:ascii="方正仿宋_GB2312" w:hAnsi="方正仿宋_GB2312" w:eastAsia="方正仿宋_GB2312" w:cs="方正仿宋_GB2312"/>
                <w:bCs/>
                <w:color w:val="000000"/>
                <w:kern w:val="24"/>
                <w:sz w:val="21"/>
                <w:szCs w:val="21"/>
                <w:lang w:val="en-US" w:eastAsia="zh-CN" w:bidi="ar-SA"/>
              </w:rPr>
            </w:pPr>
            <w:r>
              <w:rPr>
                <w:rFonts w:hint="eastAsia" w:ascii="方正仿宋_GB2312" w:hAnsi="方正仿宋_GB2312" w:eastAsia="方正仿宋_GB2312" w:cs="方正仿宋_GB2312"/>
                <w:bCs/>
                <w:color w:val="000000"/>
                <w:kern w:val="24"/>
                <w:sz w:val="21"/>
                <w:szCs w:val="21"/>
              </w:rPr>
              <w:t>4</w:t>
            </w:r>
          </w:p>
        </w:tc>
        <w:tc>
          <w:tcPr>
            <w:tcW w:w="2350" w:type="dxa"/>
            <w:vAlign w:val="center"/>
          </w:tcPr>
          <w:p>
            <w:pPr>
              <w:pStyle w:val="81"/>
              <w:spacing w:before="0" w:beforeAutospacing="0" w:after="0" w:afterAutospacing="0"/>
              <w:ind w:firstLine="360" w:firstLineChars="0"/>
              <w:jc w:val="center"/>
              <w:textAlignment w:val="center"/>
              <w:rPr>
                <w:rFonts w:hint="eastAsia" w:ascii="方正仿宋_GB2312" w:hAnsi="方正仿宋_GB2312" w:eastAsia="方正仿宋_GB2312" w:cs="方正仿宋_GB2312"/>
                <w:bCs/>
                <w:color w:val="000000"/>
                <w:kern w:val="24"/>
                <w:sz w:val="21"/>
                <w:szCs w:val="21"/>
                <w:lang w:val="en-US" w:eastAsia="zh-CN" w:bidi="ar-SA"/>
              </w:rPr>
            </w:pPr>
            <w:r>
              <w:rPr>
                <w:rFonts w:hint="eastAsia" w:ascii="方正仿宋_GB2312" w:hAnsi="方正仿宋_GB2312" w:eastAsia="方正仿宋_GB2312" w:cs="方正仿宋_GB2312"/>
                <w:bCs/>
                <w:color w:val="000000"/>
                <w:kern w:val="24"/>
                <w:sz w:val="21"/>
                <w:szCs w:val="21"/>
              </w:rPr>
              <w:t>古渡变#1主变</w:t>
            </w:r>
          </w:p>
        </w:tc>
        <w:tc>
          <w:tcPr>
            <w:tcW w:w="2350" w:type="dxa"/>
            <w:vAlign w:val="center"/>
          </w:tcPr>
          <w:p>
            <w:pPr>
              <w:pStyle w:val="81"/>
              <w:spacing w:before="0" w:beforeAutospacing="0" w:after="0" w:afterAutospacing="0"/>
              <w:ind w:firstLine="360" w:firstLineChars="0"/>
              <w:jc w:val="center"/>
              <w:textAlignment w:val="center"/>
              <w:rPr>
                <w:rFonts w:hint="eastAsia" w:ascii="方正仿宋_GB2312" w:hAnsi="方正仿宋_GB2312" w:eastAsia="方正仿宋_GB2312" w:cs="方正仿宋_GB2312"/>
                <w:bCs/>
                <w:color w:val="000000"/>
                <w:kern w:val="24"/>
                <w:sz w:val="21"/>
                <w:szCs w:val="21"/>
                <w:lang w:val="en-US" w:eastAsia="zh-CN" w:bidi="ar-SA"/>
              </w:rPr>
            </w:pPr>
            <w:r>
              <w:rPr>
                <w:rFonts w:hint="eastAsia" w:ascii="方正仿宋_GB2312" w:hAnsi="方正仿宋_GB2312" w:eastAsia="方正仿宋_GB2312" w:cs="方正仿宋_GB2312"/>
                <w:bCs/>
                <w:color w:val="000000"/>
                <w:kern w:val="24"/>
                <w:sz w:val="21"/>
                <w:szCs w:val="21"/>
              </w:rPr>
              <w:t>284.64兆瓦</w:t>
            </w:r>
          </w:p>
        </w:tc>
        <w:tc>
          <w:tcPr>
            <w:tcW w:w="2370" w:type="dxa"/>
            <w:vAlign w:val="center"/>
          </w:tcPr>
          <w:p>
            <w:pPr>
              <w:pStyle w:val="81"/>
              <w:spacing w:before="0" w:beforeAutospacing="0" w:after="0" w:afterAutospacing="0"/>
              <w:ind w:firstLine="360" w:firstLineChars="0"/>
              <w:jc w:val="center"/>
              <w:textAlignment w:val="center"/>
              <w:rPr>
                <w:rFonts w:hint="eastAsia" w:ascii="方正仿宋_GB2312" w:hAnsi="方正仿宋_GB2312" w:eastAsia="方正仿宋_GB2312" w:cs="方正仿宋_GB2312"/>
                <w:bCs/>
                <w:color w:val="000000"/>
                <w:kern w:val="24"/>
                <w:sz w:val="21"/>
                <w:szCs w:val="21"/>
                <w:lang w:val="en-US" w:eastAsia="zh-CN" w:bidi="ar-SA"/>
              </w:rPr>
            </w:pPr>
            <w:r>
              <w:rPr>
                <w:rFonts w:hint="eastAsia" w:ascii="方正仿宋_GB2312" w:hAnsi="方正仿宋_GB2312" w:eastAsia="方正仿宋_GB2312" w:cs="方正仿宋_GB2312"/>
                <w:bCs/>
                <w:color w:val="000000"/>
                <w:kern w:val="24"/>
                <w:sz w:val="21"/>
                <w:szCs w:val="21"/>
              </w:rPr>
              <w:t>79.07%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trPr>
        <w:tc>
          <w:tcPr>
            <w:tcW w:w="2350" w:type="dxa"/>
            <w:vAlign w:val="center"/>
          </w:tcPr>
          <w:p>
            <w:pPr>
              <w:pStyle w:val="81"/>
              <w:spacing w:before="0" w:beforeAutospacing="0" w:after="0" w:afterAutospacing="0"/>
              <w:ind w:firstLine="360" w:firstLineChars="0"/>
              <w:jc w:val="center"/>
              <w:textAlignment w:val="center"/>
              <w:rPr>
                <w:rFonts w:hint="eastAsia" w:ascii="方正仿宋_GB2312" w:hAnsi="方正仿宋_GB2312" w:eastAsia="方正仿宋_GB2312" w:cs="方正仿宋_GB2312"/>
                <w:bCs/>
                <w:color w:val="000000"/>
                <w:kern w:val="24"/>
                <w:sz w:val="21"/>
                <w:szCs w:val="21"/>
                <w:lang w:val="en-US" w:eastAsia="zh-CN" w:bidi="ar-SA"/>
              </w:rPr>
            </w:pPr>
            <w:r>
              <w:rPr>
                <w:rFonts w:hint="eastAsia" w:ascii="方正仿宋_GB2312" w:hAnsi="方正仿宋_GB2312" w:eastAsia="方正仿宋_GB2312" w:cs="方正仿宋_GB2312"/>
                <w:bCs/>
                <w:color w:val="000000"/>
                <w:kern w:val="24"/>
                <w:sz w:val="21"/>
                <w:szCs w:val="21"/>
              </w:rPr>
              <w:t>5</w:t>
            </w:r>
          </w:p>
        </w:tc>
        <w:tc>
          <w:tcPr>
            <w:tcW w:w="2350" w:type="dxa"/>
            <w:vAlign w:val="center"/>
          </w:tcPr>
          <w:p>
            <w:pPr>
              <w:pStyle w:val="81"/>
              <w:spacing w:before="0" w:beforeAutospacing="0" w:after="0" w:afterAutospacing="0"/>
              <w:ind w:firstLine="360" w:firstLineChars="0"/>
              <w:jc w:val="center"/>
              <w:textAlignment w:val="center"/>
              <w:rPr>
                <w:rFonts w:hint="eastAsia" w:ascii="方正仿宋_GB2312" w:hAnsi="方正仿宋_GB2312" w:eastAsia="方正仿宋_GB2312" w:cs="方正仿宋_GB2312"/>
                <w:bCs/>
                <w:color w:val="000000"/>
                <w:kern w:val="24"/>
                <w:sz w:val="21"/>
                <w:szCs w:val="21"/>
                <w:lang w:val="en-US" w:eastAsia="zh-CN" w:bidi="ar-SA"/>
              </w:rPr>
            </w:pPr>
            <w:r>
              <w:rPr>
                <w:rFonts w:hint="eastAsia" w:ascii="方正仿宋_GB2312" w:hAnsi="方正仿宋_GB2312" w:eastAsia="方正仿宋_GB2312" w:cs="方正仿宋_GB2312"/>
                <w:bCs/>
                <w:color w:val="000000"/>
                <w:kern w:val="24"/>
                <w:sz w:val="21"/>
                <w:szCs w:val="21"/>
              </w:rPr>
              <w:t>古渡变#2主变</w:t>
            </w:r>
          </w:p>
        </w:tc>
        <w:tc>
          <w:tcPr>
            <w:tcW w:w="2350" w:type="dxa"/>
            <w:vAlign w:val="center"/>
          </w:tcPr>
          <w:p>
            <w:pPr>
              <w:pStyle w:val="81"/>
              <w:spacing w:before="0" w:beforeAutospacing="0" w:after="0" w:afterAutospacing="0"/>
              <w:ind w:firstLine="360" w:firstLineChars="0"/>
              <w:jc w:val="center"/>
              <w:textAlignment w:val="center"/>
              <w:rPr>
                <w:rFonts w:hint="eastAsia" w:ascii="方正仿宋_GB2312" w:hAnsi="方正仿宋_GB2312" w:eastAsia="方正仿宋_GB2312" w:cs="方正仿宋_GB2312"/>
                <w:bCs/>
                <w:color w:val="000000"/>
                <w:kern w:val="24"/>
                <w:sz w:val="21"/>
                <w:szCs w:val="21"/>
                <w:lang w:val="en-US" w:eastAsia="zh-CN" w:bidi="ar-SA"/>
              </w:rPr>
            </w:pPr>
            <w:r>
              <w:rPr>
                <w:rFonts w:hint="eastAsia" w:ascii="方正仿宋_GB2312" w:hAnsi="方正仿宋_GB2312" w:eastAsia="方正仿宋_GB2312" w:cs="方正仿宋_GB2312"/>
                <w:bCs/>
                <w:color w:val="000000"/>
                <w:kern w:val="24"/>
                <w:sz w:val="21"/>
                <w:szCs w:val="21"/>
              </w:rPr>
              <w:t>284.64兆瓦</w:t>
            </w:r>
          </w:p>
        </w:tc>
        <w:tc>
          <w:tcPr>
            <w:tcW w:w="2370" w:type="dxa"/>
            <w:vAlign w:val="center"/>
          </w:tcPr>
          <w:p>
            <w:pPr>
              <w:pStyle w:val="81"/>
              <w:spacing w:before="0" w:beforeAutospacing="0" w:after="0" w:afterAutospacing="0"/>
              <w:ind w:firstLine="360" w:firstLineChars="0"/>
              <w:jc w:val="center"/>
              <w:textAlignment w:val="center"/>
              <w:rPr>
                <w:rFonts w:hint="eastAsia" w:ascii="方正仿宋_GB2312" w:hAnsi="方正仿宋_GB2312" w:eastAsia="方正仿宋_GB2312" w:cs="方正仿宋_GB2312"/>
                <w:bCs/>
                <w:color w:val="000000"/>
                <w:kern w:val="24"/>
                <w:sz w:val="21"/>
                <w:szCs w:val="21"/>
                <w:lang w:val="en-US" w:eastAsia="zh-CN" w:bidi="ar-SA"/>
              </w:rPr>
            </w:pPr>
            <w:r>
              <w:rPr>
                <w:rFonts w:hint="eastAsia" w:ascii="方正仿宋_GB2312" w:hAnsi="方正仿宋_GB2312" w:eastAsia="方正仿宋_GB2312" w:cs="方正仿宋_GB2312"/>
                <w:bCs/>
                <w:color w:val="000000"/>
                <w:kern w:val="24"/>
                <w:sz w:val="21"/>
                <w:szCs w:val="21"/>
              </w:rPr>
              <w:t>79.07%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trPr>
        <w:tc>
          <w:tcPr>
            <w:tcW w:w="9420" w:type="dxa"/>
            <w:gridSpan w:val="4"/>
            <w:vAlign w:val="center"/>
          </w:tcPr>
          <w:p>
            <w:pPr>
              <w:pStyle w:val="81"/>
              <w:spacing w:before="0" w:beforeAutospacing="0" w:after="0" w:afterAutospacing="0"/>
              <w:ind w:firstLine="360" w:firstLineChars="0"/>
              <w:jc w:val="center"/>
              <w:textAlignment w:val="center"/>
              <w:rPr>
                <w:rFonts w:hint="eastAsia" w:ascii="方正仿宋_GB2312" w:hAnsi="方正仿宋_GB2312" w:eastAsia="方正仿宋_GB2312" w:cs="方正仿宋_GB2312"/>
                <w:bCs/>
                <w:color w:val="000000"/>
                <w:kern w:val="24"/>
                <w:sz w:val="21"/>
                <w:szCs w:val="21"/>
              </w:rPr>
            </w:pPr>
            <w:r>
              <w:rPr>
                <w:rFonts w:hint="eastAsia" w:ascii="方正仿宋_GB2312" w:hAnsi="方正仿宋_GB2312" w:eastAsia="方正仿宋_GB2312" w:cs="方正仿宋_GB2312"/>
                <w:bCs/>
                <w:sz w:val="21"/>
                <w:szCs w:val="21"/>
                <w:lang w:bidi="ar"/>
              </w:rPr>
              <w:t>110千伏主变（负载率≥80%）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trPr>
        <w:tc>
          <w:tcPr>
            <w:tcW w:w="2350" w:type="dxa"/>
            <w:vAlign w:val="center"/>
          </w:tcPr>
          <w:p>
            <w:pPr>
              <w:pStyle w:val="81"/>
              <w:spacing w:before="0" w:beforeAutospacing="0" w:after="0" w:afterAutospacing="0"/>
              <w:ind w:firstLine="360" w:firstLineChars="0"/>
              <w:jc w:val="center"/>
              <w:textAlignment w:val="center"/>
              <w:rPr>
                <w:rFonts w:hint="eastAsia" w:ascii="方正仿宋_GB2312" w:hAnsi="方正仿宋_GB2312" w:eastAsia="方正仿宋_GB2312" w:cs="方正仿宋_GB2312"/>
                <w:kern w:val="2"/>
                <w:sz w:val="21"/>
                <w:szCs w:val="21"/>
                <w:lang w:val="en-US" w:eastAsia="zh-CN" w:bidi="ar-SA"/>
              </w:rPr>
            </w:pPr>
            <w:r>
              <w:rPr>
                <w:rFonts w:hint="eastAsia" w:ascii="方正仿宋_GB2312" w:hAnsi="方正仿宋_GB2312" w:eastAsia="方正仿宋_GB2312" w:cs="方正仿宋_GB2312"/>
                <w:bCs/>
                <w:color w:val="000000"/>
                <w:kern w:val="24"/>
                <w:sz w:val="21"/>
                <w:szCs w:val="21"/>
              </w:rPr>
              <w:t>序号</w:t>
            </w:r>
          </w:p>
        </w:tc>
        <w:tc>
          <w:tcPr>
            <w:tcW w:w="2350" w:type="dxa"/>
            <w:vAlign w:val="center"/>
          </w:tcPr>
          <w:p>
            <w:pPr>
              <w:pStyle w:val="81"/>
              <w:spacing w:before="0" w:beforeAutospacing="0" w:after="0" w:afterAutospacing="0"/>
              <w:ind w:firstLine="360" w:firstLineChars="0"/>
              <w:jc w:val="center"/>
              <w:textAlignment w:val="center"/>
              <w:rPr>
                <w:rFonts w:hint="eastAsia" w:ascii="方正仿宋_GB2312" w:hAnsi="方正仿宋_GB2312" w:eastAsia="方正仿宋_GB2312" w:cs="方正仿宋_GB2312"/>
                <w:kern w:val="2"/>
                <w:sz w:val="21"/>
                <w:szCs w:val="21"/>
                <w:lang w:val="en-US" w:eastAsia="zh-CN" w:bidi="ar-SA"/>
              </w:rPr>
            </w:pPr>
            <w:r>
              <w:rPr>
                <w:rFonts w:hint="eastAsia" w:ascii="方正仿宋_GB2312" w:hAnsi="方正仿宋_GB2312" w:eastAsia="方正仿宋_GB2312" w:cs="方正仿宋_GB2312"/>
                <w:bCs/>
                <w:color w:val="000000"/>
                <w:kern w:val="24"/>
                <w:sz w:val="21"/>
                <w:szCs w:val="21"/>
              </w:rPr>
              <w:t>主变名称</w:t>
            </w:r>
          </w:p>
        </w:tc>
        <w:tc>
          <w:tcPr>
            <w:tcW w:w="2350" w:type="dxa"/>
            <w:vAlign w:val="center"/>
          </w:tcPr>
          <w:p>
            <w:pPr>
              <w:pStyle w:val="81"/>
              <w:spacing w:before="0" w:beforeAutospacing="0" w:after="0" w:afterAutospacing="0"/>
              <w:ind w:firstLine="360" w:firstLineChars="0"/>
              <w:jc w:val="center"/>
              <w:textAlignment w:val="center"/>
              <w:rPr>
                <w:rFonts w:hint="eastAsia" w:ascii="方正仿宋_GB2312" w:hAnsi="方正仿宋_GB2312" w:eastAsia="方正仿宋_GB2312" w:cs="方正仿宋_GB2312"/>
                <w:kern w:val="2"/>
                <w:sz w:val="21"/>
                <w:szCs w:val="21"/>
                <w:lang w:val="en-US" w:eastAsia="zh-CN" w:bidi="ar-SA"/>
              </w:rPr>
            </w:pPr>
            <w:r>
              <w:rPr>
                <w:rFonts w:hint="eastAsia" w:ascii="方正仿宋_GB2312" w:hAnsi="方正仿宋_GB2312" w:eastAsia="方正仿宋_GB2312" w:cs="方正仿宋_GB2312"/>
                <w:bCs/>
                <w:color w:val="000000"/>
                <w:kern w:val="24"/>
                <w:sz w:val="21"/>
                <w:szCs w:val="21"/>
              </w:rPr>
              <w:t>最大电流</w:t>
            </w:r>
          </w:p>
        </w:tc>
        <w:tc>
          <w:tcPr>
            <w:tcW w:w="2370" w:type="dxa"/>
            <w:vAlign w:val="center"/>
          </w:tcPr>
          <w:p>
            <w:pPr>
              <w:pStyle w:val="81"/>
              <w:spacing w:before="0" w:beforeAutospacing="0" w:after="0" w:afterAutospacing="0"/>
              <w:ind w:firstLine="360" w:firstLineChars="0"/>
              <w:jc w:val="center"/>
              <w:textAlignment w:val="center"/>
              <w:rPr>
                <w:rFonts w:hint="eastAsia" w:ascii="方正仿宋_GB2312" w:hAnsi="方正仿宋_GB2312" w:eastAsia="方正仿宋_GB2312" w:cs="方正仿宋_GB2312"/>
                <w:kern w:val="2"/>
                <w:sz w:val="21"/>
                <w:szCs w:val="21"/>
                <w:lang w:val="en-US" w:eastAsia="zh-CN" w:bidi="ar-SA"/>
              </w:rPr>
            </w:pPr>
            <w:r>
              <w:rPr>
                <w:rFonts w:hint="eastAsia" w:ascii="方正仿宋_GB2312" w:hAnsi="方正仿宋_GB2312" w:eastAsia="方正仿宋_GB2312" w:cs="方正仿宋_GB2312"/>
                <w:bCs/>
                <w:color w:val="000000"/>
                <w:kern w:val="24"/>
                <w:sz w:val="21"/>
                <w:szCs w:val="21"/>
              </w:rPr>
              <w:t>负载率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trPr>
        <w:tc>
          <w:tcPr>
            <w:tcW w:w="2350" w:type="dxa"/>
            <w:vAlign w:val="center"/>
          </w:tcPr>
          <w:p>
            <w:pPr>
              <w:pStyle w:val="81"/>
              <w:spacing w:before="0" w:beforeAutospacing="0" w:after="0" w:afterAutospacing="0"/>
              <w:ind w:firstLine="360" w:firstLineChars="0"/>
              <w:jc w:val="center"/>
              <w:textAlignment w:val="center"/>
              <w:rPr>
                <w:rFonts w:hint="eastAsia" w:ascii="方正仿宋_GB2312" w:hAnsi="方正仿宋_GB2312" w:eastAsia="方正仿宋_GB2312" w:cs="方正仿宋_GB2312"/>
                <w:kern w:val="2"/>
                <w:sz w:val="21"/>
                <w:szCs w:val="21"/>
                <w:lang w:val="en-US" w:eastAsia="zh-CN" w:bidi="ar-SA"/>
              </w:rPr>
            </w:pPr>
            <w:r>
              <w:rPr>
                <w:rFonts w:hint="eastAsia" w:ascii="方正仿宋_GB2312" w:hAnsi="方正仿宋_GB2312" w:eastAsia="方正仿宋_GB2312" w:cs="方正仿宋_GB2312"/>
                <w:bCs/>
                <w:color w:val="000000"/>
                <w:kern w:val="24"/>
                <w:sz w:val="21"/>
                <w:szCs w:val="21"/>
              </w:rPr>
              <w:t>1</w:t>
            </w:r>
          </w:p>
        </w:tc>
        <w:tc>
          <w:tcPr>
            <w:tcW w:w="2350" w:type="dxa"/>
            <w:vAlign w:val="center"/>
          </w:tcPr>
          <w:p>
            <w:pPr>
              <w:pStyle w:val="81"/>
              <w:spacing w:before="0" w:beforeAutospacing="0" w:after="0" w:afterAutospacing="0"/>
              <w:ind w:firstLine="360" w:firstLineChars="0"/>
              <w:jc w:val="center"/>
              <w:textAlignment w:val="center"/>
              <w:rPr>
                <w:rFonts w:hint="eastAsia" w:ascii="方正仿宋_GB2312" w:hAnsi="方正仿宋_GB2312" w:eastAsia="方正仿宋_GB2312" w:cs="方正仿宋_GB2312"/>
                <w:kern w:val="2"/>
                <w:sz w:val="21"/>
                <w:szCs w:val="21"/>
                <w:lang w:val="en-US" w:eastAsia="zh-CN" w:bidi="ar-SA"/>
              </w:rPr>
            </w:pPr>
            <w:r>
              <w:rPr>
                <w:rFonts w:hint="eastAsia" w:ascii="方正仿宋_GB2312" w:hAnsi="方正仿宋_GB2312" w:eastAsia="方正仿宋_GB2312" w:cs="方正仿宋_GB2312"/>
                <w:bCs/>
                <w:color w:val="000000"/>
                <w:kern w:val="24"/>
                <w:sz w:val="21"/>
                <w:szCs w:val="21"/>
              </w:rPr>
              <w:t>泾阳变#1主变</w:t>
            </w:r>
          </w:p>
        </w:tc>
        <w:tc>
          <w:tcPr>
            <w:tcW w:w="2350" w:type="dxa"/>
            <w:vAlign w:val="center"/>
          </w:tcPr>
          <w:p>
            <w:pPr>
              <w:pStyle w:val="81"/>
              <w:spacing w:before="0" w:beforeAutospacing="0" w:after="0" w:afterAutospacing="0"/>
              <w:ind w:firstLine="360" w:firstLineChars="0"/>
              <w:jc w:val="center"/>
              <w:textAlignment w:val="center"/>
              <w:rPr>
                <w:rFonts w:hint="eastAsia" w:ascii="方正仿宋_GB2312" w:hAnsi="方正仿宋_GB2312" w:eastAsia="方正仿宋_GB2312" w:cs="方正仿宋_GB2312"/>
                <w:kern w:val="2"/>
                <w:sz w:val="21"/>
                <w:szCs w:val="21"/>
                <w:lang w:val="en-US" w:eastAsia="zh-CN" w:bidi="ar-SA"/>
              </w:rPr>
            </w:pPr>
            <w:r>
              <w:rPr>
                <w:rFonts w:hint="eastAsia" w:ascii="方正仿宋_GB2312" w:hAnsi="方正仿宋_GB2312" w:eastAsia="方正仿宋_GB2312" w:cs="方正仿宋_GB2312"/>
                <w:bCs/>
                <w:color w:val="000000"/>
                <w:kern w:val="24"/>
                <w:sz w:val="21"/>
                <w:szCs w:val="21"/>
              </w:rPr>
              <w:t>218.29</w:t>
            </w:r>
          </w:p>
        </w:tc>
        <w:tc>
          <w:tcPr>
            <w:tcW w:w="2370" w:type="dxa"/>
            <w:vAlign w:val="center"/>
          </w:tcPr>
          <w:p>
            <w:pPr>
              <w:pStyle w:val="81"/>
              <w:spacing w:before="0" w:beforeAutospacing="0" w:after="0" w:afterAutospacing="0"/>
              <w:ind w:firstLine="360" w:firstLineChars="0"/>
              <w:jc w:val="center"/>
              <w:textAlignment w:val="center"/>
              <w:rPr>
                <w:rFonts w:hint="eastAsia" w:ascii="方正仿宋_GB2312" w:hAnsi="方正仿宋_GB2312" w:eastAsia="方正仿宋_GB2312" w:cs="方正仿宋_GB2312"/>
                <w:kern w:val="2"/>
                <w:sz w:val="21"/>
                <w:szCs w:val="21"/>
                <w:lang w:val="en-US" w:eastAsia="zh-CN" w:bidi="ar-SA"/>
              </w:rPr>
            </w:pPr>
            <w:r>
              <w:rPr>
                <w:rFonts w:hint="eastAsia" w:ascii="方正仿宋_GB2312" w:hAnsi="方正仿宋_GB2312" w:eastAsia="方正仿宋_GB2312" w:cs="方正仿宋_GB2312"/>
                <w:bCs/>
                <w:color w:val="000000"/>
                <w:kern w:val="24"/>
                <w:sz w:val="21"/>
                <w:szCs w:val="21"/>
              </w:rPr>
              <w:t>83.32%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trPr>
        <w:tc>
          <w:tcPr>
            <w:tcW w:w="2350" w:type="dxa"/>
            <w:vAlign w:val="center"/>
          </w:tcPr>
          <w:p>
            <w:pPr>
              <w:pStyle w:val="81"/>
              <w:spacing w:before="0" w:beforeAutospacing="0" w:after="0" w:afterAutospacing="0"/>
              <w:ind w:firstLine="360" w:firstLineChars="0"/>
              <w:jc w:val="center"/>
              <w:textAlignment w:val="center"/>
              <w:rPr>
                <w:rFonts w:hint="eastAsia" w:ascii="方正仿宋_GB2312" w:hAnsi="方正仿宋_GB2312" w:eastAsia="方正仿宋_GB2312" w:cs="方正仿宋_GB2312"/>
                <w:kern w:val="2"/>
                <w:sz w:val="21"/>
                <w:szCs w:val="21"/>
                <w:lang w:val="en-US" w:eastAsia="zh-CN" w:bidi="ar-SA"/>
              </w:rPr>
            </w:pPr>
            <w:r>
              <w:rPr>
                <w:rFonts w:hint="eastAsia" w:ascii="方正仿宋_GB2312" w:hAnsi="方正仿宋_GB2312" w:eastAsia="方正仿宋_GB2312" w:cs="方正仿宋_GB2312"/>
                <w:bCs/>
                <w:color w:val="000000"/>
                <w:kern w:val="24"/>
                <w:sz w:val="21"/>
                <w:szCs w:val="21"/>
              </w:rPr>
              <w:t>2</w:t>
            </w:r>
          </w:p>
        </w:tc>
        <w:tc>
          <w:tcPr>
            <w:tcW w:w="2350" w:type="dxa"/>
            <w:vAlign w:val="center"/>
          </w:tcPr>
          <w:p>
            <w:pPr>
              <w:pStyle w:val="81"/>
              <w:spacing w:before="0" w:beforeAutospacing="0" w:after="0" w:afterAutospacing="0"/>
              <w:ind w:firstLine="360" w:firstLineChars="0"/>
              <w:jc w:val="center"/>
              <w:textAlignment w:val="center"/>
              <w:rPr>
                <w:rFonts w:hint="eastAsia" w:ascii="方正仿宋_GB2312" w:hAnsi="方正仿宋_GB2312" w:eastAsia="方正仿宋_GB2312" w:cs="方正仿宋_GB2312"/>
                <w:kern w:val="2"/>
                <w:sz w:val="21"/>
                <w:szCs w:val="21"/>
                <w:lang w:val="en-US" w:eastAsia="zh-CN" w:bidi="ar-SA"/>
              </w:rPr>
            </w:pPr>
            <w:r>
              <w:rPr>
                <w:rFonts w:hint="eastAsia" w:ascii="方正仿宋_GB2312" w:hAnsi="方正仿宋_GB2312" w:eastAsia="方正仿宋_GB2312" w:cs="方正仿宋_GB2312"/>
                <w:bCs/>
                <w:color w:val="000000"/>
                <w:kern w:val="24"/>
                <w:sz w:val="21"/>
                <w:szCs w:val="21"/>
              </w:rPr>
              <w:t>泾阳变#2主变</w:t>
            </w:r>
          </w:p>
        </w:tc>
        <w:tc>
          <w:tcPr>
            <w:tcW w:w="2350" w:type="dxa"/>
            <w:vAlign w:val="center"/>
          </w:tcPr>
          <w:p>
            <w:pPr>
              <w:pStyle w:val="81"/>
              <w:spacing w:before="0" w:beforeAutospacing="0" w:after="0" w:afterAutospacing="0"/>
              <w:ind w:firstLine="360" w:firstLineChars="0"/>
              <w:jc w:val="center"/>
              <w:textAlignment w:val="center"/>
              <w:rPr>
                <w:rFonts w:hint="eastAsia" w:ascii="方正仿宋_GB2312" w:hAnsi="方正仿宋_GB2312" w:eastAsia="方正仿宋_GB2312" w:cs="方正仿宋_GB2312"/>
                <w:kern w:val="2"/>
                <w:sz w:val="21"/>
                <w:szCs w:val="21"/>
                <w:lang w:val="en-US" w:eastAsia="zh-CN" w:bidi="ar-SA"/>
              </w:rPr>
            </w:pPr>
            <w:r>
              <w:rPr>
                <w:rFonts w:hint="eastAsia" w:ascii="方正仿宋_GB2312" w:hAnsi="方正仿宋_GB2312" w:eastAsia="方正仿宋_GB2312" w:cs="方正仿宋_GB2312"/>
                <w:bCs/>
                <w:color w:val="000000"/>
                <w:kern w:val="24"/>
                <w:sz w:val="21"/>
                <w:szCs w:val="21"/>
              </w:rPr>
              <w:t>238.34</w:t>
            </w:r>
          </w:p>
        </w:tc>
        <w:tc>
          <w:tcPr>
            <w:tcW w:w="2370" w:type="dxa"/>
            <w:vAlign w:val="center"/>
          </w:tcPr>
          <w:p>
            <w:pPr>
              <w:pStyle w:val="81"/>
              <w:spacing w:before="0" w:beforeAutospacing="0" w:after="0" w:afterAutospacing="0"/>
              <w:ind w:firstLine="360" w:firstLineChars="0"/>
              <w:jc w:val="center"/>
              <w:textAlignment w:val="center"/>
              <w:rPr>
                <w:rFonts w:hint="eastAsia" w:ascii="方正仿宋_GB2312" w:hAnsi="方正仿宋_GB2312" w:eastAsia="方正仿宋_GB2312" w:cs="方正仿宋_GB2312"/>
                <w:kern w:val="2"/>
                <w:sz w:val="21"/>
                <w:szCs w:val="21"/>
                <w:lang w:val="en-US" w:eastAsia="zh-CN" w:bidi="ar-SA"/>
              </w:rPr>
            </w:pPr>
            <w:r>
              <w:rPr>
                <w:rFonts w:hint="eastAsia" w:ascii="方正仿宋_GB2312" w:hAnsi="方正仿宋_GB2312" w:eastAsia="方正仿宋_GB2312" w:cs="方正仿宋_GB2312"/>
                <w:bCs/>
                <w:color w:val="000000"/>
                <w:kern w:val="24"/>
                <w:sz w:val="21"/>
                <w:szCs w:val="21"/>
              </w:rPr>
              <w:t>90.97%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trPr>
        <w:tc>
          <w:tcPr>
            <w:tcW w:w="2350" w:type="dxa"/>
            <w:vAlign w:val="center"/>
          </w:tcPr>
          <w:p>
            <w:pPr>
              <w:pStyle w:val="81"/>
              <w:spacing w:before="0" w:beforeAutospacing="0" w:after="0" w:afterAutospacing="0"/>
              <w:ind w:firstLine="360" w:firstLineChars="0"/>
              <w:jc w:val="center"/>
              <w:textAlignment w:val="center"/>
              <w:rPr>
                <w:rFonts w:hint="eastAsia" w:ascii="方正仿宋_GB2312" w:hAnsi="方正仿宋_GB2312" w:eastAsia="方正仿宋_GB2312" w:cs="方正仿宋_GB2312"/>
                <w:kern w:val="2"/>
                <w:sz w:val="21"/>
                <w:szCs w:val="21"/>
                <w:lang w:val="en-US" w:eastAsia="zh-CN" w:bidi="ar-SA"/>
              </w:rPr>
            </w:pPr>
            <w:r>
              <w:rPr>
                <w:rFonts w:hint="eastAsia" w:ascii="方正仿宋_GB2312" w:hAnsi="方正仿宋_GB2312" w:eastAsia="方正仿宋_GB2312" w:cs="方正仿宋_GB2312"/>
                <w:bCs/>
                <w:color w:val="000000"/>
                <w:kern w:val="24"/>
                <w:sz w:val="21"/>
                <w:szCs w:val="21"/>
              </w:rPr>
              <w:t>3</w:t>
            </w:r>
          </w:p>
        </w:tc>
        <w:tc>
          <w:tcPr>
            <w:tcW w:w="2350" w:type="dxa"/>
            <w:vAlign w:val="center"/>
          </w:tcPr>
          <w:p>
            <w:pPr>
              <w:pStyle w:val="81"/>
              <w:spacing w:before="0" w:beforeAutospacing="0" w:after="0" w:afterAutospacing="0"/>
              <w:ind w:firstLine="360" w:firstLineChars="0"/>
              <w:jc w:val="center"/>
              <w:textAlignment w:val="center"/>
              <w:rPr>
                <w:rFonts w:hint="eastAsia" w:ascii="方正仿宋_GB2312" w:hAnsi="方正仿宋_GB2312" w:eastAsia="方正仿宋_GB2312" w:cs="方正仿宋_GB2312"/>
                <w:kern w:val="2"/>
                <w:sz w:val="21"/>
                <w:szCs w:val="21"/>
                <w:lang w:val="en-US" w:eastAsia="zh-CN" w:bidi="ar-SA"/>
              </w:rPr>
            </w:pPr>
            <w:r>
              <w:rPr>
                <w:rFonts w:hint="eastAsia" w:ascii="方正仿宋_GB2312" w:hAnsi="方正仿宋_GB2312" w:eastAsia="方正仿宋_GB2312" w:cs="方正仿宋_GB2312"/>
                <w:bCs/>
                <w:color w:val="000000"/>
                <w:kern w:val="24"/>
                <w:sz w:val="21"/>
                <w:szCs w:val="21"/>
              </w:rPr>
              <w:t>永乐变#2主变</w:t>
            </w:r>
          </w:p>
        </w:tc>
        <w:tc>
          <w:tcPr>
            <w:tcW w:w="2350" w:type="dxa"/>
            <w:vAlign w:val="center"/>
          </w:tcPr>
          <w:p>
            <w:pPr>
              <w:pStyle w:val="81"/>
              <w:spacing w:before="0" w:beforeAutospacing="0" w:after="0" w:afterAutospacing="0"/>
              <w:ind w:firstLine="360" w:firstLineChars="0"/>
              <w:jc w:val="center"/>
              <w:textAlignment w:val="center"/>
              <w:rPr>
                <w:rFonts w:hint="eastAsia" w:ascii="方正仿宋_GB2312" w:hAnsi="方正仿宋_GB2312" w:eastAsia="方正仿宋_GB2312" w:cs="方正仿宋_GB2312"/>
                <w:kern w:val="2"/>
                <w:sz w:val="21"/>
                <w:szCs w:val="21"/>
                <w:lang w:val="en-US" w:eastAsia="zh-CN" w:bidi="ar-SA"/>
              </w:rPr>
            </w:pPr>
            <w:r>
              <w:rPr>
                <w:rFonts w:hint="eastAsia" w:ascii="方正仿宋_GB2312" w:hAnsi="方正仿宋_GB2312" w:eastAsia="方正仿宋_GB2312" w:cs="方正仿宋_GB2312"/>
                <w:bCs/>
                <w:color w:val="000000"/>
                <w:kern w:val="24"/>
                <w:sz w:val="21"/>
                <w:szCs w:val="21"/>
              </w:rPr>
              <w:t>151.89</w:t>
            </w:r>
          </w:p>
        </w:tc>
        <w:tc>
          <w:tcPr>
            <w:tcW w:w="2370" w:type="dxa"/>
            <w:vAlign w:val="center"/>
          </w:tcPr>
          <w:p>
            <w:pPr>
              <w:pStyle w:val="81"/>
              <w:spacing w:before="0" w:beforeAutospacing="0" w:after="0" w:afterAutospacing="0"/>
              <w:ind w:firstLine="360" w:firstLineChars="0"/>
              <w:jc w:val="center"/>
              <w:textAlignment w:val="center"/>
              <w:rPr>
                <w:rFonts w:hint="eastAsia" w:ascii="方正仿宋_GB2312" w:hAnsi="方正仿宋_GB2312" w:eastAsia="方正仿宋_GB2312" w:cs="方正仿宋_GB2312"/>
                <w:kern w:val="2"/>
                <w:sz w:val="21"/>
                <w:szCs w:val="21"/>
                <w:lang w:val="en-US" w:eastAsia="zh-CN" w:bidi="ar-SA"/>
              </w:rPr>
            </w:pPr>
            <w:r>
              <w:rPr>
                <w:rFonts w:hint="eastAsia" w:ascii="方正仿宋_GB2312" w:hAnsi="方正仿宋_GB2312" w:eastAsia="方正仿宋_GB2312" w:cs="方正仿宋_GB2312"/>
                <w:bCs/>
                <w:color w:val="000000"/>
                <w:kern w:val="24"/>
                <w:sz w:val="21"/>
                <w:szCs w:val="21"/>
              </w:rPr>
              <w:t>92.05%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1" w:hRule="atLeast"/>
        </w:trPr>
        <w:tc>
          <w:tcPr>
            <w:tcW w:w="2350" w:type="dxa"/>
            <w:vAlign w:val="center"/>
          </w:tcPr>
          <w:p>
            <w:pPr>
              <w:pStyle w:val="81"/>
              <w:spacing w:before="0" w:beforeAutospacing="0" w:after="0" w:afterAutospacing="0"/>
              <w:ind w:firstLine="360" w:firstLineChars="0"/>
              <w:jc w:val="center"/>
              <w:textAlignment w:val="center"/>
              <w:rPr>
                <w:rFonts w:hint="eastAsia" w:ascii="方正仿宋_GB2312" w:hAnsi="方正仿宋_GB2312" w:eastAsia="方正仿宋_GB2312" w:cs="方正仿宋_GB2312"/>
                <w:bCs/>
                <w:color w:val="000000"/>
                <w:kern w:val="24"/>
                <w:sz w:val="21"/>
                <w:szCs w:val="21"/>
                <w:lang w:val="en-US" w:eastAsia="zh-CN" w:bidi="ar-SA"/>
              </w:rPr>
            </w:pPr>
            <w:r>
              <w:rPr>
                <w:rFonts w:hint="eastAsia" w:ascii="方正仿宋_GB2312" w:hAnsi="方正仿宋_GB2312" w:eastAsia="方正仿宋_GB2312" w:cs="方正仿宋_GB2312"/>
                <w:bCs/>
                <w:color w:val="000000"/>
                <w:kern w:val="24"/>
                <w:sz w:val="21"/>
                <w:szCs w:val="21"/>
              </w:rPr>
              <w:t>4</w:t>
            </w:r>
          </w:p>
        </w:tc>
        <w:tc>
          <w:tcPr>
            <w:tcW w:w="2350" w:type="dxa"/>
            <w:vAlign w:val="center"/>
          </w:tcPr>
          <w:p>
            <w:pPr>
              <w:pStyle w:val="81"/>
              <w:spacing w:before="0" w:beforeAutospacing="0" w:after="0" w:afterAutospacing="0"/>
              <w:ind w:firstLine="360" w:firstLineChars="0"/>
              <w:jc w:val="center"/>
              <w:textAlignment w:val="center"/>
              <w:rPr>
                <w:rFonts w:hint="eastAsia" w:ascii="方正仿宋_GB2312" w:hAnsi="方正仿宋_GB2312" w:eastAsia="方正仿宋_GB2312" w:cs="方正仿宋_GB2312"/>
                <w:bCs/>
                <w:color w:val="000000"/>
                <w:kern w:val="24"/>
                <w:sz w:val="21"/>
                <w:szCs w:val="21"/>
                <w:lang w:val="en-US" w:eastAsia="zh-CN" w:bidi="ar-SA"/>
              </w:rPr>
            </w:pPr>
            <w:r>
              <w:rPr>
                <w:rFonts w:hint="eastAsia" w:ascii="方正仿宋_GB2312" w:hAnsi="方正仿宋_GB2312" w:eastAsia="方正仿宋_GB2312" w:cs="方正仿宋_GB2312"/>
                <w:bCs/>
                <w:color w:val="000000"/>
                <w:kern w:val="24"/>
                <w:sz w:val="21"/>
                <w:szCs w:val="21"/>
              </w:rPr>
              <w:t>咏佳变#1主变</w:t>
            </w:r>
          </w:p>
        </w:tc>
        <w:tc>
          <w:tcPr>
            <w:tcW w:w="2350" w:type="dxa"/>
            <w:vAlign w:val="center"/>
          </w:tcPr>
          <w:p>
            <w:pPr>
              <w:pStyle w:val="81"/>
              <w:spacing w:before="0" w:beforeAutospacing="0" w:after="0" w:afterAutospacing="0"/>
              <w:ind w:firstLine="360" w:firstLineChars="0"/>
              <w:jc w:val="center"/>
              <w:textAlignment w:val="center"/>
              <w:rPr>
                <w:rFonts w:hint="eastAsia" w:ascii="方正仿宋_GB2312" w:hAnsi="方正仿宋_GB2312" w:eastAsia="方正仿宋_GB2312" w:cs="方正仿宋_GB2312"/>
                <w:bCs/>
                <w:color w:val="000000"/>
                <w:kern w:val="24"/>
                <w:sz w:val="21"/>
                <w:szCs w:val="21"/>
                <w:lang w:val="en-US" w:eastAsia="zh-CN" w:bidi="ar-SA"/>
              </w:rPr>
            </w:pPr>
            <w:r>
              <w:rPr>
                <w:rFonts w:hint="eastAsia" w:ascii="方正仿宋_GB2312" w:hAnsi="方正仿宋_GB2312" w:eastAsia="方正仿宋_GB2312" w:cs="方正仿宋_GB2312"/>
                <w:bCs/>
                <w:color w:val="000000"/>
                <w:kern w:val="24"/>
                <w:sz w:val="21"/>
                <w:szCs w:val="21"/>
              </w:rPr>
              <w:t>143.25</w:t>
            </w:r>
          </w:p>
        </w:tc>
        <w:tc>
          <w:tcPr>
            <w:tcW w:w="2370" w:type="dxa"/>
            <w:vAlign w:val="center"/>
          </w:tcPr>
          <w:p>
            <w:pPr>
              <w:pStyle w:val="81"/>
              <w:spacing w:before="0" w:beforeAutospacing="0" w:after="0" w:afterAutospacing="0"/>
              <w:ind w:firstLine="360" w:firstLineChars="0"/>
              <w:jc w:val="center"/>
              <w:textAlignment w:val="center"/>
              <w:rPr>
                <w:rFonts w:hint="eastAsia" w:ascii="方正仿宋_GB2312" w:hAnsi="方正仿宋_GB2312" w:eastAsia="方正仿宋_GB2312" w:cs="方正仿宋_GB2312"/>
                <w:bCs/>
                <w:color w:val="000000"/>
                <w:kern w:val="24"/>
                <w:sz w:val="21"/>
                <w:szCs w:val="21"/>
                <w:lang w:val="en-US" w:eastAsia="zh-CN" w:bidi="ar-SA"/>
              </w:rPr>
            </w:pPr>
            <w:r>
              <w:rPr>
                <w:rFonts w:hint="eastAsia" w:ascii="方正仿宋_GB2312" w:hAnsi="方正仿宋_GB2312" w:eastAsia="方正仿宋_GB2312" w:cs="方正仿宋_GB2312"/>
                <w:bCs/>
                <w:color w:val="000000"/>
                <w:kern w:val="24"/>
                <w:sz w:val="21"/>
                <w:szCs w:val="21"/>
              </w:rPr>
              <w:t>86.81%</w:t>
            </w:r>
          </w:p>
        </w:tc>
      </w:tr>
    </w:tbl>
    <w:p>
      <w:pPr>
        <w:keepNext w:val="0"/>
        <w:keepLines w:val="0"/>
        <w:pageBreakBefore w:val="0"/>
        <w:kinsoku/>
        <w:wordWrap/>
        <w:overflowPunct/>
        <w:topLinePunct w:val="0"/>
        <w:autoSpaceDE/>
        <w:autoSpaceDN/>
        <w:bidi w:val="0"/>
        <w:adjustRightInd w:val="0"/>
        <w:snapToGrid w:val="0"/>
        <w:spacing w:line="400" w:lineRule="exact"/>
        <w:ind w:firstLine="560" w:firstLineChars="200"/>
        <w:rPr>
          <w:rFonts w:hint="eastAsia" w:eastAsia="仿宋"/>
          <w:sz w:val="28"/>
          <w:szCs w:val="28"/>
          <w:lang w:val="en-US" w:eastAsia="zh-CN"/>
        </w:rPr>
      </w:pP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2020年迎峰度夏期间，西咸新区电网负荷较2019年增长12.3%，不满足N-1校核要求的输电断面主要有两个，一是草枣双回（草枣单线允许电流600安培，最大负荷电流1193.45安培），一是沣-苏-统-阿输电断面(其中沣苏单线允许电流700安培，最大负荷电流1213.08安培，稳控切荷量9万）。110千伏重载线路8条，分别为沣苏双回、苏统双回、统阿双回、草枣双回。</w:t>
      </w:r>
    </w:p>
    <w:p>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表3-8  110千伏线路重、过载原因分析及应对措施</w:t>
      </w:r>
    </w:p>
    <w:tbl>
      <w:tblPr>
        <w:tblStyle w:val="89"/>
        <w:tblW w:w="99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1739"/>
        <w:gridCol w:w="1782"/>
        <w:gridCol w:w="1583"/>
        <w:gridCol w:w="1266"/>
        <w:gridCol w:w="1266"/>
        <w:gridCol w:w="15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0" w:hRule="atLeast"/>
          <w:jc w:val="center"/>
        </w:trPr>
        <w:tc>
          <w:tcPr>
            <w:tcW w:w="789" w:type="dxa"/>
            <w:vAlign w:val="center"/>
          </w:tcPr>
          <w:p>
            <w:pPr>
              <w:widowControl/>
              <w:jc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sz w:val="21"/>
                <w:szCs w:val="21"/>
              </w:rPr>
              <w:t>序号</w:t>
            </w:r>
          </w:p>
        </w:tc>
        <w:tc>
          <w:tcPr>
            <w:tcW w:w="1739" w:type="dxa"/>
            <w:vAlign w:val="center"/>
          </w:tcPr>
          <w:p>
            <w:pPr>
              <w:widowControl/>
              <w:jc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sz w:val="21"/>
                <w:szCs w:val="21"/>
              </w:rPr>
              <w:t>线路</w:t>
            </w:r>
          </w:p>
        </w:tc>
        <w:tc>
          <w:tcPr>
            <w:tcW w:w="1782" w:type="dxa"/>
            <w:vAlign w:val="center"/>
          </w:tcPr>
          <w:p>
            <w:pPr>
              <w:widowControl/>
              <w:jc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sz w:val="21"/>
                <w:szCs w:val="21"/>
              </w:rPr>
              <w:t>额定电流（安）</w:t>
            </w:r>
          </w:p>
        </w:tc>
        <w:tc>
          <w:tcPr>
            <w:tcW w:w="1583" w:type="dxa"/>
            <w:vAlign w:val="center"/>
          </w:tcPr>
          <w:p>
            <w:pPr>
              <w:widowControl/>
              <w:jc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sz w:val="21"/>
                <w:szCs w:val="21"/>
              </w:rPr>
              <w:t>最大电流（安）</w:t>
            </w:r>
          </w:p>
        </w:tc>
        <w:tc>
          <w:tcPr>
            <w:tcW w:w="1266" w:type="dxa"/>
            <w:vAlign w:val="center"/>
          </w:tcPr>
          <w:p>
            <w:pPr>
              <w:widowControl/>
              <w:jc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sz w:val="21"/>
                <w:szCs w:val="21"/>
              </w:rPr>
              <w:t>负载率</w:t>
            </w:r>
          </w:p>
        </w:tc>
        <w:tc>
          <w:tcPr>
            <w:tcW w:w="1266" w:type="dxa"/>
            <w:vAlign w:val="center"/>
          </w:tcPr>
          <w:p>
            <w:pPr>
              <w:widowControl/>
              <w:jc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sz w:val="21"/>
                <w:szCs w:val="21"/>
              </w:rPr>
              <w:t>断面负荷</w:t>
            </w:r>
          </w:p>
        </w:tc>
        <w:tc>
          <w:tcPr>
            <w:tcW w:w="1551" w:type="dxa"/>
            <w:vAlign w:val="center"/>
          </w:tcPr>
          <w:p>
            <w:pPr>
              <w:widowControl/>
              <w:jc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sz w:val="21"/>
                <w:szCs w:val="21"/>
              </w:rPr>
              <w:t>N-1通过率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789" w:type="dxa"/>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1</w:t>
            </w:r>
          </w:p>
        </w:tc>
        <w:tc>
          <w:tcPr>
            <w:tcW w:w="1739" w:type="dxa"/>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1154草枣Ⅰ线</w:t>
            </w:r>
          </w:p>
        </w:tc>
        <w:tc>
          <w:tcPr>
            <w:tcW w:w="1782" w:type="dxa"/>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600</w:t>
            </w:r>
          </w:p>
        </w:tc>
        <w:tc>
          <w:tcPr>
            <w:tcW w:w="1583" w:type="dxa"/>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579.20</w:t>
            </w:r>
          </w:p>
        </w:tc>
        <w:tc>
          <w:tcPr>
            <w:tcW w:w="1266" w:type="dxa"/>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96.53%</w:t>
            </w:r>
          </w:p>
        </w:tc>
        <w:tc>
          <w:tcPr>
            <w:tcW w:w="1266" w:type="dxa"/>
            <w:vMerge w:val="restart"/>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1193.45</w:t>
            </w:r>
          </w:p>
        </w:tc>
        <w:tc>
          <w:tcPr>
            <w:tcW w:w="1551" w:type="dxa"/>
            <w:vMerge w:val="restart"/>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198.91%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jc w:val="center"/>
        </w:trPr>
        <w:tc>
          <w:tcPr>
            <w:tcW w:w="789" w:type="dxa"/>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2</w:t>
            </w:r>
          </w:p>
        </w:tc>
        <w:tc>
          <w:tcPr>
            <w:tcW w:w="1739" w:type="dxa"/>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1256草枣II线</w:t>
            </w:r>
          </w:p>
        </w:tc>
        <w:tc>
          <w:tcPr>
            <w:tcW w:w="1782" w:type="dxa"/>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600</w:t>
            </w:r>
          </w:p>
        </w:tc>
        <w:tc>
          <w:tcPr>
            <w:tcW w:w="1583" w:type="dxa"/>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614.25</w:t>
            </w:r>
          </w:p>
        </w:tc>
        <w:tc>
          <w:tcPr>
            <w:tcW w:w="1266" w:type="dxa"/>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102.37%</w:t>
            </w:r>
          </w:p>
        </w:tc>
        <w:tc>
          <w:tcPr>
            <w:tcW w:w="1266" w:type="dxa"/>
            <w:vMerge w:val="continue"/>
            <w:vAlign w:val="center"/>
          </w:tcPr>
          <w:p>
            <w:pPr>
              <w:widowControl/>
              <w:ind w:firstLine="360"/>
              <w:jc w:val="center"/>
              <w:rPr>
                <w:rFonts w:hint="eastAsia" w:ascii="方正仿宋_GB2312" w:hAnsi="方正仿宋_GB2312" w:eastAsia="方正仿宋_GB2312" w:cs="方正仿宋_GB2312"/>
                <w:color w:val="000000"/>
                <w:sz w:val="21"/>
                <w:szCs w:val="21"/>
              </w:rPr>
            </w:pPr>
          </w:p>
        </w:tc>
        <w:tc>
          <w:tcPr>
            <w:tcW w:w="1551" w:type="dxa"/>
            <w:vMerge w:val="continue"/>
            <w:vAlign w:val="center"/>
          </w:tcPr>
          <w:p>
            <w:pPr>
              <w:widowControl/>
              <w:ind w:firstLine="360"/>
              <w:jc w:val="center"/>
              <w:rPr>
                <w:rFonts w:hint="eastAsia" w:ascii="方正仿宋_GB2312" w:hAnsi="方正仿宋_GB2312" w:eastAsia="方正仿宋_GB2312" w:cs="方正仿宋_GB2312"/>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789" w:type="dxa"/>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3</w:t>
            </w:r>
          </w:p>
        </w:tc>
        <w:tc>
          <w:tcPr>
            <w:tcW w:w="1739" w:type="dxa"/>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1115沣苏I线</w:t>
            </w:r>
          </w:p>
        </w:tc>
        <w:tc>
          <w:tcPr>
            <w:tcW w:w="1782" w:type="dxa"/>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700</w:t>
            </w:r>
          </w:p>
        </w:tc>
        <w:tc>
          <w:tcPr>
            <w:tcW w:w="1583" w:type="dxa"/>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607.59</w:t>
            </w:r>
          </w:p>
        </w:tc>
        <w:tc>
          <w:tcPr>
            <w:tcW w:w="1266" w:type="dxa"/>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86.79%</w:t>
            </w:r>
          </w:p>
        </w:tc>
        <w:tc>
          <w:tcPr>
            <w:tcW w:w="1266" w:type="dxa"/>
            <w:vMerge w:val="restart"/>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1213.08</w:t>
            </w:r>
          </w:p>
        </w:tc>
        <w:tc>
          <w:tcPr>
            <w:tcW w:w="1551" w:type="dxa"/>
            <w:vMerge w:val="restart"/>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173.3%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jc w:val="center"/>
        </w:trPr>
        <w:tc>
          <w:tcPr>
            <w:tcW w:w="789" w:type="dxa"/>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4</w:t>
            </w:r>
          </w:p>
        </w:tc>
        <w:tc>
          <w:tcPr>
            <w:tcW w:w="1739" w:type="dxa"/>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1116沣苏II线</w:t>
            </w:r>
          </w:p>
        </w:tc>
        <w:tc>
          <w:tcPr>
            <w:tcW w:w="1782" w:type="dxa"/>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700</w:t>
            </w:r>
          </w:p>
        </w:tc>
        <w:tc>
          <w:tcPr>
            <w:tcW w:w="1583" w:type="dxa"/>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605.49</w:t>
            </w:r>
          </w:p>
        </w:tc>
        <w:tc>
          <w:tcPr>
            <w:tcW w:w="1266" w:type="dxa"/>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86.49%</w:t>
            </w:r>
          </w:p>
        </w:tc>
        <w:tc>
          <w:tcPr>
            <w:tcW w:w="1266" w:type="dxa"/>
            <w:vMerge w:val="continue"/>
            <w:vAlign w:val="center"/>
          </w:tcPr>
          <w:p>
            <w:pPr>
              <w:spacing w:line="560" w:lineRule="exact"/>
              <w:ind w:firstLine="360"/>
              <w:jc w:val="center"/>
              <w:rPr>
                <w:rFonts w:hint="eastAsia" w:ascii="方正仿宋_GB2312" w:hAnsi="方正仿宋_GB2312" w:eastAsia="方正仿宋_GB2312" w:cs="方正仿宋_GB2312"/>
                <w:sz w:val="21"/>
                <w:szCs w:val="21"/>
              </w:rPr>
            </w:pPr>
          </w:p>
        </w:tc>
        <w:tc>
          <w:tcPr>
            <w:tcW w:w="1551" w:type="dxa"/>
            <w:vMerge w:val="continue"/>
            <w:vAlign w:val="center"/>
          </w:tcPr>
          <w:p>
            <w:pPr>
              <w:spacing w:line="560" w:lineRule="exact"/>
              <w:ind w:firstLine="360"/>
              <w:jc w:val="center"/>
              <w:rPr>
                <w:rFonts w:hint="eastAsia" w:ascii="方正仿宋_GB2312" w:hAnsi="方正仿宋_GB2312" w:eastAsia="方正仿宋_GB2312" w:cs="方正仿宋_GB2312"/>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789" w:type="dxa"/>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5</w:t>
            </w:r>
          </w:p>
        </w:tc>
        <w:tc>
          <w:tcPr>
            <w:tcW w:w="1739" w:type="dxa"/>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1133苏统I线</w:t>
            </w:r>
          </w:p>
        </w:tc>
        <w:tc>
          <w:tcPr>
            <w:tcW w:w="1782" w:type="dxa"/>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700</w:t>
            </w:r>
          </w:p>
        </w:tc>
        <w:tc>
          <w:tcPr>
            <w:tcW w:w="1583" w:type="dxa"/>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582.37</w:t>
            </w:r>
          </w:p>
        </w:tc>
        <w:tc>
          <w:tcPr>
            <w:tcW w:w="1266" w:type="dxa"/>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83.19%</w:t>
            </w:r>
          </w:p>
        </w:tc>
        <w:tc>
          <w:tcPr>
            <w:tcW w:w="1266" w:type="dxa"/>
            <w:vMerge w:val="restart"/>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1155.82</w:t>
            </w:r>
          </w:p>
        </w:tc>
        <w:tc>
          <w:tcPr>
            <w:tcW w:w="1551" w:type="dxa"/>
            <w:vMerge w:val="restart"/>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165.12%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jc w:val="center"/>
        </w:trPr>
        <w:tc>
          <w:tcPr>
            <w:tcW w:w="789" w:type="dxa"/>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6</w:t>
            </w:r>
          </w:p>
        </w:tc>
        <w:tc>
          <w:tcPr>
            <w:tcW w:w="1739" w:type="dxa"/>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1134苏统II线</w:t>
            </w:r>
          </w:p>
        </w:tc>
        <w:tc>
          <w:tcPr>
            <w:tcW w:w="1782" w:type="dxa"/>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700</w:t>
            </w:r>
          </w:p>
        </w:tc>
        <w:tc>
          <w:tcPr>
            <w:tcW w:w="1583" w:type="dxa"/>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573.45</w:t>
            </w:r>
          </w:p>
        </w:tc>
        <w:tc>
          <w:tcPr>
            <w:tcW w:w="1266" w:type="dxa"/>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81.92%</w:t>
            </w:r>
          </w:p>
        </w:tc>
        <w:tc>
          <w:tcPr>
            <w:tcW w:w="1266" w:type="dxa"/>
            <w:vMerge w:val="continue"/>
            <w:vAlign w:val="center"/>
          </w:tcPr>
          <w:p>
            <w:pPr>
              <w:widowControl/>
              <w:ind w:firstLine="360"/>
              <w:jc w:val="center"/>
              <w:rPr>
                <w:rFonts w:hint="eastAsia" w:ascii="方正仿宋_GB2312" w:hAnsi="方正仿宋_GB2312" w:eastAsia="方正仿宋_GB2312" w:cs="方正仿宋_GB2312"/>
                <w:color w:val="000000"/>
                <w:sz w:val="21"/>
                <w:szCs w:val="21"/>
              </w:rPr>
            </w:pPr>
          </w:p>
        </w:tc>
        <w:tc>
          <w:tcPr>
            <w:tcW w:w="1551" w:type="dxa"/>
            <w:vMerge w:val="continue"/>
            <w:vAlign w:val="center"/>
          </w:tcPr>
          <w:p>
            <w:pPr>
              <w:widowControl/>
              <w:ind w:firstLine="360"/>
              <w:jc w:val="center"/>
              <w:rPr>
                <w:rFonts w:hint="eastAsia" w:ascii="方正仿宋_GB2312" w:hAnsi="方正仿宋_GB2312" w:eastAsia="方正仿宋_GB2312" w:cs="方正仿宋_GB2312"/>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789" w:type="dxa"/>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7</w:t>
            </w:r>
          </w:p>
        </w:tc>
        <w:tc>
          <w:tcPr>
            <w:tcW w:w="1739" w:type="dxa"/>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1521统阿I线</w:t>
            </w:r>
          </w:p>
        </w:tc>
        <w:tc>
          <w:tcPr>
            <w:tcW w:w="1782" w:type="dxa"/>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600</w:t>
            </w:r>
          </w:p>
        </w:tc>
        <w:tc>
          <w:tcPr>
            <w:tcW w:w="1583" w:type="dxa"/>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505.62</w:t>
            </w:r>
          </w:p>
        </w:tc>
        <w:tc>
          <w:tcPr>
            <w:tcW w:w="1266" w:type="dxa"/>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84.26%</w:t>
            </w:r>
          </w:p>
        </w:tc>
        <w:tc>
          <w:tcPr>
            <w:tcW w:w="1266" w:type="dxa"/>
            <w:vMerge w:val="restart"/>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997.18</w:t>
            </w:r>
          </w:p>
        </w:tc>
        <w:tc>
          <w:tcPr>
            <w:tcW w:w="1551" w:type="dxa"/>
            <w:vMerge w:val="restart"/>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166.2%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789" w:type="dxa"/>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8</w:t>
            </w:r>
          </w:p>
        </w:tc>
        <w:tc>
          <w:tcPr>
            <w:tcW w:w="1739" w:type="dxa"/>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1522统阿II线</w:t>
            </w:r>
          </w:p>
        </w:tc>
        <w:tc>
          <w:tcPr>
            <w:tcW w:w="1782" w:type="dxa"/>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600</w:t>
            </w:r>
          </w:p>
        </w:tc>
        <w:tc>
          <w:tcPr>
            <w:tcW w:w="1583" w:type="dxa"/>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491.56</w:t>
            </w:r>
          </w:p>
        </w:tc>
        <w:tc>
          <w:tcPr>
            <w:tcW w:w="1266" w:type="dxa"/>
            <w:vAlign w:val="center"/>
          </w:tcPr>
          <w:p>
            <w:pPr>
              <w:widowControl/>
              <w:jc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sz w:val="21"/>
                <w:szCs w:val="21"/>
              </w:rPr>
              <w:t>81.92%</w:t>
            </w:r>
          </w:p>
        </w:tc>
        <w:tc>
          <w:tcPr>
            <w:tcW w:w="1266" w:type="dxa"/>
            <w:vMerge w:val="continue"/>
            <w:vAlign w:val="center"/>
          </w:tcPr>
          <w:p>
            <w:pPr>
              <w:spacing w:line="560" w:lineRule="exact"/>
              <w:ind w:firstLine="360"/>
              <w:jc w:val="center"/>
              <w:rPr>
                <w:rFonts w:hint="eastAsia" w:ascii="方正仿宋_GB2312" w:hAnsi="方正仿宋_GB2312" w:eastAsia="方正仿宋_GB2312" w:cs="方正仿宋_GB2312"/>
                <w:sz w:val="21"/>
                <w:szCs w:val="21"/>
              </w:rPr>
            </w:pPr>
          </w:p>
        </w:tc>
        <w:tc>
          <w:tcPr>
            <w:tcW w:w="1551" w:type="dxa"/>
            <w:vMerge w:val="continue"/>
            <w:vAlign w:val="center"/>
          </w:tcPr>
          <w:p>
            <w:pPr>
              <w:spacing w:line="560" w:lineRule="exact"/>
              <w:ind w:firstLine="360"/>
              <w:jc w:val="center"/>
              <w:rPr>
                <w:rFonts w:hint="eastAsia" w:ascii="方正仿宋_GB2312" w:hAnsi="方正仿宋_GB2312" w:eastAsia="方正仿宋_GB2312" w:cs="方正仿宋_GB2312"/>
                <w:sz w:val="21"/>
                <w:szCs w:val="21"/>
              </w:rPr>
            </w:pPr>
          </w:p>
        </w:tc>
      </w:tr>
    </w:tbl>
    <w:p>
      <w:pPr>
        <w:rPr>
          <w:rFonts w:hint="eastAsia" w:ascii="方正仿宋_GB2312" w:hAnsi="方正仿宋_GB2312" w:eastAsia="方正仿宋_GB2312" w:cs="方正仿宋_GB2312"/>
          <w:sz w:val="21"/>
          <w:szCs w:val="21"/>
        </w:rPr>
      </w:pPr>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rPr>
      </w:pPr>
      <w:bookmarkStart w:id="158" w:name="_Toc74041161"/>
      <w:bookmarkStart w:id="159" w:name="_Toc7498"/>
      <w:r>
        <w:rPr>
          <w:rFonts w:hint="eastAsia" w:ascii="黑体" w:hAnsi="黑体" w:eastAsia="黑体" w:cs="黑体"/>
          <w:b w:val="0"/>
          <w:bCs w:val="0"/>
          <w:sz w:val="32"/>
          <w:szCs w:val="32"/>
        </w:rPr>
        <w:t>35千伏电网现状</w:t>
      </w:r>
      <w:bookmarkEnd w:id="111"/>
      <w:bookmarkEnd w:id="148"/>
      <w:bookmarkEnd w:id="149"/>
      <w:bookmarkEnd w:id="150"/>
      <w:bookmarkEnd w:id="151"/>
      <w:bookmarkEnd w:id="152"/>
      <w:bookmarkEnd w:id="153"/>
      <w:bookmarkEnd w:id="154"/>
      <w:bookmarkEnd w:id="155"/>
      <w:bookmarkEnd w:id="158"/>
      <w:bookmarkEnd w:id="159"/>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160" w:name="_Toc59973899"/>
      <w:bookmarkStart w:id="161" w:name="_Toc74041162"/>
      <w:bookmarkStart w:id="162" w:name="_Toc251493908"/>
      <w:bookmarkStart w:id="163" w:name="_Toc253594508"/>
      <w:bookmarkStart w:id="164" w:name="_Toc253584940"/>
      <w:bookmarkStart w:id="165" w:name="_Toc307053927"/>
      <w:bookmarkStart w:id="166" w:name="_Toc306780077"/>
      <w:bookmarkStart w:id="167" w:name="_Toc253743996"/>
      <w:bookmarkStart w:id="168" w:name="_Toc306956217"/>
      <w:bookmarkStart w:id="169" w:name="_Toc306766286"/>
      <w:r>
        <w:rPr>
          <w:rFonts w:eastAsia="仿宋"/>
          <w:sz w:val="32"/>
          <w:szCs w:val="32"/>
        </w:rPr>
        <w:t>电网规模</w:t>
      </w:r>
      <w:bookmarkEnd w:id="160"/>
      <w:bookmarkEnd w:id="161"/>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1.变电情况。截至2020年底，西咸新区公司所属35千伏变电站1座，主变3台，容量40兆伏安。地电变1座，主变2台，容量18.8兆伏安；用户变4座，主变8台，容量44.9兆伏安。</w:t>
      </w:r>
    </w:p>
    <w:p>
      <w:pPr>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表3-9   2020年西咸新区35千伏电网变电总体规模</w:t>
      </w:r>
    </w:p>
    <w:tbl>
      <w:tblPr>
        <w:tblStyle w:val="88"/>
        <w:tblW w:w="8535" w:type="dxa"/>
        <w:tblInd w:w="15"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0" w:type="dxa"/>
          <w:bottom w:w="0" w:type="dxa"/>
          <w:right w:w="0" w:type="dxa"/>
        </w:tblCellMar>
      </w:tblPr>
      <w:tblGrid>
        <w:gridCol w:w="781"/>
        <w:gridCol w:w="926"/>
        <w:gridCol w:w="924"/>
        <w:gridCol w:w="925"/>
        <w:gridCol w:w="925"/>
        <w:gridCol w:w="923"/>
        <w:gridCol w:w="925"/>
        <w:gridCol w:w="708"/>
        <w:gridCol w:w="708"/>
        <w:gridCol w:w="790"/>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3" w:hRule="atLeast"/>
          <w:tblHeader/>
        </w:trPr>
        <w:tc>
          <w:tcPr>
            <w:tcW w:w="781" w:type="dxa"/>
            <w:vMerge w:val="restart"/>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电压</w:t>
            </w:r>
          </w:p>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等级</w:t>
            </w:r>
          </w:p>
        </w:tc>
        <w:tc>
          <w:tcPr>
            <w:tcW w:w="2775" w:type="dxa"/>
            <w:gridSpan w:val="3"/>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国网（所属）</w:t>
            </w:r>
          </w:p>
        </w:tc>
        <w:tc>
          <w:tcPr>
            <w:tcW w:w="2773" w:type="dxa"/>
            <w:gridSpan w:val="3"/>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地方电力（趸售）</w:t>
            </w:r>
          </w:p>
        </w:tc>
        <w:tc>
          <w:tcPr>
            <w:tcW w:w="2206" w:type="dxa"/>
            <w:gridSpan w:val="3"/>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用户变</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55" w:hRule="atLeast"/>
        </w:trPr>
        <w:tc>
          <w:tcPr>
            <w:tcW w:w="781" w:type="dxa"/>
            <w:vMerge w:val="continue"/>
            <w:shd w:val="clear" w:color="auto" w:fill="FFFFFF"/>
            <w:vAlign w:val="center"/>
          </w:tcPr>
          <w:p>
            <w:pPr>
              <w:pStyle w:val="152"/>
              <w:rPr>
                <w:rFonts w:hint="eastAsia" w:ascii="方正仿宋_GB2312" w:hAnsi="方正仿宋_GB2312" w:eastAsia="方正仿宋_GB2312" w:cs="方正仿宋_GB2312"/>
                <w:sz w:val="21"/>
                <w:szCs w:val="21"/>
              </w:rPr>
            </w:pPr>
          </w:p>
        </w:tc>
        <w:tc>
          <w:tcPr>
            <w:tcW w:w="926" w:type="dxa"/>
            <w:shd w:val="clear" w:color="auto" w:fill="FFFFFF"/>
            <w:vAlign w:val="center"/>
          </w:tcPr>
          <w:p>
            <w:pPr>
              <w:pStyle w:val="152"/>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座数</w:t>
            </w:r>
          </w:p>
        </w:tc>
        <w:tc>
          <w:tcPr>
            <w:tcW w:w="924" w:type="dxa"/>
            <w:shd w:val="clear" w:color="auto" w:fill="FFFFFF"/>
            <w:vAlign w:val="center"/>
          </w:tcPr>
          <w:p>
            <w:pPr>
              <w:pStyle w:val="152"/>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台数</w:t>
            </w:r>
          </w:p>
        </w:tc>
        <w:tc>
          <w:tcPr>
            <w:tcW w:w="925" w:type="dxa"/>
            <w:shd w:val="clear" w:color="auto" w:fill="FFFFFF"/>
            <w:vAlign w:val="center"/>
          </w:tcPr>
          <w:p>
            <w:pPr>
              <w:pStyle w:val="152"/>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容量</w:t>
            </w:r>
          </w:p>
        </w:tc>
        <w:tc>
          <w:tcPr>
            <w:tcW w:w="925" w:type="dxa"/>
            <w:shd w:val="clear" w:color="auto" w:fill="FFFFFF"/>
            <w:vAlign w:val="center"/>
          </w:tcPr>
          <w:p>
            <w:pPr>
              <w:pStyle w:val="152"/>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座数</w:t>
            </w:r>
          </w:p>
        </w:tc>
        <w:tc>
          <w:tcPr>
            <w:tcW w:w="923" w:type="dxa"/>
            <w:shd w:val="clear" w:color="auto" w:fill="FFFFFF"/>
            <w:vAlign w:val="center"/>
          </w:tcPr>
          <w:p>
            <w:pPr>
              <w:pStyle w:val="152"/>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台数</w:t>
            </w:r>
          </w:p>
        </w:tc>
        <w:tc>
          <w:tcPr>
            <w:tcW w:w="925" w:type="dxa"/>
            <w:shd w:val="clear" w:color="auto" w:fill="FFFFFF"/>
            <w:vAlign w:val="center"/>
          </w:tcPr>
          <w:p>
            <w:pPr>
              <w:pStyle w:val="152"/>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容量</w:t>
            </w:r>
          </w:p>
        </w:tc>
        <w:tc>
          <w:tcPr>
            <w:tcW w:w="708" w:type="dxa"/>
            <w:shd w:val="clear" w:color="auto" w:fill="FFFFFF"/>
            <w:vAlign w:val="center"/>
          </w:tcPr>
          <w:p>
            <w:pPr>
              <w:pStyle w:val="152"/>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座数</w:t>
            </w:r>
          </w:p>
        </w:tc>
        <w:tc>
          <w:tcPr>
            <w:tcW w:w="708" w:type="dxa"/>
            <w:shd w:val="clear" w:color="auto" w:fill="FFFFFF"/>
            <w:vAlign w:val="center"/>
          </w:tcPr>
          <w:p>
            <w:pPr>
              <w:pStyle w:val="152"/>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台数</w:t>
            </w:r>
          </w:p>
        </w:tc>
        <w:tc>
          <w:tcPr>
            <w:tcW w:w="790" w:type="dxa"/>
            <w:shd w:val="clear" w:color="auto" w:fill="FFFFFF"/>
            <w:vAlign w:val="center"/>
          </w:tcPr>
          <w:p>
            <w:pPr>
              <w:pStyle w:val="152"/>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容量</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3" w:hRule="atLeast"/>
        </w:trPr>
        <w:tc>
          <w:tcPr>
            <w:tcW w:w="781"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35千伏</w:t>
            </w:r>
          </w:p>
        </w:tc>
        <w:tc>
          <w:tcPr>
            <w:tcW w:w="926" w:type="dxa"/>
            <w:shd w:val="clear" w:color="auto" w:fill="FFFFFF"/>
            <w:vAlign w:val="center"/>
          </w:tcPr>
          <w:p>
            <w:pPr>
              <w:pStyle w:val="152"/>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1</w:t>
            </w:r>
          </w:p>
        </w:tc>
        <w:tc>
          <w:tcPr>
            <w:tcW w:w="924" w:type="dxa"/>
            <w:shd w:val="clear" w:color="auto" w:fill="FFFFFF"/>
            <w:vAlign w:val="center"/>
          </w:tcPr>
          <w:p>
            <w:pPr>
              <w:pStyle w:val="152"/>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3</w:t>
            </w:r>
          </w:p>
        </w:tc>
        <w:tc>
          <w:tcPr>
            <w:tcW w:w="925" w:type="dxa"/>
            <w:shd w:val="clear" w:color="auto" w:fill="FFFFFF"/>
            <w:vAlign w:val="center"/>
          </w:tcPr>
          <w:p>
            <w:pPr>
              <w:pStyle w:val="152"/>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40</w:t>
            </w:r>
          </w:p>
        </w:tc>
        <w:tc>
          <w:tcPr>
            <w:tcW w:w="925" w:type="dxa"/>
            <w:shd w:val="clear" w:color="auto" w:fill="FFFFFF"/>
            <w:vAlign w:val="center"/>
          </w:tcPr>
          <w:p>
            <w:pPr>
              <w:pStyle w:val="152"/>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1</w:t>
            </w:r>
          </w:p>
        </w:tc>
        <w:tc>
          <w:tcPr>
            <w:tcW w:w="923" w:type="dxa"/>
            <w:shd w:val="clear" w:color="auto" w:fill="FFFFFF"/>
            <w:vAlign w:val="center"/>
          </w:tcPr>
          <w:p>
            <w:pPr>
              <w:pStyle w:val="152"/>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2</w:t>
            </w:r>
          </w:p>
        </w:tc>
        <w:tc>
          <w:tcPr>
            <w:tcW w:w="925" w:type="dxa"/>
            <w:shd w:val="clear" w:color="auto" w:fill="FFFFFF"/>
            <w:vAlign w:val="center"/>
          </w:tcPr>
          <w:p>
            <w:pPr>
              <w:pStyle w:val="152"/>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18.8</w:t>
            </w:r>
          </w:p>
        </w:tc>
        <w:tc>
          <w:tcPr>
            <w:tcW w:w="708" w:type="dxa"/>
            <w:shd w:val="clear" w:color="auto" w:fill="FFFFFF"/>
            <w:vAlign w:val="center"/>
          </w:tcPr>
          <w:p>
            <w:pPr>
              <w:pStyle w:val="152"/>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4</w:t>
            </w:r>
          </w:p>
        </w:tc>
        <w:tc>
          <w:tcPr>
            <w:tcW w:w="708" w:type="dxa"/>
            <w:shd w:val="clear" w:color="auto" w:fill="FFFFFF"/>
            <w:vAlign w:val="center"/>
          </w:tcPr>
          <w:p>
            <w:pPr>
              <w:pStyle w:val="152"/>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8</w:t>
            </w:r>
          </w:p>
        </w:tc>
        <w:tc>
          <w:tcPr>
            <w:tcW w:w="790" w:type="dxa"/>
            <w:shd w:val="clear" w:color="auto" w:fill="FFFFFF"/>
            <w:vAlign w:val="center"/>
          </w:tcPr>
          <w:p>
            <w:pPr>
              <w:pStyle w:val="152"/>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44.9</w:t>
            </w:r>
          </w:p>
        </w:tc>
      </w:tr>
    </w:tbl>
    <w:p>
      <w:pPr>
        <w:pStyle w:val="150"/>
        <w:keepNext w:val="0"/>
        <w:keepLines w:val="0"/>
        <w:pageBreakBefore w:val="0"/>
        <w:widowControl w:val="0"/>
        <w:kinsoku/>
        <w:wordWrap/>
        <w:overflowPunct/>
        <w:topLinePunct w:val="0"/>
        <w:autoSpaceDE/>
        <w:autoSpaceDN/>
        <w:bidi w:val="0"/>
        <w:adjustRightInd w:val="0"/>
        <w:snapToGrid w:val="0"/>
        <w:spacing w:line="400" w:lineRule="exact"/>
        <w:ind w:left="0" w:leftChars="0" w:firstLine="0" w:firstLineChars="0"/>
        <w:jc w:val="both"/>
        <w:textAlignment w:val="auto"/>
        <w:rPr>
          <w:rFonts w:eastAsia="仿宋"/>
          <w:sz w:val="28"/>
          <w:szCs w:val="28"/>
        </w:rPr>
      </w:pPr>
    </w:p>
    <w:p>
      <w:pPr>
        <w:pStyle w:val="150"/>
        <w:keepNext w:val="0"/>
        <w:keepLines w:val="0"/>
        <w:pageBreakBefore w:val="0"/>
        <w:widowControl w:val="0"/>
        <w:kinsoku/>
        <w:wordWrap/>
        <w:overflowPunct/>
        <w:topLinePunct w:val="0"/>
        <w:autoSpaceDE/>
        <w:autoSpaceDN/>
        <w:bidi w:val="0"/>
        <w:adjustRightInd w:val="0"/>
        <w:snapToGrid w:val="0"/>
        <w:spacing w:line="560" w:lineRule="exact"/>
        <w:ind w:left="0" w:leftChars="0" w:firstLine="0" w:firstLineChars="0"/>
        <w:jc w:val="center"/>
        <w:textAlignment w:val="auto"/>
        <w:rPr>
          <w:rFonts w:hint="eastAsia" w:ascii="仿宋_GB2312" w:hAnsi="仿宋_GB2312" w:eastAsia="仿宋_GB2312" w:cs="仿宋_GB2312"/>
          <w:kern w:val="2"/>
          <w:sz w:val="32"/>
          <w:szCs w:val="32"/>
          <w:lang w:val="en-US" w:eastAsia="zh-CN" w:bidi="ar-SA"/>
        </w:rPr>
      </w:pPr>
      <w:r>
        <w:rPr>
          <w:rFonts w:hint="eastAsia" w:ascii="仿宋" w:hAnsi="仿宋" w:cs="仿宋"/>
          <w:kern w:val="2"/>
          <w:sz w:val="32"/>
          <w:szCs w:val="32"/>
          <w:lang w:val="en-US" w:eastAsia="zh-CN" w:bidi="ar-SA"/>
        </w:rPr>
        <w:t xml:space="preserve">  </w:t>
      </w:r>
      <w:r>
        <w:rPr>
          <w:rFonts w:hint="eastAsia" w:ascii="仿宋_GB2312" w:hAnsi="仿宋_GB2312" w:eastAsia="仿宋_GB2312" w:cs="仿宋_GB2312"/>
          <w:kern w:val="2"/>
          <w:sz w:val="32"/>
          <w:szCs w:val="32"/>
          <w:lang w:val="en-US" w:eastAsia="zh-CN" w:bidi="ar-SA"/>
        </w:rPr>
        <w:t>2.线路情况</w:t>
      </w:r>
      <w:bookmarkStart w:id="170" w:name="_Toc352610551"/>
      <w:r>
        <w:rPr>
          <w:rFonts w:hint="eastAsia" w:ascii="仿宋_GB2312" w:hAnsi="仿宋_GB2312" w:eastAsia="仿宋_GB2312" w:cs="仿宋_GB2312"/>
          <w:kern w:val="2"/>
          <w:sz w:val="32"/>
          <w:szCs w:val="32"/>
          <w:lang w:val="en-US" w:eastAsia="zh-CN" w:bidi="ar-SA"/>
        </w:rPr>
        <w:t>。截止2020年底，国网所属35千伏线路7条，地方电力所属35千伏线路3条，用户所属35千伏线路3条。</w:t>
      </w:r>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171" w:name="_Toc59973900"/>
      <w:bookmarkStart w:id="172" w:name="_Toc74041163"/>
      <w:r>
        <w:rPr>
          <w:rFonts w:eastAsia="仿宋"/>
          <w:sz w:val="32"/>
          <w:szCs w:val="32"/>
        </w:rPr>
        <w:t>电网结构</w:t>
      </w:r>
      <w:bookmarkEnd w:id="170"/>
      <w:bookmarkEnd w:id="171"/>
      <w:bookmarkEnd w:id="172"/>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西咸新区35千伏为单链、双辐射及单辐射的接线型式。西咸新区35千伏电网典型结构示意图如下：</w:t>
      </w:r>
    </w:p>
    <w:p>
      <w:pPr>
        <w:pStyle w:val="150"/>
        <w:ind w:firstLine="198" w:firstLineChars="71"/>
        <w:jc w:val="center"/>
        <w:rPr>
          <w:kern w:val="0"/>
          <w:szCs w:val="21"/>
        </w:rPr>
      </w:pPr>
      <w:r>
        <w:rPr>
          <w:kern w:val="0"/>
          <w:szCs w:val="21"/>
        </w:rPr>
        <w:drawing>
          <wp:inline distT="0" distB="0" distL="114300" distR="114300">
            <wp:extent cx="3441700" cy="2004060"/>
            <wp:effectExtent l="0" t="0" r="6350" b="15240"/>
            <wp:docPr id="18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2"/>
                    <pic:cNvPicPr>
                      <a:picLocks noChangeAspect="1"/>
                    </pic:cNvPicPr>
                  </pic:nvPicPr>
                  <pic:blipFill>
                    <a:blip r:embed="rId14"/>
                    <a:stretch>
                      <a:fillRect/>
                    </a:stretch>
                  </pic:blipFill>
                  <pic:spPr>
                    <a:xfrm>
                      <a:off x="0" y="0"/>
                      <a:ext cx="3441700" cy="2004060"/>
                    </a:xfrm>
                    <a:prstGeom prst="rect">
                      <a:avLst/>
                    </a:prstGeom>
                    <a:noFill/>
                    <a:ln w="9525">
                      <a:noFill/>
                    </a:ln>
                  </pic:spPr>
                </pic:pic>
              </a:graphicData>
            </a:graphic>
          </wp:inline>
        </w:drawing>
      </w:r>
    </w:p>
    <w:p>
      <w:pPr>
        <w:pStyle w:val="150"/>
        <w:ind w:firstLine="150" w:firstLineChars="71"/>
        <w:jc w:val="center"/>
        <w:rPr>
          <w:rFonts w:hint="eastAsia" w:ascii="黑体" w:hAnsi="黑体" w:eastAsia="黑体" w:cs="黑体"/>
          <w:b/>
          <w:bCs/>
          <w:kern w:val="0"/>
          <w:sz w:val="21"/>
          <w:szCs w:val="21"/>
          <w:lang w:val="en-US" w:eastAsia="zh-CN" w:bidi="ar-SA"/>
        </w:rPr>
      </w:pPr>
      <w:r>
        <w:rPr>
          <w:rFonts w:hint="eastAsia" w:ascii="黑体" w:hAnsi="黑体" w:eastAsia="黑体" w:cs="黑体"/>
          <w:b/>
          <w:bCs/>
          <w:kern w:val="0"/>
          <w:sz w:val="21"/>
          <w:szCs w:val="21"/>
          <w:lang w:val="en-US" w:eastAsia="zh-CN" w:bidi="ar-SA"/>
        </w:rPr>
        <w:t>图3-4  西咸新区35千伏电网典型网架结构示意图</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西咸现有的35千伏公用线路情况如下：35千伏青马线带马王变1#、2#主变运行，35千伏阿马线带马王变3#主变运行，两部分互相独立、无电气连接，属于单线运行、供电可靠率低；35千伏泾永线开断；35千伏阿皂、六沙线为单链式结构，分别为两个水厂供电；阿热I、II线为双辐射结构。</w:t>
      </w:r>
    </w:p>
    <w:p>
      <w:pPr>
        <w:pStyle w:val="150"/>
        <w:keepNext w:val="0"/>
        <w:keepLines w:val="0"/>
        <w:pageBreakBefore w:val="0"/>
        <w:widowControl w:val="0"/>
        <w:kinsoku/>
        <w:wordWrap/>
        <w:overflowPunct/>
        <w:topLinePunct w:val="0"/>
        <w:autoSpaceDE/>
        <w:autoSpaceDN/>
        <w:bidi w:val="0"/>
        <w:adjustRightInd w:val="0"/>
        <w:snapToGrid w:val="0"/>
        <w:spacing w:line="400" w:lineRule="exact"/>
        <w:ind w:left="0" w:leftChars="0" w:firstLine="0" w:firstLineChars="0"/>
        <w:jc w:val="center"/>
        <w:textAlignment w:val="auto"/>
        <w:rPr>
          <w:rFonts w:hint="eastAsia" w:ascii="黑体" w:hAnsi="黑体" w:eastAsia="黑体" w:cs="黑体"/>
          <w:kern w:val="2"/>
          <w:sz w:val="28"/>
          <w:szCs w:val="28"/>
          <w:lang w:val="en-US" w:eastAsia="zh-CN" w:bidi="ar-SA"/>
        </w:rPr>
      </w:pPr>
      <w:r>
        <w:rPr>
          <w:rFonts w:hint="eastAsia" w:ascii="黑体" w:hAnsi="黑体" w:eastAsia="黑体" w:cs="黑体"/>
          <w:kern w:val="2"/>
          <w:sz w:val="28"/>
          <w:szCs w:val="28"/>
          <w:lang w:val="en-US" w:eastAsia="zh-CN" w:bidi="ar-SA"/>
        </w:rPr>
        <w:t>表3-10  2020年西咸新区35千伏电网结构情况</w:t>
      </w:r>
    </w:p>
    <w:tbl>
      <w:tblPr>
        <w:tblStyle w:val="88"/>
        <w:tblW w:w="8475" w:type="dxa"/>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5" w:type="dxa"/>
          <w:left w:w="15" w:type="dxa"/>
          <w:bottom w:w="15" w:type="dxa"/>
          <w:right w:w="15" w:type="dxa"/>
        </w:tblCellMar>
      </w:tblPr>
      <w:tblGrid>
        <w:gridCol w:w="481"/>
        <w:gridCol w:w="1051"/>
        <w:gridCol w:w="819"/>
        <w:gridCol w:w="757"/>
        <w:gridCol w:w="642"/>
        <w:gridCol w:w="747"/>
        <w:gridCol w:w="722"/>
        <w:gridCol w:w="798"/>
        <w:gridCol w:w="912"/>
        <w:gridCol w:w="773"/>
        <w:gridCol w:w="773"/>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285" w:hRule="atLeast"/>
        </w:trPr>
        <w:tc>
          <w:tcPr>
            <w:tcW w:w="481" w:type="dxa"/>
            <w:vMerge w:val="restart"/>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编号</w:t>
            </w:r>
          </w:p>
        </w:tc>
        <w:tc>
          <w:tcPr>
            <w:tcW w:w="1051" w:type="dxa"/>
            <w:vMerge w:val="restart"/>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类型</w:t>
            </w:r>
          </w:p>
        </w:tc>
        <w:tc>
          <w:tcPr>
            <w:tcW w:w="819" w:type="dxa"/>
            <w:vMerge w:val="restart"/>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电压等级（千伏）</w:t>
            </w:r>
          </w:p>
        </w:tc>
        <w:tc>
          <w:tcPr>
            <w:tcW w:w="757" w:type="dxa"/>
            <w:vMerge w:val="restart"/>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线路总条数（条）</w:t>
            </w:r>
          </w:p>
        </w:tc>
        <w:tc>
          <w:tcPr>
            <w:tcW w:w="2111" w:type="dxa"/>
            <w:gridSpan w:val="3"/>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链式（条）</w:t>
            </w:r>
          </w:p>
        </w:tc>
        <w:tc>
          <w:tcPr>
            <w:tcW w:w="1710" w:type="dxa"/>
            <w:gridSpan w:val="2"/>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环网（条）</w:t>
            </w:r>
          </w:p>
        </w:tc>
        <w:tc>
          <w:tcPr>
            <w:tcW w:w="1546" w:type="dxa"/>
            <w:gridSpan w:val="2"/>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辐射（条）</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84" w:hRule="atLeast"/>
        </w:trPr>
        <w:tc>
          <w:tcPr>
            <w:tcW w:w="481" w:type="dxa"/>
            <w:vMerge w:val="continue"/>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p>
        </w:tc>
        <w:tc>
          <w:tcPr>
            <w:tcW w:w="1051" w:type="dxa"/>
            <w:vMerge w:val="continue"/>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p>
        </w:tc>
        <w:tc>
          <w:tcPr>
            <w:tcW w:w="819" w:type="dxa"/>
            <w:vMerge w:val="continue"/>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p>
        </w:tc>
        <w:tc>
          <w:tcPr>
            <w:tcW w:w="757" w:type="dxa"/>
            <w:vMerge w:val="continue"/>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p>
        </w:tc>
        <w:tc>
          <w:tcPr>
            <w:tcW w:w="642"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三链</w:t>
            </w:r>
          </w:p>
        </w:tc>
        <w:tc>
          <w:tcPr>
            <w:tcW w:w="747"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双链</w:t>
            </w:r>
          </w:p>
        </w:tc>
        <w:tc>
          <w:tcPr>
            <w:tcW w:w="722"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单链</w:t>
            </w:r>
          </w:p>
        </w:tc>
        <w:tc>
          <w:tcPr>
            <w:tcW w:w="798"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双环网</w:t>
            </w:r>
          </w:p>
        </w:tc>
        <w:tc>
          <w:tcPr>
            <w:tcW w:w="912"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单环网</w:t>
            </w:r>
          </w:p>
        </w:tc>
        <w:tc>
          <w:tcPr>
            <w:tcW w:w="773"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双辐射</w:t>
            </w:r>
          </w:p>
        </w:tc>
        <w:tc>
          <w:tcPr>
            <w:tcW w:w="773"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单辐射</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285" w:hRule="atLeast"/>
        </w:trPr>
        <w:tc>
          <w:tcPr>
            <w:tcW w:w="481"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1</w:t>
            </w:r>
          </w:p>
        </w:tc>
        <w:tc>
          <w:tcPr>
            <w:tcW w:w="1051"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市辖供电区</w:t>
            </w:r>
          </w:p>
        </w:tc>
        <w:tc>
          <w:tcPr>
            <w:tcW w:w="819"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35</w:t>
            </w:r>
          </w:p>
        </w:tc>
        <w:tc>
          <w:tcPr>
            <w:tcW w:w="757"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7</w:t>
            </w:r>
          </w:p>
        </w:tc>
        <w:tc>
          <w:tcPr>
            <w:tcW w:w="642"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0</w:t>
            </w:r>
          </w:p>
        </w:tc>
        <w:tc>
          <w:tcPr>
            <w:tcW w:w="747"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0</w:t>
            </w:r>
          </w:p>
        </w:tc>
        <w:tc>
          <w:tcPr>
            <w:tcW w:w="722"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4</w:t>
            </w:r>
          </w:p>
        </w:tc>
        <w:tc>
          <w:tcPr>
            <w:tcW w:w="798"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0</w:t>
            </w:r>
          </w:p>
        </w:tc>
        <w:tc>
          <w:tcPr>
            <w:tcW w:w="912"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0</w:t>
            </w:r>
          </w:p>
        </w:tc>
        <w:tc>
          <w:tcPr>
            <w:tcW w:w="773"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w:t>
            </w:r>
          </w:p>
        </w:tc>
        <w:tc>
          <w:tcPr>
            <w:tcW w:w="773"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1</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285" w:hRule="atLeast"/>
        </w:trPr>
        <w:tc>
          <w:tcPr>
            <w:tcW w:w="481"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w:t>
            </w:r>
          </w:p>
        </w:tc>
        <w:tc>
          <w:tcPr>
            <w:tcW w:w="1051"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合计</w:t>
            </w:r>
          </w:p>
        </w:tc>
        <w:tc>
          <w:tcPr>
            <w:tcW w:w="819"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35</w:t>
            </w:r>
          </w:p>
        </w:tc>
        <w:tc>
          <w:tcPr>
            <w:tcW w:w="757"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7</w:t>
            </w:r>
          </w:p>
        </w:tc>
        <w:tc>
          <w:tcPr>
            <w:tcW w:w="642"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0</w:t>
            </w:r>
          </w:p>
        </w:tc>
        <w:tc>
          <w:tcPr>
            <w:tcW w:w="747"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0</w:t>
            </w:r>
          </w:p>
        </w:tc>
        <w:tc>
          <w:tcPr>
            <w:tcW w:w="722"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4</w:t>
            </w:r>
          </w:p>
        </w:tc>
        <w:tc>
          <w:tcPr>
            <w:tcW w:w="798"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0</w:t>
            </w:r>
          </w:p>
        </w:tc>
        <w:tc>
          <w:tcPr>
            <w:tcW w:w="912"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0</w:t>
            </w:r>
          </w:p>
        </w:tc>
        <w:tc>
          <w:tcPr>
            <w:tcW w:w="773"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w:t>
            </w:r>
          </w:p>
        </w:tc>
        <w:tc>
          <w:tcPr>
            <w:tcW w:w="773"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1</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156" w:hRule="atLeast"/>
        </w:trPr>
        <w:tc>
          <w:tcPr>
            <w:tcW w:w="481"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w:t>
            </w:r>
          </w:p>
        </w:tc>
        <w:tc>
          <w:tcPr>
            <w:tcW w:w="1051"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B</w:t>
            </w:r>
          </w:p>
        </w:tc>
        <w:tc>
          <w:tcPr>
            <w:tcW w:w="819"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35</w:t>
            </w:r>
          </w:p>
        </w:tc>
        <w:tc>
          <w:tcPr>
            <w:tcW w:w="757"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7</w:t>
            </w:r>
          </w:p>
        </w:tc>
        <w:tc>
          <w:tcPr>
            <w:tcW w:w="642"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0</w:t>
            </w:r>
          </w:p>
        </w:tc>
        <w:tc>
          <w:tcPr>
            <w:tcW w:w="747"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0</w:t>
            </w:r>
          </w:p>
        </w:tc>
        <w:tc>
          <w:tcPr>
            <w:tcW w:w="722"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4</w:t>
            </w:r>
          </w:p>
        </w:tc>
        <w:tc>
          <w:tcPr>
            <w:tcW w:w="798"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0</w:t>
            </w:r>
          </w:p>
        </w:tc>
        <w:tc>
          <w:tcPr>
            <w:tcW w:w="912"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0</w:t>
            </w:r>
          </w:p>
        </w:tc>
        <w:tc>
          <w:tcPr>
            <w:tcW w:w="773"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w:t>
            </w:r>
          </w:p>
        </w:tc>
        <w:tc>
          <w:tcPr>
            <w:tcW w:w="773"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1</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285" w:hRule="atLeast"/>
        </w:trPr>
        <w:tc>
          <w:tcPr>
            <w:tcW w:w="481"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4</w:t>
            </w:r>
          </w:p>
        </w:tc>
        <w:tc>
          <w:tcPr>
            <w:tcW w:w="1051"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B(城网)</w:t>
            </w:r>
          </w:p>
        </w:tc>
        <w:tc>
          <w:tcPr>
            <w:tcW w:w="819"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35</w:t>
            </w:r>
          </w:p>
        </w:tc>
        <w:tc>
          <w:tcPr>
            <w:tcW w:w="757"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7</w:t>
            </w:r>
          </w:p>
        </w:tc>
        <w:tc>
          <w:tcPr>
            <w:tcW w:w="642"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0</w:t>
            </w:r>
          </w:p>
        </w:tc>
        <w:tc>
          <w:tcPr>
            <w:tcW w:w="747"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0</w:t>
            </w:r>
          </w:p>
        </w:tc>
        <w:tc>
          <w:tcPr>
            <w:tcW w:w="722"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4</w:t>
            </w:r>
          </w:p>
        </w:tc>
        <w:tc>
          <w:tcPr>
            <w:tcW w:w="798"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0</w:t>
            </w:r>
          </w:p>
        </w:tc>
        <w:tc>
          <w:tcPr>
            <w:tcW w:w="912"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0</w:t>
            </w:r>
          </w:p>
        </w:tc>
        <w:tc>
          <w:tcPr>
            <w:tcW w:w="773"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w:t>
            </w:r>
          </w:p>
        </w:tc>
        <w:tc>
          <w:tcPr>
            <w:tcW w:w="773" w:type="dxa"/>
            <w:tcBorders>
              <w:tl2br w:val="nil"/>
              <w:tr2bl w:val="nil"/>
            </w:tcBorders>
            <w:vAlign w:val="center"/>
          </w:tcPr>
          <w:p>
            <w:pPr>
              <w:autoSpaceDN w:val="0"/>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1</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285" w:hRule="atLeast"/>
        </w:trPr>
        <w:tc>
          <w:tcPr>
            <w:tcW w:w="8475" w:type="dxa"/>
            <w:gridSpan w:val="11"/>
            <w:tcBorders>
              <w:tl2br w:val="nil"/>
              <w:tr2bl w:val="nil"/>
            </w:tcBorders>
            <w:vAlign w:val="center"/>
          </w:tcPr>
          <w:p>
            <w:pPr>
              <w:autoSpaceDN w:val="0"/>
              <w:jc w:val="left"/>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注：（1）35千伏电网结构包括链式、环网和辐射状结构，不包括变电站的T接和π接方式。</w:t>
            </w:r>
          </w:p>
          <w:p>
            <w:pPr>
              <w:autoSpaceDN w:val="0"/>
              <w:ind w:firstLine="255" w:firstLineChars="142"/>
              <w:jc w:val="left"/>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（2）“条”精确度为整数。</w:t>
            </w:r>
          </w:p>
        </w:tc>
      </w:tr>
    </w:tbl>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173" w:name="_Toc74041164"/>
      <w:bookmarkStart w:id="174" w:name="_Toc59973901"/>
      <w:bookmarkStart w:id="175" w:name="_Toc352610553"/>
      <w:r>
        <w:rPr>
          <w:rFonts w:eastAsia="仿宋"/>
          <w:sz w:val="32"/>
          <w:szCs w:val="32"/>
        </w:rPr>
        <w:t>装备水平</w:t>
      </w:r>
      <w:bookmarkEnd w:id="173"/>
      <w:bookmarkEnd w:id="174"/>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1.变电设备运行年限。西咸新区35千伏公网变电站1座（马王变），主变3台运行均在10年以内。12台断路器运行年限在均在20年以内。</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2.线路设备运行年限。西咸电网所有35千伏公网线路运行年限均超过20年，其中92.44%的35千伏公网线路运行年限超过30年。</w:t>
      </w:r>
    </w:p>
    <w:p>
      <w:pPr>
        <w:pStyle w:val="150"/>
        <w:keepNext w:val="0"/>
        <w:keepLines w:val="0"/>
        <w:pageBreakBefore w:val="0"/>
        <w:widowControl w:val="0"/>
        <w:kinsoku/>
        <w:wordWrap/>
        <w:overflowPunct/>
        <w:topLinePunct w:val="0"/>
        <w:autoSpaceDE/>
        <w:autoSpaceDN/>
        <w:bidi w:val="0"/>
        <w:adjustRightInd w:val="0"/>
        <w:snapToGrid w:val="0"/>
        <w:spacing w:line="400" w:lineRule="exact"/>
        <w:ind w:left="0" w:leftChars="0" w:firstLine="0" w:firstLineChars="0"/>
        <w:jc w:val="center"/>
        <w:textAlignment w:val="auto"/>
        <w:rPr>
          <w:rFonts w:hint="eastAsia" w:ascii="黑体" w:hAnsi="黑体" w:eastAsia="黑体" w:cs="黑体"/>
          <w:kern w:val="2"/>
          <w:sz w:val="28"/>
          <w:szCs w:val="28"/>
          <w:lang w:val="en-US" w:eastAsia="zh-CN" w:bidi="ar-SA"/>
        </w:rPr>
      </w:pPr>
      <w:r>
        <w:rPr>
          <w:rFonts w:hint="eastAsia" w:ascii="黑体" w:hAnsi="黑体" w:eastAsia="黑体" w:cs="黑体"/>
          <w:kern w:val="2"/>
          <w:sz w:val="28"/>
          <w:szCs w:val="28"/>
          <w:lang w:val="en-US" w:eastAsia="zh-CN" w:bidi="ar-SA"/>
        </w:rPr>
        <w:t>表3-11    2020年西咸新区35千伏电网结构情况</w:t>
      </w:r>
    </w:p>
    <w:tbl>
      <w:tblPr>
        <w:tblStyle w:val="88"/>
        <w:tblW w:w="8475"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1112"/>
        <w:gridCol w:w="1398"/>
        <w:gridCol w:w="1379"/>
        <w:gridCol w:w="1528"/>
        <w:gridCol w:w="1527"/>
        <w:gridCol w:w="1531"/>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10" w:hRule="atLeast"/>
          <w:jc w:val="center"/>
        </w:trPr>
        <w:tc>
          <w:tcPr>
            <w:tcW w:w="1112" w:type="dxa"/>
            <w:vMerge w:val="restart"/>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供电区域</w:t>
            </w:r>
          </w:p>
        </w:tc>
        <w:tc>
          <w:tcPr>
            <w:tcW w:w="1398" w:type="dxa"/>
            <w:vMerge w:val="restart"/>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年限</w:t>
            </w:r>
          </w:p>
        </w:tc>
        <w:tc>
          <w:tcPr>
            <w:tcW w:w="2907" w:type="dxa"/>
            <w:gridSpan w:val="2"/>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变电</w:t>
            </w:r>
          </w:p>
        </w:tc>
        <w:tc>
          <w:tcPr>
            <w:tcW w:w="3058" w:type="dxa"/>
            <w:gridSpan w:val="2"/>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线路</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19" w:hRule="atLeast"/>
          <w:jc w:val="center"/>
        </w:trPr>
        <w:tc>
          <w:tcPr>
            <w:tcW w:w="1112" w:type="dxa"/>
            <w:vMerge w:val="continue"/>
            <w:vAlign w:val="center"/>
          </w:tcPr>
          <w:p>
            <w:pPr>
              <w:autoSpaceDN w:val="0"/>
              <w:jc w:val="center"/>
              <w:textAlignment w:val="center"/>
              <w:rPr>
                <w:rFonts w:hint="eastAsia" w:ascii="方正仿宋_GB2312" w:hAnsi="方正仿宋_GB2312" w:eastAsia="方正仿宋_GB2312" w:cs="方正仿宋_GB2312"/>
                <w:sz w:val="21"/>
                <w:szCs w:val="21"/>
              </w:rPr>
            </w:pPr>
          </w:p>
        </w:tc>
        <w:tc>
          <w:tcPr>
            <w:tcW w:w="1398" w:type="dxa"/>
            <w:vMerge w:val="continue"/>
            <w:vAlign w:val="center"/>
          </w:tcPr>
          <w:p>
            <w:pPr>
              <w:autoSpaceDN w:val="0"/>
              <w:jc w:val="center"/>
              <w:textAlignment w:val="center"/>
              <w:rPr>
                <w:rFonts w:hint="eastAsia" w:ascii="方正仿宋_GB2312" w:hAnsi="方正仿宋_GB2312" w:eastAsia="方正仿宋_GB2312" w:cs="方正仿宋_GB2312"/>
                <w:sz w:val="21"/>
                <w:szCs w:val="21"/>
              </w:rPr>
            </w:pPr>
          </w:p>
        </w:tc>
        <w:tc>
          <w:tcPr>
            <w:tcW w:w="1379"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主变台数（台）</w:t>
            </w:r>
          </w:p>
        </w:tc>
        <w:tc>
          <w:tcPr>
            <w:tcW w:w="1528"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断路器台数（台）</w:t>
            </w:r>
          </w:p>
        </w:tc>
        <w:tc>
          <w:tcPr>
            <w:tcW w:w="1527"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架空长度（公里）</w:t>
            </w:r>
          </w:p>
        </w:tc>
        <w:tc>
          <w:tcPr>
            <w:tcW w:w="1531"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电缆长度（公里）</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1112" w:type="dxa"/>
            <w:vMerge w:val="restart"/>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市辖供电区</w:t>
            </w:r>
          </w:p>
        </w:tc>
        <w:tc>
          <w:tcPr>
            <w:tcW w:w="1398"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0-5年</w:t>
            </w:r>
          </w:p>
        </w:tc>
        <w:tc>
          <w:tcPr>
            <w:tcW w:w="1379"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w:t>
            </w:r>
          </w:p>
        </w:tc>
        <w:tc>
          <w:tcPr>
            <w:tcW w:w="1528"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0</w:t>
            </w:r>
          </w:p>
        </w:tc>
        <w:tc>
          <w:tcPr>
            <w:tcW w:w="1527"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0</w:t>
            </w:r>
          </w:p>
        </w:tc>
        <w:tc>
          <w:tcPr>
            <w:tcW w:w="1531"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1112" w:type="dxa"/>
            <w:vMerge w:val="continue"/>
            <w:vAlign w:val="center"/>
          </w:tcPr>
          <w:p>
            <w:pPr>
              <w:autoSpaceDN w:val="0"/>
              <w:jc w:val="center"/>
              <w:textAlignment w:val="center"/>
              <w:rPr>
                <w:rFonts w:hint="eastAsia" w:ascii="方正仿宋_GB2312" w:hAnsi="方正仿宋_GB2312" w:eastAsia="方正仿宋_GB2312" w:cs="方正仿宋_GB2312"/>
                <w:sz w:val="21"/>
                <w:szCs w:val="21"/>
              </w:rPr>
            </w:pPr>
          </w:p>
        </w:tc>
        <w:tc>
          <w:tcPr>
            <w:tcW w:w="1398"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6-10年</w:t>
            </w:r>
          </w:p>
        </w:tc>
        <w:tc>
          <w:tcPr>
            <w:tcW w:w="1379"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w:t>
            </w:r>
          </w:p>
        </w:tc>
        <w:tc>
          <w:tcPr>
            <w:tcW w:w="1528"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w:t>
            </w:r>
          </w:p>
        </w:tc>
        <w:tc>
          <w:tcPr>
            <w:tcW w:w="1527"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0</w:t>
            </w:r>
          </w:p>
        </w:tc>
        <w:tc>
          <w:tcPr>
            <w:tcW w:w="1531"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1112" w:type="dxa"/>
            <w:vMerge w:val="continue"/>
            <w:vAlign w:val="center"/>
          </w:tcPr>
          <w:p>
            <w:pPr>
              <w:autoSpaceDN w:val="0"/>
              <w:jc w:val="center"/>
              <w:textAlignment w:val="center"/>
              <w:rPr>
                <w:rFonts w:hint="eastAsia" w:ascii="方正仿宋_GB2312" w:hAnsi="方正仿宋_GB2312" w:eastAsia="方正仿宋_GB2312" w:cs="方正仿宋_GB2312"/>
                <w:sz w:val="21"/>
                <w:szCs w:val="21"/>
              </w:rPr>
            </w:pPr>
          </w:p>
        </w:tc>
        <w:tc>
          <w:tcPr>
            <w:tcW w:w="1398"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11-20年</w:t>
            </w:r>
          </w:p>
        </w:tc>
        <w:tc>
          <w:tcPr>
            <w:tcW w:w="1379"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0</w:t>
            </w:r>
          </w:p>
        </w:tc>
        <w:tc>
          <w:tcPr>
            <w:tcW w:w="1528"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11</w:t>
            </w:r>
          </w:p>
        </w:tc>
        <w:tc>
          <w:tcPr>
            <w:tcW w:w="1527"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0</w:t>
            </w:r>
          </w:p>
        </w:tc>
        <w:tc>
          <w:tcPr>
            <w:tcW w:w="1531"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09" w:hRule="atLeast"/>
          <w:jc w:val="center"/>
        </w:trPr>
        <w:tc>
          <w:tcPr>
            <w:tcW w:w="1112" w:type="dxa"/>
            <w:vMerge w:val="continue"/>
            <w:vAlign w:val="center"/>
          </w:tcPr>
          <w:p>
            <w:pPr>
              <w:autoSpaceDN w:val="0"/>
              <w:jc w:val="center"/>
              <w:textAlignment w:val="center"/>
              <w:rPr>
                <w:rFonts w:hint="eastAsia" w:ascii="方正仿宋_GB2312" w:hAnsi="方正仿宋_GB2312" w:eastAsia="方正仿宋_GB2312" w:cs="方正仿宋_GB2312"/>
                <w:sz w:val="21"/>
                <w:szCs w:val="21"/>
              </w:rPr>
            </w:pPr>
          </w:p>
        </w:tc>
        <w:tc>
          <w:tcPr>
            <w:tcW w:w="1398"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21-30年</w:t>
            </w:r>
          </w:p>
        </w:tc>
        <w:tc>
          <w:tcPr>
            <w:tcW w:w="1379"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0</w:t>
            </w:r>
          </w:p>
        </w:tc>
        <w:tc>
          <w:tcPr>
            <w:tcW w:w="1528"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0</w:t>
            </w:r>
          </w:p>
        </w:tc>
        <w:tc>
          <w:tcPr>
            <w:tcW w:w="1527"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1.47</w:t>
            </w:r>
          </w:p>
        </w:tc>
        <w:tc>
          <w:tcPr>
            <w:tcW w:w="1531"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0.4</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1112" w:type="dxa"/>
            <w:vMerge w:val="continue"/>
            <w:vAlign w:val="center"/>
          </w:tcPr>
          <w:p>
            <w:pPr>
              <w:autoSpaceDN w:val="0"/>
              <w:jc w:val="center"/>
              <w:textAlignment w:val="center"/>
              <w:rPr>
                <w:rFonts w:hint="eastAsia" w:ascii="方正仿宋_GB2312" w:hAnsi="方正仿宋_GB2312" w:eastAsia="方正仿宋_GB2312" w:cs="方正仿宋_GB2312"/>
                <w:sz w:val="21"/>
                <w:szCs w:val="21"/>
              </w:rPr>
            </w:pPr>
          </w:p>
        </w:tc>
        <w:tc>
          <w:tcPr>
            <w:tcW w:w="1398"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30年以上</w:t>
            </w:r>
          </w:p>
        </w:tc>
        <w:tc>
          <w:tcPr>
            <w:tcW w:w="1379"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0</w:t>
            </w:r>
          </w:p>
        </w:tc>
        <w:tc>
          <w:tcPr>
            <w:tcW w:w="1528"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0</w:t>
            </w:r>
          </w:p>
        </w:tc>
        <w:tc>
          <w:tcPr>
            <w:tcW w:w="1527"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48.2</w:t>
            </w:r>
          </w:p>
        </w:tc>
        <w:tc>
          <w:tcPr>
            <w:tcW w:w="1531"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2.07</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1112" w:type="dxa"/>
            <w:vMerge w:val="restart"/>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B</w:t>
            </w:r>
          </w:p>
        </w:tc>
        <w:tc>
          <w:tcPr>
            <w:tcW w:w="1398"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0-5年</w:t>
            </w:r>
          </w:p>
        </w:tc>
        <w:tc>
          <w:tcPr>
            <w:tcW w:w="1379"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w:t>
            </w:r>
          </w:p>
        </w:tc>
        <w:tc>
          <w:tcPr>
            <w:tcW w:w="1528"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0</w:t>
            </w:r>
          </w:p>
        </w:tc>
        <w:tc>
          <w:tcPr>
            <w:tcW w:w="1527"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0</w:t>
            </w:r>
          </w:p>
        </w:tc>
        <w:tc>
          <w:tcPr>
            <w:tcW w:w="1531"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1112" w:type="dxa"/>
            <w:vMerge w:val="continue"/>
            <w:vAlign w:val="center"/>
          </w:tcPr>
          <w:p>
            <w:pPr>
              <w:autoSpaceDN w:val="0"/>
              <w:jc w:val="center"/>
              <w:textAlignment w:val="center"/>
              <w:rPr>
                <w:rFonts w:hint="eastAsia" w:ascii="方正仿宋_GB2312" w:hAnsi="方正仿宋_GB2312" w:eastAsia="方正仿宋_GB2312" w:cs="方正仿宋_GB2312"/>
                <w:sz w:val="21"/>
                <w:szCs w:val="21"/>
              </w:rPr>
            </w:pPr>
          </w:p>
        </w:tc>
        <w:tc>
          <w:tcPr>
            <w:tcW w:w="1398"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6-10年</w:t>
            </w:r>
          </w:p>
        </w:tc>
        <w:tc>
          <w:tcPr>
            <w:tcW w:w="1379"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w:t>
            </w:r>
          </w:p>
        </w:tc>
        <w:tc>
          <w:tcPr>
            <w:tcW w:w="1528"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w:t>
            </w:r>
          </w:p>
        </w:tc>
        <w:tc>
          <w:tcPr>
            <w:tcW w:w="1527"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0</w:t>
            </w:r>
          </w:p>
        </w:tc>
        <w:tc>
          <w:tcPr>
            <w:tcW w:w="1531"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80" w:hRule="atLeast"/>
          <w:jc w:val="center"/>
        </w:trPr>
        <w:tc>
          <w:tcPr>
            <w:tcW w:w="1112" w:type="dxa"/>
            <w:vMerge w:val="continue"/>
            <w:vAlign w:val="center"/>
          </w:tcPr>
          <w:p>
            <w:pPr>
              <w:autoSpaceDN w:val="0"/>
              <w:jc w:val="center"/>
              <w:textAlignment w:val="center"/>
              <w:rPr>
                <w:rFonts w:hint="eastAsia" w:ascii="方正仿宋_GB2312" w:hAnsi="方正仿宋_GB2312" w:eastAsia="方正仿宋_GB2312" w:cs="方正仿宋_GB2312"/>
                <w:sz w:val="21"/>
                <w:szCs w:val="21"/>
              </w:rPr>
            </w:pPr>
          </w:p>
        </w:tc>
        <w:tc>
          <w:tcPr>
            <w:tcW w:w="1398"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11-20年</w:t>
            </w:r>
          </w:p>
        </w:tc>
        <w:tc>
          <w:tcPr>
            <w:tcW w:w="1379"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0</w:t>
            </w:r>
          </w:p>
        </w:tc>
        <w:tc>
          <w:tcPr>
            <w:tcW w:w="1528"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11</w:t>
            </w:r>
          </w:p>
        </w:tc>
        <w:tc>
          <w:tcPr>
            <w:tcW w:w="1527"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0</w:t>
            </w:r>
          </w:p>
        </w:tc>
        <w:tc>
          <w:tcPr>
            <w:tcW w:w="1531"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1112" w:type="dxa"/>
            <w:vMerge w:val="continue"/>
            <w:vAlign w:val="center"/>
          </w:tcPr>
          <w:p>
            <w:pPr>
              <w:autoSpaceDN w:val="0"/>
              <w:jc w:val="center"/>
              <w:textAlignment w:val="center"/>
              <w:rPr>
                <w:rFonts w:hint="eastAsia" w:ascii="方正仿宋_GB2312" w:hAnsi="方正仿宋_GB2312" w:eastAsia="方正仿宋_GB2312" w:cs="方正仿宋_GB2312"/>
                <w:sz w:val="21"/>
                <w:szCs w:val="21"/>
              </w:rPr>
            </w:pPr>
          </w:p>
        </w:tc>
        <w:tc>
          <w:tcPr>
            <w:tcW w:w="1398"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21-30年</w:t>
            </w:r>
          </w:p>
        </w:tc>
        <w:tc>
          <w:tcPr>
            <w:tcW w:w="1379"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0</w:t>
            </w:r>
          </w:p>
        </w:tc>
        <w:tc>
          <w:tcPr>
            <w:tcW w:w="1528"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0</w:t>
            </w:r>
          </w:p>
        </w:tc>
        <w:tc>
          <w:tcPr>
            <w:tcW w:w="1527"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1.47</w:t>
            </w:r>
          </w:p>
        </w:tc>
        <w:tc>
          <w:tcPr>
            <w:tcW w:w="1531"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0.4</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1112" w:type="dxa"/>
            <w:vMerge w:val="continue"/>
            <w:vAlign w:val="center"/>
          </w:tcPr>
          <w:p>
            <w:pPr>
              <w:autoSpaceDN w:val="0"/>
              <w:jc w:val="center"/>
              <w:textAlignment w:val="center"/>
              <w:rPr>
                <w:rFonts w:hint="eastAsia" w:ascii="方正仿宋_GB2312" w:hAnsi="方正仿宋_GB2312" w:eastAsia="方正仿宋_GB2312" w:cs="方正仿宋_GB2312"/>
                <w:sz w:val="21"/>
                <w:szCs w:val="21"/>
              </w:rPr>
            </w:pPr>
          </w:p>
        </w:tc>
        <w:tc>
          <w:tcPr>
            <w:tcW w:w="1398"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30年以上</w:t>
            </w:r>
          </w:p>
        </w:tc>
        <w:tc>
          <w:tcPr>
            <w:tcW w:w="1379"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0</w:t>
            </w:r>
          </w:p>
        </w:tc>
        <w:tc>
          <w:tcPr>
            <w:tcW w:w="1528"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0</w:t>
            </w:r>
          </w:p>
        </w:tc>
        <w:tc>
          <w:tcPr>
            <w:tcW w:w="1527"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48.2</w:t>
            </w:r>
          </w:p>
        </w:tc>
        <w:tc>
          <w:tcPr>
            <w:tcW w:w="1531"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2.07</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8475" w:type="dxa"/>
            <w:gridSpan w:val="6"/>
          </w:tcPr>
          <w:p>
            <w:pPr>
              <w:autoSpaceDN w:val="0"/>
              <w:jc w:val="left"/>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 xml:space="preserve">注：“台”精确度为整数，“公里”精确度为小数点后两位。 </w:t>
            </w:r>
          </w:p>
        </w:tc>
      </w:tr>
    </w:tbl>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176" w:name="_Toc59973902"/>
      <w:bookmarkStart w:id="177" w:name="_Toc74041165"/>
      <w:r>
        <w:rPr>
          <w:rFonts w:eastAsia="仿宋"/>
          <w:sz w:val="32"/>
          <w:szCs w:val="32"/>
        </w:rPr>
        <w:t>供电能力</w:t>
      </w:r>
      <w:bookmarkEnd w:id="176"/>
      <w:bookmarkEnd w:id="177"/>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35千伏变电站有0座0台主变负载率超过100%，35千伏变电站有1座2台主变负载率超过100%。</w:t>
      </w:r>
    </w:p>
    <w:p>
      <w:pPr>
        <w:pStyle w:val="150"/>
        <w:keepNext w:val="0"/>
        <w:keepLines w:val="0"/>
        <w:pageBreakBefore w:val="0"/>
        <w:widowControl w:val="0"/>
        <w:kinsoku/>
        <w:wordWrap/>
        <w:overflowPunct/>
        <w:topLinePunct w:val="0"/>
        <w:autoSpaceDE/>
        <w:autoSpaceDN/>
        <w:bidi w:val="0"/>
        <w:adjustRightInd w:val="0"/>
        <w:snapToGrid w:val="0"/>
        <w:spacing w:line="400" w:lineRule="exact"/>
        <w:ind w:left="0" w:leftChars="0" w:firstLine="0" w:firstLineChars="0"/>
        <w:jc w:val="center"/>
        <w:textAlignment w:val="auto"/>
        <w:rPr>
          <w:rFonts w:hint="eastAsia" w:ascii="黑体" w:hAnsi="黑体" w:eastAsia="黑体" w:cs="黑体"/>
          <w:kern w:val="2"/>
          <w:sz w:val="28"/>
          <w:szCs w:val="28"/>
          <w:lang w:val="en-US" w:eastAsia="zh-CN" w:bidi="ar-SA"/>
        </w:rPr>
      </w:pPr>
      <w:r>
        <w:rPr>
          <w:rFonts w:hint="eastAsia" w:ascii="黑体" w:hAnsi="黑体" w:eastAsia="黑体" w:cs="黑体"/>
          <w:kern w:val="2"/>
          <w:sz w:val="28"/>
          <w:szCs w:val="28"/>
          <w:lang w:val="en-US" w:eastAsia="zh-CN" w:bidi="ar-SA"/>
        </w:rPr>
        <w:t>表3-12  2020年西咸新区电网35千伏重载主变统计</w:t>
      </w:r>
    </w:p>
    <w:tbl>
      <w:tblPr>
        <w:tblStyle w:val="88"/>
        <w:tblW w:w="849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51"/>
        <w:gridCol w:w="1441"/>
        <w:gridCol w:w="1449"/>
        <w:gridCol w:w="1374"/>
        <w:gridCol w:w="1412"/>
        <w:gridCol w:w="16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1"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变电站</w:t>
            </w:r>
          </w:p>
        </w:tc>
        <w:tc>
          <w:tcPr>
            <w:tcW w:w="1441"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主变</w:t>
            </w:r>
          </w:p>
        </w:tc>
        <w:tc>
          <w:tcPr>
            <w:tcW w:w="1449"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允许电流</w:t>
            </w:r>
          </w:p>
        </w:tc>
        <w:tc>
          <w:tcPr>
            <w:tcW w:w="1374"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最大电流</w:t>
            </w:r>
          </w:p>
        </w:tc>
        <w:tc>
          <w:tcPr>
            <w:tcW w:w="1412"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负载率</w:t>
            </w:r>
          </w:p>
        </w:tc>
        <w:tc>
          <w:tcPr>
            <w:tcW w:w="1668"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出现时间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1" w:type="dxa"/>
            <w:vMerge w:val="restart"/>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马王变</w:t>
            </w:r>
          </w:p>
        </w:tc>
        <w:tc>
          <w:tcPr>
            <w:tcW w:w="1441"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#1主变</w:t>
            </w:r>
          </w:p>
        </w:tc>
        <w:tc>
          <w:tcPr>
            <w:tcW w:w="1449"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440</w:t>
            </w:r>
          </w:p>
        </w:tc>
        <w:tc>
          <w:tcPr>
            <w:tcW w:w="1374" w:type="dxa"/>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475.64</w:t>
            </w:r>
          </w:p>
        </w:tc>
        <w:tc>
          <w:tcPr>
            <w:tcW w:w="1412" w:type="dxa"/>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108.10%</w:t>
            </w:r>
          </w:p>
        </w:tc>
        <w:tc>
          <w:tcPr>
            <w:tcW w:w="1668"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8月5日11:40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1" w:type="dxa"/>
            <w:vMerge w:val="continue"/>
            <w:vAlign w:val="center"/>
          </w:tcPr>
          <w:p>
            <w:pPr>
              <w:autoSpaceDN w:val="0"/>
              <w:jc w:val="center"/>
              <w:textAlignment w:val="center"/>
              <w:rPr>
                <w:rFonts w:hint="eastAsia" w:ascii="方正仿宋_GB2312" w:hAnsi="方正仿宋_GB2312" w:eastAsia="方正仿宋_GB2312" w:cs="方正仿宋_GB2312"/>
                <w:sz w:val="21"/>
                <w:szCs w:val="21"/>
              </w:rPr>
            </w:pPr>
          </w:p>
        </w:tc>
        <w:tc>
          <w:tcPr>
            <w:tcW w:w="1441"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#2主变</w:t>
            </w:r>
          </w:p>
        </w:tc>
        <w:tc>
          <w:tcPr>
            <w:tcW w:w="1449"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550</w:t>
            </w:r>
          </w:p>
        </w:tc>
        <w:tc>
          <w:tcPr>
            <w:tcW w:w="1374" w:type="dxa"/>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550.64</w:t>
            </w:r>
          </w:p>
        </w:tc>
        <w:tc>
          <w:tcPr>
            <w:tcW w:w="1412" w:type="dxa"/>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100.11%</w:t>
            </w:r>
          </w:p>
        </w:tc>
        <w:tc>
          <w:tcPr>
            <w:tcW w:w="1668" w:type="dxa"/>
            <w:vAlign w:val="center"/>
          </w:tcPr>
          <w:p>
            <w:pPr>
              <w:autoSpaceDN w:val="0"/>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8月5日11:45</w:t>
            </w:r>
          </w:p>
        </w:tc>
      </w:tr>
    </w:tbl>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rPr>
      </w:pPr>
      <w:bookmarkStart w:id="178" w:name="_Toc74041166"/>
      <w:bookmarkStart w:id="179" w:name="_Toc28621"/>
      <w:r>
        <w:rPr>
          <w:rFonts w:hint="eastAsia" w:ascii="黑体" w:hAnsi="黑体" w:eastAsia="黑体" w:cs="黑体"/>
          <w:b w:val="0"/>
          <w:bCs w:val="0"/>
          <w:sz w:val="32"/>
          <w:szCs w:val="32"/>
        </w:rPr>
        <w:t>10千伏电网现状</w:t>
      </w:r>
      <w:bookmarkEnd w:id="162"/>
      <w:bookmarkEnd w:id="163"/>
      <w:bookmarkEnd w:id="164"/>
      <w:bookmarkEnd w:id="165"/>
      <w:bookmarkEnd w:id="166"/>
      <w:bookmarkEnd w:id="167"/>
      <w:bookmarkEnd w:id="168"/>
      <w:bookmarkEnd w:id="169"/>
      <w:bookmarkEnd w:id="175"/>
      <w:bookmarkEnd w:id="178"/>
      <w:bookmarkEnd w:id="179"/>
      <w:bookmarkStart w:id="180" w:name="_Toc306956218"/>
      <w:bookmarkStart w:id="181" w:name="_Toc253584941"/>
      <w:bookmarkStart w:id="182" w:name="_Toc306780078"/>
      <w:bookmarkStart w:id="183" w:name="_Toc251493909"/>
      <w:bookmarkStart w:id="184" w:name="_Toc253594509"/>
      <w:bookmarkStart w:id="185" w:name="_Toc307053928"/>
      <w:bookmarkStart w:id="186" w:name="_Toc253743997"/>
      <w:bookmarkStart w:id="187" w:name="_Toc352610554"/>
      <w:bookmarkStart w:id="188" w:name="_Toc306766287"/>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189" w:name="_Toc74041167"/>
      <w:bookmarkStart w:id="190" w:name="_Toc59973904"/>
      <w:r>
        <w:rPr>
          <w:rFonts w:eastAsia="仿宋"/>
          <w:sz w:val="32"/>
          <w:szCs w:val="32"/>
        </w:rPr>
        <w:t>电网规模</w:t>
      </w:r>
      <w:bookmarkEnd w:id="189"/>
      <w:bookmarkEnd w:id="190"/>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截止2020年底，西咸新区电网共有10千伏开闭所3座（2021年1月新投10千伏开闭所1座），10千伏公网线路296条，10千伏专线158条，公网线路联络率63.8%（联络线路189条），电缆化率34.8%。配电柱上开关518台，环网柜591台，电缆分支箱10台，配电变压器6007台，其中公变2416台，容量118.9465万千伏安，专变3591台，容量219.6816万千伏安。</w:t>
      </w:r>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191" w:name="_Toc461195649"/>
      <w:bookmarkStart w:id="192" w:name="_Toc59973905"/>
      <w:bookmarkStart w:id="193" w:name="_Toc74041168"/>
      <w:r>
        <w:rPr>
          <w:rFonts w:eastAsia="仿宋"/>
          <w:sz w:val="32"/>
          <w:szCs w:val="32"/>
        </w:rPr>
        <w:t>电网</w:t>
      </w:r>
      <w:bookmarkEnd w:id="191"/>
      <w:r>
        <w:rPr>
          <w:rFonts w:eastAsia="仿宋"/>
          <w:sz w:val="32"/>
          <w:szCs w:val="32"/>
        </w:rPr>
        <w:t>结构</w:t>
      </w:r>
      <w:bookmarkEnd w:id="192"/>
      <w:bookmarkEnd w:id="193"/>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2020年，西咸配网新增10千伏公网线路30条，其中13条单辐射线路，15条单联络线路，2条双联络线路。灵沼变新投10千伏线路与镐京变建立联络，文景变新投10千伏线路与纺织变建立联络，韩湾变新投10千伏线路与兰池变建立联络，大量的小区双电源建设使得互联互供线路数量增多，2020年全年新增联络线路共计77条，配网网架结构发生明显变化。</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1.架空网结构。西咸新区10千伏现状电网中公用架空线路105条，分段开关450台,联络开关62台，其中多联络比例50.48%，单联络比例20.95%，辐射式比例28.57%</w:t>
      </w:r>
    </w:p>
    <w:p>
      <w:pPr>
        <w:pStyle w:val="150"/>
        <w:ind w:firstLine="0" w:firstLineChars="0"/>
      </w:pPr>
      <w:r>
        <w:drawing>
          <wp:inline distT="0" distB="0" distL="114300" distR="114300">
            <wp:extent cx="5076825" cy="2980055"/>
            <wp:effectExtent l="0" t="0" r="9525" b="1079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5"/>
                    <a:srcRect b="16721"/>
                    <a:stretch>
                      <a:fillRect/>
                    </a:stretch>
                  </pic:blipFill>
                  <pic:spPr>
                    <a:xfrm>
                      <a:off x="0" y="0"/>
                      <a:ext cx="5076825" cy="2980055"/>
                    </a:xfrm>
                    <a:prstGeom prst="rect">
                      <a:avLst/>
                    </a:prstGeom>
                    <a:noFill/>
                    <a:ln w="9525">
                      <a:noFill/>
                    </a:ln>
                  </pic:spPr>
                </pic:pic>
              </a:graphicData>
            </a:graphic>
          </wp:inline>
        </w:drawing>
      </w:r>
    </w:p>
    <w:p>
      <w:pPr>
        <w:pStyle w:val="150"/>
        <w:keepNext w:val="0"/>
        <w:keepLines w:val="0"/>
        <w:pageBreakBefore w:val="0"/>
        <w:widowControl w:val="0"/>
        <w:kinsoku/>
        <w:wordWrap/>
        <w:overflowPunct/>
        <w:topLinePunct w:val="0"/>
        <w:autoSpaceDE/>
        <w:autoSpaceDN/>
        <w:bidi w:val="0"/>
        <w:adjustRightInd w:val="0"/>
        <w:snapToGrid w:val="0"/>
        <w:spacing w:line="400" w:lineRule="exact"/>
        <w:ind w:left="0" w:leftChars="0" w:firstLine="0" w:firstLineChars="0"/>
        <w:jc w:val="center"/>
        <w:textAlignment w:val="auto"/>
        <w:rPr>
          <w:rFonts w:hint="eastAsia" w:cs="Times New Roman"/>
          <w:b/>
          <w:bCs/>
          <w:kern w:val="0"/>
          <w:sz w:val="22"/>
          <w:szCs w:val="22"/>
          <w:lang w:val="en-US" w:eastAsia="zh-CN" w:bidi="ar-SA"/>
        </w:rPr>
      </w:pPr>
      <w:r>
        <w:rPr>
          <w:rFonts w:hint="eastAsia" w:cs="Times New Roman"/>
          <w:b/>
          <w:bCs/>
          <w:kern w:val="0"/>
          <w:sz w:val="22"/>
          <w:szCs w:val="22"/>
          <w:lang w:val="en-US" w:eastAsia="zh-CN" w:bidi="ar-SA"/>
        </w:rPr>
        <w:t>图3-5  10千伏架空线路三分段、三联络接线方式</w:t>
      </w:r>
    </w:p>
    <w:p>
      <w:pPr>
        <w:pStyle w:val="150"/>
        <w:keepNext w:val="0"/>
        <w:keepLines w:val="0"/>
        <w:pageBreakBefore w:val="0"/>
        <w:widowControl w:val="0"/>
        <w:kinsoku/>
        <w:wordWrap/>
        <w:overflowPunct/>
        <w:topLinePunct w:val="0"/>
        <w:autoSpaceDE/>
        <w:autoSpaceDN/>
        <w:bidi w:val="0"/>
        <w:adjustRightInd w:val="0"/>
        <w:snapToGrid w:val="0"/>
        <w:spacing w:line="400" w:lineRule="exact"/>
        <w:ind w:left="0" w:leftChars="0" w:firstLine="0" w:firstLineChars="0"/>
        <w:jc w:val="center"/>
        <w:textAlignment w:val="auto"/>
        <w:rPr>
          <w:rFonts w:hint="eastAsia" w:cs="Times New Roman"/>
          <w:b/>
          <w:bCs/>
          <w:kern w:val="0"/>
          <w:sz w:val="22"/>
          <w:szCs w:val="22"/>
          <w:lang w:val="en-US" w:eastAsia="zh-CN" w:bidi="ar-SA"/>
        </w:rPr>
      </w:pPr>
    </w:p>
    <w:p>
      <w:pPr>
        <w:pStyle w:val="150"/>
        <w:keepNext w:val="0"/>
        <w:keepLines w:val="0"/>
        <w:pageBreakBefore w:val="0"/>
        <w:widowControl w:val="0"/>
        <w:kinsoku/>
        <w:wordWrap/>
        <w:overflowPunct/>
        <w:topLinePunct w:val="0"/>
        <w:autoSpaceDE/>
        <w:autoSpaceDN/>
        <w:bidi w:val="0"/>
        <w:adjustRightInd w:val="0"/>
        <w:snapToGrid w:val="0"/>
        <w:spacing w:line="400" w:lineRule="exact"/>
        <w:ind w:left="0" w:leftChars="0" w:firstLine="0" w:firstLineChars="0"/>
        <w:jc w:val="center"/>
        <w:textAlignment w:val="auto"/>
        <w:rPr>
          <w:rFonts w:hint="eastAsia" w:cs="Times New Roman"/>
          <w:b/>
          <w:bCs/>
          <w:kern w:val="0"/>
          <w:sz w:val="22"/>
          <w:szCs w:val="22"/>
          <w:lang w:val="en-US" w:eastAsia="zh-CN" w:bidi="ar-SA"/>
        </w:rPr>
      </w:pP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2.电缆网结构。西咸新区10千伏现状电网中公用电缆线路110条，分段环网柜353座,联络环网柜30座，其中单环网比例30.91%，双射比例9.09%，单射比例60%。</w:t>
      </w:r>
    </w:p>
    <w:p>
      <w:pPr>
        <w:pStyle w:val="150"/>
        <w:keepNext w:val="0"/>
        <w:keepLines w:val="0"/>
        <w:pageBreakBefore w:val="0"/>
        <w:widowControl w:val="0"/>
        <w:kinsoku/>
        <w:wordWrap/>
        <w:overflowPunct/>
        <w:topLinePunct w:val="0"/>
        <w:autoSpaceDE/>
        <w:autoSpaceDN/>
        <w:bidi w:val="0"/>
        <w:adjustRightInd w:val="0"/>
        <w:snapToGrid w:val="0"/>
        <w:spacing w:line="400" w:lineRule="exact"/>
        <w:ind w:left="0" w:leftChars="0" w:firstLine="0" w:firstLineChars="0"/>
        <w:jc w:val="center"/>
        <w:textAlignment w:val="auto"/>
        <w:rPr>
          <w:rFonts w:hint="eastAsia" w:ascii="黑体" w:hAnsi="黑体" w:eastAsia="黑体" w:cs="黑体"/>
          <w:kern w:val="2"/>
          <w:sz w:val="28"/>
          <w:szCs w:val="28"/>
          <w:lang w:val="en-US" w:eastAsia="zh-CN" w:bidi="ar-SA"/>
        </w:rPr>
      </w:pPr>
    </w:p>
    <w:p>
      <w:pPr>
        <w:pStyle w:val="150"/>
        <w:keepNext w:val="0"/>
        <w:keepLines w:val="0"/>
        <w:pageBreakBefore w:val="0"/>
        <w:widowControl w:val="0"/>
        <w:kinsoku/>
        <w:wordWrap/>
        <w:overflowPunct/>
        <w:topLinePunct w:val="0"/>
        <w:autoSpaceDE/>
        <w:autoSpaceDN/>
        <w:bidi w:val="0"/>
        <w:adjustRightInd w:val="0"/>
        <w:snapToGrid w:val="0"/>
        <w:spacing w:line="400" w:lineRule="exact"/>
        <w:ind w:left="0" w:leftChars="0" w:firstLine="0" w:firstLineChars="0"/>
        <w:jc w:val="center"/>
        <w:textAlignment w:val="auto"/>
        <w:rPr>
          <w:rFonts w:hint="eastAsia" w:ascii="黑体" w:hAnsi="黑体" w:eastAsia="黑体" w:cs="黑体"/>
          <w:kern w:val="2"/>
          <w:sz w:val="28"/>
          <w:szCs w:val="28"/>
          <w:lang w:val="en-US" w:eastAsia="zh-CN" w:bidi="ar-SA"/>
        </w:rPr>
      </w:pPr>
      <w:r>
        <w:rPr>
          <w:rFonts w:hint="eastAsia" w:ascii="黑体" w:hAnsi="黑体" w:eastAsia="黑体" w:cs="黑体"/>
          <w:kern w:val="2"/>
          <w:sz w:val="28"/>
          <w:szCs w:val="28"/>
          <w:lang w:val="en-US" w:eastAsia="zh-CN" w:bidi="ar-SA"/>
        </w:rPr>
        <w:t>表3-13   2020年西咸新区10千伏电网结构情况</w:t>
      </w:r>
    </w:p>
    <w:tbl>
      <w:tblPr>
        <w:tblStyle w:val="88"/>
        <w:tblW w:w="8535"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5" w:type="dxa"/>
          <w:left w:w="15" w:type="dxa"/>
          <w:bottom w:w="15" w:type="dxa"/>
          <w:right w:w="15" w:type="dxa"/>
        </w:tblCellMar>
      </w:tblPr>
      <w:tblGrid>
        <w:gridCol w:w="510"/>
        <w:gridCol w:w="500"/>
        <w:gridCol w:w="530"/>
        <w:gridCol w:w="576"/>
        <w:gridCol w:w="485"/>
        <w:gridCol w:w="515"/>
        <w:gridCol w:w="515"/>
        <w:gridCol w:w="515"/>
        <w:gridCol w:w="604"/>
        <w:gridCol w:w="604"/>
        <w:gridCol w:w="604"/>
        <w:gridCol w:w="515"/>
        <w:gridCol w:w="515"/>
        <w:gridCol w:w="515"/>
        <w:gridCol w:w="516"/>
        <w:gridCol w:w="516"/>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259" w:hRule="atLeast"/>
          <w:jc w:val="center"/>
        </w:trPr>
        <w:tc>
          <w:tcPr>
            <w:tcW w:w="510" w:type="dxa"/>
            <w:vMerge w:val="restart"/>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类型</w:t>
            </w:r>
          </w:p>
        </w:tc>
        <w:tc>
          <w:tcPr>
            <w:tcW w:w="500" w:type="dxa"/>
            <w:vMerge w:val="restart"/>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电压等级（千伏）</w:t>
            </w:r>
          </w:p>
        </w:tc>
        <w:tc>
          <w:tcPr>
            <w:tcW w:w="3136" w:type="dxa"/>
            <w:gridSpan w:val="6"/>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架空网</w:t>
            </w:r>
          </w:p>
        </w:tc>
        <w:tc>
          <w:tcPr>
            <w:tcW w:w="4389" w:type="dxa"/>
            <w:gridSpan w:val="8"/>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电缆网</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567" w:hRule="atLeast"/>
          <w:jc w:val="center"/>
        </w:trPr>
        <w:tc>
          <w:tcPr>
            <w:tcW w:w="510" w:type="dxa"/>
            <w:vMerge w:val="continue"/>
            <w:tcBorders>
              <w:tl2br w:val="nil"/>
              <w:tr2bl w:val="nil"/>
            </w:tcBorders>
            <w:vAlign w:val="center"/>
          </w:tcPr>
          <w:p>
            <w:pPr>
              <w:widowControl/>
              <w:jc w:val="center"/>
              <w:rPr>
                <w:rFonts w:hint="eastAsia" w:ascii="方正仿宋_GB2312" w:hAnsi="方正仿宋_GB2312" w:eastAsia="方正仿宋_GB2312" w:cs="方正仿宋_GB2312"/>
                <w:kern w:val="0"/>
                <w:sz w:val="18"/>
                <w:szCs w:val="18"/>
              </w:rPr>
            </w:pPr>
          </w:p>
        </w:tc>
        <w:tc>
          <w:tcPr>
            <w:tcW w:w="500" w:type="dxa"/>
            <w:vMerge w:val="continue"/>
            <w:tcBorders>
              <w:tl2br w:val="nil"/>
              <w:tr2bl w:val="nil"/>
            </w:tcBorders>
            <w:vAlign w:val="center"/>
          </w:tcPr>
          <w:p>
            <w:pPr>
              <w:widowControl/>
              <w:jc w:val="center"/>
              <w:rPr>
                <w:rFonts w:hint="eastAsia" w:ascii="方正仿宋_GB2312" w:hAnsi="方正仿宋_GB2312" w:eastAsia="方正仿宋_GB2312" w:cs="方正仿宋_GB2312"/>
                <w:kern w:val="0"/>
                <w:sz w:val="18"/>
                <w:szCs w:val="18"/>
              </w:rPr>
            </w:pPr>
          </w:p>
        </w:tc>
        <w:tc>
          <w:tcPr>
            <w:tcW w:w="530"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架空线路条数（条）</w:t>
            </w:r>
          </w:p>
        </w:tc>
        <w:tc>
          <w:tcPr>
            <w:tcW w:w="576"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分段开关总数（台）</w:t>
            </w:r>
          </w:p>
        </w:tc>
        <w:tc>
          <w:tcPr>
            <w:tcW w:w="485"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联络开关数（台）</w:t>
            </w:r>
          </w:p>
        </w:tc>
        <w:tc>
          <w:tcPr>
            <w:tcW w:w="515"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多联络比例（%）</w:t>
            </w:r>
          </w:p>
        </w:tc>
        <w:tc>
          <w:tcPr>
            <w:tcW w:w="515"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单联络比例（%）</w:t>
            </w:r>
          </w:p>
        </w:tc>
        <w:tc>
          <w:tcPr>
            <w:tcW w:w="515"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辐射式比例（%）</w:t>
            </w:r>
          </w:p>
        </w:tc>
        <w:tc>
          <w:tcPr>
            <w:tcW w:w="604"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电缆线路条数（条）</w:t>
            </w:r>
          </w:p>
        </w:tc>
        <w:tc>
          <w:tcPr>
            <w:tcW w:w="604"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分段环网柜（座）</w:t>
            </w:r>
          </w:p>
        </w:tc>
        <w:tc>
          <w:tcPr>
            <w:tcW w:w="604"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联络环网柜（座）</w:t>
            </w:r>
          </w:p>
        </w:tc>
        <w:tc>
          <w:tcPr>
            <w:tcW w:w="515"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双环网比例（%）</w:t>
            </w:r>
          </w:p>
        </w:tc>
        <w:tc>
          <w:tcPr>
            <w:tcW w:w="515"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单环网比例（%）</w:t>
            </w:r>
          </w:p>
        </w:tc>
        <w:tc>
          <w:tcPr>
            <w:tcW w:w="515"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双射比例（%）</w:t>
            </w:r>
          </w:p>
        </w:tc>
        <w:tc>
          <w:tcPr>
            <w:tcW w:w="516"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单射比例（%）</w:t>
            </w:r>
          </w:p>
        </w:tc>
        <w:tc>
          <w:tcPr>
            <w:tcW w:w="516"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其他结构比例（%）</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567" w:hRule="atLeast"/>
          <w:jc w:val="center"/>
        </w:trPr>
        <w:tc>
          <w:tcPr>
            <w:tcW w:w="510"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市辖供电区</w:t>
            </w:r>
          </w:p>
        </w:tc>
        <w:tc>
          <w:tcPr>
            <w:tcW w:w="500"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10</w:t>
            </w:r>
          </w:p>
        </w:tc>
        <w:tc>
          <w:tcPr>
            <w:tcW w:w="530"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105</w:t>
            </w:r>
          </w:p>
        </w:tc>
        <w:tc>
          <w:tcPr>
            <w:tcW w:w="576"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450</w:t>
            </w:r>
          </w:p>
        </w:tc>
        <w:tc>
          <w:tcPr>
            <w:tcW w:w="485"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62</w:t>
            </w:r>
          </w:p>
        </w:tc>
        <w:tc>
          <w:tcPr>
            <w:tcW w:w="515"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50.48</w:t>
            </w:r>
          </w:p>
        </w:tc>
        <w:tc>
          <w:tcPr>
            <w:tcW w:w="515"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20.95</w:t>
            </w:r>
          </w:p>
        </w:tc>
        <w:tc>
          <w:tcPr>
            <w:tcW w:w="515"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28.57</w:t>
            </w:r>
          </w:p>
        </w:tc>
        <w:tc>
          <w:tcPr>
            <w:tcW w:w="604"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110</w:t>
            </w:r>
          </w:p>
        </w:tc>
        <w:tc>
          <w:tcPr>
            <w:tcW w:w="604"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353</w:t>
            </w:r>
          </w:p>
        </w:tc>
        <w:tc>
          <w:tcPr>
            <w:tcW w:w="604"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30</w:t>
            </w:r>
          </w:p>
        </w:tc>
        <w:tc>
          <w:tcPr>
            <w:tcW w:w="515"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0</w:t>
            </w:r>
          </w:p>
        </w:tc>
        <w:tc>
          <w:tcPr>
            <w:tcW w:w="515"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30.91</w:t>
            </w:r>
          </w:p>
        </w:tc>
        <w:tc>
          <w:tcPr>
            <w:tcW w:w="515"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9.09</w:t>
            </w:r>
          </w:p>
        </w:tc>
        <w:tc>
          <w:tcPr>
            <w:tcW w:w="516"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60</w:t>
            </w:r>
          </w:p>
        </w:tc>
        <w:tc>
          <w:tcPr>
            <w:tcW w:w="516"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567" w:hRule="atLeast"/>
          <w:jc w:val="center"/>
        </w:trPr>
        <w:tc>
          <w:tcPr>
            <w:tcW w:w="510"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B</w:t>
            </w:r>
          </w:p>
        </w:tc>
        <w:tc>
          <w:tcPr>
            <w:tcW w:w="500"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10</w:t>
            </w:r>
          </w:p>
        </w:tc>
        <w:tc>
          <w:tcPr>
            <w:tcW w:w="530"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105</w:t>
            </w:r>
          </w:p>
        </w:tc>
        <w:tc>
          <w:tcPr>
            <w:tcW w:w="576"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450</w:t>
            </w:r>
          </w:p>
        </w:tc>
        <w:tc>
          <w:tcPr>
            <w:tcW w:w="485"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62</w:t>
            </w:r>
          </w:p>
        </w:tc>
        <w:tc>
          <w:tcPr>
            <w:tcW w:w="515"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50.48</w:t>
            </w:r>
          </w:p>
        </w:tc>
        <w:tc>
          <w:tcPr>
            <w:tcW w:w="515"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20.95</w:t>
            </w:r>
          </w:p>
        </w:tc>
        <w:tc>
          <w:tcPr>
            <w:tcW w:w="515"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28.57</w:t>
            </w:r>
          </w:p>
        </w:tc>
        <w:tc>
          <w:tcPr>
            <w:tcW w:w="604"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110</w:t>
            </w:r>
          </w:p>
        </w:tc>
        <w:tc>
          <w:tcPr>
            <w:tcW w:w="604"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353</w:t>
            </w:r>
          </w:p>
        </w:tc>
        <w:tc>
          <w:tcPr>
            <w:tcW w:w="604"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30</w:t>
            </w:r>
          </w:p>
        </w:tc>
        <w:tc>
          <w:tcPr>
            <w:tcW w:w="515"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0</w:t>
            </w:r>
          </w:p>
        </w:tc>
        <w:tc>
          <w:tcPr>
            <w:tcW w:w="515"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30.91</w:t>
            </w:r>
          </w:p>
        </w:tc>
        <w:tc>
          <w:tcPr>
            <w:tcW w:w="515"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9.09</w:t>
            </w:r>
          </w:p>
        </w:tc>
        <w:tc>
          <w:tcPr>
            <w:tcW w:w="516"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60</w:t>
            </w:r>
          </w:p>
        </w:tc>
        <w:tc>
          <w:tcPr>
            <w:tcW w:w="516"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475" w:hRule="atLeast"/>
          <w:jc w:val="center"/>
        </w:trPr>
        <w:tc>
          <w:tcPr>
            <w:tcW w:w="510"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B(城网)</w:t>
            </w:r>
          </w:p>
        </w:tc>
        <w:tc>
          <w:tcPr>
            <w:tcW w:w="500"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10</w:t>
            </w:r>
          </w:p>
        </w:tc>
        <w:tc>
          <w:tcPr>
            <w:tcW w:w="530"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105</w:t>
            </w:r>
          </w:p>
        </w:tc>
        <w:tc>
          <w:tcPr>
            <w:tcW w:w="576"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450</w:t>
            </w:r>
          </w:p>
        </w:tc>
        <w:tc>
          <w:tcPr>
            <w:tcW w:w="485"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62</w:t>
            </w:r>
          </w:p>
        </w:tc>
        <w:tc>
          <w:tcPr>
            <w:tcW w:w="515"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50.48</w:t>
            </w:r>
          </w:p>
        </w:tc>
        <w:tc>
          <w:tcPr>
            <w:tcW w:w="515"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20.95</w:t>
            </w:r>
          </w:p>
        </w:tc>
        <w:tc>
          <w:tcPr>
            <w:tcW w:w="515"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28.57</w:t>
            </w:r>
          </w:p>
        </w:tc>
        <w:tc>
          <w:tcPr>
            <w:tcW w:w="604"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110</w:t>
            </w:r>
          </w:p>
        </w:tc>
        <w:tc>
          <w:tcPr>
            <w:tcW w:w="604"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353</w:t>
            </w:r>
          </w:p>
        </w:tc>
        <w:tc>
          <w:tcPr>
            <w:tcW w:w="604"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30</w:t>
            </w:r>
          </w:p>
        </w:tc>
        <w:tc>
          <w:tcPr>
            <w:tcW w:w="515"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0</w:t>
            </w:r>
          </w:p>
        </w:tc>
        <w:tc>
          <w:tcPr>
            <w:tcW w:w="515"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30.91</w:t>
            </w:r>
          </w:p>
        </w:tc>
        <w:tc>
          <w:tcPr>
            <w:tcW w:w="515"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9.09</w:t>
            </w:r>
          </w:p>
        </w:tc>
        <w:tc>
          <w:tcPr>
            <w:tcW w:w="516"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60</w:t>
            </w:r>
          </w:p>
        </w:tc>
        <w:tc>
          <w:tcPr>
            <w:tcW w:w="516"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p>
        </w:tc>
      </w:tr>
    </w:tbl>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194" w:name="_Toc74041169"/>
      <w:bookmarkStart w:id="195" w:name="_Toc59973906"/>
      <w:r>
        <w:rPr>
          <w:rFonts w:eastAsia="仿宋"/>
          <w:sz w:val="32"/>
          <w:szCs w:val="32"/>
        </w:rPr>
        <w:t>装备水平</w:t>
      </w:r>
      <w:bookmarkEnd w:id="194"/>
      <w:bookmarkEnd w:id="195"/>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1.配变情况。截至2020年底，西咸新区公用配变2261台，容量1086.276兆伏安，无高损配变；专用配变4889台，容量3237.4兆伏安。</w:t>
      </w:r>
    </w:p>
    <w:p>
      <w:pPr>
        <w:pStyle w:val="150"/>
        <w:keepNext w:val="0"/>
        <w:keepLines w:val="0"/>
        <w:pageBreakBefore w:val="0"/>
        <w:widowControl w:val="0"/>
        <w:kinsoku/>
        <w:wordWrap/>
        <w:overflowPunct/>
        <w:topLinePunct w:val="0"/>
        <w:autoSpaceDE/>
        <w:autoSpaceDN/>
        <w:bidi w:val="0"/>
        <w:adjustRightInd w:val="0"/>
        <w:snapToGrid w:val="0"/>
        <w:spacing w:line="400" w:lineRule="exact"/>
        <w:ind w:left="0" w:leftChars="0" w:firstLine="0" w:firstLineChars="0"/>
        <w:jc w:val="center"/>
        <w:textAlignment w:val="auto"/>
        <w:rPr>
          <w:rFonts w:hint="eastAsia" w:ascii="黑体" w:hAnsi="黑体" w:eastAsia="黑体" w:cs="黑体"/>
          <w:kern w:val="2"/>
          <w:sz w:val="28"/>
          <w:szCs w:val="28"/>
          <w:lang w:val="en-US" w:eastAsia="zh-CN" w:bidi="ar-SA"/>
        </w:rPr>
      </w:pPr>
      <w:r>
        <w:rPr>
          <w:rFonts w:hint="eastAsia" w:ascii="黑体" w:hAnsi="黑体" w:eastAsia="黑体" w:cs="黑体"/>
          <w:kern w:val="2"/>
          <w:sz w:val="28"/>
          <w:szCs w:val="28"/>
          <w:lang w:val="en-US" w:eastAsia="zh-CN" w:bidi="ar-SA"/>
        </w:rPr>
        <w:t>表3-14    2020年西咸新区10千伏电网配变情况表</w:t>
      </w:r>
    </w:p>
    <w:tbl>
      <w:tblPr>
        <w:tblStyle w:val="88"/>
        <w:tblW w:w="8719" w:type="dxa"/>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15" w:type="dxa"/>
          <w:left w:w="15" w:type="dxa"/>
          <w:bottom w:w="15" w:type="dxa"/>
          <w:right w:w="15" w:type="dxa"/>
        </w:tblCellMar>
      </w:tblPr>
      <w:tblGrid>
        <w:gridCol w:w="773"/>
        <w:gridCol w:w="582"/>
        <w:gridCol w:w="627"/>
        <w:gridCol w:w="598"/>
        <w:gridCol w:w="502"/>
        <w:gridCol w:w="582"/>
        <w:gridCol w:w="511"/>
        <w:gridCol w:w="591"/>
        <w:gridCol w:w="719"/>
        <w:gridCol w:w="582"/>
        <w:gridCol w:w="745"/>
        <w:gridCol w:w="583"/>
        <w:gridCol w:w="582"/>
        <w:gridCol w:w="742"/>
      </w:tblGrid>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5" w:type="dxa"/>
            <w:left w:w="15" w:type="dxa"/>
            <w:bottom w:w="15" w:type="dxa"/>
            <w:right w:w="15" w:type="dxa"/>
          </w:tblCellMar>
        </w:tblPrEx>
        <w:trPr>
          <w:trHeight w:val="385" w:hRule="atLeast"/>
          <w:jc w:val="center"/>
        </w:trPr>
        <w:tc>
          <w:tcPr>
            <w:tcW w:w="773" w:type="dxa"/>
            <w:vMerge w:val="restart"/>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类型</w:t>
            </w:r>
          </w:p>
        </w:tc>
        <w:tc>
          <w:tcPr>
            <w:tcW w:w="3402" w:type="dxa"/>
            <w:gridSpan w:val="6"/>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配变设施（公用）</w:t>
            </w:r>
          </w:p>
        </w:tc>
        <w:tc>
          <w:tcPr>
            <w:tcW w:w="4544" w:type="dxa"/>
            <w:gridSpan w:val="7"/>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配变设备</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5" w:type="dxa"/>
            <w:left w:w="15" w:type="dxa"/>
            <w:bottom w:w="15" w:type="dxa"/>
            <w:right w:w="15" w:type="dxa"/>
          </w:tblCellMar>
        </w:tblPrEx>
        <w:trPr>
          <w:trHeight w:val="369" w:hRule="atLeast"/>
          <w:jc w:val="center"/>
        </w:trPr>
        <w:tc>
          <w:tcPr>
            <w:tcW w:w="773" w:type="dxa"/>
            <w:vMerge w:val="continue"/>
            <w:vAlign w:val="center"/>
          </w:tcPr>
          <w:p>
            <w:pPr>
              <w:autoSpaceDN w:val="0"/>
              <w:jc w:val="center"/>
              <w:textAlignment w:val="center"/>
              <w:rPr>
                <w:rFonts w:hint="eastAsia" w:ascii="方正仿宋_GB2312" w:hAnsi="方正仿宋_GB2312" w:eastAsia="方正仿宋_GB2312" w:cs="方正仿宋_GB2312"/>
                <w:kern w:val="0"/>
                <w:sz w:val="18"/>
                <w:szCs w:val="18"/>
              </w:rPr>
            </w:pPr>
          </w:p>
        </w:tc>
        <w:tc>
          <w:tcPr>
            <w:tcW w:w="1209" w:type="dxa"/>
            <w:gridSpan w:val="2"/>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配电室</w:t>
            </w:r>
          </w:p>
        </w:tc>
        <w:tc>
          <w:tcPr>
            <w:tcW w:w="1100" w:type="dxa"/>
            <w:gridSpan w:val="2"/>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箱变</w:t>
            </w:r>
          </w:p>
        </w:tc>
        <w:tc>
          <w:tcPr>
            <w:tcW w:w="1093" w:type="dxa"/>
            <w:gridSpan w:val="2"/>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柱上变</w:t>
            </w:r>
          </w:p>
        </w:tc>
        <w:tc>
          <w:tcPr>
            <w:tcW w:w="3220" w:type="dxa"/>
            <w:gridSpan w:val="5"/>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公用配变</w:t>
            </w:r>
          </w:p>
        </w:tc>
        <w:tc>
          <w:tcPr>
            <w:tcW w:w="1324" w:type="dxa"/>
            <w:gridSpan w:val="2"/>
            <w:vMerge w:val="restart"/>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专用配变</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5" w:type="dxa"/>
            <w:left w:w="15" w:type="dxa"/>
            <w:bottom w:w="15" w:type="dxa"/>
            <w:right w:w="15" w:type="dxa"/>
          </w:tblCellMar>
        </w:tblPrEx>
        <w:trPr>
          <w:trHeight w:val="693" w:hRule="atLeast"/>
          <w:jc w:val="center"/>
        </w:trPr>
        <w:tc>
          <w:tcPr>
            <w:tcW w:w="773" w:type="dxa"/>
            <w:vMerge w:val="continue"/>
            <w:vAlign w:val="center"/>
          </w:tcPr>
          <w:p>
            <w:pPr>
              <w:autoSpaceDN w:val="0"/>
              <w:jc w:val="center"/>
              <w:textAlignment w:val="center"/>
              <w:rPr>
                <w:rFonts w:hint="eastAsia" w:ascii="方正仿宋_GB2312" w:hAnsi="方正仿宋_GB2312" w:eastAsia="方正仿宋_GB2312" w:cs="方正仿宋_GB2312"/>
                <w:kern w:val="0"/>
                <w:sz w:val="18"/>
                <w:szCs w:val="18"/>
              </w:rPr>
            </w:pPr>
          </w:p>
        </w:tc>
        <w:tc>
          <w:tcPr>
            <w:tcW w:w="582" w:type="dxa"/>
            <w:vMerge w:val="restart"/>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座数（座）</w:t>
            </w:r>
          </w:p>
        </w:tc>
        <w:tc>
          <w:tcPr>
            <w:tcW w:w="627" w:type="dxa"/>
            <w:vMerge w:val="restart"/>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容量（兆伏安）</w:t>
            </w:r>
          </w:p>
        </w:tc>
        <w:tc>
          <w:tcPr>
            <w:tcW w:w="598" w:type="dxa"/>
            <w:vMerge w:val="restart"/>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座数（座）</w:t>
            </w:r>
          </w:p>
        </w:tc>
        <w:tc>
          <w:tcPr>
            <w:tcW w:w="502" w:type="dxa"/>
            <w:vMerge w:val="restart"/>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容量（兆伏安）</w:t>
            </w:r>
          </w:p>
        </w:tc>
        <w:tc>
          <w:tcPr>
            <w:tcW w:w="582" w:type="dxa"/>
            <w:vMerge w:val="restart"/>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台数（台）</w:t>
            </w:r>
          </w:p>
        </w:tc>
        <w:tc>
          <w:tcPr>
            <w:tcW w:w="511" w:type="dxa"/>
            <w:vMerge w:val="restart"/>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容量（兆伏安）</w:t>
            </w:r>
          </w:p>
        </w:tc>
        <w:tc>
          <w:tcPr>
            <w:tcW w:w="591" w:type="dxa"/>
            <w:vMerge w:val="restart"/>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台数（台）</w:t>
            </w:r>
          </w:p>
        </w:tc>
        <w:tc>
          <w:tcPr>
            <w:tcW w:w="719" w:type="dxa"/>
            <w:vMerge w:val="restart"/>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容量（兆伏安）</w:t>
            </w:r>
          </w:p>
        </w:tc>
        <w:tc>
          <w:tcPr>
            <w:tcW w:w="1327" w:type="dxa"/>
            <w:gridSpan w:val="2"/>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其中：非晶合金配变</w:t>
            </w:r>
          </w:p>
        </w:tc>
        <w:tc>
          <w:tcPr>
            <w:tcW w:w="583" w:type="dxa"/>
            <w:vMerge w:val="restart"/>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其中：高损配变台数（台）</w:t>
            </w:r>
          </w:p>
        </w:tc>
        <w:tc>
          <w:tcPr>
            <w:tcW w:w="1324" w:type="dxa"/>
            <w:gridSpan w:val="2"/>
            <w:vMerge w:val="continue"/>
            <w:vAlign w:val="center"/>
          </w:tcPr>
          <w:p>
            <w:pPr>
              <w:autoSpaceDN w:val="0"/>
              <w:jc w:val="center"/>
              <w:textAlignment w:val="center"/>
              <w:rPr>
                <w:rFonts w:hint="eastAsia" w:ascii="方正仿宋_GB2312" w:hAnsi="方正仿宋_GB2312" w:eastAsia="方正仿宋_GB2312" w:cs="方正仿宋_GB2312"/>
                <w:kern w:val="0"/>
                <w:sz w:val="18"/>
                <w:szCs w:val="18"/>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5" w:type="dxa"/>
            <w:left w:w="15" w:type="dxa"/>
            <w:bottom w:w="15" w:type="dxa"/>
            <w:right w:w="15" w:type="dxa"/>
          </w:tblCellMar>
        </w:tblPrEx>
        <w:trPr>
          <w:trHeight w:val="693" w:hRule="atLeast"/>
          <w:jc w:val="center"/>
        </w:trPr>
        <w:tc>
          <w:tcPr>
            <w:tcW w:w="773" w:type="dxa"/>
            <w:vMerge w:val="continue"/>
            <w:vAlign w:val="center"/>
          </w:tcPr>
          <w:p>
            <w:pPr>
              <w:autoSpaceDN w:val="0"/>
              <w:jc w:val="center"/>
              <w:textAlignment w:val="center"/>
              <w:rPr>
                <w:rFonts w:hint="eastAsia" w:ascii="方正仿宋_GB2312" w:hAnsi="方正仿宋_GB2312" w:eastAsia="方正仿宋_GB2312" w:cs="方正仿宋_GB2312"/>
                <w:kern w:val="0"/>
                <w:sz w:val="18"/>
                <w:szCs w:val="18"/>
              </w:rPr>
            </w:pPr>
          </w:p>
        </w:tc>
        <w:tc>
          <w:tcPr>
            <w:tcW w:w="582" w:type="dxa"/>
            <w:vMerge w:val="continue"/>
            <w:vAlign w:val="center"/>
          </w:tcPr>
          <w:p>
            <w:pPr>
              <w:autoSpaceDN w:val="0"/>
              <w:jc w:val="center"/>
              <w:textAlignment w:val="center"/>
              <w:rPr>
                <w:rFonts w:hint="eastAsia" w:ascii="方正仿宋_GB2312" w:hAnsi="方正仿宋_GB2312" w:eastAsia="方正仿宋_GB2312" w:cs="方正仿宋_GB2312"/>
                <w:kern w:val="0"/>
                <w:sz w:val="18"/>
                <w:szCs w:val="18"/>
              </w:rPr>
            </w:pPr>
          </w:p>
        </w:tc>
        <w:tc>
          <w:tcPr>
            <w:tcW w:w="627" w:type="dxa"/>
            <w:vMerge w:val="continue"/>
            <w:vAlign w:val="center"/>
          </w:tcPr>
          <w:p>
            <w:pPr>
              <w:autoSpaceDN w:val="0"/>
              <w:jc w:val="center"/>
              <w:textAlignment w:val="center"/>
              <w:rPr>
                <w:rFonts w:hint="eastAsia" w:ascii="方正仿宋_GB2312" w:hAnsi="方正仿宋_GB2312" w:eastAsia="方正仿宋_GB2312" w:cs="方正仿宋_GB2312"/>
                <w:kern w:val="0"/>
                <w:sz w:val="18"/>
                <w:szCs w:val="18"/>
              </w:rPr>
            </w:pPr>
          </w:p>
        </w:tc>
        <w:tc>
          <w:tcPr>
            <w:tcW w:w="598" w:type="dxa"/>
            <w:vMerge w:val="continue"/>
            <w:vAlign w:val="center"/>
          </w:tcPr>
          <w:p>
            <w:pPr>
              <w:autoSpaceDN w:val="0"/>
              <w:jc w:val="center"/>
              <w:textAlignment w:val="center"/>
              <w:rPr>
                <w:rFonts w:hint="eastAsia" w:ascii="方正仿宋_GB2312" w:hAnsi="方正仿宋_GB2312" w:eastAsia="方正仿宋_GB2312" w:cs="方正仿宋_GB2312"/>
                <w:kern w:val="0"/>
                <w:sz w:val="18"/>
                <w:szCs w:val="18"/>
              </w:rPr>
            </w:pPr>
          </w:p>
        </w:tc>
        <w:tc>
          <w:tcPr>
            <w:tcW w:w="502" w:type="dxa"/>
            <w:vMerge w:val="continue"/>
            <w:vAlign w:val="center"/>
          </w:tcPr>
          <w:p>
            <w:pPr>
              <w:autoSpaceDN w:val="0"/>
              <w:jc w:val="center"/>
              <w:textAlignment w:val="center"/>
              <w:rPr>
                <w:rFonts w:hint="eastAsia" w:ascii="方正仿宋_GB2312" w:hAnsi="方正仿宋_GB2312" w:eastAsia="方正仿宋_GB2312" w:cs="方正仿宋_GB2312"/>
                <w:kern w:val="0"/>
                <w:sz w:val="18"/>
                <w:szCs w:val="18"/>
              </w:rPr>
            </w:pPr>
          </w:p>
        </w:tc>
        <w:tc>
          <w:tcPr>
            <w:tcW w:w="582" w:type="dxa"/>
            <w:vMerge w:val="continue"/>
            <w:vAlign w:val="center"/>
          </w:tcPr>
          <w:p>
            <w:pPr>
              <w:autoSpaceDN w:val="0"/>
              <w:jc w:val="center"/>
              <w:textAlignment w:val="center"/>
              <w:rPr>
                <w:rFonts w:hint="eastAsia" w:ascii="方正仿宋_GB2312" w:hAnsi="方正仿宋_GB2312" w:eastAsia="方正仿宋_GB2312" w:cs="方正仿宋_GB2312"/>
                <w:kern w:val="0"/>
                <w:sz w:val="18"/>
                <w:szCs w:val="18"/>
              </w:rPr>
            </w:pPr>
          </w:p>
        </w:tc>
        <w:tc>
          <w:tcPr>
            <w:tcW w:w="511" w:type="dxa"/>
            <w:vMerge w:val="continue"/>
            <w:vAlign w:val="center"/>
          </w:tcPr>
          <w:p>
            <w:pPr>
              <w:autoSpaceDN w:val="0"/>
              <w:jc w:val="center"/>
              <w:textAlignment w:val="center"/>
              <w:rPr>
                <w:rFonts w:hint="eastAsia" w:ascii="方正仿宋_GB2312" w:hAnsi="方正仿宋_GB2312" w:eastAsia="方正仿宋_GB2312" w:cs="方正仿宋_GB2312"/>
                <w:kern w:val="0"/>
                <w:sz w:val="18"/>
                <w:szCs w:val="18"/>
              </w:rPr>
            </w:pPr>
          </w:p>
        </w:tc>
        <w:tc>
          <w:tcPr>
            <w:tcW w:w="591" w:type="dxa"/>
            <w:vMerge w:val="continue"/>
            <w:vAlign w:val="center"/>
          </w:tcPr>
          <w:p>
            <w:pPr>
              <w:autoSpaceDN w:val="0"/>
              <w:jc w:val="center"/>
              <w:textAlignment w:val="center"/>
              <w:rPr>
                <w:rFonts w:hint="eastAsia" w:ascii="方正仿宋_GB2312" w:hAnsi="方正仿宋_GB2312" w:eastAsia="方正仿宋_GB2312" w:cs="方正仿宋_GB2312"/>
                <w:kern w:val="0"/>
                <w:sz w:val="18"/>
                <w:szCs w:val="18"/>
              </w:rPr>
            </w:pPr>
          </w:p>
        </w:tc>
        <w:tc>
          <w:tcPr>
            <w:tcW w:w="719" w:type="dxa"/>
            <w:vMerge w:val="continue"/>
            <w:vAlign w:val="center"/>
          </w:tcPr>
          <w:p>
            <w:pPr>
              <w:autoSpaceDN w:val="0"/>
              <w:jc w:val="center"/>
              <w:textAlignment w:val="center"/>
              <w:rPr>
                <w:rFonts w:hint="eastAsia" w:ascii="方正仿宋_GB2312" w:hAnsi="方正仿宋_GB2312" w:eastAsia="方正仿宋_GB2312" w:cs="方正仿宋_GB2312"/>
                <w:kern w:val="0"/>
                <w:sz w:val="18"/>
                <w:szCs w:val="18"/>
              </w:rPr>
            </w:pPr>
          </w:p>
        </w:tc>
        <w:tc>
          <w:tcPr>
            <w:tcW w:w="582"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台数（台）</w:t>
            </w:r>
          </w:p>
        </w:tc>
        <w:tc>
          <w:tcPr>
            <w:tcW w:w="745"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容量（兆伏安）</w:t>
            </w:r>
          </w:p>
        </w:tc>
        <w:tc>
          <w:tcPr>
            <w:tcW w:w="583" w:type="dxa"/>
            <w:vMerge w:val="continue"/>
            <w:vAlign w:val="center"/>
          </w:tcPr>
          <w:p>
            <w:pPr>
              <w:autoSpaceDN w:val="0"/>
              <w:jc w:val="center"/>
              <w:textAlignment w:val="center"/>
              <w:rPr>
                <w:rFonts w:hint="eastAsia" w:ascii="方正仿宋_GB2312" w:hAnsi="方正仿宋_GB2312" w:eastAsia="方正仿宋_GB2312" w:cs="方正仿宋_GB2312"/>
                <w:kern w:val="0"/>
                <w:sz w:val="18"/>
                <w:szCs w:val="18"/>
              </w:rPr>
            </w:pPr>
          </w:p>
        </w:tc>
        <w:tc>
          <w:tcPr>
            <w:tcW w:w="582"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台数（台）</w:t>
            </w:r>
          </w:p>
        </w:tc>
        <w:tc>
          <w:tcPr>
            <w:tcW w:w="742"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容量（兆伏安）</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5" w:type="dxa"/>
            <w:left w:w="15" w:type="dxa"/>
            <w:bottom w:w="15" w:type="dxa"/>
            <w:right w:w="15" w:type="dxa"/>
          </w:tblCellMar>
        </w:tblPrEx>
        <w:trPr>
          <w:trHeight w:val="693" w:hRule="atLeast"/>
          <w:jc w:val="center"/>
        </w:trPr>
        <w:tc>
          <w:tcPr>
            <w:tcW w:w="773" w:type="dxa"/>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市辖供电区</w:t>
            </w:r>
          </w:p>
        </w:tc>
        <w:tc>
          <w:tcPr>
            <w:tcW w:w="582"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220</w:t>
            </w:r>
          </w:p>
        </w:tc>
        <w:tc>
          <w:tcPr>
            <w:tcW w:w="627"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522.896</w:t>
            </w:r>
          </w:p>
        </w:tc>
        <w:tc>
          <w:tcPr>
            <w:tcW w:w="598"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86</w:t>
            </w:r>
          </w:p>
        </w:tc>
        <w:tc>
          <w:tcPr>
            <w:tcW w:w="502"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48.98</w:t>
            </w:r>
          </w:p>
        </w:tc>
        <w:tc>
          <w:tcPr>
            <w:tcW w:w="582"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1436</w:t>
            </w:r>
          </w:p>
        </w:tc>
        <w:tc>
          <w:tcPr>
            <w:tcW w:w="511"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514.4</w:t>
            </w:r>
          </w:p>
        </w:tc>
        <w:tc>
          <w:tcPr>
            <w:tcW w:w="591"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2261</w:t>
            </w:r>
          </w:p>
        </w:tc>
        <w:tc>
          <w:tcPr>
            <w:tcW w:w="719"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1086.276</w:t>
            </w:r>
          </w:p>
        </w:tc>
        <w:tc>
          <w:tcPr>
            <w:tcW w:w="582"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25</w:t>
            </w:r>
          </w:p>
        </w:tc>
        <w:tc>
          <w:tcPr>
            <w:tcW w:w="745"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8.37</w:t>
            </w:r>
          </w:p>
        </w:tc>
        <w:tc>
          <w:tcPr>
            <w:tcW w:w="583"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0</w:t>
            </w:r>
          </w:p>
        </w:tc>
        <w:tc>
          <w:tcPr>
            <w:tcW w:w="582"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4889</w:t>
            </w:r>
          </w:p>
        </w:tc>
        <w:tc>
          <w:tcPr>
            <w:tcW w:w="742"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3237.4</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5" w:type="dxa"/>
            <w:left w:w="15" w:type="dxa"/>
            <w:bottom w:w="15" w:type="dxa"/>
            <w:right w:w="15" w:type="dxa"/>
          </w:tblCellMar>
        </w:tblPrEx>
        <w:trPr>
          <w:trHeight w:val="448" w:hRule="atLeast"/>
          <w:jc w:val="center"/>
        </w:trPr>
        <w:tc>
          <w:tcPr>
            <w:tcW w:w="773" w:type="dxa"/>
            <w:vAlign w:val="center"/>
          </w:tcPr>
          <w:p>
            <w:pPr>
              <w:widowControl/>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合计</w:t>
            </w:r>
          </w:p>
        </w:tc>
        <w:tc>
          <w:tcPr>
            <w:tcW w:w="582"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220</w:t>
            </w:r>
          </w:p>
        </w:tc>
        <w:tc>
          <w:tcPr>
            <w:tcW w:w="627"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522.896</w:t>
            </w:r>
          </w:p>
        </w:tc>
        <w:tc>
          <w:tcPr>
            <w:tcW w:w="598"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86</w:t>
            </w:r>
          </w:p>
        </w:tc>
        <w:tc>
          <w:tcPr>
            <w:tcW w:w="502"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48.98</w:t>
            </w:r>
          </w:p>
        </w:tc>
        <w:tc>
          <w:tcPr>
            <w:tcW w:w="582"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1436</w:t>
            </w:r>
          </w:p>
        </w:tc>
        <w:tc>
          <w:tcPr>
            <w:tcW w:w="511"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514.4</w:t>
            </w:r>
          </w:p>
        </w:tc>
        <w:tc>
          <w:tcPr>
            <w:tcW w:w="591"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2261</w:t>
            </w:r>
          </w:p>
        </w:tc>
        <w:tc>
          <w:tcPr>
            <w:tcW w:w="719"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1086.276</w:t>
            </w:r>
          </w:p>
        </w:tc>
        <w:tc>
          <w:tcPr>
            <w:tcW w:w="582"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25</w:t>
            </w:r>
          </w:p>
        </w:tc>
        <w:tc>
          <w:tcPr>
            <w:tcW w:w="745"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8.37</w:t>
            </w:r>
          </w:p>
        </w:tc>
        <w:tc>
          <w:tcPr>
            <w:tcW w:w="583"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0</w:t>
            </w:r>
          </w:p>
        </w:tc>
        <w:tc>
          <w:tcPr>
            <w:tcW w:w="582"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4889</w:t>
            </w:r>
          </w:p>
        </w:tc>
        <w:tc>
          <w:tcPr>
            <w:tcW w:w="742"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3237.4</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5" w:type="dxa"/>
            <w:left w:w="15" w:type="dxa"/>
            <w:bottom w:w="15" w:type="dxa"/>
            <w:right w:w="15" w:type="dxa"/>
          </w:tblCellMar>
        </w:tblPrEx>
        <w:trPr>
          <w:trHeight w:val="448" w:hRule="atLeast"/>
          <w:jc w:val="center"/>
        </w:trPr>
        <w:tc>
          <w:tcPr>
            <w:tcW w:w="773" w:type="dxa"/>
            <w:vAlign w:val="center"/>
          </w:tcPr>
          <w:p>
            <w:pPr>
              <w:widowControl/>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B</w:t>
            </w:r>
          </w:p>
        </w:tc>
        <w:tc>
          <w:tcPr>
            <w:tcW w:w="582"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220</w:t>
            </w:r>
          </w:p>
        </w:tc>
        <w:tc>
          <w:tcPr>
            <w:tcW w:w="627"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522.896</w:t>
            </w:r>
          </w:p>
        </w:tc>
        <w:tc>
          <w:tcPr>
            <w:tcW w:w="598"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86</w:t>
            </w:r>
          </w:p>
        </w:tc>
        <w:tc>
          <w:tcPr>
            <w:tcW w:w="502"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48.98</w:t>
            </w:r>
          </w:p>
        </w:tc>
        <w:tc>
          <w:tcPr>
            <w:tcW w:w="582"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1436</w:t>
            </w:r>
          </w:p>
        </w:tc>
        <w:tc>
          <w:tcPr>
            <w:tcW w:w="511"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514.4</w:t>
            </w:r>
          </w:p>
        </w:tc>
        <w:tc>
          <w:tcPr>
            <w:tcW w:w="591"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2261</w:t>
            </w:r>
          </w:p>
        </w:tc>
        <w:tc>
          <w:tcPr>
            <w:tcW w:w="719"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1086.276</w:t>
            </w:r>
          </w:p>
        </w:tc>
        <w:tc>
          <w:tcPr>
            <w:tcW w:w="582"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25</w:t>
            </w:r>
          </w:p>
        </w:tc>
        <w:tc>
          <w:tcPr>
            <w:tcW w:w="745"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8.37</w:t>
            </w:r>
          </w:p>
        </w:tc>
        <w:tc>
          <w:tcPr>
            <w:tcW w:w="583"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0</w:t>
            </w:r>
          </w:p>
        </w:tc>
        <w:tc>
          <w:tcPr>
            <w:tcW w:w="582"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4889</w:t>
            </w:r>
          </w:p>
        </w:tc>
        <w:tc>
          <w:tcPr>
            <w:tcW w:w="742"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3237.4</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5" w:type="dxa"/>
            <w:left w:w="15" w:type="dxa"/>
            <w:bottom w:w="15" w:type="dxa"/>
            <w:right w:w="15" w:type="dxa"/>
          </w:tblCellMar>
        </w:tblPrEx>
        <w:trPr>
          <w:trHeight w:val="479" w:hRule="atLeast"/>
          <w:jc w:val="center"/>
        </w:trPr>
        <w:tc>
          <w:tcPr>
            <w:tcW w:w="773" w:type="dxa"/>
            <w:vAlign w:val="center"/>
          </w:tcPr>
          <w:p>
            <w:pPr>
              <w:widowControl/>
              <w:jc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B(城网)</w:t>
            </w:r>
          </w:p>
        </w:tc>
        <w:tc>
          <w:tcPr>
            <w:tcW w:w="582"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220</w:t>
            </w:r>
          </w:p>
        </w:tc>
        <w:tc>
          <w:tcPr>
            <w:tcW w:w="627"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522.896</w:t>
            </w:r>
          </w:p>
        </w:tc>
        <w:tc>
          <w:tcPr>
            <w:tcW w:w="598"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86</w:t>
            </w:r>
          </w:p>
        </w:tc>
        <w:tc>
          <w:tcPr>
            <w:tcW w:w="502"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48.98</w:t>
            </w:r>
          </w:p>
        </w:tc>
        <w:tc>
          <w:tcPr>
            <w:tcW w:w="582"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1436</w:t>
            </w:r>
          </w:p>
        </w:tc>
        <w:tc>
          <w:tcPr>
            <w:tcW w:w="511"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514.4</w:t>
            </w:r>
          </w:p>
        </w:tc>
        <w:tc>
          <w:tcPr>
            <w:tcW w:w="591"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2261</w:t>
            </w:r>
          </w:p>
        </w:tc>
        <w:tc>
          <w:tcPr>
            <w:tcW w:w="719"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1086.276</w:t>
            </w:r>
          </w:p>
        </w:tc>
        <w:tc>
          <w:tcPr>
            <w:tcW w:w="582"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25</w:t>
            </w:r>
          </w:p>
        </w:tc>
        <w:tc>
          <w:tcPr>
            <w:tcW w:w="745"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8.37</w:t>
            </w:r>
          </w:p>
        </w:tc>
        <w:tc>
          <w:tcPr>
            <w:tcW w:w="583"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0</w:t>
            </w:r>
          </w:p>
        </w:tc>
        <w:tc>
          <w:tcPr>
            <w:tcW w:w="582"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4889</w:t>
            </w:r>
          </w:p>
        </w:tc>
        <w:tc>
          <w:tcPr>
            <w:tcW w:w="742" w:type="dxa"/>
            <w:vAlign w:val="center"/>
          </w:tcPr>
          <w:p>
            <w:pPr>
              <w:autoSpaceDN w:val="0"/>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3237.4</w:t>
            </w:r>
          </w:p>
        </w:tc>
      </w:tr>
    </w:tbl>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 w:hAnsi="仿宋" w:cs="仿宋"/>
          <w:kern w:val="2"/>
          <w:sz w:val="32"/>
          <w:szCs w:val="32"/>
          <w:lang w:val="en-US" w:eastAsia="zh-CN" w:bidi="ar-SA"/>
        </w:rPr>
      </w:pPr>
      <w:r>
        <w:rPr>
          <w:rFonts w:hint="eastAsia" w:ascii="仿宋_GB2312" w:hAnsi="仿宋_GB2312" w:eastAsia="仿宋_GB2312" w:cs="仿宋_GB2312"/>
          <w:kern w:val="2"/>
          <w:sz w:val="32"/>
          <w:szCs w:val="32"/>
          <w:lang w:val="en-US" w:eastAsia="zh-CN" w:bidi="ar-SA"/>
        </w:rPr>
        <w:t>2.10千伏配电线路情况。截至2020年底，西咸新区共有10千伏公用线路215条，线路总长2111.83公里。10千伏线路平均供电半径4.5公里，其中其中电缆长度688.28公里，电缆化率32.59%，电缆线路截面以400mm</w:t>
      </w:r>
      <w:r>
        <w:rPr>
          <w:rFonts w:hint="eastAsia" w:ascii="仿宋_GB2312" w:hAnsi="仿宋_GB2312" w:eastAsia="仿宋_GB2312" w:cs="仿宋_GB2312"/>
          <w:kern w:val="2"/>
          <w:sz w:val="32"/>
          <w:szCs w:val="32"/>
          <w:vertAlign w:val="superscript"/>
          <w:lang w:val="en-US" w:eastAsia="zh-CN" w:bidi="ar-SA"/>
        </w:rPr>
        <w:t>2</w:t>
      </w:r>
      <w:r>
        <w:rPr>
          <w:rFonts w:hint="eastAsia" w:ascii="仿宋_GB2312" w:hAnsi="仿宋_GB2312" w:eastAsia="仿宋_GB2312" w:cs="仿宋_GB2312"/>
          <w:kern w:val="2"/>
          <w:sz w:val="32"/>
          <w:szCs w:val="32"/>
          <w:lang w:val="en-US" w:eastAsia="zh-CN" w:bidi="ar-SA"/>
        </w:rPr>
        <w:t>和300mm</w:t>
      </w:r>
      <w:r>
        <w:rPr>
          <w:rFonts w:hint="eastAsia" w:ascii="仿宋_GB2312" w:hAnsi="仿宋_GB2312" w:eastAsia="仿宋_GB2312" w:cs="仿宋_GB2312"/>
          <w:kern w:val="2"/>
          <w:sz w:val="32"/>
          <w:szCs w:val="32"/>
          <w:vertAlign w:val="superscript"/>
          <w:lang w:val="en-US" w:eastAsia="zh-CN" w:bidi="ar-SA"/>
        </w:rPr>
        <w:t>2</w:t>
      </w:r>
      <w:r>
        <w:rPr>
          <w:rFonts w:hint="eastAsia" w:ascii="仿宋_GB2312" w:hAnsi="仿宋_GB2312" w:eastAsia="仿宋_GB2312" w:cs="仿宋_GB2312"/>
          <w:kern w:val="2"/>
          <w:sz w:val="32"/>
          <w:szCs w:val="32"/>
          <w:lang w:val="en-US" w:eastAsia="zh-CN" w:bidi="ar-SA"/>
        </w:rPr>
        <w:t>为主；架空线路长度1423.55公里，绝缘化率94.67%，架空线路截面以240mm</w:t>
      </w:r>
      <w:r>
        <w:rPr>
          <w:rFonts w:hint="eastAsia" w:ascii="仿宋_GB2312" w:hAnsi="仿宋_GB2312" w:eastAsia="仿宋_GB2312" w:cs="仿宋_GB2312"/>
          <w:kern w:val="2"/>
          <w:sz w:val="32"/>
          <w:szCs w:val="32"/>
          <w:vertAlign w:val="superscript"/>
          <w:lang w:val="en-US" w:eastAsia="zh-CN" w:bidi="ar-SA"/>
        </w:rPr>
        <w:t>2</w:t>
      </w:r>
      <w:r>
        <w:rPr>
          <w:rFonts w:hint="eastAsia" w:ascii="仿宋_GB2312" w:hAnsi="仿宋_GB2312" w:eastAsia="仿宋_GB2312" w:cs="仿宋_GB2312"/>
          <w:kern w:val="2"/>
          <w:sz w:val="32"/>
          <w:szCs w:val="32"/>
          <w:lang w:val="en-US" w:eastAsia="zh-CN" w:bidi="ar-SA"/>
        </w:rPr>
        <w:t>和120mm</w:t>
      </w:r>
      <w:r>
        <w:rPr>
          <w:rFonts w:hint="eastAsia" w:ascii="仿宋_GB2312" w:hAnsi="仿宋_GB2312" w:eastAsia="仿宋_GB2312" w:cs="仿宋_GB2312"/>
          <w:kern w:val="2"/>
          <w:sz w:val="32"/>
          <w:szCs w:val="32"/>
          <w:vertAlign w:val="superscript"/>
          <w:lang w:val="en-US" w:eastAsia="zh-CN" w:bidi="ar-SA"/>
        </w:rPr>
        <w:t>2</w:t>
      </w:r>
      <w:r>
        <w:rPr>
          <w:rFonts w:hint="eastAsia" w:ascii="仿宋_GB2312" w:hAnsi="仿宋_GB2312" w:eastAsia="仿宋_GB2312" w:cs="仿宋_GB2312"/>
          <w:kern w:val="2"/>
          <w:sz w:val="32"/>
          <w:szCs w:val="32"/>
          <w:lang w:val="en-US" w:eastAsia="zh-CN" w:bidi="ar-SA"/>
        </w:rPr>
        <w:t>为主。</w:t>
      </w:r>
    </w:p>
    <w:p>
      <w:pPr>
        <w:pStyle w:val="150"/>
        <w:keepNext w:val="0"/>
        <w:keepLines w:val="0"/>
        <w:pageBreakBefore w:val="0"/>
        <w:widowControl w:val="0"/>
        <w:kinsoku/>
        <w:wordWrap/>
        <w:overflowPunct/>
        <w:topLinePunct w:val="0"/>
        <w:autoSpaceDE/>
        <w:autoSpaceDN/>
        <w:bidi w:val="0"/>
        <w:adjustRightInd w:val="0"/>
        <w:snapToGrid w:val="0"/>
        <w:spacing w:line="400" w:lineRule="exact"/>
        <w:ind w:left="0" w:leftChars="0" w:firstLine="0" w:firstLineChars="0"/>
        <w:jc w:val="center"/>
        <w:textAlignment w:val="auto"/>
        <w:rPr>
          <w:rFonts w:hint="eastAsia" w:ascii="黑体" w:hAnsi="黑体" w:eastAsia="黑体" w:cs="黑体"/>
          <w:kern w:val="2"/>
          <w:sz w:val="28"/>
          <w:szCs w:val="28"/>
          <w:lang w:val="en-US" w:eastAsia="zh-CN" w:bidi="ar-SA"/>
        </w:rPr>
      </w:pPr>
      <w:r>
        <w:rPr>
          <w:rFonts w:hint="eastAsia" w:ascii="黑体" w:hAnsi="黑体" w:eastAsia="黑体" w:cs="黑体"/>
          <w:kern w:val="2"/>
          <w:sz w:val="28"/>
          <w:szCs w:val="28"/>
          <w:lang w:val="en-US" w:eastAsia="zh-CN" w:bidi="ar-SA"/>
        </w:rPr>
        <w:t>表3-15   2020年西咸新区10千伏配电线路情况表</w:t>
      </w:r>
    </w:p>
    <w:tbl>
      <w:tblPr>
        <w:tblStyle w:val="88"/>
        <w:tblW w:w="8696"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5" w:type="dxa"/>
          <w:left w:w="15" w:type="dxa"/>
          <w:bottom w:w="15" w:type="dxa"/>
          <w:right w:w="15" w:type="dxa"/>
        </w:tblCellMar>
      </w:tblPr>
      <w:tblGrid>
        <w:gridCol w:w="540"/>
        <w:gridCol w:w="326"/>
        <w:gridCol w:w="327"/>
        <w:gridCol w:w="589"/>
        <w:gridCol w:w="457"/>
        <w:gridCol w:w="662"/>
        <w:gridCol w:w="694"/>
        <w:gridCol w:w="462"/>
        <w:gridCol w:w="550"/>
        <w:gridCol w:w="642"/>
        <w:gridCol w:w="584"/>
        <w:gridCol w:w="544"/>
        <w:gridCol w:w="413"/>
        <w:gridCol w:w="395"/>
        <w:gridCol w:w="382"/>
        <w:gridCol w:w="577"/>
        <w:gridCol w:w="552"/>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1606" w:hRule="atLeast"/>
          <w:jc w:val="center"/>
        </w:trPr>
        <w:tc>
          <w:tcPr>
            <w:tcW w:w="540" w:type="dxa"/>
            <w:vMerge w:val="restart"/>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类型</w:t>
            </w:r>
          </w:p>
        </w:tc>
        <w:tc>
          <w:tcPr>
            <w:tcW w:w="653" w:type="dxa"/>
            <w:gridSpan w:val="2"/>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线路条数（条）</w:t>
            </w:r>
          </w:p>
        </w:tc>
        <w:tc>
          <w:tcPr>
            <w:tcW w:w="1046" w:type="dxa"/>
            <w:gridSpan w:val="2"/>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线路总长度（公里）</w:t>
            </w:r>
          </w:p>
        </w:tc>
        <w:tc>
          <w:tcPr>
            <w:tcW w:w="66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其中：电缆长度（公里）</w:t>
            </w:r>
          </w:p>
        </w:tc>
        <w:tc>
          <w:tcPr>
            <w:tcW w:w="694"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10千伏线路平均供电半径（公里）</w:t>
            </w:r>
          </w:p>
        </w:tc>
        <w:tc>
          <w:tcPr>
            <w:tcW w:w="2238" w:type="dxa"/>
            <w:gridSpan w:val="4"/>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10千伏线路供电半径分布（条）</w:t>
            </w:r>
          </w:p>
        </w:tc>
        <w:tc>
          <w:tcPr>
            <w:tcW w:w="957" w:type="dxa"/>
            <w:gridSpan w:val="2"/>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平均单条线路配变装接容量（兆伏安/条）</w:t>
            </w:r>
          </w:p>
        </w:tc>
        <w:tc>
          <w:tcPr>
            <w:tcW w:w="777" w:type="dxa"/>
            <w:gridSpan w:val="2"/>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线路配变装接容量&gt;12兆伏安线路条数（条）</w:t>
            </w:r>
          </w:p>
        </w:tc>
        <w:tc>
          <w:tcPr>
            <w:tcW w:w="577"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架空线路绝缘化率（%）</w:t>
            </w:r>
          </w:p>
        </w:tc>
        <w:tc>
          <w:tcPr>
            <w:tcW w:w="55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电缆化率（%）</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676" w:hRule="atLeast"/>
          <w:jc w:val="center"/>
        </w:trPr>
        <w:tc>
          <w:tcPr>
            <w:tcW w:w="540" w:type="dxa"/>
            <w:vMerge w:val="continue"/>
            <w:tcBorders>
              <w:tl2br w:val="nil"/>
              <w:tr2bl w:val="nil"/>
            </w:tcBorders>
            <w:vAlign w:val="center"/>
          </w:tcPr>
          <w:p>
            <w:pPr>
              <w:widowControl/>
              <w:jc w:val="left"/>
              <w:rPr>
                <w:rFonts w:eastAsia="仿宋"/>
                <w:kern w:val="0"/>
                <w:sz w:val="18"/>
                <w:szCs w:val="18"/>
              </w:rPr>
            </w:pPr>
          </w:p>
        </w:tc>
        <w:tc>
          <w:tcPr>
            <w:tcW w:w="326" w:type="dxa"/>
            <w:vMerge w:val="restart"/>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公用</w:t>
            </w:r>
          </w:p>
        </w:tc>
        <w:tc>
          <w:tcPr>
            <w:tcW w:w="327" w:type="dxa"/>
            <w:vMerge w:val="restart"/>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专用</w:t>
            </w:r>
          </w:p>
        </w:tc>
        <w:tc>
          <w:tcPr>
            <w:tcW w:w="589" w:type="dxa"/>
            <w:vMerge w:val="restart"/>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公用</w:t>
            </w:r>
          </w:p>
        </w:tc>
        <w:tc>
          <w:tcPr>
            <w:tcW w:w="457" w:type="dxa"/>
            <w:vMerge w:val="restart"/>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专用</w:t>
            </w:r>
          </w:p>
        </w:tc>
        <w:tc>
          <w:tcPr>
            <w:tcW w:w="662" w:type="dxa"/>
            <w:vMerge w:val="restart"/>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公用</w:t>
            </w:r>
          </w:p>
        </w:tc>
        <w:tc>
          <w:tcPr>
            <w:tcW w:w="694" w:type="dxa"/>
            <w:vMerge w:val="restart"/>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公用</w:t>
            </w:r>
          </w:p>
        </w:tc>
        <w:tc>
          <w:tcPr>
            <w:tcW w:w="46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&lt;3公里</w:t>
            </w:r>
          </w:p>
        </w:tc>
        <w:tc>
          <w:tcPr>
            <w:tcW w:w="550"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3-5公里</w:t>
            </w:r>
          </w:p>
        </w:tc>
        <w:tc>
          <w:tcPr>
            <w:tcW w:w="64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5-15公里</w:t>
            </w:r>
          </w:p>
        </w:tc>
        <w:tc>
          <w:tcPr>
            <w:tcW w:w="584"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≥15公里</w:t>
            </w:r>
          </w:p>
        </w:tc>
        <w:tc>
          <w:tcPr>
            <w:tcW w:w="544" w:type="dxa"/>
            <w:vMerge w:val="restart"/>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公用</w:t>
            </w:r>
          </w:p>
        </w:tc>
        <w:tc>
          <w:tcPr>
            <w:tcW w:w="413" w:type="dxa"/>
            <w:vMerge w:val="restart"/>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专用</w:t>
            </w:r>
          </w:p>
        </w:tc>
        <w:tc>
          <w:tcPr>
            <w:tcW w:w="395" w:type="dxa"/>
            <w:vMerge w:val="restart"/>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公用</w:t>
            </w:r>
          </w:p>
        </w:tc>
        <w:tc>
          <w:tcPr>
            <w:tcW w:w="382" w:type="dxa"/>
            <w:vMerge w:val="restart"/>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专用</w:t>
            </w:r>
          </w:p>
        </w:tc>
        <w:tc>
          <w:tcPr>
            <w:tcW w:w="577" w:type="dxa"/>
            <w:vMerge w:val="restart"/>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公用</w:t>
            </w:r>
          </w:p>
        </w:tc>
        <w:tc>
          <w:tcPr>
            <w:tcW w:w="552" w:type="dxa"/>
            <w:vMerge w:val="restart"/>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公用</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79" w:hRule="atLeast"/>
          <w:jc w:val="center"/>
        </w:trPr>
        <w:tc>
          <w:tcPr>
            <w:tcW w:w="540" w:type="dxa"/>
            <w:vMerge w:val="continue"/>
            <w:tcBorders>
              <w:tl2br w:val="nil"/>
              <w:tr2bl w:val="nil"/>
            </w:tcBorders>
            <w:vAlign w:val="center"/>
          </w:tcPr>
          <w:p>
            <w:pPr>
              <w:widowControl/>
              <w:jc w:val="left"/>
              <w:rPr>
                <w:rFonts w:eastAsia="仿宋"/>
                <w:kern w:val="0"/>
                <w:sz w:val="18"/>
                <w:szCs w:val="18"/>
              </w:rPr>
            </w:pPr>
          </w:p>
        </w:tc>
        <w:tc>
          <w:tcPr>
            <w:tcW w:w="326" w:type="dxa"/>
            <w:vMerge w:val="continue"/>
            <w:tcBorders>
              <w:tl2br w:val="nil"/>
              <w:tr2bl w:val="nil"/>
            </w:tcBorders>
            <w:vAlign w:val="center"/>
          </w:tcPr>
          <w:p>
            <w:pPr>
              <w:widowControl/>
              <w:jc w:val="left"/>
              <w:rPr>
                <w:rFonts w:eastAsia="仿宋"/>
                <w:kern w:val="0"/>
                <w:sz w:val="18"/>
                <w:szCs w:val="18"/>
              </w:rPr>
            </w:pPr>
          </w:p>
        </w:tc>
        <w:tc>
          <w:tcPr>
            <w:tcW w:w="327" w:type="dxa"/>
            <w:vMerge w:val="continue"/>
            <w:tcBorders>
              <w:tl2br w:val="nil"/>
              <w:tr2bl w:val="nil"/>
            </w:tcBorders>
            <w:vAlign w:val="center"/>
          </w:tcPr>
          <w:p>
            <w:pPr>
              <w:widowControl/>
              <w:jc w:val="left"/>
              <w:rPr>
                <w:rFonts w:eastAsia="仿宋"/>
                <w:kern w:val="0"/>
                <w:sz w:val="18"/>
                <w:szCs w:val="18"/>
              </w:rPr>
            </w:pPr>
          </w:p>
        </w:tc>
        <w:tc>
          <w:tcPr>
            <w:tcW w:w="589" w:type="dxa"/>
            <w:vMerge w:val="continue"/>
            <w:tcBorders>
              <w:tl2br w:val="nil"/>
              <w:tr2bl w:val="nil"/>
            </w:tcBorders>
            <w:vAlign w:val="center"/>
          </w:tcPr>
          <w:p>
            <w:pPr>
              <w:widowControl/>
              <w:jc w:val="left"/>
              <w:rPr>
                <w:rFonts w:eastAsia="仿宋"/>
                <w:kern w:val="0"/>
                <w:sz w:val="18"/>
                <w:szCs w:val="18"/>
              </w:rPr>
            </w:pPr>
          </w:p>
        </w:tc>
        <w:tc>
          <w:tcPr>
            <w:tcW w:w="457" w:type="dxa"/>
            <w:vMerge w:val="continue"/>
            <w:tcBorders>
              <w:tl2br w:val="nil"/>
              <w:tr2bl w:val="nil"/>
            </w:tcBorders>
            <w:vAlign w:val="center"/>
          </w:tcPr>
          <w:p>
            <w:pPr>
              <w:widowControl/>
              <w:jc w:val="left"/>
              <w:rPr>
                <w:rFonts w:eastAsia="仿宋"/>
                <w:kern w:val="0"/>
                <w:sz w:val="18"/>
                <w:szCs w:val="18"/>
              </w:rPr>
            </w:pPr>
          </w:p>
        </w:tc>
        <w:tc>
          <w:tcPr>
            <w:tcW w:w="662" w:type="dxa"/>
            <w:vMerge w:val="continue"/>
            <w:tcBorders>
              <w:tl2br w:val="nil"/>
              <w:tr2bl w:val="nil"/>
            </w:tcBorders>
            <w:vAlign w:val="center"/>
          </w:tcPr>
          <w:p>
            <w:pPr>
              <w:widowControl/>
              <w:jc w:val="left"/>
              <w:rPr>
                <w:rFonts w:eastAsia="仿宋"/>
                <w:kern w:val="0"/>
                <w:sz w:val="18"/>
                <w:szCs w:val="18"/>
              </w:rPr>
            </w:pPr>
          </w:p>
        </w:tc>
        <w:tc>
          <w:tcPr>
            <w:tcW w:w="694" w:type="dxa"/>
            <w:vMerge w:val="continue"/>
            <w:tcBorders>
              <w:tl2br w:val="nil"/>
              <w:tr2bl w:val="nil"/>
            </w:tcBorders>
            <w:vAlign w:val="center"/>
          </w:tcPr>
          <w:p>
            <w:pPr>
              <w:widowControl/>
              <w:jc w:val="left"/>
              <w:rPr>
                <w:rFonts w:eastAsia="仿宋"/>
                <w:kern w:val="0"/>
                <w:sz w:val="18"/>
                <w:szCs w:val="18"/>
              </w:rPr>
            </w:pPr>
          </w:p>
        </w:tc>
        <w:tc>
          <w:tcPr>
            <w:tcW w:w="46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公用</w:t>
            </w:r>
          </w:p>
        </w:tc>
        <w:tc>
          <w:tcPr>
            <w:tcW w:w="550"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公用</w:t>
            </w:r>
          </w:p>
        </w:tc>
        <w:tc>
          <w:tcPr>
            <w:tcW w:w="64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公用</w:t>
            </w:r>
          </w:p>
        </w:tc>
        <w:tc>
          <w:tcPr>
            <w:tcW w:w="584"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公用</w:t>
            </w:r>
          </w:p>
        </w:tc>
        <w:tc>
          <w:tcPr>
            <w:tcW w:w="544" w:type="dxa"/>
            <w:vMerge w:val="continue"/>
            <w:tcBorders>
              <w:tl2br w:val="nil"/>
              <w:tr2bl w:val="nil"/>
            </w:tcBorders>
            <w:vAlign w:val="center"/>
          </w:tcPr>
          <w:p>
            <w:pPr>
              <w:widowControl/>
              <w:jc w:val="left"/>
              <w:rPr>
                <w:rFonts w:eastAsia="仿宋"/>
                <w:kern w:val="0"/>
                <w:sz w:val="18"/>
                <w:szCs w:val="18"/>
              </w:rPr>
            </w:pPr>
          </w:p>
        </w:tc>
        <w:tc>
          <w:tcPr>
            <w:tcW w:w="413" w:type="dxa"/>
            <w:vMerge w:val="continue"/>
            <w:tcBorders>
              <w:tl2br w:val="nil"/>
              <w:tr2bl w:val="nil"/>
            </w:tcBorders>
            <w:vAlign w:val="center"/>
          </w:tcPr>
          <w:p>
            <w:pPr>
              <w:widowControl/>
              <w:jc w:val="left"/>
              <w:rPr>
                <w:rFonts w:eastAsia="仿宋"/>
                <w:kern w:val="0"/>
                <w:sz w:val="18"/>
                <w:szCs w:val="18"/>
              </w:rPr>
            </w:pPr>
          </w:p>
        </w:tc>
        <w:tc>
          <w:tcPr>
            <w:tcW w:w="395" w:type="dxa"/>
            <w:vMerge w:val="continue"/>
            <w:tcBorders>
              <w:tl2br w:val="nil"/>
              <w:tr2bl w:val="nil"/>
            </w:tcBorders>
            <w:vAlign w:val="center"/>
          </w:tcPr>
          <w:p>
            <w:pPr>
              <w:widowControl/>
              <w:jc w:val="left"/>
              <w:rPr>
                <w:rFonts w:eastAsia="仿宋"/>
                <w:kern w:val="0"/>
                <w:sz w:val="18"/>
                <w:szCs w:val="18"/>
              </w:rPr>
            </w:pPr>
          </w:p>
        </w:tc>
        <w:tc>
          <w:tcPr>
            <w:tcW w:w="382" w:type="dxa"/>
            <w:vMerge w:val="continue"/>
            <w:tcBorders>
              <w:tl2br w:val="nil"/>
              <w:tr2bl w:val="nil"/>
            </w:tcBorders>
            <w:vAlign w:val="center"/>
          </w:tcPr>
          <w:p>
            <w:pPr>
              <w:widowControl/>
              <w:jc w:val="left"/>
              <w:rPr>
                <w:rFonts w:eastAsia="仿宋"/>
                <w:kern w:val="0"/>
                <w:sz w:val="18"/>
                <w:szCs w:val="18"/>
              </w:rPr>
            </w:pPr>
          </w:p>
        </w:tc>
        <w:tc>
          <w:tcPr>
            <w:tcW w:w="577" w:type="dxa"/>
            <w:vMerge w:val="continue"/>
            <w:tcBorders>
              <w:tl2br w:val="nil"/>
              <w:tr2bl w:val="nil"/>
            </w:tcBorders>
            <w:vAlign w:val="center"/>
          </w:tcPr>
          <w:p>
            <w:pPr>
              <w:widowControl/>
              <w:jc w:val="left"/>
              <w:rPr>
                <w:rFonts w:eastAsia="仿宋"/>
                <w:kern w:val="0"/>
                <w:sz w:val="18"/>
                <w:szCs w:val="18"/>
              </w:rPr>
            </w:pPr>
          </w:p>
        </w:tc>
        <w:tc>
          <w:tcPr>
            <w:tcW w:w="552" w:type="dxa"/>
            <w:vMerge w:val="continue"/>
            <w:tcBorders>
              <w:tl2br w:val="nil"/>
              <w:tr2bl w:val="nil"/>
            </w:tcBorders>
            <w:vAlign w:val="center"/>
          </w:tcPr>
          <w:p>
            <w:pPr>
              <w:widowControl/>
              <w:jc w:val="left"/>
              <w:rPr>
                <w:rFonts w:eastAsia="仿宋"/>
                <w:kern w:val="0"/>
                <w:sz w:val="18"/>
                <w:szCs w:val="18"/>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972" w:hRule="atLeast"/>
          <w:jc w:val="center"/>
        </w:trPr>
        <w:tc>
          <w:tcPr>
            <w:tcW w:w="540"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市辖供电区</w:t>
            </w:r>
          </w:p>
        </w:tc>
        <w:tc>
          <w:tcPr>
            <w:tcW w:w="326"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215</w:t>
            </w:r>
          </w:p>
        </w:tc>
        <w:tc>
          <w:tcPr>
            <w:tcW w:w="327"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149</w:t>
            </w:r>
          </w:p>
        </w:tc>
        <w:tc>
          <w:tcPr>
            <w:tcW w:w="589"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2111.83</w:t>
            </w:r>
          </w:p>
        </w:tc>
        <w:tc>
          <w:tcPr>
            <w:tcW w:w="457"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401.97</w:t>
            </w:r>
          </w:p>
        </w:tc>
        <w:tc>
          <w:tcPr>
            <w:tcW w:w="66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688.28</w:t>
            </w:r>
          </w:p>
        </w:tc>
        <w:tc>
          <w:tcPr>
            <w:tcW w:w="694"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4.5</w:t>
            </w:r>
          </w:p>
        </w:tc>
        <w:tc>
          <w:tcPr>
            <w:tcW w:w="46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92</w:t>
            </w:r>
          </w:p>
        </w:tc>
        <w:tc>
          <w:tcPr>
            <w:tcW w:w="550"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32</w:t>
            </w:r>
          </w:p>
        </w:tc>
        <w:tc>
          <w:tcPr>
            <w:tcW w:w="64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61</w:t>
            </w:r>
          </w:p>
        </w:tc>
        <w:tc>
          <w:tcPr>
            <w:tcW w:w="584"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30</w:t>
            </w:r>
          </w:p>
        </w:tc>
        <w:tc>
          <w:tcPr>
            <w:tcW w:w="544"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5.05</w:t>
            </w:r>
          </w:p>
        </w:tc>
        <w:tc>
          <w:tcPr>
            <w:tcW w:w="413"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10.71</w:t>
            </w:r>
          </w:p>
        </w:tc>
        <w:tc>
          <w:tcPr>
            <w:tcW w:w="395"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19</w:t>
            </w:r>
          </w:p>
        </w:tc>
        <w:tc>
          <w:tcPr>
            <w:tcW w:w="38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31</w:t>
            </w:r>
          </w:p>
        </w:tc>
        <w:tc>
          <w:tcPr>
            <w:tcW w:w="577"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94.67</w:t>
            </w:r>
          </w:p>
        </w:tc>
        <w:tc>
          <w:tcPr>
            <w:tcW w:w="55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32.59</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608" w:hRule="atLeast"/>
          <w:jc w:val="center"/>
        </w:trPr>
        <w:tc>
          <w:tcPr>
            <w:tcW w:w="540" w:type="dxa"/>
            <w:tcBorders>
              <w:tl2br w:val="nil"/>
              <w:tr2bl w:val="nil"/>
            </w:tcBorders>
            <w:vAlign w:val="center"/>
          </w:tcPr>
          <w:p>
            <w:pPr>
              <w:widowControl/>
              <w:jc w:val="center"/>
              <w:rPr>
                <w:rFonts w:eastAsia="仿宋"/>
                <w:kern w:val="0"/>
                <w:sz w:val="18"/>
                <w:szCs w:val="18"/>
              </w:rPr>
            </w:pPr>
            <w:r>
              <w:rPr>
                <w:rFonts w:eastAsia="仿宋"/>
                <w:kern w:val="0"/>
                <w:sz w:val="18"/>
                <w:szCs w:val="18"/>
              </w:rPr>
              <w:t>合计</w:t>
            </w:r>
          </w:p>
        </w:tc>
        <w:tc>
          <w:tcPr>
            <w:tcW w:w="326"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215</w:t>
            </w:r>
          </w:p>
        </w:tc>
        <w:tc>
          <w:tcPr>
            <w:tcW w:w="327"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149</w:t>
            </w:r>
          </w:p>
        </w:tc>
        <w:tc>
          <w:tcPr>
            <w:tcW w:w="589"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2111.83</w:t>
            </w:r>
          </w:p>
        </w:tc>
        <w:tc>
          <w:tcPr>
            <w:tcW w:w="457"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401.97</w:t>
            </w:r>
          </w:p>
        </w:tc>
        <w:tc>
          <w:tcPr>
            <w:tcW w:w="66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688.28</w:t>
            </w:r>
          </w:p>
        </w:tc>
        <w:tc>
          <w:tcPr>
            <w:tcW w:w="694"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4.5</w:t>
            </w:r>
          </w:p>
        </w:tc>
        <w:tc>
          <w:tcPr>
            <w:tcW w:w="46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92</w:t>
            </w:r>
          </w:p>
        </w:tc>
        <w:tc>
          <w:tcPr>
            <w:tcW w:w="550"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32</w:t>
            </w:r>
          </w:p>
        </w:tc>
        <w:tc>
          <w:tcPr>
            <w:tcW w:w="64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61</w:t>
            </w:r>
          </w:p>
        </w:tc>
        <w:tc>
          <w:tcPr>
            <w:tcW w:w="584"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30</w:t>
            </w:r>
          </w:p>
        </w:tc>
        <w:tc>
          <w:tcPr>
            <w:tcW w:w="544"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5.05</w:t>
            </w:r>
          </w:p>
        </w:tc>
        <w:tc>
          <w:tcPr>
            <w:tcW w:w="413"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10.71</w:t>
            </w:r>
          </w:p>
        </w:tc>
        <w:tc>
          <w:tcPr>
            <w:tcW w:w="395"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19</w:t>
            </w:r>
          </w:p>
        </w:tc>
        <w:tc>
          <w:tcPr>
            <w:tcW w:w="38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31</w:t>
            </w:r>
          </w:p>
        </w:tc>
        <w:tc>
          <w:tcPr>
            <w:tcW w:w="577"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94.67</w:t>
            </w:r>
          </w:p>
        </w:tc>
        <w:tc>
          <w:tcPr>
            <w:tcW w:w="55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32.59</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608" w:hRule="atLeast"/>
          <w:jc w:val="center"/>
        </w:trPr>
        <w:tc>
          <w:tcPr>
            <w:tcW w:w="540" w:type="dxa"/>
            <w:tcBorders>
              <w:tl2br w:val="nil"/>
              <w:tr2bl w:val="nil"/>
            </w:tcBorders>
            <w:vAlign w:val="center"/>
          </w:tcPr>
          <w:p>
            <w:pPr>
              <w:widowControl/>
              <w:jc w:val="center"/>
              <w:rPr>
                <w:rFonts w:eastAsia="仿宋"/>
                <w:kern w:val="0"/>
                <w:sz w:val="18"/>
                <w:szCs w:val="18"/>
              </w:rPr>
            </w:pPr>
            <w:r>
              <w:rPr>
                <w:rFonts w:eastAsia="仿宋"/>
                <w:kern w:val="0"/>
                <w:sz w:val="18"/>
                <w:szCs w:val="18"/>
              </w:rPr>
              <w:t>B</w:t>
            </w:r>
          </w:p>
        </w:tc>
        <w:tc>
          <w:tcPr>
            <w:tcW w:w="326"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215</w:t>
            </w:r>
          </w:p>
        </w:tc>
        <w:tc>
          <w:tcPr>
            <w:tcW w:w="327"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149</w:t>
            </w:r>
          </w:p>
        </w:tc>
        <w:tc>
          <w:tcPr>
            <w:tcW w:w="589"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2111.83</w:t>
            </w:r>
          </w:p>
        </w:tc>
        <w:tc>
          <w:tcPr>
            <w:tcW w:w="457"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401.97</w:t>
            </w:r>
          </w:p>
        </w:tc>
        <w:tc>
          <w:tcPr>
            <w:tcW w:w="66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688.28</w:t>
            </w:r>
          </w:p>
        </w:tc>
        <w:tc>
          <w:tcPr>
            <w:tcW w:w="694"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4.5</w:t>
            </w:r>
          </w:p>
        </w:tc>
        <w:tc>
          <w:tcPr>
            <w:tcW w:w="46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92</w:t>
            </w:r>
          </w:p>
        </w:tc>
        <w:tc>
          <w:tcPr>
            <w:tcW w:w="550"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32</w:t>
            </w:r>
          </w:p>
        </w:tc>
        <w:tc>
          <w:tcPr>
            <w:tcW w:w="64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61</w:t>
            </w:r>
          </w:p>
        </w:tc>
        <w:tc>
          <w:tcPr>
            <w:tcW w:w="584"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30</w:t>
            </w:r>
          </w:p>
        </w:tc>
        <w:tc>
          <w:tcPr>
            <w:tcW w:w="544"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5.05</w:t>
            </w:r>
          </w:p>
        </w:tc>
        <w:tc>
          <w:tcPr>
            <w:tcW w:w="413"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10.71</w:t>
            </w:r>
          </w:p>
        </w:tc>
        <w:tc>
          <w:tcPr>
            <w:tcW w:w="395"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19</w:t>
            </w:r>
          </w:p>
        </w:tc>
        <w:tc>
          <w:tcPr>
            <w:tcW w:w="38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31</w:t>
            </w:r>
          </w:p>
        </w:tc>
        <w:tc>
          <w:tcPr>
            <w:tcW w:w="577"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94.67</w:t>
            </w:r>
          </w:p>
        </w:tc>
        <w:tc>
          <w:tcPr>
            <w:tcW w:w="55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32.59</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738" w:hRule="atLeast"/>
          <w:jc w:val="center"/>
        </w:trPr>
        <w:tc>
          <w:tcPr>
            <w:tcW w:w="540" w:type="dxa"/>
            <w:tcBorders>
              <w:tl2br w:val="nil"/>
              <w:tr2bl w:val="nil"/>
            </w:tcBorders>
            <w:vAlign w:val="center"/>
          </w:tcPr>
          <w:p>
            <w:pPr>
              <w:widowControl/>
              <w:jc w:val="center"/>
              <w:rPr>
                <w:rFonts w:eastAsia="仿宋"/>
                <w:kern w:val="0"/>
                <w:sz w:val="18"/>
                <w:szCs w:val="18"/>
              </w:rPr>
            </w:pPr>
            <w:r>
              <w:rPr>
                <w:rFonts w:eastAsia="仿宋"/>
                <w:kern w:val="0"/>
                <w:sz w:val="18"/>
                <w:szCs w:val="18"/>
              </w:rPr>
              <w:t>B(城网)</w:t>
            </w:r>
          </w:p>
        </w:tc>
        <w:tc>
          <w:tcPr>
            <w:tcW w:w="326"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215</w:t>
            </w:r>
          </w:p>
        </w:tc>
        <w:tc>
          <w:tcPr>
            <w:tcW w:w="327"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149</w:t>
            </w:r>
          </w:p>
        </w:tc>
        <w:tc>
          <w:tcPr>
            <w:tcW w:w="589"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2111.83</w:t>
            </w:r>
          </w:p>
        </w:tc>
        <w:tc>
          <w:tcPr>
            <w:tcW w:w="457"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401.97</w:t>
            </w:r>
          </w:p>
        </w:tc>
        <w:tc>
          <w:tcPr>
            <w:tcW w:w="66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688.28</w:t>
            </w:r>
          </w:p>
        </w:tc>
        <w:tc>
          <w:tcPr>
            <w:tcW w:w="694"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4.5</w:t>
            </w:r>
          </w:p>
        </w:tc>
        <w:tc>
          <w:tcPr>
            <w:tcW w:w="46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92</w:t>
            </w:r>
          </w:p>
        </w:tc>
        <w:tc>
          <w:tcPr>
            <w:tcW w:w="550"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32</w:t>
            </w:r>
          </w:p>
        </w:tc>
        <w:tc>
          <w:tcPr>
            <w:tcW w:w="64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61</w:t>
            </w:r>
          </w:p>
        </w:tc>
        <w:tc>
          <w:tcPr>
            <w:tcW w:w="584"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30</w:t>
            </w:r>
          </w:p>
        </w:tc>
        <w:tc>
          <w:tcPr>
            <w:tcW w:w="544"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5.05</w:t>
            </w:r>
          </w:p>
        </w:tc>
        <w:tc>
          <w:tcPr>
            <w:tcW w:w="413"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10.71</w:t>
            </w:r>
          </w:p>
        </w:tc>
        <w:tc>
          <w:tcPr>
            <w:tcW w:w="395"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19</w:t>
            </w:r>
          </w:p>
        </w:tc>
        <w:tc>
          <w:tcPr>
            <w:tcW w:w="38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31</w:t>
            </w:r>
          </w:p>
        </w:tc>
        <w:tc>
          <w:tcPr>
            <w:tcW w:w="577"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94.67</w:t>
            </w:r>
          </w:p>
        </w:tc>
        <w:tc>
          <w:tcPr>
            <w:tcW w:w="55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32.59</w:t>
            </w:r>
          </w:p>
        </w:tc>
      </w:tr>
    </w:tbl>
    <w:p>
      <w:pPr>
        <w:pStyle w:val="150"/>
        <w:keepNext w:val="0"/>
        <w:keepLines w:val="0"/>
        <w:pageBreakBefore w:val="0"/>
        <w:widowControl w:val="0"/>
        <w:kinsoku/>
        <w:wordWrap/>
        <w:overflowPunct/>
        <w:topLinePunct w:val="0"/>
        <w:autoSpaceDE/>
        <w:autoSpaceDN/>
        <w:bidi w:val="0"/>
        <w:adjustRightInd w:val="0"/>
        <w:snapToGrid w:val="0"/>
        <w:spacing w:line="400" w:lineRule="exact"/>
        <w:ind w:left="0" w:leftChars="0" w:firstLine="0" w:firstLineChars="0"/>
        <w:jc w:val="both"/>
        <w:textAlignment w:val="auto"/>
        <w:rPr>
          <w:rFonts w:hint="eastAsia" w:cs="Times New Roman"/>
          <w:b/>
          <w:bCs/>
          <w:kern w:val="0"/>
          <w:sz w:val="22"/>
          <w:szCs w:val="22"/>
          <w:lang w:val="en-US" w:eastAsia="zh-CN" w:bidi="ar-SA"/>
        </w:rPr>
      </w:pPr>
    </w:p>
    <w:p>
      <w:pPr>
        <w:pStyle w:val="150"/>
        <w:keepNext w:val="0"/>
        <w:keepLines w:val="0"/>
        <w:pageBreakBefore w:val="0"/>
        <w:widowControl w:val="0"/>
        <w:kinsoku/>
        <w:wordWrap/>
        <w:overflowPunct/>
        <w:topLinePunct w:val="0"/>
        <w:autoSpaceDE/>
        <w:autoSpaceDN/>
        <w:bidi w:val="0"/>
        <w:adjustRightInd w:val="0"/>
        <w:snapToGrid w:val="0"/>
        <w:spacing w:line="400" w:lineRule="exact"/>
        <w:ind w:left="0" w:leftChars="0" w:firstLine="0" w:firstLineChars="0"/>
        <w:jc w:val="center"/>
        <w:textAlignment w:val="auto"/>
        <w:rPr>
          <w:rFonts w:hint="eastAsia" w:ascii="黑体" w:hAnsi="黑体" w:eastAsia="黑体" w:cs="黑体"/>
          <w:kern w:val="2"/>
          <w:sz w:val="28"/>
          <w:szCs w:val="28"/>
          <w:lang w:val="en-US" w:eastAsia="zh-CN" w:bidi="ar-SA"/>
        </w:rPr>
      </w:pPr>
      <w:r>
        <w:rPr>
          <w:rFonts w:hint="eastAsia" w:ascii="黑体" w:hAnsi="黑体" w:eastAsia="黑体" w:cs="黑体"/>
          <w:kern w:val="2"/>
          <w:sz w:val="28"/>
          <w:szCs w:val="28"/>
          <w:lang w:val="en-US" w:eastAsia="zh-CN" w:bidi="ar-SA"/>
        </w:rPr>
        <w:t>表3-16  2020年西咸新区10千伏主干线导线截面分布表</w:t>
      </w:r>
    </w:p>
    <w:tbl>
      <w:tblPr>
        <w:tblStyle w:val="88"/>
        <w:tblW w:w="8557"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5" w:type="dxa"/>
          <w:left w:w="15" w:type="dxa"/>
          <w:bottom w:w="15" w:type="dxa"/>
          <w:right w:w="15" w:type="dxa"/>
        </w:tblCellMar>
      </w:tblPr>
      <w:tblGrid>
        <w:gridCol w:w="941"/>
        <w:gridCol w:w="1351"/>
        <w:gridCol w:w="642"/>
        <w:gridCol w:w="642"/>
        <w:gridCol w:w="642"/>
        <w:gridCol w:w="642"/>
        <w:gridCol w:w="550"/>
        <w:gridCol w:w="568"/>
        <w:gridCol w:w="642"/>
        <w:gridCol w:w="642"/>
        <w:gridCol w:w="642"/>
        <w:gridCol w:w="653"/>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731" w:hRule="atLeast"/>
          <w:jc w:val="center"/>
        </w:trPr>
        <w:tc>
          <w:tcPr>
            <w:tcW w:w="941" w:type="dxa"/>
            <w:vMerge w:val="restart"/>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类型</w:t>
            </w:r>
          </w:p>
        </w:tc>
        <w:tc>
          <w:tcPr>
            <w:tcW w:w="1351" w:type="dxa"/>
            <w:vMerge w:val="restart"/>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电压等级（千伏）</w:t>
            </w:r>
          </w:p>
        </w:tc>
        <w:tc>
          <w:tcPr>
            <w:tcW w:w="3686" w:type="dxa"/>
            <w:gridSpan w:val="6"/>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架空线路长度（公里）</w:t>
            </w:r>
          </w:p>
        </w:tc>
        <w:tc>
          <w:tcPr>
            <w:tcW w:w="2579" w:type="dxa"/>
            <w:gridSpan w:val="4"/>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电缆线路长度（公里）</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859" w:hRule="atLeast"/>
          <w:jc w:val="center"/>
        </w:trPr>
        <w:tc>
          <w:tcPr>
            <w:tcW w:w="941" w:type="dxa"/>
            <w:vMerge w:val="continue"/>
            <w:tcBorders>
              <w:tl2br w:val="nil"/>
              <w:tr2bl w:val="nil"/>
            </w:tcBorders>
            <w:vAlign w:val="center"/>
          </w:tcPr>
          <w:p>
            <w:pPr>
              <w:widowControl/>
              <w:jc w:val="left"/>
              <w:rPr>
                <w:rFonts w:eastAsia="仿宋"/>
                <w:kern w:val="0"/>
                <w:sz w:val="18"/>
                <w:szCs w:val="18"/>
              </w:rPr>
            </w:pPr>
          </w:p>
        </w:tc>
        <w:tc>
          <w:tcPr>
            <w:tcW w:w="1351" w:type="dxa"/>
            <w:vMerge w:val="continue"/>
            <w:tcBorders>
              <w:tl2br w:val="nil"/>
              <w:tr2bl w:val="nil"/>
            </w:tcBorders>
            <w:vAlign w:val="center"/>
          </w:tcPr>
          <w:p>
            <w:pPr>
              <w:widowControl/>
              <w:jc w:val="left"/>
              <w:rPr>
                <w:rFonts w:eastAsia="仿宋"/>
                <w:kern w:val="0"/>
                <w:sz w:val="18"/>
                <w:szCs w:val="18"/>
              </w:rPr>
            </w:pPr>
          </w:p>
        </w:tc>
        <w:tc>
          <w:tcPr>
            <w:tcW w:w="64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240mm²</w:t>
            </w:r>
          </w:p>
        </w:tc>
        <w:tc>
          <w:tcPr>
            <w:tcW w:w="64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185mm²</w:t>
            </w:r>
          </w:p>
        </w:tc>
        <w:tc>
          <w:tcPr>
            <w:tcW w:w="64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150mm²</w:t>
            </w:r>
          </w:p>
        </w:tc>
        <w:tc>
          <w:tcPr>
            <w:tcW w:w="64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120mm²</w:t>
            </w:r>
          </w:p>
        </w:tc>
        <w:tc>
          <w:tcPr>
            <w:tcW w:w="550"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95mm²</w:t>
            </w:r>
          </w:p>
        </w:tc>
        <w:tc>
          <w:tcPr>
            <w:tcW w:w="568"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70mm²</w:t>
            </w:r>
          </w:p>
        </w:tc>
        <w:tc>
          <w:tcPr>
            <w:tcW w:w="64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400mm²</w:t>
            </w:r>
          </w:p>
        </w:tc>
        <w:tc>
          <w:tcPr>
            <w:tcW w:w="64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300mm²</w:t>
            </w:r>
          </w:p>
        </w:tc>
        <w:tc>
          <w:tcPr>
            <w:tcW w:w="64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240mm²</w:t>
            </w:r>
          </w:p>
        </w:tc>
        <w:tc>
          <w:tcPr>
            <w:tcW w:w="653"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185mm²</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806" w:hRule="atLeast"/>
          <w:jc w:val="center"/>
        </w:trPr>
        <w:tc>
          <w:tcPr>
            <w:tcW w:w="941"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市辖供电区</w:t>
            </w:r>
          </w:p>
        </w:tc>
        <w:tc>
          <w:tcPr>
            <w:tcW w:w="1351"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10</w:t>
            </w:r>
          </w:p>
        </w:tc>
        <w:tc>
          <w:tcPr>
            <w:tcW w:w="64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85.2</w:t>
            </w:r>
          </w:p>
        </w:tc>
        <w:tc>
          <w:tcPr>
            <w:tcW w:w="64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110.5</w:t>
            </w:r>
          </w:p>
        </w:tc>
        <w:tc>
          <w:tcPr>
            <w:tcW w:w="64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105.2</w:t>
            </w:r>
          </w:p>
        </w:tc>
        <w:tc>
          <w:tcPr>
            <w:tcW w:w="64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125.2</w:t>
            </w:r>
          </w:p>
        </w:tc>
        <w:tc>
          <w:tcPr>
            <w:tcW w:w="550"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125.2</w:t>
            </w:r>
          </w:p>
        </w:tc>
        <w:tc>
          <w:tcPr>
            <w:tcW w:w="568"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150.2</w:t>
            </w:r>
          </w:p>
        </w:tc>
        <w:tc>
          <w:tcPr>
            <w:tcW w:w="64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176.8</w:t>
            </w:r>
          </w:p>
        </w:tc>
        <w:tc>
          <w:tcPr>
            <w:tcW w:w="64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98.5</w:t>
            </w:r>
          </w:p>
        </w:tc>
        <w:tc>
          <w:tcPr>
            <w:tcW w:w="64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107.6</w:t>
            </w:r>
          </w:p>
        </w:tc>
        <w:tc>
          <w:tcPr>
            <w:tcW w:w="653"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110.8</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654" w:hRule="atLeast"/>
          <w:jc w:val="center"/>
        </w:trPr>
        <w:tc>
          <w:tcPr>
            <w:tcW w:w="941"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B</w:t>
            </w:r>
          </w:p>
        </w:tc>
        <w:tc>
          <w:tcPr>
            <w:tcW w:w="1351"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10</w:t>
            </w:r>
          </w:p>
        </w:tc>
        <w:tc>
          <w:tcPr>
            <w:tcW w:w="64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85.2</w:t>
            </w:r>
          </w:p>
        </w:tc>
        <w:tc>
          <w:tcPr>
            <w:tcW w:w="64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110.5</w:t>
            </w:r>
          </w:p>
        </w:tc>
        <w:tc>
          <w:tcPr>
            <w:tcW w:w="64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105.2</w:t>
            </w:r>
          </w:p>
        </w:tc>
        <w:tc>
          <w:tcPr>
            <w:tcW w:w="64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125.2</w:t>
            </w:r>
          </w:p>
        </w:tc>
        <w:tc>
          <w:tcPr>
            <w:tcW w:w="550"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125.2</w:t>
            </w:r>
          </w:p>
        </w:tc>
        <w:tc>
          <w:tcPr>
            <w:tcW w:w="568"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150.2</w:t>
            </w:r>
          </w:p>
        </w:tc>
        <w:tc>
          <w:tcPr>
            <w:tcW w:w="64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176.8</w:t>
            </w:r>
          </w:p>
        </w:tc>
        <w:tc>
          <w:tcPr>
            <w:tcW w:w="64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98.5</w:t>
            </w:r>
          </w:p>
        </w:tc>
        <w:tc>
          <w:tcPr>
            <w:tcW w:w="64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107.6</w:t>
            </w:r>
          </w:p>
        </w:tc>
        <w:tc>
          <w:tcPr>
            <w:tcW w:w="653"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110.8</w:t>
            </w:r>
          </w:p>
        </w:tc>
      </w:tr>
    </w:tbl>
    <w:p>
      <w:pPr>
        <w:pStyle w:val="150"/>
        <w:keepNext w:val="0"/>
        <w:keepLines w:val="0"/>
        <w:pageBreakBefore w:val="0"/>
        <w:widowControl w:val="0"/>
        <w:numPr>
          <w:ilvl w:val="0"/>
          <w:numId w:val="22"/>
        </w:numPr>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开关类设施和设备情况。西咸新区有10千伏开关站2座，环网柜383座，电缆分支箱17座，柱上开关513台。开关总台数为2860台，其中断路器427台，负荷开关2433台。</w:t>
      </w:r>
    </w:p>
    <w:p>
      <w:pPr>
        <w:pStyle w:val="150"/>
        <w:keepNext w:val="0"/>
        <w:keepLines w:val="0"/>
        <w:pageBreakBefore w:val="0"/>
        <w:widowControl w:val="0"/>
        <w:kinsoku/>
        <w:wordWrap/>
        <w:overflowPunct/>
        <w:topLinePunct w:val="0"/>
        <w:autoSpaceDE/>
        <w:autoSpaceDN/>
        <w:bidi w:val="0"/>
        <w:adjustRightInd w:val="0"/>
        <w:snapToGrid w:val="0"/>
        <w:spacing w:line="640" w:lineRule="exact"/>
        <w:ind w:left="0" w:leftChars="0" w:firstLine="0" w:firstLineChars="0"/>
        <w:jc w:val="center"/>
        <w:textAlignment w:val="auto"/>
        <w:rPr>
          <w:rFonts w:hint="eastAsia" w:ascii="黑体" w:hAnsi="黑体" w:eastAsia="黑体" w:cs="黑体"/>
          <w:kern w:val="2"/>
          <w:sz w:val="28"/>
          <w:szCs w:val="28"/>
          <w:lang w:val="en-US" w:eastAsia="zh-CN" w:bidi="ar-SA"/>
        </w:rPr>
      </w:pPr>
      <w:r>
        <w:rPr>
          <w:rFonts w:hint="eastAsia" w:ascii="黑体" w:hAnsi="黑体" w:eastAsia="黑体" w:cs="黑体"/>
          <w:kern w:val="2"/>
          <w:sz w:val="28"/>
          <w:szCs w:val="28"/>
          <w:lang w:val="en-US" w:eastAsia="zh-CN" w:bidi="ar-SA"/>
        </w:rPr>
        <w:t>表3-17  2020年西咸新区10千伏电网开关类设施和设备情况</w:t>
      </w:r>
    </w:p>
    <w:tbl>
      <w:tblPr>
        <w:tblStyle w:val="88"/>
        <w:tblW w:w="8618"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5" w:type="dxa"/>
          <w:left w:w="15" w:type="dxa"/>
          <w:bottom w:w="15" w:type="dxa"/>
          <w:right w:w="15" w:type="dxa"/>
        </w:tblCellMar>
      </w:tblPr>
      <w:tblGrid>
        <w:gridCol w:w="527"/>
        <w:gridCol w:w="1032"/>
        <w:gridCol w:w="882"/>
        <w:gridCol w:w="882"/>
        <w:gridCol w:w="882"/>
        <w:gridCol w:w="882"/>
        <w:gridCol w:w="884"/>
        <w:gridCol w:w="882"/>
        <w:gridCol w:w="882"/>
        <w:gridCol w:w="883"/>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485" w:hRule="atLeast"/>
          <w:jc w:val="center"/>
        </w:trPr>
        <w:tc>
          <w:tcPr>
            <w:tcW w:w="527" w:type="dxa"/>
            <w:vMerge w:val="restart"/>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编号</w:t>
            </w:r>
          </w:p>
        </w:tc>
        <w:tc>
          <w:tcPr>
            <w:tcW w:w="1032" w:type="dxa"/>
            <w:vMerge w:val="restart"/>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类型</w:t>
            </w:r>
          </w:p>
        </w:tc>
        <w:tc>
          <w:tcPr>
            <w:tcW w:w="882" w:type="dxa"/>
            <w:vMerge w:val="restart"/>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电压等级（千伏）</w:t>
            </w:r>
          </w:p>
        </w:tc>
        <w:tc>
          <w:tcPr>
            <w:tcW w:w="3530" w:type="dxa"/>
            <w:gridSpan w:val="4"/>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开关类设施</w:t>
            </w:r>
          </w:p>
        </w:tc>
        <w:tc>
          <w:tcPr>
            <w:tcW w:w="2647" w:type="dxa"/>
            <w:gridSpan w:val="3"/>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开关类设备</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756" w:hRule="atLeast"/>
          <w:jc w:val="center"/>
        </w:trPr>
        <w:tc>
          <w:tcPr>
            <w:tcW w:w="527" w:type="dxa"/>
            <w:vMerge w:val="continue"/>
            <w:tcBorders>
              <w:tl2br w:val="nil"/>
              <w:tr2bl w:val="nil"/>
            </w:tcBorders>
            <w:vAlign w:val="center"/>
          </w:tcPr>
          <w:p>
            <w:pPr>
              <w:widowControl/>
              <w:jc w:val="left"/>
              <w:rPr>
                <w:rFonts w:eastAsia="仿宋"/>
                <w:kern w:val="0"/>
                <w:sz w:val="18"/>
                <w:szCs w:val="18"/>
              </w:rPr>
            </w:pPr>
          </w:p>
        </w:tc>
        <w:tc>
          <w:tcPr>
            <w:tcW w:w="1032" w:type="dxa"/>
            <w:vMerge w:val="continue"/>
            <w:tcBorders>
              <w:tl2br w:val="nil"/>
              <w:tr2bl w:val="nil"/>
            </w:tcBorders>
            <w:vAlign w:val="center"/>
          </w:tcPr>
          <w:p>
            <w:pPr>
              <w:widowControl/>
              <w:jc w:val="left"/>
              <w:rPr>
                <w:rFonts w:eastAsia="仿宋"/>
                <w:kern w:val="0"/>
                <w:sz w:val="18"/>
                <w:szCs w:val="18"/>
              </w:rPr>
            </w:pPr>
          </w:p>
        </w:tc>
        <w:tc>
          <w:tcPr>
            <w:tcW w:w="882" w:type="dxa"/>
            <w:vMerge w:val="continue"/>
            <w:tcBorders>
              <w:tl2br w:val="nil"/>
              <w:tr2bl w:val="nil"/>
            </w:tcBorders>
            <w:vAlign w:val="center"/>
          </w:tcPr>
          <w:p>
            <w:pPr>
              <w:widowControl/>
              <w:jc w:val="left"/>
              <w:rPr>
                <w:rFonts w:eastAsia="仿宋"/>
                <w:kern w:val="0"/>
                <w:sz w:val="18"/>
                <w:szCs w:val="18"/>
              </w:rPr>
            </w:pPr>
          </w:p>
        </w:tc>
        <w:tc>
          <w:tcPr>
            <w:tcW w:w="88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开关站（座）</w:t>
            </w:r>
          </w:p>
        </w:tc>
        <w:tc>
          <w:tcPr>
            <w:tcW w:w="88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环网柜（座）</w:t>
            </w:r>
          </w:p>
        </w:tc>
        <w:tc>
          <w:tcPr>
            <w:tcW w:w="88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电缆分支箱（座）</w:t>
            </w:r>
          </w:p>
        </w:tc>
        <w:tc>
          <w:tcPr>
            <w:tcW w:w="884"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柱上开关（台）</w:t>
            </w:r>
          </w:p>
        </w:tc>
        <w:tc>
          <w:tcPr>
            <w:tcW w:w="88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开关台数（台）</w:t>
            </w:r>
          </w:p>
        </w:tc>
        <w:tc>
          <w:tcPr>
            <w:tcW w:w="88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断路器（台）</w:t>
            </w:r>
          </w:p>
        </w:tc>
        <w:tc>
          <w:tcPr>
            <w:tcW w:w="883"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负荷开关（台）</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403" w:hRule="atLeast"/>
          <w:jc w:val="center"/>
        </w:trPr>
        <w:tc>
          <w:tcPr>
            <w:tcW w:w="527"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w:t>
            </w:r>
          </w:p>
        </w:tc>
        <w:tc>
          <w:tcPr>
            <w:tcW w:w="103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市辖供电区</w:t>
            </w:r>
          </w:p>
        </w:tc>
        <w:tc>
          <w:tcPr>
            <w:tcW w:w="88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10</w:t>
            </w:r>
          </w:p>
        </w:tc>
        <w:tc>
          <w:tcPr>
            <w:tcW w:w="88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2</w:t>
            </w:r>
          </w:p>
        </w:tc>
        <w:tc>
          <w:tcPr>
            <w:tcW w:w="88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383</w:t>
            </w:r>
          </w:p>
        </w:tc>
        <w:tc>
          <w:tcPr>
            <w:tcW w:w="88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17</w:t>
            </w:r>
          </w:p>
        </w:tc>
        <w:tc>
          <w:tcPr>
            <w:tcW w:w="884"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513</w:t>
            </w:r>
          </w:p>
        </w:tc>
        <w:tc>
          <w:tcPr>
            <w:tcW w:w="88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2860</w:t>
            </w:r>
          </w:p>
        </w:tc>
        <w:tc>
          <w:tcPr>
            <w:tcW w:w="88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427</w:t>
            </w:r>
          </w:p>
        </w:tc>
        <w:tc>
          <w:tcPr>
            <w:tcW w:w="883"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2433</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406" w:hRule="atLeast"/>
          <w:jc w:val="center"/>
        </w:trPr>
        <w:tc>
          <w:tcPr>
            <w:tcW w:w="527"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2</w:t>
            </w:r>
          </w:p>
        </w:tc>
        <w:tc>
          <w:tcPr>
            <w:tcW w:w="103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B</w:t>
            </w:r>
          </w:p>
        </w:tc>
        <w:tc>
          <w:tcPr>
            <w:tcW w:w="88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10</w:t>
            </w:r>
          </w:p>
        </w:tc>
        <w:tc>
          <w:tcPr>
            <w:tcW w:w="88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2</w:t>
            </w:r>
          </w:p>
        </w:tc>
        <w:tc>
          <w:tcPr>
            <w:tcW w:w="88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383</w:t>
            </w:r>
          </w:p>
        </w:tc>
        <w:tc>
          <w:tcPr>
            <w:tcW w:w="88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17</w:t>
            </w:r>
          </w:p>
        </w:tc>
        <w:tc>
          <w:tcPr>
            <w:tcW w:w="884"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513</w:t>
            </w:r>
          </w:p>
        </w:tc>
        <w:tc>
          <w:tcPr>
            <w:tcW w:w="88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2860</w:t>
            </w:r>
          </w:p>
        </w:tc>
        <w:tc>
          <w:tcPr>
            <w:tcW w:w="882"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427</w:t>
            </w:r>
          </w:p>
        </w:tc>
        <w:tc>
          <w:tcPr>
            <w:tcW w:w="883"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2433</w:t>
            </w:r>
          </w:p>
        </w:tc>
      </w:tr>
    </w:tbl>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4.设备运行年限情况。西咸新区现状运行年限分布在21-30年的10千伏线路135.6公里，占线路总长度的6.42%；运行年限分布在21-30年的配变156台，占配变总台数的6.9%；运行超过30年的开关35台，占开关总台数的1.22%。</w:t>
      </w:r>
    </w:p>
    <w:p>
      <w:pPr>
        <w:pStyle w:val="150"/>
        <w:keepNext w:val="0"/>
        <w:keepLines w:val="0"/>
        <w:pageBreakBefore w:val="0"/>
        <w:widowControl w:val="0"/>
        <w:kinsoku/>
        <w:wordWrap/>
        <w:overflowPunct/>
        <w:topLinePunct w:val="0"/>
        <w:autoSpaceDE/>
        <w:autoSpaceDN/>
        <w:bidi w:val="0"/>
        <w:adjustRightInd w:val="0"/>
        <w:snapToGrid w:val="0"/>
        <w:spacing w:line="640" w:lineRule="exact"/>
        <w:ind w:left="0" w:leftChars="0" w:firstLine="0" w:firstLineChars="0"/>
        <w:jc w:val="center"/>
        <w:textAlignment w:val="auto"/>
        <w:rPr>
          <w:rFonts w:hint="eastAsia" w:ascii="黑体" w:hAnsi="黑体" w:eastAsia="黑体" w:cs="黑体"/>
          <w:kern w:val="2"/>
          <w:sz w:val="28"/>
          <w:szCs w:val="28"/>
          <w:lang w:val="en-US" w:eastAsia="zh-CN" w:bidi="ar-SA"/>
        </w:rPr>
      </w:pPr>
      <w:r>
        <w:rPr>
          <w:rFonts w:hint="eastAsia" w:ascii="黑体" w:hAnsi="黑体" w:eastAsia="黑体" w:cs="黑体"/>
          <w:kern w:val="2"/>
          <w:sz w:val="28"/>
          <w:szCs w:val="28"/>
          <w:lang w:val="en-US" w:eastAsia="zh-CN" w:bidi="ar-SA"/>
        </w:rPr>
        <w:t>表3-18  2020年西咸新区10千伏配电设备运行年限情况</w:t>
      </w:r>
    </w:p>
    <w:tbl>
      <w:tblPr>
        <w:tblStyle w:val="88"/>
        <w:tblW w:w="8535"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5" w:type="dxa"/>
          <w:left w:w="15" w:type="dxa"/>
          <w:bottom w:w="15" w:type="dxa"/>
          <w:right w:w="15" w:type="dxa"/>
        </w:tblCellMar>
      </w:tblPr>
      <w:tblGrid>
        <w:gridCol w:w="612"/>
        <w:gridCol w:w="748"/>
        <w:gridCol w:w="748"/>
        <w:gridCol w:w="1046"/>
        <w:gridCol w:w="1195"/>
        <w:gridCol w:w="1345"/>
        <w:gridCol w:w="1574"/>
        <w:gridCol w:w="1267"/>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200" w:hRule="atLeast"/>
          <w:jc w:val="center"/>
        </w:trPr>
        <w:tc>
          <w:tcPr>
            <w:tcW w:w="612" w:type="dxa"/>
            <w:vMerge w:val="restart"/>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编号</w:t>
            </w:r>
          </w:p>
        </w:tc>
        <w:tc>
          <w:tcPr>
            <w:tcW w:w="748" w:type="dxa"/>
            <w:vMerge w:val="restart"/>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类型</w:t>
            </w:r>
          </w:p>
        </w:tc>
        <w:tc>
          <w:tcPr>
            <w:tcW w:w="748" w:type="dxa"/>
            <w:vMerge w:val="restart"/>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电压等级（千伏）</w:t>
            </w:r>
          </w:p>
        </w:tc>
        <w:tc>
          <w:tcPr>
            <w:tcW w:w="1046" w:type="dxa"/>
            <w:vMerge w:val="restart"/>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年限</w:t>
            </w:r>
          </w:p>
        </w:tc>
        <w:tc>
          <w:tcPr>
            <w:tcW w:w="1195" w:type="dxa"/>
            <w:vMerge w:val="restart"/>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线路长度（公里）</w:t>
            </w:r>
          </w:p>
        </w:tc>
        <w:tc>
          <w:tcPr>
            <w:tcW w:w="1345" w:type="dxa"/>
            <w:vMerge w:val="restart"/>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配变台数（台）</w:t>
            </w:r>
          </w:p>
        </w:tc>
        <w:tc>
          <w:tcPr>
            <w:tcW w:w="2841" w:type="dxa"/>
            <w:gridSpan w:val="2"/>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开关</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270" w:hRule="atLeast"/>
          <w:jc w:val="center"/>
        </w:trPr>
        <w:tc>
          <w:tcPr>
            <w:tcW w:w="612" w:type="dxa"/>
            <w:vMerge w:val="continue"/>
            <w:tcBorders>
              <w:tl2br w:val="nil"/>
              <w:tr2bl w:val="nil"/>
            </w:tcBorders>
            <w:vAlign w:val="center"/>
          </w:tcPr>
          <w:p>
            <w:pPr>
              <w:widowControl/>
              <w:jc w:val="left"/>
              <w:rPr>
                <w:rFonts w:eastAsia="仿宋"/>
                <w:kern w:val="0"/>
                <w:sz w:val="18"/>
                <w:szCs w:val="18"/>
              </w:rPr>
            </w:pPr>
          </w:p>
        </w:tc>
        <w:tc>
          <w:tcPr>
            <w:tcW w:w="748" w:type="dxa"/>
            <w:vMerge w:val="continue"/>
            <w:tcBorders>
              <w:tl2br w:val="nil"/>
              <w:tr2bl w:val="nil"/>
            </w:tcBorders>
            <w:vAlign w:val="center"/>
          </w:tcPr>
          <w:p>
            <w:pPr>
              <w:widowControl/>
              <w:jc w:val="left"/>
              <w:rPr>
                <w:rFonts w:eastAsia="仿宋"/>
                <w:kern w:val="0"/>
                <w:sz w:val="18"/>
                <w:szCs w:val="18"/>
              </w:rPr>
            </w:pPr>
          </w:p>
        </w:tc>
        <w:tc>
          <w:tcPr>
            <w:tcW w:w="748" w:type="dxa"/>
            <w:vMerge w:val="continue"/>
            <w:tcBorders>
              <w:tl2br w:val="nil"/>
              <w:tr2bl w:val="nil"/>
            </w:tcBorders>
            <w:vAlign w:val="center"/>
          </w:tcPr>
          <w:p>
            <w:pPr>
              <w:widowControl/>
              <w:jc w:val="left"/>
              <w:rPr>
                <w:rFonts w:eastAsia="仿宋"/>
                <w:kern w:val="0"/>
                <w:sz w:val="18"/>
                <w:szCs w:val="18"/>
              </w:rPr>
            </w:pPr>
          </w:p>
        </w:tc>
        <w:tc>
          <w:tcPr>
            <w:tcW w:w="1046" w:type="dxa"/>
            <w:vMerge w:val="continue"/>
            <w:tcBorders>
              <w:tl2br w:val="nil"/>
              <w:tr2bl w:val="nil"/>
            </w:tcBorders>
            <w:vAlign w:val="center"/>
          </w:tcPr>
          <w:p>
            <w:pPr>
              <w:widowControl/>
              <w:jc w:val="left"/>
              <w:rPr>
                <w:rFonts w:eastAsia="仿宋"/>
                <w:kern w:val="0"/>
                <w:sz w:val="18"/>
                <w:szCs w:val="18"/>
              </w:rPr>
            </w:pPr>
          </w:p>
        </w:tc>
        <w:tc>
          <w:tcPr>
            <w:tcW w:w="1195" w:type="dxa"/>
            <w:vMerge w:val="continue"/>
            <w:tcBorders>
              <w:tl2br w:val="nil"/>
              <w:tr2bl w:val="nil"/>
            </w:tcBorders>
            <w:vAlign w:val="center"/>
          </w:tcPr>
          <w:p>
            <w:pPr>
              <w:widowControl/>
              <w:jc w:val="left"/>
              <w:rPr>
                <w:rFonts w:eastAsia="仿宋"/>
                <w:kern w:val="0"/>
                <w:sz w:val="18"/>
                <w:szCs w:val="18"/>
              </w:rPr>
            </w:pPr>
          </w:p>
        </w:tc>
        <w:tc>
          <w:tcPr>
            <w:tcW w:w="1345" w:type="dxa"/>
            <w:vMerge w:val="continue"/>
            <w:tcBorders>
              <w:tl2br w:val="nil"/>
              <w:tr2bl w:val="nil"/>
            </w:tcBorders>
            <w:vAlign w:val="center"/>
          </w:tcPr>
          <w:p>
            <w:pPr>
              <w:widowControl/>
              <w:jc w:val="left"/>
              <w:rPr>
                <w:rFonts w:eastAsia="仿宋"/>
                <w:kern w:val="0"/>
                <w:sz w:val="18"/>
                <w:szCs w:val="18"/>
              </w:rPr>
            </w:pPr>
          </w:p>
        </w:tc>
        <w:tc>
          <w:tcPr>
            <w:tcW w:w="1574"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断路器（台）</w:t>
            </w:r>
          </w:p>
        </w:tc>
        <w:tc>
          <w:tcPr>
            <w:tcW w:w="1267"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负荷开关（台）</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190" w:hRule="atLeast"/>
          <w:jc w:val="center"/>
        </w:trPr>
        <w:tc>
          <w:tcPr>
            <w:tcW w:w="612" w:type="dxa"/>
            <w:vMerge w:val="restart"/>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w:t>
            </w:r>
          </w:p>
        </w:tc>
        <w:tc>
          <w:tcPr>
            <w:tcW w:w="748" w:type="dxa"/>
            <w:vMerge w:val="restart"/>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市辖供电区</w:t>
            </w:r>
          </w:p>
        </w:tc>
        <w:tc>
          <w:tcPr>
            <w:tcW w:w="748" w:type="dxa"/>
            <w:vMerge w:val="restart"/>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10</w:t>
            </w:r>
          </w:p>
        </w:tc>
        <w:tc>
          <w:tcPr>
            <w:tcW w:w="1046"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0-5年</w:t>
            </w:r>
          </w:p>
        </w:tc>
        <w:tc>
          <w:tcPr>
            <w:tcW w:w="1195" w:type="dxa"/>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668.5</w:t>
            </w:r>
          </w:p>
        </w:tc>
        <w:tc>
          <w:tcPr>
            <w:tcW w:w="1345" w:type="dxa"/>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856</w:t>
            </w:r>
          </w:p>
        </w:tc>
        <w:tc>
          <w:tcPr>
            <w:tcW w:w="1574" w:type="dxa"/>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215</w:t>
            </w:r>
          </w:p>
        </w:tc>
        <w:tc>
          <w:tcPr>
            <w:tcW w:w="1267" w:type="dxa"/>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1215</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35" w:hRule="atLeast"/>
          <w:jc w:val="center"/>
        </w:trPr>
        <w:tc>
          <w:tcPr>
            <w:tcW w:w="612" w:type="dxa"/>
            <w:vMerge w:val="continue"/>
            <w:tcBorders>
              <w:tl2br w:val="nil"/>
              <w:tr2bl w:val="nil"/>
            </w:tcBorders>
            <w:vAlign w:val="center"/>
          </w:tcPr>
          <w:p>
            <w:pPr>
              <w:widowControl/>
              <w:jc w:val="left"/>
              <w:rPr>
                <w:rFonts w:eastAsia="仿宋"/>
                <w:kern w:val="0"/>
                <w:sz w:val="18"/>
                <w:szCs w:val="18"/>
              </w:rPr>
            </w:pPr>
          </w:p>
        </w:tc>
        <w:tc>
          <w:tcPr>
            <w:tcW w:w="748" w:type="dxa"/>
            <w:vMerge w:val="continue"/>
            <w:tcBorders>
              <w:tl2br w:val="nil"/>
              <w:tr2bl w:val="nil"/>
            </w:tcBorders>
            <w:vAlign w:val="center"/>
          </w:tcPr>
          <w:p>
            <w:pPr>
              <w:widowControl/>
              <w:jc w:val="left"/>
              <w:rPr>
                <w:rFonts w:eastAsia="仿宋"/>
                <w:kern w:val="0"/>
                <w:sz w:val="18"/>
                <w:szCs w:val="18"/>
              </w:rPr>
            </w:pPr>
          </w:p>
        </w:tc>
        <w:tc>
          <w:tcPr>
            <w:tcW w:w="748" w:type="dxa"/>
            <w:vMerge w:val="continue"/>
            <w:tcBorders>
              <w:tl2br w:val="nil"/>
              <w:tr2bl w:val="nil"/>
            </w:tcBorders>
            <w:vAlign w:val="center"/>
          </w:tcPr>
          <w:p>
            <w:pPr>
              <w:widowControl/>
              <w:jc w:val="left"/>
              <w:rPr>
                <w:rFonts w:eastAsia="仿宋"/>
                <w:kern w:val="0"/>
                <w:sz w:val="18"/>
                <w:szCs w:val="18"/>
              </w:rPr>
            </w:pPr>
          </w:p>
        </w:tc>
        <w:tc>
          <w:tcPr>
            <w:tcW w:w="1046"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6-10年</w:t>
            </w:r>
          </w:p>
        </w:tc>
        <w:tc>
          <w:tcPr>
            <w:tcW w:w="1195" w:type="dxa"/>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838.4</w:t>
            </w:r>
          </w:p>
        </w:tc>
        <w:tc>
          <w:tcPr>
            <w:tcW w:w="1345" w:type="dxa"/>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901</w:t>
            </w:r>
          </w:p>
        </w:tc>
        <w:tc>
          <w:tcPr>
            <w:tcW w:w="1574" w:type="dxa"/>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52</w:t>
            </w:r>
          </w:p>
        </w:tc>
        <w:tc>
          <w:tcPr>
            <w:tcW w:w="1267" w:type="dxa"/>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298</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130" w:hRule="atLeast"/>
          <w:jc w:val="center"/>
        </w:trPr>
        <w:tc>
          <w:tcPr>
            <w:tcW w:w="612" w:type="dxa"/>
            <w:vMerge w:val="continue"/>
            <w:tcBorders>
              <w:tl2br w:val="nil"/>
              <w:tr2bl w:val="nil"/>
            </w:tcBorders>
            <w:vAlign w:val="center"/>
          </w:tcPr>
          <w:p>
            <w:pPr>
              <w:widowControl/>
              <w:jc w:val="left"/>
              <w:rPr>
                <w:rFonts w:eastAsia="仿宋"/>
                <w:kern w:val="0"/>
                <w:sz w:val="18"/>
                <w:szCs w:val="18"/>
              </w:rPr>
            </w:pPr>
          </w:p>
        </w:tc>
        <w:tc>
          <w:tcPr>
            <w:tcW w:w="748" w:type="dxa"/>
            <w:vMerge w:val="continue"/>
            <w:tcBorders>
              <w:tl2br w:val="nil"/>
              <w:tr2bl w:val="nil"/>
            </w:tcBorders>
            <w:vAlign w:val="center"/>
          </w:tcPr>
          <w:p>
            <w:pPr>
              <w:widowControl/>
              <w:jc w:val="left"/>
              <w:rPr>
                <w:rFonts w:eastAsia="仿宋"/>
                <w:kern w:val="0"/>
                <w:sz w:val="18"/>
                <w:szCs w:val="18"/>
              </w:rPr>
            </w:pPr>
          </w:p>
        </w:tc>
        <w:tc>
          <w:tcPr>
            <w:tcW w:w="748" w:type="dxa"/>
            <w:vMerge w:val="continue"/>
            <w:tcBorders>
              <w:tl2br w:val="nil"/>
              <w:tr2bl w:val="nil"/>
            </w:tcBorders>
            <w:vAlign w:val="center"/>
          </w:tcPr>
          <w:p>
            <w:pPr>
              <w:widowControl/>
              <w:jc w:val="left"/>
              <w:rPr>
                <w:rFonts w:eastAsia="仿宋"/>
                <w:kern w:val="0"/>
                <w:sz w:val="18"/>
                <w:szCs w:val="18"/>
              </w:rPr>
            </w:pPr>
          </w:p>
        </w:tc>
        <w:tc>
          <w:tcPr>
            <w:tcW w:w="1046" w:type="dxa"/>
            <w:tcBorders>
              <w:tl2br w:val="nil"/>
              <w:tr2bl w:val="nil"/>
            </w:tcBorders>
            <w:vAlign w:val="center"/>
          </w:tcPr>
          <w:p>
            <w:pPr>
              <w:widowControl/>
              <w:spacing w:line="130" w:lineRule="atLeast"/>
              <w:jc w:val="center"/>
              <w:textAlignment w:val="center"/>
              <w:rPr>
                <w:rFonts w:eastAsia="仿宋"/>
                <w:kern w:val="0"/>
                <w:sz w:val="18"/>
                <w:szCs w:val="18"/>
              </w:rPr>
            </w:pPr>
            <w:r>
              <w:rPr>
                <w:rFonts w:eastAsia="仿宋"/>
                <w:kern w:val="0"/>
                <w:sz w:val="18"/>
                <w:szCs w:val="18"/>
              </w:rPr>
              <w:t>11-20年</w:t>
            </w:r>
          </w:p>
        </w:tc>
        <w:tc>
          <w:tcPr>
            <w:tcW w:w="1195" w:type="dxa"/>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469.33</w:t>
            </w:r>
          </w:p>
        </w:tc>
        <w:tc>
          <w:tcPr>
            <w:tcW w:w="1345" w:type="dxa"/>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348</w:t>
            </w:r>
          </w:p>
        </w:tc>
        <w:tc>
          <w:tcPr>
            <w:tcW w:w="1574" w:type="dxa"/>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156</w:t>
            </w:r>
          </w:p>
        </w:tc>
        <w:tc>
          <w:tcPr>
            <w:tcW w:w="1267" w:type="dxa"/>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889</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215" w:hRule="atLeast"/>
          <w:jc w:val="center"/>
        </w:trPr>
        <w:tc>
          <w:tcPr>
            <w:tcW w:w="612" w:type="dxa"/>
            <w:vMerge w:val="continue"/>
            <w:tcBorders>
              <w:tl2br w:val="nil"/>
              <w:tr2bl w:val="nil"/>
            </w:tcBorders>
            <w:vAlign w:val="center"/>
          </w:tcPr>
          <w:p>
            <w:pPr>
              <w:widowControl/>
              <w:jc w:val="left"/>
              <w:rPr>
                <w:rFonts w:eastAsia="仿宋"/>
                <w:kern w:val="0"/>
                <w:sz w:val="18"/>
                <w:szCs w:val="18"/>
              </w:rPr>
            </w:pPr>
          </w:p>
        </w:tc>
        <w:tc>
          <w:tcPr>
            <w:tcW w:w="748" w:type="dxa"/>
            <w:vMerge w:val="continue"/>
            <w:tcBorders>
              <w:tl2br w:val="nil"/>
              <w:tr2bl w:val="nil"/>
            </w:tcBorders>
            <w:vAlign w:val="center"/>
          </w:tcPr>
          <w:p>
            <w:pPr>
              <w:widowControl/>
              <w:jc w:val="left"/>
              <w:rPr>
                <w:rFonts w:eastAsia="仿宋"/>
                <w:kern w:val="0"/>
                <w:sz w:val="18"/>
                <w:szCs w:val="18"/>
              </w:rPr>
            </w:pPr>
          </w:p>
        </w:tc>
        <w:tc>
          <w:tcPr>
            <w:tcW w:w="748" w:type="dxa"/>
            <w:vMerge w:val="continue"/>
            <w:tcBorders>
              <w:tl2br w:val="nil"/>
              <w:tr2bl w:val="nil"/>
            </w:tcBorders>
            <w:vAlign w:val="center"/>
          </w:tcPr>
          <w:p>
            <w:pPr>
              <w:widowControl/>
              <w:jc w:val="left"/>
              <w:rPr>
                <w:rFonts w:eastAsia="仿宋"/>
                <w:kern w:val="0"/>
                <w:sz w:val="18"/>
                <w:szCs w:val="18"/>
              </w:rPr>
            </w:pPr>
          </w:p>
        </w:tc>
        <w:tc>
          <w:tcPr>
            <w:tcW w:w="1046"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21-30年</w:t>
            </w:r>
          </w:p>
        </w:tc>
        <w:tc>
          <w:tcPr>
            <w:tcW w:w="1195" w:type="dxa"/>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135.6</w:t>
            </w:r>
          </w:p>
        </w:tc>
        <w:tc>
          <w:tcPr>
            <w:tcW w:w="1345" w:type="dxa"/>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156</w:t>
            </w:r>
          </w:p>
        </w:tc>
        <w:tc>
          <w:tcPr>
            <w:tcW w:w="1574" w:type="dxa"/>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4</w:t>
            </w:r>
          </w:p>
        </w:tc>
        <w:tc>
          <w:tcPr>
            <w:tcW w:w="1267" w:type="dxa"/>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31</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90" w:hRule="atLeast"/>
          <w:jc w:val="center"/>
        </w:trPr>
        <w:tc>
          <w:tcPr>
            <w:tcW w:w="612" w:type="dxa"/>
            <w:vMerge w:val="continue"/>
            <w:tcBorders>
              <w:tl2br w:val="nil"/>
              <w:tr2bl w:val="nil"/>
            </w:tcBorders>
            <w:vAlign w:val="center"/>
          </w:tcPr>
          <w:p>
            <w:pPr>
              <w:widowControl/>
              <w:jc w:val="left"/>
              <w:rPr>
                <w:rFonts w:eastAsia="仿宋"/>
                <w:kern w:val="0"/>
                <w:sz w:val="18"/>
                <w:szCs w:val="18"/>
              </w:rPr>
            </w:pPr>
          </w:p>
        </w:tc>
        <w:tc>
          <w:tcPr>
            <w:tcW w:w="748" w:type="dxa"/>
            <w:vMerge w:val="continue"/>
            <w:tcBorders>
              <w:tl2br w:val="nil"/>
              <w:tr2bl w:val="nil"/>
            </w:tcBorders>
            <w:vAlign w:val="center"/>
          </w:tcPr>
          <w:p>
            <w:pPr>
              <w:widowControl/>
              <w:jc w:val="left"/>
              <w:rPr>
                <w:rFonts w:eastAsia="仿宋"/>
                <w:kern w:val="0"/>
                <w:sz w:val="18"/>
                <w:szCs w:val="18"/>
              </w:rPr>
            </w:pPr>
          </w:p>
        </w:tc>
        <w:tc>
          <w:tcPr>
            <w:tcW w:w="748" w:type="dxa"/>
            <w:vMerge w:val="continue"/>
            <w:tcBorders>
              <w:tl2br w:val="nil"/>
              <w:tr2bl w:val="nil"/>
            </w:tcBorders>
            <w:vAlign w:val="center"/>
          </w:tcPr>
          <w:p>
            <w:pPr>
              <w:widowControl/>
              <w:jc w:val="left"/>
              <w:rPr>
                <w:rFonts w:eastAsia="仿宋"/>
                <w:kern w:val="0"/>
                <w:sz w:val="18"/>
                <w:szCs w:val="18"/>
              </w:rPr>
            </w:pPr>
          </w:p>
        </w:tc>
        <w:tc>
          <w:tcPr>
            <w:tcW w:w="1046" w:type="dxa"/>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30年以上</w:t>
            </w:r>
          </w:p>
        </w:tc>
        <w:tc>
          <w:tcPr>
            <w:tcW w:w="1195" w:type="dxa"/>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0</w:t>
            </w:r>
          </w:p>
        </w:tc>
        <w:tc>
          <w:tcPr>
            <w:tcW w:w="1345" w:type="dxa"/>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0</w:t>
            </w:r>
          </w:p>
        </w:tc>
        <w:tc>
          <w:tcPr>
            <w:tcW w:w="1574" w:type="dxa"/>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0</w:t>
            </w:r>
          </w:p>
        </w:tc>
        <w:tc>
          <w:tcPr>
            <w:tcW w:w="1267" w:type="dxa"/>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90" w:hRule="atLeast"/>
          <w:jc w:val="center"/>
        </w:trPr>
        <w:tc>
          <w:tcPr>
            <w:tcW w:w="612" w:type="dxa"/>
            <w:vMerge w:val="restart"/>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2</w:t>
            </w:r>
          </w:p>
        </w:tc>
        <w:tc>
          <w:tcPr>
            <w:tcW w:w="748" w:type="dxa"/>
            <w:vMerge w:val="restart"/>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B</w:t>
            </w:r>
          </w:p>
        </w:tc>
        <w:tc>
          <w:tcPr>
            <w:tcW w:w="748" w:type="dxa"/>
            <w:vMerge w:val="restart"/>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10</w:t>
            </w:r>
          </w:p>
        </w:tc>
        <w:tc>
          <w:tcPr>
            <w:tcW w:w="1046" w:type="dxa"/>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0-5年</w:t>
            </w:r>
          </w:p>
        </w:tc>
        <w:tc>
          <w:tcPr>
            <w:tcW w:w="1195" w:type="dxa"/>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668.5</w:t>
            </w:r>
          </w:p>
        </w:tc>
        <w:tc>
          <w:tcPr>
            <w:tcW w:w="1345" w:type="dxa"/>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856</w:t>
            </w:r>
          </w:p>
        </w:tc>
        <w:tc>
          <w:tcPr>
            <w:tcW w:w="1574" w:type="dxa"/>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215</w:t>
            </w:r>
          </w:p>
        </w:tc>
        <w:tc>
          <w:tcPr>
            <w:tcW w:w="1267" w:type="dxa"/>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1215</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200" w:hRule="atLeast"/>
          <w:jc w:val="center"/>
        </w:trPr>
        <w:tc>
          <w:tcPr>
            <w:tcW w:w="612" w:type="dxa"/>
            <w:vMerge w:val="continue"/>
            <w:tcBorders>
              <w:tl2br w:val="nil"/>
              <w:tr2bl w:val="nil"/>
            </w:tcBorders>
            <w:vAlign w:val="center"/>
          </w:tcPr>
          <w:p>
            <w:pPr>
              <w:widowControl/>
              <w:jc w:val="left"/>
              <w:rPr>
                <w:rFonts w:eastAsia="仿宋"/>
                <w:kern w:val="0"/>
                <w:sz w:val="18"/>
                <w:szCs w:val="18"/>
              </w:rPr>
            </w:pPr>
          </w:p>
        </w:tc>
        <w:tc>
          <w:tcPr>
            <w:tcW w:w="748" w:type="dxa"/>
            <w:vMerge w:val="continue"/>
            <w:tcBorders>
              <w:tl2br w:val="nil"/>
              <w:tr2bl w:val="nil"/>
            </w:tcBorders>
            <w:vAlign w:val="center"/>
          </w:tcPr>
          <w:p>
            <w:pPr>
              <w:widowControl/>
              <w:jc w:val="left"/>
              <w:rPr>
                <w:rFonts w:eastAsia="仿宋"/>
                <w:kern w:val="0"/>
                <w:sz w:val="18"/>
                <w:szCs w:val="18"/>
              </w:rPr>
            </w:pPr>
          </w:p>
        </w:tc>
        <w:tc>
          <w:tcPr>
            <w:tcW w:w="748" w:type="dxa"/>
            <w:vMerge w:val="continue"/>
            <w:tcBorders>
              <w:tl2br w:val="nil"/>
              <w:tr2bl w:val="nil"/>
            </w:tcBorders>
            <w:vAlign w:val="center"/>
          </w:tcPr>
          <w:p>
            <w:pPr>
              <w:widowControl/>
              <w:jc w:val="left"/>
              <w:rPr>
                <w:rFonts w:eastAsia="仿宋"/>
                <w:kern w:val="0"/>
                <w:sz w:val="18"/>
                <w:szCs w:val="18"/>
              </w:rPr>
            </w:pPr>
          </w:p>
        </w:tc>
        <w:tc>
          <w:tcPr>
            <w:tcW w:w="1046"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6-10年</w:t>
            </w:r>
          </w:p>
        </w:tc>
        <w:tc>
          <w:tcPr>
            <w:tcW w:w="1195" w:type="dxa"/>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838.4</w:t>
            </w:r>
          </w:p>
        </w:tc>
        <w:tc>
          <w:tcPr>
            <w:tcW w:w="1345" w:type="dxa"/>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901</w:t>
            </w:r>
          </w:p>
        </w:tc>
        <w:tc>
          <w:tcPr>
            <w:tcW w:w="1574" w:type="dxa"/>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52</w:t>
            </w:r>
          </w:p>
        </w:tc>
        <w:tc>
          <w:tcPr>
            <w:tcW w:w="1267" w:type="dxa"/>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298</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215" w:hRule="atLeast"/>
          <w:jc w:val="center"/>
        </w:trPr>
        <w:tc>
          <w:tcPr>
            <w:tcW w:w="612" w:type="dxa"/>
            <w:vMerge w:val="continue"/>
            <w:tcBorders>
              <w:tl2br w:val="nil"/>
              <w:tr2bl w:val="nil"/>
            </w:tcBorders>
            <w:vAlign w:val="center"/>
          </w:tcPr>
          <w:p>
            <w:pPr>
              <w:widowControl/>
              <w:jc w:val="left"/>
              <w:rPr>
                <w:rFonts w:eastAsia="仿宋"/>
                <w:kern w:val="0"/>
                <w:sz w:val="18"/>
                <w:szCs w:val="18"/>
              </w:rPr>
            </w:pPr>
          </w:p>
        </w:tc>
        <w:tc>
          <w:tcPr>
            <w:tcW w:w="748" w:type="dxa"/>
            <w:vMerge w:val="continue"/>
            <w:tcBorders>
              <w:tl2br w:val="nil"/>
              <w:tr2bl w:val="nil"/>
            </w:tcBorders>
            <w:vAlign w:val="center"/>
          </w:tcPr>
          <w:p>
            <w:pPr>
              <w:widowControl/>
              <w:jc w:val="left"/>
              <w:rPr>
                <w:rFonts w:eastAsia="仿宋"/>
                <w:kern w:val="0"/>
                <w:sz w:val="18"/>
                <w:szCs w:val="18"/>
              </w:rPr>
            </w:pPr>
          </w:p>
        </w:tc>
        <w:tc>
          <w:tcPr>
            <w:tcW w:w="748" w:type="dxa"/>
            <w:vMerge w:val="continue"/>
            <w:tcBorders>
              <w:tl2br w:val="nil"/>
              <w:tr2bl w:val="nil"/>
            </w:tcBorders>
            <w:vAlign w:val="center"/>
          </w:tcPr>
          <w:p>
            <w:pPr>
              <w:widowControl/>
              <w:jc w:val="left"/>
              <w:rPr>
                <w:rFonts w:eastAsia="仿宋"/>
                <w:kern w:val="0"/>
                <w:sz w:val="18"/>
                <w:szCs w:val="18"/>
              </w:rPr>
            </w:pPr>
          </w:p>
        </w:tc>
        <w:tc>
          <w:tcPr>
            <w:tcW w:w="1046"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11-20年</w:t>
            </w:r>
          </w:p>
        </w:tc>
        <w:tc>
          <w:tcPr>
            <w:tcW w:w="1195" w:type="dxa"/>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469.33</w:t>
            </w:r>
          </w:p>
        </w:tc>
        <w:tc>
          <w:tcPr>
            <w:tcW w:w="1345" w:type="dxa"/>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348</w:t>
            </w:r>
          </w:p>
        </w:tc>
        <w:tc>
          <w:tcPr>
            <w:tcW w:w="1574" w:type="dxa"/>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156</w:t>
            </w:r>
          </w:p>
        </w:tc>
        <w:tc>
          <w:tcPr>
            <w:tcW w:w="1267" w:type="dxa"/>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889</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170" w:hRule="atLeast"/>
          <w:jc w:val="center"/>
        </w:trPr>
        <w:tc>
          <w:tcPr>
            <w:tcW w:w="612" w:type="dxa"/>
            <w:vMerge w:val="continue"/>
            <w:tcBorders>
              <w:tl2br w:val="nil"/>
              <w:tr2bl w:val="nil"/>
            </w:tcBorders>
            <w:vAlign w:val="center"/>
          </w:tcPr>
          <w:p>
            <w:pPr>
              <w:widowControl/>
              <w:jc w:val="left"/>
              <w:rPr>
                <w:rFonts w:eastAsia="仿宋"/>
                <w:kern w:val="0"/>
                <w:sz w:val="18"/>
                <w:szCs w:val="18"/>
              </w:rPr>
            </w:pPr>
          </w:p>
        </w:tc>
        <w:tc>
          <w:tcPr>
            <w:tcW w:w="748" w:type="dxa"/>
            <w:vMerge w:val="continue"/>
            <w:tcBorders>
              <w:tl2br w:val="nil"/>
              <w:tr2bl w:val="nil"/>
            </w:tcBorders>
            <w:vAlign w:val="center"/>
          </w:tcPr>
          <w:p>
            <w:pPr>
              <w:widowControl/>
              <w:jc w:val="left"/>
              <w:rPr>
                <w:rFonts w:eastAsia="仿宋"/>
                <w:kern w:val="0"/>
                <w:sz w:val="18"/>
                <w:szCs w:val="18"/>
              </w:rPr>
            </w:pPr>
          </w:p>
        </w:tc>
        <w:tc>
          <w:tcPr>
            <w:tcW w:w="748" w:type="dxa"/>
            <w:vMerge w:val="continue"/>
            <w:tcBorders>
              <w:tl2br w:val="nil"/>
              <w:tr2bl w:val="nil"/>
            </w:tcBorders>
            <w:vAlign w:val="center"/>
          </w:tcPr>
          <w:p>
            <w:pPr>
              <w:widowControl/>
              <w:jc w:val="left"/>
              <w:rPr>
                <w:rFonts w:eastAsia="仿宋"/>
                <w:kern w:val="0"/>
                <w:sz w:val="18"/>
                <w:szCs w:val="18"/>
              </w:rPr>
            </w:pPr>
          </w:p>
        </w:tc>
        <w:tc>
          <w:tcPr>
            <w:tcW w:w="1046"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21-30年</w:t>
            </w:r>
          </w:p>
        </w:tc>
        <w:tc>
          <w:tcPr>
            <w:tcW w:w="1195" w:type="dxa"/>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135.6</w:t>
            </w:r>
          </w:p>
        </w:tc>
        <w:tc>
          <w:tcPr>
            <w:tcW w:w="1345" w:type="dxa"/>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156</w:t>
            </w:r>
          </w:p>
        </w:tc>
        <w:tc>
          <w:tcPr>
            <w:tcW w:w="1574" w:type="dxa"/>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4</w:t>
            </w:r>
          </w:p>
        </w:tc>
        <w:tc>
          <w:tcPr>
            <w:tcW w:w="1267" w:type="dxa"/>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31</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185" w:hRule="atLeast"/>
          <w:jc w:val="center"/>
        </w:trPr>
        <w:tc>
          <w:tcPr>
            <w:tcW w:w="612" w:type="dxa"/>
            <w:vMerge w:val="continue"/>
            <w:tcBorders>
              <w:tl2br w:val="nil"/>
              <w:tr2bl w:val="nil"/>
            </w:tcBorders>
            <w:vAlign w:val="center"/>
          </w:tcPr>
          <w:p>
            <w:pPr>
              <w:widowControl/>
              <w:jc w:val="left"/>
              <w:rPr>
                <w:rFonts w:eastAsia="仿宋"/>
                <w:kern w:val="0"/>
                <w:sz w:val="18"/>
                <w:szCs w:val="18"/>
              </w:rPr>
            </w:pPr>
          </w:p>
        </w:tc>
        <w:tc>
          <w:tcPr>
            <w:tcW w:w="748" w:type="dxa"/>
            <w:vMerge w:val="continue"/>
            <w:tcBorders>
              <w:tl2br w:val="nil"/>
              <w:tr2bl w:val="nil"/>
            </w:tcBorders>
            <w:vAlign w:val="center"/>
          </w:tcPr>
          <w:p>
            <w:pPr>
              <w:widowControl/>
              <w:jc w:val="left"/>
              <w:rPr>
                <w:rFonts w:eastAsia="仿宋"/>
                <w:kern w:val="0"/>
                <w:sz w:val="18"/>
                <w:szCs w:val="18"/>
              </w:rPr>
            </w:pPr>
          </w:p>
        </w:tc>
        <w:tc>
          <w:tcPr>
            <w:tcW w:w="748" w:type="dxa"/>
            <w:vMerge w:val="continue"/>
            <w:tcBorders>
              <w:tl2br w:val="nil"/>
              <w:tr2bl w:val="nil"/>
            </w:tcBorders>
            <w:vAlign w:val="center"/>
          </w:tcPr>
          <w:p>
            <w:pPr>
              <w:widowControl/>
              <w:jc w:val="left"/>
              <w:rPr>
                <w:rFonts w:eastAsia="仿宋"/>
                <w:kern w:val="0"/>
                <w:sz w:val="18"/>
                <w:szCs w:val="18"/>
              </w:rPr>
            </w:pPr>
          </w:p>
        </w:tc>
        <w:tc>
          <w:tcPr>
            <w:tcW w:w="1046" w:type="dxa"/>
            <w:tcBorders>
              <w:tl2br w:val="nil"/>
              <w:tr2bl w:val="nil"/>
            </w:tcBorders>
            <w:vAlign w:val="center"/>
          </w:tcPr>
          <w:p>
            <w:pPr>
              <w:widowControl/>
              <w:jc w:val="center"/>
              <w:textAlignment w:val="center"/>
              <w:rPr>
                <w:rFonts w:eastAsia="仿宋"/>
                <w:kern w:val="0"/>
                <w:sz w:val="18"/>
                <w:szCs w:val="18"/>
              </w:rPr>
            </w:pPr>
            <w:r>
              <w:rPr>
                <w:rFonts w:eastAsia="仿宋"/>
                <w:kern w:val="0"/>
                <w:sz w:val="18"/>
                <w:szCs w:val="18"/>
              </w:rPr>
              <w:t>30年以上</w:t>
            </w:r>
          </w:p>
        </w:tc>
        <w:tc>
          <w:tcPr>
            <w:tcW w:w="1195" w:type="dxa"/>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0</w:t>
            </w:r>
          </w:p>
        </w:tc>
        <w:tc>
          <w:tcPr>
            <w:tcW w:w="1345" w:type="dxa"/>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0</w:t>
            </w:r>
          </w:p>
        </w:tc>
        <w:tc>
          <w:tcPr>
            <w:tcW w:w="1574" w:type="dxa"/>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0</w:t>
            </w:r>
          </w:p>
        </w:tc>
        <w:tc>
          <w:tcPr>
            <w:tcW w:w="1267" w:type="dxa"/>
            <w:tcBorders>
              <w:tl2br w:val="nil"/>
              <w:tr2bl w:val="nil"/>
            </w:tcBorders>
            <w:vAlign w:val="center"/>
          </w:tcPr>
          <w:p>
            <w:pPr>
              <w:widowControl/>
              <w:spacing w:line="90" w:lineRule="atLeast"/>
              <w:jc w:val="center"/>
              <w:textAlignment w:val="center"/>
              <w:rPr>
                <w:rFonts w:eastAsia="仿宋"/>
                <w:kern w:val="0"/>
                <w:sz w:val="18"/>
                <w:szCs w:val="18"/>
              </w:rPr>
            </w:pPr>
            <w:r>
              <w:rPr>
                <w:rFonts w:eastAsia="仿宋"/>
                <w:kern w:val="0"/>
                <w:sz w:val="18"/>
                <w:szCs w:val="18"/>
              </w:rPr>
              <w:t>0</w:t>
            </w:r>
          </w:p>
        </w:tc>
      </w:tr>
    </w:tbl>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196" w:name="_Toc59973907"/>
      <w:bookmarkStart w:id="197" w:name="_Toc74041170"/>
      <w:r>
        <w:rPr>
          <w:rFonts w:eastAsia="仿宋"/>
          <w:sz w:val="32"/>
          <w:szCs w:val="32"/>
        </w:rPr>
        <w:t>供电能力</w:t>
      </w:r>
      <w:bookmarkEnd w:id="196"/>
      <w:bookmarkEnd w:id="197"/>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因2020年天气原因，夏季负荷较2019年较轻，少数线路重过载情况出现在冬季。</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 xml:space="preserve">2020年，新投运的韩湾变10千伏配网线路对10千伏兰肖2线进行了分网；西贺变10千伏贺村3线、贺二线分网六村堡变的10千伏村四、村九、村三线，解决了线路重载情况；咏佳变10千伏咏五线，纺织变10千伏纺公3、纺陈5线路进行了CT更换，进一步提高了线路的转供能力；2020年新建联络线路77条，负荷重新优化分配，降低了配网线路负载率，2020年迎峰过冬期间同步进行了部分重过载线路治理，重过载线路数量减少，由2019年的11条减少为2020年的6条，其中：过载（最大负载率大于100%）线路0条，重载（最大负载率大于80%小于100%）线路6条。 </w:t>
      </w:r>
    </w:p>
    <w:bookmarkEnd w:id="180"/>
    <w:bookmarkEnd w:id="181"/>
    <w:bookmarkEnd w:id="182"/>
    <w:bookmarkEnd w:id="183"/>
    <w:bookmarkEnd w:id="184"/>
    <w:bookmarkEnd w:id="185"/>
    <w:bookmarkEnd w:id="186"/>
    <w:bookmarkEnd w:id="187"/>
    <w:bookmarkEnd w:id="188"/>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198" w:name="_Toc352610555"/>
      <w:bookmarkStart w:id="199" w:name="_Toc59973908"/>
      <w:bookmarkStart w:id="200" w:name="_Toc74041171"/>
      <w:r>
        <w:rPr>
          <w:rFonts w:eastAsia="仿宋"/>
          <w:sz w:val="32"/>
          <w:szCs w:val="32"/>
        </w:rPr>
        <w:t>配电自动化</w:t>
      </w:r>
      <w:bookmarkEnd w:id="198"/>
      <w:bookmarkEnd w:id="199"/>
      <w:bookmarkEnd w:id="200"/>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目前，西咸新区没有自动化主站，三遥终端共计68台。其中，沣西、秦汉、空港区域具有三遥终端（TAS开关）共计60台；沣东（长安）具有三遥终端（TAS开关）8台。西咸新区配电自动化覆盖率较低，需继续开展配电自动化建设改造。</w:t>
      </w:r>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rPr>
      </w:pPr>
      <w:bookmarkStart w:id="201" w:name="_Toc352610558"/>
      <w:bookmarkStart w:id="202" w:name="_Toc74041172"/>
      <w:bookmarkStart w:id="203" w:name="_Toc6271"/>
      <w:bookmarkStart w:id="204" w:name="_Toc250995859"/>
      <w:r>
        <w:rPr>
          <w:rFonts w:hint="eastAsia" w:ascii="黑体" w:hAnsi="黑体" w:eastAsia="黑体" w:cs="黑体"/>
          <w:b w:val="0"/>
          <w:bCs w:val="0"/>
          <w:sz w:val="32"/>
          <w:szCs w:val="32"/>
        </w:rPr>
        <w:t>电网现状评估</w:t>
      </w:r>
      <w:bookmarkEnd w:id="201"/>
      <w:bookmarkEnd w:id="202"/>
      <w:bookmarkEnd w:id="203"/>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hint="eastAsia" w:ascii="仿宋_GB2312" w:hAnsi="仿宋_GB2312" w:eastAsia="仿宋_GB2312" w:cs="仿宋_GB2312"/>
          <w:sz w:val="32"/>
          <w:szCs w:val="32"/>
        </w:rPr>
      </w:pPr>
      <w:bookmarkStart w:id="205" w:name="_Toc59973910"/>
      <w:bookmarkStart w:id="206" w:name="_Toc74041173"/>
      <w:r>
        <w:rPr>
          <w:rFonts w:hint="eastAsia" w:ascii="仿宋_GB2312" w:hAnsi="仿宋_GB2312" w:eastAsia="仿宋_GB2312" w:cs="仿宋_GB2312"/>
          <w:sz w:val="32"/>
          <w:szCs w:val="32"/>
        </w:rPr>
        <w:t>电网存在的主要问题</w:t>
      </w:r>
      <w:bookmarkEnd w:id="205"/>
      <w:bookmarkEnd w:id="206"/>
    </w:p>
    <w:bookmarkEnd w:id="204"/>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bookmarkStart w:id="207" w:name="_Toc307054042"/>
      <w:bookmarkStart w:id="208" w:name="_Toc253744068"/>
      <w:bookmarkStart w:id="209" w:name="_Toc253594518"/>
      <w:bookmarkStart w:id="210" w:name="_Toc250995860"/>
      <w:bookmarkStart w:id="211" w:name="_Toc306766295"/>
      <w:bookmarkStart w:id="212" w:name="_Toc352610560"/>
      <w:bookmarkStart w:id="213" w:name="_Toc306780087"/>
      <w:bookmarkStart w:id="214" w:name="_Toc251493915"/>
      <w:bookmarkStart w:id="215" w:name="_Toc253584948"/>
      <w:bookmarkStart w:id="216" w:name="_Toc306956227"/>
      <w:r>
        <w:rPr>
          <w:rFonts w:hint="eastAsia" w:ascii="仿宋_GB2312" w:hAnsi="仿宋_GB2312" w:eastAsia="仿宋_GB2312" w:cs="仿宋_GB2312"/>
          <w:kern w:val="2"/>
          <w:sz w:val="32"/>
          <w:szCs w:val="32"/>
          <w:lang w:val="en-US" w:eastAsia="zh-CN" w:bidi="ar-SA"/>
        </w:rPr>
        <w:t>西咸新区电网存在老旧输变配电设备运行状况不佳、局部电网网架不合理、电网薄弱环节较多等问题。负荷高峰时段局部区域负荷重过载问题严重，运行压力大，方式调整不灵活，电网安全运行存在一定风险，具体问题主要体现在以下几个方面：</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b/>
          <w:bCs/>
          <w:kern w:val="2"/>
          <w:sz w:val="32"/>
          <w:szCs w:val="32"/>
          <w:lang w:val="en-US" w:eastAsia="zh-CN" w:bidi="ar-SA"/>
        </w:rPr>
      </w:pPr>
      <w:r>
        <w:rPr>
          <w:rFonts w:hint="eastAsia" w:ascii="仿宋_GB2312" w:hAnsi="仿宋_GB2312" w:eastAsia="仿宋_GB2312" w:cs="仿宋_GB2312"/>
          <w:b/>
          <w:bCs/>
          <w:kern w:val="2"/>
          <w:sz w:val="32"/>
          <w:szCs w:val="32"/>
          <w:lang w:val="en-US" w:eastAsia="zh-CN" w:bidi="ar-SA"/>
        </w:rPr>
        <w:t>1.迎峰度夏大负荷期间重载设备依然存在，运行压力大</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迎峰度夏大负荷期间，全网共2台330千伏主变重载，有5台110千伏主变重载，2条110千伏线路不满足N-1安全校核。</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b/>
          <w:bCs/>
          <w:kern w:val="2"/>
          <w:sz w:val="32"/>
          <w:szCs w:val="32"/>
          <w:lang w:val="en-US" w:eastAsia="zh-CN" w:bidi="ar-SA"/>
        </w:rPr>
      </w:pPr>
      <w:r>
        <w:rPr>
          <w:rFonts w:hint="eastAsia" w:ascii="仿宋_GB2312" w:hAnsi="仿宋_GB2312" w:eastAsia="仿宋_GB2312" w:cs="仿宋_GB2312"/>
          <w:b/>
          <w:bCs/>
          <w:kern w:val="2"/>
          <w:sz w:val="32"/>
          <w:szCs w:val="32"/>
          <w:lang w:val="en-US" w:eastAsia="zh-CN" w:bidi="ar-SA"/>
        </w:rPr>
        <w:t>2.区域电网互供能力仍较弱</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西咸新区电网由6个供电区组成，除330千伏沣河变与云谷变互供能力稍强外，其余几个供电区之间互供能力较差。</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b/>
          <w:bCs/>
          <w:kern w:val="2"/>
          <w:sz w:val="32"/>
          <w:szCs w:val="32"/>
          <w:lang w:val="en-US" w:eastAsia="zh-CN" w:bidi="ar-SA"/>
        </w:rPr>
      </w:pPr>
      <w:r>
        <w:rPr>
          <w:rFonts w:hint="eastAsia" w:ascii="仿宋_GB2312" w:hAnsi="仿宋_GB2312" w:eastAsia="仿宋_GB2312" w:cs="仿宋_GB2312"/>
          <w:b/>
          <w:bCs/>
          <w:kern w:val="2"/>
          <w:sz w:val="32"/>
          <w:szCs w:val="32"/>
          <w:lang w:val="en-US" w:eastAsia="zh-CN" w:bidi="ar-SA"/>
        </w:rPr>
        <w:t>3.区域电网网架结构薄弱</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目前西咸新区电网区域网架薄弱环节主要体现在以下几点。一是局部地区110千伏线路主供变电站较多，负荷较重，运行压力较大。二是存在同塔多回110千伏线路，且大多数同塔线路为区域大负荷断面，同塔故障情况下很难迅速恢复损失负荷。三是受规划项目建设时序的影响，存在一些临时T接的过渡接线方式，影响电网安全运行。</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b/>
          <w:bCs/>
          <w:kern w:val="2"/>
          <w:sz w:val="32"/>
          <w:szCs w:val="32"/>
          <w:lang w:val="en-US" w:eastAsia="zh-CN" w:bidi="ar-SA"/>
        </w:rPr>
      </w:pPr>
      <w:r>
        <w:rPr>
          <w:rFonts w:hint="eastAsia" w:ascii="仿宋_GB2312" w:hAnsi="仿宋_GB2312" w:eastAsia="仿宋_GB2312" w:cs="仿宋_GB2312"/>
          <w:b/>
          <w:bCs/>
          <w:kern w:val="2"/>
          <w:sz w:val="32"/>
          <w:szCs w:val="32"/>
          <w:lang w:val="en-US" w:eastAsia="zh-CN" w:bidi="ar-SA"/>
        </w:rPr>
        <w:t>4.智能化建设有待提高</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新区配电自动化水平低，并且在配电自动化建设推广过程中存在的问题有：一是先进的电网自动化系统在接入传统一次网架时，由于一次网架可能存在局部设备落后，无法与智能电网设备衔接，进而不能充分发挥智能电网设备的功能；二是已有的电网自动化设备与新的自动化系统匹配性差；三是安装在户外的自动化系统由于运行环境恶劣、控制电源提取困难等，可靠性差，电网的稳定性不能得到保证。</w:t>
      </w:r>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hint="eastAsia" w:ascii="仿宋_GB2312" w:hAnsi="仿宋_GB2312" w:eastAsia="仿宋_GB2312" w:cs="仿宋_GB2312"/>
          <w:sz w:val="32"/>
          <w:szCs w:val="32"/>
        </w:rPr>
      </w:pPr>
      <w:bookmarkStart w:id="217" w:name="_Toc74041174"/>
      <w:bookmarkStart w:id="218" w:name="_Toc59973911"/>
      <w:r>
        <w:rPr>
          <w:rFonts w:hint="eastAsia" w:ascii="仿宋_GB2312" w:hAnsi="仿宋_GB2312" w:eastAsia="仿宋_GB2312" w:cs="仿宋_GB2312"/>
          <w:sz w:val="32"/>
          <w:szCs w:val="32"/>
        </w:rPr>
        <w:t>10千伏及以下电网存在的主要问题</w:t>
      </w:r>
      <w:bookmarkEnd w:id="217"/>
      <w:bookmarkEnd w:id="218"/>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截至2020年底，10千伏公网线路296条，10千伏专线158条，公网线路联络率63.8%（联络线路189条），电缆化率34.8%。</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2020年过载线路由2019年的11条减为6条，其中：过载（最大负载率大于100%）线路0条，重载（最大负载率大于80%小于100%）线路6条，数量大幅减少。</w:t>
      </w:r>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hint="eastAsia" w:ascii="仿宋_GB2312" w:hAnsi="仿宋_GB2312" w:eastAsia="仿宋_GB2312" w:cs="仿宋_GB2312"/>
          <w:sz w:val="32"/>
          <w:szCs w:val="32"/>
        </w:rPr>
      </w:pPr>
      <w:bookmarkStart w:id="219" w:name="_Toc74041175"/>
      <w:bookmarkStart w:id="220" w:name="_Toc59973912"/>
      <w:r>
        <w:rPr>
          <w:rFonts w:hint="eastAsia" w:ascii="仿宋_GB2312" w:hAnsi="仿宋_GB2312" w:eastAsia="仿宋_GB2312" w:cs="仿宋_GB2312"/>
          <w:sz w:val="32"/>
          <w:szCs w:val="32"/>
        </w:rPr>
        <w:t>自动化方面存在的主要问题</w:t>
      </w:r>
      <w:bookmarkEnd w:id="219"/>
      <w:bookmarkEnd w:id="220"/>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配电自动化率不高，西咸电网尚未建成配电自动化主站系统，影响运行效率。</w:t>
      </w:r>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hint="eastAsia" w:ascii="仿宋_GB2312" w:hAnsi="仿宋_GB2312" w:eastAsia="仿宋_GB2312" w:cs="仿宋_GB2312"/>
          <w:sz w:val="32"/>
          <w:szCs w:val="32"/>
        </w:rPr>
      </w:pPr>
      <w:bookmarkStart w:id="221" w:name="_Toc59973913"/>
      <w:bookmarkStart w:id="222" w:name="_Toc74041176"/>
      <w:r>
        <w:rPr>
          <w:rFonts w:hint="eastAsia" w:ascii="仿宋_GB2312" w:hAnsi="仿宋_GB2312" w:eastAsia="仿宋_GB2312" w:cs="仿宋_GB2312"/>
          <w:sz w:val="32"/>
          <w:szCs w:val="32"/>
        </w:rPr>
        <w:t>通信网建设现状</w:t>
      </w:r>
      <w:bookmarkEnd w:id="221"/>
      <w:bookmarkEnd w:id="222"/>
    </w:p>
    <w:bookmarkEnd w:id="207"/>
    <w:bookmarkEnd w:id="208"/>
    <w:bookmarkEnd w:id="209"/>
    <w:bookmarkEnd w:id="210"/>
    <w:bookmarkEnd w:id="211"/>
    <w:bookmarkEnd w:id="212"/>
    <w:bookmarkEnd w:id="213"/>
    <w:bookmarkEnd w:id="214"/>
    <w:bookmarkEnd w:id="215"/>
    <w:bookmarkEnd w:id="216"/>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bookmarkStart w:id="223" w:name="_Toc410030869"/>
      <w:bookmarkEnd w:id="223"/>
      <w:bookmarkStart w:id="224" w:name="_Toc410030861"/>
      <w:bookmarkEnd w:id="224"/>
      <w:bookmarkStart w:id="225" w:name="_Toc409092875"/>
      <w:bookmarkEnd w:id="225"/>
      <w:bookmarkStart w:id="226" w:name="_Toc410030853"/>
      <w:bookmarkEnd w:id="226"/>
      <w:bookmarkStart w:id="227" w:name="_Toc409092879"/>
      <w:bookmarkEnd w:id="227"/>
      <w:bookmarkStart w:id="228" w:name="_Toc409092872"/>
      <w:bookmarkEnd w:id="228"/>
      <w:bookmarkStart w:id="229" w:name="_Toc409092883"/>
      <w:bookmarkEnd w:id="229"/>
      <w:bookmarkStart w:id="230" w:name="_Toc409092881"/>
      <w:bookmarkEnd w:id="230"/>
      <w:bookmarkStart w:id="231" w:name="_Toc410030865"/>
      <w:bookmarkEnd w:id="231"/>
      <w:bookmarkStart w:id="232" w:name="_Toc409092871"/>
      <w:bookmarkEnd w:id="232"/>
      <w:bookmarkStart w:id="233" w:name="_Toc409092885"/>
      <w:bookmarkEnd w:id="233"/>
      <w:bookmarkStart w:id="234" w:name="_Toc410030855"/>
      <w:bookmarkEnd w:id="234"/>
      <w:bookmarkStart w:id="235" w:name="_Toc252891256"/>
      <w:bookmarkEnd w:id="235"/>
      <w:bookmarkStart w:id="236" w:name="_Toc410030867"/>
      <w:bookmarkEnd w:id="236"/>
      <w:bookmarkStart w:id="237" w:name="_Toc410030852"/>
      <w:bookmarkEnd w:id="237"/>
      <w:bookmarkStart w:id="238" w:name="_Toc409092876"/>
      <w:bookmarkEnd w:id="238"/>
      <w:bookmarkStart w:id="239" w:name="_Toc252891257"/>
      <w:bookmarkEnd w:id="239"/>
      <w:bookmarkStart w:id="240" w:name="_Toc410030854"/>
      <w:bookmarkEnd w:id="240"/>
      <w:bookmarkStart w:id="241" w:name="_Toc410030866"/>
      <w:bookmarkEnd w:id="241"/>
      <w:bookmarkStart w:id="242" w:name="_Toc409092884"/>
      <w:bookmarkEnd w:id="242"/>
      <w:bookmarkStart w:id="243" w:name="_Toc410030862"/>
      <w:bookmarkEnd w:id="243"/>
      <w:bookmarkStart w:id="244" w:name="_Toc409092874"/>
      <w:bookmarkEnd w:id="244"/>
      <w:bookmarkStart w:id="245" w:name="_Toc410030851"/>
      <w:bookmarkEnd w:id="245"/>
      <w:bookmarkStart w:id="246" w:name="_Toc410030857"/>
      <w:bookmarkEnd w:id="246"/>
      <w:bookmarkStart w:id="247" w:name="_Toc410030860"/>
      <w:bookmarkEnd w:id="247"/>
      <w:bookmarkStart w:id="248" w:name="_Toc410030859"/>
      <w:bookmarkEnd w:id="248"/>
      <w:bookmarkStart w:id="249" w:name="_Toc409092878"/>
      <w:bookmarkEnd w:id="249"/>
      <w:bookmarkStart w:id="250" w:name="_Toc410030864"/>
      <w:bookmarkEnd w:id="250"/>
      <w:bookmarkStart w:id="251" w:name="_Toc410030856"/>
      <w:bookmarkEnd w:id="251"/>
      <w:bookmarkStart w:id="252" w:name="_Toc409092882"/>
      <w:bookmarkEnd w:id="252"/>
      <w:bookmarkStart w:id="253" w:name="_Toc409092887"/>
      <w:bookmarkEnd w:id="253"/>
      <w:bookmarkStart w:id="254" w:name="_Toc409092886"/>
      <w:bookmarkEnd w:id="254"/>
      <w:bookmarkStart w:id="255" w:name="_Toc409092873"/>
      <w:bookmarkEnd w:id="255"/>
      <w:bookmarkStart w:id="256" w:name="_Toc409092877"/>
      <w:bookmarkEnd w:id="256"/>
      <w:bookmarkStart w:id="257" w:name="_Toc409092880"/>
      <w:bookmarkEnd w:id="257"/>
      <w:bookmarkStart w:id="258" w:name="_Toc410030868"/>
      <w:bookmarkEnd w:id="258"/>
      <w:bookmarkStart w:id="259" w:name="_Toc410030863"/>
      <w:bookmarkEnd w:id="259"/>
      <w:bookmarkStart w:id="260" w:name="_Toc409092889"/>
      <w:bookmarkEnd w:id="260"/>
      <w:bookmarkStart w:id="261" w:name="_Toc410030858"/>
      <w:bookmarkEnd w:id="261"/>
      <w:bookmarkStart w:id="262" w:name="_Toc409092888"/>
      <w:bookmarkEnd w:id="262"/>
      <w:r>
        <w:rPr>
          <w:rFonts w:hint="eastAsia" w:ascii="仿宋_GB2312" w:hAnsi="仿宋_GB2312" w:eastAsia="仿宋_GB2312" w:cs="仿宋_GB2312"/>
          <w:kern w:val="2"/>
          <w:sz w:val="32"/>
          <w:szCs w:val="32"/>
          <w:lang w:val="en-US" w:eastAsia="zh-CN" w:bidi="ar-SA"/>
        </w:rPr>
        <w:t>光缆网架方面：区域内通信光缆共39条，共计462.54公里。其中OPGW光缆14条，共270.47公里；ADSS光缆22条，共164.3公里；普通光缆2条，共3.27公里，OPPC光缆1条，4.5公里；10千伏以下电压等级接入网光缆4条，20公里。具体见下表。</w:t>
      </w:r>
    </w:p>
    <w:p>
      <w:pPr>
        <w:pStyle w:val="150"/>
        <w:keepNext w:val="0"/>
        <w:keepLines w:val="0"/>
        <w:pageBreakBefore w:val="0"/>
        <w:widowControl w:val="0"/>
        <w:kinsoku/>
        <w:wordWrap/>
        <w:overflowPunct/>
        <w:topLinePunct w:val="0"/>
        <w:autoSpaceDE/>
        <w:autoSpaceDN/>
        <w:bidi w:val="0"/>
        <w:adjustRightInd w:val="0"/>
        <w:snapToGrid w:val="0"/>
        <w:spacing w:line="400" w:lineRule="exact"/>
        <w:ind w:left="0" w:leftChars="0" w:firstLine="0" w:firstLineChars="0"/>
        <w:jc w:val="center"/>
        <w:textAlignment w:val="auto"/>
        <w:rPr>
          <w:rFonts w:hint="eastAsia" w:ascii="黑体" w:hAnsi="黑体" w:eastAsia="黑体" w:cs="黑体"/>
          <w:kern w:val="2"/>
          <w:sz w:val="28"/>
          <w:szCs w:val="28"/>
          <w:lang w:val="en-US" w:eastAsia="zh-CN" w:bidi="ar-SA"/>
        </w:rPr>
      </w:pPr>
      <w:r>
        <w:rPr>
          <w:rFonts w:hint="eastAsia" w:ascii="黑体" w:hAnsi="黑体" w:eastAsia="黑体" w:cs="黑体"/>
          <w:kern w:val="2"/>
          <w:sz w:val="28"/>
          <w:szCs w:val="28"/>
          <w:lang w:val="en-US" w:eastAsia="zh-CN" w:bidi="ar-SA"/>
        </w:rPr>
        <w:t>表3-19  西咸通信光缆情况统计表</w:t>
      </w:r>
    </w:p>
    <w:tbl>
      <w:tblPr>
        <w:tblStyle w:val="88"/>
        <w:tblpPr w:leftFromText="180" w:rightFromText="180" w:vertAnchor="text" w:horzAnchor="page" w:tblpXSpec="center" w:tblpY="122"/>
        <w:tblOverlap w:val="never"/>
        <w:tblW w:w="8721"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117"/>
        <w:gridCol w:w="2608"/>
        <w:gridCol w:w="399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2117"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光缆类型</w:t>
            </w:r>
          </w:p>
        </w:tc>
        <w:tc>
          <w:tcPr>
            <w:tcW w:w="2608"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电压等级</w:t>
            </w:r>
          </w:p>
        </w:tc>
        <w:tc>
          <w:tcPr>
            <w:tcW w:w="3996"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光缆长度/公里</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2117" w:type="dxa"/>
            <w:vMerge w:val="restart"/>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OPGW</w:t>
            </w:r>
          </w:p>
        </w:tc>
        <w:tc>
          <w:tcPr>
            <w:tcW w:w="2608"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330千伏</w:t>
            </w:r>
          </w:p>
        </w:tc>
        <w:tc>
          <w:tcPr>
            <w:tcW w:w="3996"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191.7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2117" w:type="dxa"/>
            <w:vMerge w:val="continue"/>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p>
        </w:tc>
        <w:tc>
          <w:tcPr>
            <w:tcW w:w="2608"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110千伏</w:t>
            </w:r>
          </w:p>
        </w:tc>
        <w:tc>
          <w:tcPr>
            <w:tcW w:w="3996"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78.77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4725" w:type="dxa"/>
            <w:gridSpan w:val="2"/>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ADSS</w:t>
            </w:r>
          </w:p>
        </w:tc>
        <w:tc>
          <w:tcPr>
            <w:tcW w:w="3996"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164.3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4725" w:type="dxa"/>
            <w:gridSpan w:val="2"/>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OPPC</w:t>
            </w:r>
          </w:p>
        </w:tc>
        <w:tc>
          <w:tcPr>
            <w:tcW w:w="3996"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4.5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4725" w:type="dxa"/>
            <w:gridSpan w:val="2"/>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普缆</w:t>
            </w:r>
          </w:p>
        </w:tc>
        <w:tc>
          <w:tcPr>
            <w:tcW w:w="3996"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3.27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4725" w:type="dxa"/>
            <w:gridSpan w:val="2"/>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10千伏以下电压等级接入网光缆</w:t>
            </w:r>
          </w:p>
        </w:tc>
        <w:tc>
          <w:tcPr>
            <w:tcW w:w="3996"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20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4725" w:type="dxa"/>
            <w:gridSpan w:val="2"/>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总计</w:t>
            </w:r>
          </w:p>
        </w:tc>
        <w:tc>
          <w:tcPr>
            <w:tcW w:w="3996"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462.54</w:t>
            </w:r>
          </w:p>
        </w:tc>
      </w:tr>
    </w:tbl>
    <w:p>
      <w:pPr>
        <w:spacing w:line="360" w:lineRule="auto"/>
        <w:ind w:firstLine="640" w:firstLineChars="200"/>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330千伏及以上线路光缆以48芯为主，110千伏线路光缆以16芯或24芯为主。根据统计，早期由于建设标准较低和后续经过多次T接、π接等改造的原因，光缆纤芯使用及损坏率较高，造成纤芯资源不足。</w:t>
      </w:r>
    </w:p>
    <w:p>
      <w:pPr>
        <w:pStyle w:val="150"/>
        <w:ind w:firstLine="560"/>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截止2020年底，330千伏变电站光纤覆盖率100%（3/3）；地市变电站光纤覆盖率100%（23/23）；并网发电厂光纤覆盖率100%（3/3）。</w:t>
      </w:r>
    </w:p>
    <w:p>
      <w:pPr>
        <w:pStyle w:val="150"/>
        <w:ind w:firstLine="560"/>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截止至2020年底，西咸辖区内共有通信站28个，包括1个中心站、3个330千伏站以及23个110千伏站和1个35千伏站。四级通信网光传输系统设备共30台，其中SDH设备28台，PDH设备2台。目前已建成330千伏沣河变、330千伏古渡变为枢纽的2.5G骨干环网，但限于光纤线路和设备类型等现实情况，110千伏通信站点未独立成环运行，80%的业务还承载于省网、西安和咸阳的通信传输网络中。</w:t>
      </w:r>
    </w:p>
    <w:p>
      <w:pPr>
        <w:pStyle w:val="4"/>
        <w:keepNext/>
        <w:keepLines/>
        <w:pageBreakBefore/>
        <w:widowControl w:val="0"/>
        <w:kinsoku/>
        <w:wordWrap/>
        <w:overflowPunct/>
        <w:topLinePunct w:val="0"/>
        <w:autoSpaceDE/>
        <w:autoSpaceDN/>
        <w:bidi w:val="0"/>
        <w:adjustRightInd/>
        <w:snapToGrid/>
        <w:spacing w:before="157" w:beforeLines="50" w:after="157" w:afterLines="50" w:line="560" w:lineRule="exact"/>
        <w:textAlignment w:val="auto"/>
        <w:rPr>
          <w:rFonts w:eastAsia="仿宋"/>
          <w:sz w:val="44"/>
          <w:szCs w:val="44"/>
        </w:rPr>
      </w:pPr>
      <w:bookmarkStart w:id="263" w:name="_Toc74041177"/>
      <w:bookmarkStart w:id="264" w:name="_Toc10345"/>
      <w:r>
        <w:rPr>
          <w:rFonts w:hint="eastAsia" w:eastAsia="仿宋"/>
          <w:sz w:val="44"/>
          <w:szCs w:val="44"/>
          <w:lang w:eastAsia="zh-CN"/>
        </w:rPr>
        <w:t>“</w:t>
      </w:r>
      <w:r>
        <w:rPr>
          <w:rFonts w:eastAsia="仿宋"/>
          <w:sz w:val="44"/>
          <w:szCs w:val="44"/>
        </w:rPr>
        <w:t>十三五</w:t>
      </w:r>
      <w:r>
        <w:rPr>
          <w:rFonts w:hint="eastAsia" w:eastAsia="仿宋"/>
          <w:sz w:val="44"/>
          <w:szCs w:val="44"/>
          <w:lang w:eastAsia="zh-CN"/>
        </w:rPr>
        <w:t>”</w:t>
      </w:r>
      <w:r>
        <w:rPr>
          <w:rFonts w:eastAsia="仿宋"/>
          <w:sz w:val="44"/>
          <w:szCs w:val="44"/>
        </w:rPr>
        <w:t>规划执行情况评估</w:t>
      </w:r>
      <w:bookmarkEnd w:id="263"/>
      <w:bookmarkEnd w:id="264"/>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rPr>
      </w:pPr>
      <w:bookmarkStart w:id="265" w:name="_Toc74041178"/>
      <w:bookmarkStart w:id="266" w:name="_Toc23196"/>
      <w:bookmarkStart w:id="267" w:name="_Toc29549623"/>
      <w:r>
        <w:rPr>
          <w:rFonts w:hint="eastAsia" w:ascii="黑体" w:hAnsi="黑体" w:eastAsia="黑体" w:cs="黑体"/>
          <w:b w:val="0"/>
          <w:bCs w:val="0"/>
          <w:sz w:val="32"/>
          <w:szCs w:val="32"/>
        </w:rPr>
        <w:t>“十三五”电网规划情况</w:t>
      </w:r>
      <w:bookmarkEnd w:id="265"/>
      <w:bookmarkEnd w:id="266"/>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 xml:space="preserve"> “十三五”期间，西咸新区规划新建110千伏变电站18座，新增变电容量1800兆伏安，新建线路长度321.22公里；10千伏电网新建电缆线路1253.48公里，新增配变1890台，新建环网柜1231座。</w:t>
      </w:r>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rPr>
      </w:pPr>
      <w:bookmarkStart w:id="268" w:name="_Toc24156"/>
      <w:bookmarkStart w:id="269" w:name="_Toc74041179"/>
      <w:r>
        <w:rPr>
          <w:rFonts w:hint="eastAsia" w:ascii="黑体" w:hAnsi="黑体" w:eastAsia="黑体" w:cs="黑体"/>
          <w:b w:val="0"/>
          <w:bCs w:val="0"/>
          <w:sz w:val="32"/>
          <w:szCs w:val="32"/>
        </w:rPr>
        <w:t>“十三五”电网规划执行情况</w:t>
      </w:r>
      <w:bookmarkEnd w:id="268"/>
      <w:bookmarkEnd w:id="269"/>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270" w:name="_Toc74041180"/>
      <w:bookmarkStart w:id="271" w:name="_Toc59973917"/>
      <w:r>
        <w:rPr>
          <w:rFonts w:eastAsia="仿宋"/>
          <w:sz w:val="32"/>
          <w:szCs w:val="32"/>
        </w:rPr>
        <w:t>“十三五”电网建设情况</w:t>
      </w:r>
      <w:bookmarkEnd w:id="270"/>
      <w:bookmarkEnd w:id="271"/>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2016-2020年共实施电网项目294项，累计规划投资19.32亿元。其中，新建330千伏云谷输变电工程1个，扩建330千伏古渡变，新增变电容量108万千伏安，投资4.4605亿元；实施110千伏电网项目15个，其中新建兴咸、韩湾等12座110千伏变电站，330千伏云谷变电站配套送出工程1个，新能源配套送出1个，增容改造变电站1座，新增变电容量128.9万千伏安，新建线路153.81公里，投资9.56亿元；实施10千伏及以下电网项目177个，投资5.2995亿元。</w:t>
      </w:r>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272" w:name="_Toc74041181"/>
      <w:bookmarkStart w:id="273" w:name="_Toc59973918"/>
      <w:r>
        <w:rPr>
          <w:rFonts w:eastAsia="仿宋"/>
          <w:sz w:val="32"/>
          <w:szCs w:val="32"/>
        </w:rPr>
        <w:t>“十三五”规划成效分析</w:t>
      </w:r>
      <w:bookmarkEnd w:id="272"/>
      <w:bookmarkEnd w:id="273"/>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西咸新区330千伏变电站座数和变电容量由原来的144万千伏安增加至252万千伏安；增加了75%，330千伏电源支撑能力有效提升；110千伏变电站座数由13座增加至25座，增长92%；变电容量由115.8万千伏安增加至239.5万千伏安，增长107%；线路条数由原来的35条增加至63条，增长80%；线路长度由322.46公里增加至486.67公里，增长51%。110千伏电网供电能力不断增强，初步形成了“电等项目”良好营商局面。10千伏线路联络率由48.25%提升至50.7%，线路N-1通过率14.91%提升至41%，平均供电半径由6.44公里降低至4.5公里，电缆化率由17.7%提升至32.59%，供电可靠性不断改善。“十三五”规划项目的落地、投运，也满足了沣西新城交大创新港科研教育板块，沣东新城自贸区、空港新城临空科技和航空物流板块，秦汉新城渭北综合服务区和塬北综合服务区项目用电需求，有力的保障了西安北客站至机场城际铁路项目、地铁五号线一期和平村牵引站、地铁五号线二期交大创新港牵引站接入。</w:t>
      </w:r>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rPr>
      </w:pPr>
      <w:bookmarkStart w:id="274" w:name="_Toc898"/>
      <w:bookmarkStart w:id="275" w:name="_Toc74041182"/>
      <w:r>
        <w:rPr>
          <w:rFonts w:hint="eastAsia" w:ascii="黑体" w:hAnsi="黑体" w:eastAsia="黑体" w:cs="黑体"/>
          <w:b w:val="0"/>
          <w:bCs w:val="0"/>
          <w:sz w:val="32"/>
          <w:szCs w:val="32"/>
        </w:rPr>
        <w:t>“十三五”规划执行偏差原因分析</w:t>
      </w:r>
      <w:bookmarkEnd w:id="274"/>
      <w:bookmarkEnd w:id="275"/>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十三五”期间，共完成110千伏项目15个，规划完成率63%，其中，新建110千伏变电站12座。与“十三五”规划相比，共调减项目6个，（调出正阳、天元、河南街、秦苑输变电工程，空港变、底张变增容改造工程），实际调增项目2个（西咸生活垃圾焚烧热电联产110千伏送出工程、北杜变110千伏间隔扩建工程）。5项工程调整至“十四五”期间实施（斗门、广场输变电工程，330千伏秦汉变、沣渭变110千伏线路配套送出工程、110千伏咏佳变增容改造工程）。</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分析偏差原因如下：</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一是受新区产业体系尚在逐步形成过程中，经济发展、负荷电量不及预期的影响，将正阳、秦苑、天元3项110千伏输变电工程、110千伏空港变、底张变2项变电站增容改造工程调出“十三五”规划。</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二是因世纪大道区域（12.6平方公里区域）行政区划的调整，该区域在“十三五”期间交由咸阳市托管，影响该区域规划站（河南街变）调出“十三五”规划。</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三是因新区招商引资项目的不确定性，规划的不断调整，市政配套建设的滞后等影响，将广场、斗门2项110千伏输变电工程调整至“十四五”期间实施。同时，受330千伏输变电工程项目前期办理手续复杂、建设周期较长等的影响，将秦汉变、沣渭变2座330千伏变电站110千伏送出工程调整至“十四五”。目前，110千伏广场、细柳等规划站也将因330千伏沣渭变的滞后无法安全可靠接入系统。</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四是受机场三期扩建工程项目建设的滞后，将机场三期供电工程（秦汉(韩湾)-机场2#变线路工程、池阳-机场2#变线路工程）调整至“十四五”期间实施。</w:t>
      </w:r>
    </w:p>
    <w:bookmarkEnd w:id="92"/>
    <w:bookmarkEnd w:id="93"/>
    <w:bookmarkEnd w:id="94"/>
    <w:bookmarkEnd w:id="95"/>
    <w:bookmarkEnd w:id="96"/>
    <w:bookmarkEnd w:id="97"/>
    <w:bookmarkEnd w:id="98"/>
    <w:bookmarkEnd w:id="99"/>
    <w:bookmarkEnd w:id="100"/>
    <w:bookmarkEnd w:id="267"/>
    <w:p>
      <w:pPr>
        <w:pStyle w:val="4"/>
        <w:keepNext/>
        <w:keepLines/>
        <w:pageBreakBefore/>
        <w:widowControl w:val="0"/>
        <w:kinsoku/>
        <w:wordWrap/>
        <w:overflowPunct/>
        <w:topLinePunct w:val="0"/>
        <w:autoSpaceDE/>
        <w:autoSpaceDN/>
        <w:bidi w:val="0"/>
        <w:adjustRightInd/>
        <w:snapToGrid/>
        <w:spacing w:before="157" w:beforeLines="50" w:after="157" w:afterLines="50" w:line="560" w:lineRule="exact"/>
        <w:textAlignment w:val="auto"/>
        <w:rPr>
          <w:rFonts w:eastAsia="仿宋"/>
          <w:sz w:val="44"/>
          <w:szCs w:val="44"/>
        </w:rPr>
      </w:pPr>
      <w:bookmarkStart w:id="276" w:name="_Toc17554"/>
      <w:bookmarkStart w:id="277" w:name="_Toc74041183"/>
      <w:r>
        <w:rPr>
          <w:rFonts w:eastAsia="仿宋"/>
          <w:sz w:val="44"/>
          <w:szCs w:val="44"/>
        </w:rPr>
        <w:t>电力需求预测</w:t>
      </w:r>
      <w:bookmarkEnd w:id="276"/>
      <w:bookmarkEnd w:id="277"/>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rPr>
      </w:pPr>
      <w:bookmarkStart w:id="278" w:name="_Toc74041184"/>
      <w:bookmarkStart w:id="279" w:name="_Toc27339"/>
      <w:r>
        <w:rPr>
          <w:rFonts w:hint="eastAsia" w:ascii="黑体" w:hAnsi="黑体" w:eastAsia="黑体" w:cs="黑体"/>
          <w:b w:val="0"/>
          <w:bCs w:val="0"/>
          <w:sz w:val="32"/>
          <w:szCs w:val="32"/>
        </w:rPr>
        <w:t>大用户加自然增长法预测</w:t>
      </w:r>
      <w:bookmarkEnd w:id="278"/>
      <w:bookmarkEnd w:id="279"/>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考虑西咸新区为国家级新区，根据用户报装情况，近期负荷发展较快，负荷预测适宜采用大用户加自然增长法。</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 xml:space="preserve">1.现状负荷。2020年西咸新区最大负荷为940兆瓦。 </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新增大用户负荷。2021-2025年西咸新区10千伏用户分年报装（预估）容量如下表所示。表中统计2021-2025年为新区申请报装（预估）容量5兆伏安以上的用户，对于报装容量小于5兆伏安的用户，此次预测将其负荷增长计入自然增长。</w:t>
      </w:r>
    </w:p>
    <w:p>
      <w:pPr>
        <w:pStyle w:val="150"/>
        <w:keepNext w:val="0"/>
        <w:keepLines w:val="0"/>
        <w:pageBreakBefore w:val="0"/>
        <w:widowControl w:val="0"/>
        <w:kinsoku/>
        <w:wordWrap/>
        <w:overflowPunct/>
        <w:topLinePunct w:val="0"/>
        <w:autoSpaceDE/>
        <w:autoSpaceDN/>
        <w:bidi w:val="0"/>
        <w:adjustRightInd w:val="0"/>
        <w:snapToGrid w:val="0"/>
        <w:spacing w:line="640" w:lineRule="exact"/>
        <w:ind w:left="0" w:leftChars="0" w:firstLine="0" w:firstLineChars="0"/>
        <w:jc w:val="center"/>
        <w:textAlignment w:val="auto"/>
        <w:rPr>
          <w:rFonts w:hint="eastAsia" w:ascii="黑体" w:hAnsi="黑体" w:eastAsia="黑体" w:cs="黑体"/>
          <w:b w:val="0"/>
          <w:bCs w:val="0"/>
          <w:kern w:val="0"/>
          <w:sz w:val="28"/>
          <w:szCs w:val="28"/>
          <w:lang w:val="en-US" w:eastAsia="zh-CN" w:bidi="ar-SA"/>
        </w:rPr>
      </w:pPr>
      <w:r>
        <w:rPr>
          <w:rFonts w:hint="eastAsia" w:ascii="黑体" w:hAnsi="黑体" w:eastAsia="黑体" w:cs="黑体"/>
          <w:b w:val="0"/>
          <w:bCs w:val="0"/>
          <w:kern w:val="0"/>
          <w:sz w:val="28"/>
          <w:szCs w:val="28"/>
          <w:lang w:val="en-US" w:eastAsia="zh-CN" w:bidi="ar-SA"/>
        </w:rPr>
        <w:t>表5-1  西咸新区10千伏大用户申请报装、预估报装情况统计表</w:t>
      </w:r>
    </w:p>
    <w:tbl>
      <w:tblPr>
        <w:tblStyle w:val="88"/>
        <w:tblW w:w="8535"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5" w:type="dxa"/>
          <w:left w:w="15" w:type="dxa"/>
          <w:bottom w:w="15" w:type="dxa"/>
          <w:right w:w="15" w:type="dxa"/>
        </w:tblCellMar>
      </w:tblPr>
      <w:tblGrid>
        <w:gridCol w:w="1451"/>
        <w:gridCol w:w="1386"/>
        <w:gridCol w:w="1386"/>
        <w:gridCol w:w="1386"/>
        <w:gridCol w:w="1386"/>
        <w:gridCol w:w="1540"/>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20" w:hRule="atLeast"/>
          <w:jc w:val="center"/>
        </w:trPr>
        <w:tc>
          <w:tcPr>
            <w:tcW w:w="1451" w:type="dxa"/>
            <w:vMerge w:val="restart"/>
            <w:tcBorders>
              <w:tl2br w:val="nil"/>
              <w:tr2bl w:val="nil"/>
            </w:tcBorders>
            <w:shd w:val="clear" w:color="auto" w:fill="FFFFFF"/>
            <w:vAlign w:val="center"/>
          </w:tcPr>
          <w:p>
            <w:pPr>
              <w:widowControl/>
              <w:spacing w:line="240" w:lineRule="auto"/>
              <w:jc w:val="center"/>
              <w:textAlignment w:val="center"/>
              <w:rPr>
                <w:rFonts w:hint="eastAsia" w:ascii="方正仿宋_GB2312" w:hAnsi="方正仿宋_GB2312" w:eastAsia="方正仿宋_GB2312" w:cs="方正仿宋_GB2312"/>
                <w:kern w:val="0"/>
                <w:sz w:val="21"/>
                <w:szCs w:val="21"/>
              </w:rPr>
            </w:pPr>
          </w:p>
        </w:tc>
        <w:tc>
          <w:tcPr>
            <w:tcW w:w="7084" w:type="dxa"/>
            <w:gridSpan w:val="5"/>
            <w:tcBorders>
              <w:tl2br w:val="nil"/>
              <w:tr2bl w:val="nil"/>
            </w:tcBorders>
            <w:shd w:val="clear" w:color="auto" w:fill="FFFFFF"/>
            <w:vAlign w:val="center"/>
          </w:tcPr>
          <w:p>
            <w:pPr>
              <w:widowControl/>
              <w:spacing w:line="240" w:lineRule="auto"/>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用户申请报装、预估容量（兆伏安）</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20" w:hRule="atLeast"/>
          <w:jc w:val="center"/>
        </w:trPr>
        <w:tc>
          <w:tcPr>
            <w:tcW w:w="1451" w:type="dxa"/>
            <w:vMerge w:val="continue"/>
            <w:tcBorders>
              <w:tl2br w:val="nil"/>
              <w:tr2bl w:val="nil"/>
            </w:tcBorders>
            <w:vAlign w:val="center"/>
          </w:tcPr>
          <w:p>
            <w:pPr>
              <w:widowControl/>
              <w:spacing w:line="240" w:lineRule="auto"/>
              <w:jc w:val="left"/>
              <w:rPr>
                <w:rFonts w:hint="eastAsia" w:ascii="方正仿宋_GB2312" w:hAnsi="方正仿宋_GB2312" w:eastAsia="方正仿宋_GB2312" w:cs="方正仿宋_GB2312"/>
                <w:kern w:val="0"/>
                <w:sz w:val="21"/>
                <w:szCs w:val="21"/>
              </w:rPr>
            </w:pPr>
          </w:p>
        </w:tc>
        <w:tc>
          <w:tcPr>
            <w:tcW w:w="1386" w:type="dxa"/>
            <w:tcBorders>
              <w:tl2br w:val="nil"/>
              <w:tr2bl w:val="nil"/>
            </w:tcBorders>
            <w:shd w:val="clear" w:color="auto" w:fill="FFFFFF"/>
            <w:vAlign w:val="center"/>
          </w:tcPr>
          <w:p>
            <w:pPr>
              <w:widowControl/>
              <w:spacing w:line="240" w:lineRule="auto"/>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2021年</w:t>
            </w:r>
          </w:p>
        </w:tc>
        <w:tc>
          <w:tcPr>
            <w:tcW w:w="1386" w:type="dxa"/>
            <w:tcBorders>
              <w:tl2br w:val="nil"/>
              <w:tr2bl w:val="nil"/>
            </w:tcBorders>
            <w:shd w:val="clear" w:color="auto" w:fill="FFFFFF"/>
            <w:vAlign w:val="center"/>
          </w:tcPr>
          <w:p>
            <w:pPr>
              <w:widowControl/>
              <w:spacing w:line="240" w:lineRule="auto"/>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2022年</w:t>
            </w:r>
          </w:p>
        </w:tc>
        <w:tc>
          <w:tcPr>
            <w:tcW w:w="1386" w:type="dxa"/>
            <w:tcBorders>
              <w:tl2br w:val="nil"/>
              <w:tr2bl w:val="nil"/>
            </w:tcBorders>
            <w:shd w:val="clear" w:color="auto" w:fill="FFFFFF"/>
            <w:vAlign w:val="center"/>
          </w:tcPr>
          <w:p>
            <w:pPr>
              <w:widowControl/>
              <w:spacing w:line="240" w:lineRule="auto"/>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2023年</w:t>
            </w:r>
          </w:p>
        </w:tc>
        <w:tc>
          <w:tcPr>
            <w:tcW w:w="1386" w:type="dxa"/>
            <w:tcBorders>
              <w:tl2br w:val="nil"/>
              <w:tr2bl w:val="nil"/>
            </w:tcBorders>
            <w:shd w:val="clear" w:color="auto" w:fill="FFFFFF"/>
            <w:vAlign w:val="center"/>
          </w:tcPr>
          <w:p>
            <w:pPr>
              <w:widowControl/>
              <w:spacing w:line="240" w:lineRule="auto"/>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2024年</w:t>
            </w:r>
          </w:p>
        </w:tc>
        <w:tc>
          <w:tcPr>
            <w:tcW w:w="1540" w:type="dxa"/>
            <w:tcBorders>
              <w:tl2br w:val="nil"/>
              <w:tr2bl w:val="nil"/>
            </w:tcBorders>
            <w:shd w:val="clear" w:color="auto" w:fill="FFFFFF"/>
            <w:vAlign w:val="center"/>
          </w:tcPr>
          <w:p>
            <w:pPr>
              <w:widowControl/>
              <w:spacing w:line="240" w:lineRule="auto"/>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2025年</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20" w:hRule="atLeast"/>
          <w:jc w:val="center"/>
        </w:trPr>
        <w:tc>
          <w:tcPr>
            <w:tcW w:w="1451" w:type="dxa"/>
            <w:tcBorders>
              <w:tl2br w:val="nil"/>
              <w:tr2bl w:val="nil"/>
            </w:tcBorders>
            <w:shd w:val="clear" w:color="auto" w:fill="FFFFFF"/>
            <w:vAlign w:val="center"/>
          </w:tcPr>
          <w:p>
            <w:pPr>
              <w:widowControl/>
              <w:spacing w:line="240" w:lineRule="auto"/>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西咸新区</w:t>
            </w:r>
          </w:p>
        </w:tc>
        <w:tc>
          <w:tcPr>
            <w:tcW w:w="1386" w:type="dxa"/>
            <w:tcBorders>
              <w:tl2br w:val="nil"/>
              <w:tr2bl w:val="nil"/>
            </w:tcBorders>
            <w:shd w:val="clear" w:color="auto" w:fill="FFFFFF"/>
            <w:vAlign w:val="center"/>
          </w:tcPr>
          <w:p>
            <w:pPr>
              <w:pStyle w:val="81"/>
              <w:spacing w:before="0" w:beforeAutospacing="0" w:after="0" w:afterAutospacing="0"/>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24"/>
                <w:sz w:val="21"/>
                <w:szCs w:val="21"/>
              </w:rPr>
              <w:t xml:space="preserve">459 </w:t>
            </w:r>
          </w:p>
        </w:tc>
        <w:tc>
          <w:tcPr>
            <w:tcW w:w="1386" w:type="dxa"/>
            <w:tcBorders>
              <w:tl2br w:val="nil"/>
              <w:tr2bl w:val="nil"/>
            </w:tcBorders>
            <w:shd w:val="clear" w:color="auto" w:fill="FFFFFF"/>
            <w:vAlign w:val="center"/>
          </w:tcPr>
          <w:p>
            <w:pPr>
              <w:pStyle w:val="81"/>
              <w:spacing w:before="0" w:beforeAutospacing="0" w:after="0" w:afterAutospacing="0"/>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24"/>
                <w:sz w:val="21"/>
                <w:szCs w:val="21"/>
              </w:rPr>
              <w:t xml:space="preserve">462 </w:t>
            </w:r>
          </w:p>
        </w:tc>
        <w:tc>
          <w:tcPr>
            <w:tcW w:w="1386" w:type="dxa"/>
            <w:tcBorders>
              <w:tl2br w:val="nil"/>
              <w:tr2bl w:val="nil"/>
            </w:tcBorders>
            <w:shd w:val="clear" w:color="auto" w:fill="FFFFFF"/>
            <w:vAlign w:val="center"/>
          </w:tcPr>
          <w:p>
            <w:pPr>
              <w:pStyle w:val="81"/>
              <w:spacing w:before="0" w:beforeAutospacing="0" w:after="0" w:afterAutospacing="0"/>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24"/>
                <w:sz w:val="21"/>
                <w:szCs w:val="21"/>
              </w:rPr>
              <w:t xml:space="preserve">453 </w:t>
            </w:r>
          </w:p>
        </w:tc>
        <w:tc>
          <w:tcPr>
            <w:tcW w:w="1386" w:type="dxa"/>
            <w:tcBorders>
              <w:tl2br w:val="nil"/>
              <w:tr2bl w:val="nil"/>
            </w:tcBorders>
            <w:shd w:val="clear" w:color="auto" w:fill="FFFFFF"/>
            <w:vAlign w:val="center"/>
          </w:tcPr>
          <w:p>
            <w:pPr>
              <w:pStyle w:val="81"/>
              <w:spacing w:before="0" w:beforeAutospacing="0" w:after="0" w:afterAutospacing="0"/>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24"/>
                <w:sz w:val="21"/>
                <w:szCs w:val="21"/>
              </w:rPr>
              <w:t xml:space="preserve">455 </w:t>
            </w:r>
          </w:p>
        </w:tc>
        <w:tc>
          <w:tcPr>
            <w:tcW w:w="1540" w:type="dxa"/>
            <w:tcBorders>
              <w:tl2br w:val="nil"/>
              <w:tr2bl w:val="nil"/>
            </w:tcBorders>
            <w:shd w:val="clear" w:color="auto" w:fill="FFFFFF"/>
            <w:vAlign w:val="center"/>
          </w:tcPr>
          <w:p>
            <w:pPr>
              <w:pStyle w:val="81"/>
              <w:spacing w:before="0" w:beforeAutospacing="0" w:after="0" w:afterAutospacing="0"/>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24"/>
                <w:sz w:val="21"/>
                <w:szCs w:val="21"/>
              </w:rPr>
              <w:t xml:space="preserve">580 </w:t>
            </w:r>
          </w:p>
        </w:tc>
      </w:tr>
    </w:tbl>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 w:hAnsi="仿宋" w:cs="仿宋"/>
          <w:kern w:val="2"/>
          <w:sz w:val="32"/>
          <w:szCs w:val="32"/>
          <w:lang w:val="en-US" w:eastAsia="zh-CN" w:bidi="ar-SA"/>
        </w:rPr>
      </w:pPr>
      <w:r>
        <w:rPr>
          <w:rFonts w:hint="eastAsia" w:ascii="仿宋_GB2312" w:hAnsi="仿宋_GB2312" w:eastAsia="仿宋_GB2312" w:cs="仿宋_GB2312"/>
          <w:kern w:val="2"/>
          <w:sz w:val="32"/>
          <w:szCs w:val="32"/>
          <w:lang w:val="en-US" w:eastAsia="zh-CN" w:bidi="ar-SA"/>
        </w:rPr>
        <w:t>由上表知，2021年至2025年西咸新区10千伏总申请报装、预估容量为2409兆伏安。各类用户中，商务商业类用户占比最大，占总报装（预估）容量的41.37%，商住混合类占比33.22%，工业类占比12.09%，文旅酒店类占比6.62%，医疗卫生类占比3.51%，教育占比1.59%，其他类占比1.58%。没有高耗能、钢铁冶炼等受政策影响较大的产业。负荷性质分布见下图。</w:t>
      </w:r>
    </w:p>
    <w:p>
      <w:pPr>
        <w:pStyle w:val="154"/>
        <w:ind w:firstLine="560"/>
        <w:jc w:val="center"/>
        <w:rPr>
          <w:rFonts w:eastAsia="仿宋" w:cs="Times New Roman"/>
        </w:rPr>
      </w:pPr>
      <w:r>
        <w:rPr>
          <w:rFonts w:eastAsia="仿宋" w:cs="Times New Roman"/>
        </w:rPr>
        <w:drawing>
          <wp:inline distT="0" distB="0" distL="0" distR="0">
            <wp:extent cx="4582795" cy="2958465"/>
            <wp:effectExtent l="0" t="0" r="0" b="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7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589552" cy="2963108"/>
                    </a:xfrm>
                    <a:prstGeom prst="rect">
                      <a:avLst/>
                    </a:prstGeom>
                    <a:noFill/>
                    <a:ln>
                      <a:noFill/>
                    </a:ln>
                  </pic:spPr>
                </pic:pic>
              </a:graphicData>
            </a:graphic>
          </wp:inline>
        </w:drawing>
      </w:r>
    </w:p>
    <w:p>
      <w:pPr>
        <w:pStyle w:val="150"/>
        <w:keepNext w:val="0"/>
        <w:keepLines w:val="0"/>
        <w:pageBreakBefore w:val="0"/>
        <w:widowControl w:val="0"/>
        <w:kinsoku/>
        <w:wordWrap/>
        <w:overflowPunct/>
        <w:topLinePunct w:val="0"/>
        <w:autoSpaceDE/>
        <w:autoSpaceDN/>
        <w:bidi w:val="0"/>
        <w:adjustRightInd w:val="0"/>
        <w:snapToGrid w:val="0"/>
        <w:spacing w:line="560" w:lineRule="exact"/>
        <w:ind w:left="0" w:leftChars="0" w:firstLine="0" w:firstLineChars="0"/>
        <w:jc w:val="center"/>
        <w:textAlignment w:val="auto"/>
        <w:rPr>
          <w:rFonts w:hint="eastAsia" w:ascii="黑体" w:hAnsi="黑体" w:eastAsia="黑体" w:cs="黑体"/>
          <w:b/>
          <w:bCs/>
          <w:kern w:val="0"/>
          <w:sz w:val="21"/>
          <w:szCs w:val="21"/>
          <w:lang w:val="en-US" w:eastAsia="zh-CN" w:bidi="ar-SA"/>
        </w:rPr>
      </w:pPr>
      <w:r>
        <w:rPr>
          <w:rFonts w:hint="eastAsia" w:ascii="黑体" w:hAnsi="黑体" w:eastAsia="黑体" w:cs="黑体"/>
          <w:b/>
          <w:bCs/>
          <w:kern w:val="0"/>
          <w:sz w:val="21"/>
          <w:szCs w:val="21"/>
          <w:lang w:val="en-US" w:eastAsia="zh-CN" w:bidi="ar-SA"/>
        </w:rPr>
        <w:t>图5-1  西咸报装负荷性质分类</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3.预测结果。依据“十四五”期间新增用电情况，并参考《2020年西咸新区重点建设项目》中在建项目的负荷性质和项目的建设进度，采用自然增长加大用户法得出高、中、低三种预测结果。自然增长率一般取3%-5%，需用系数0.4-0.6。2021-2025年西咸新区分年负荷预测见下表：</w:t>
      </w:r>
    </w:p>
    <w:p>
      <w:pPr>
        <w:pStyle w:val="150"/>
        <w:keepNext w:val="0"/>
        <w:keepLines w:val="0"/>
        <w:pageBreakBefore w:val="0"/>
        <w:widowControl w:val="0"/>
        <w:kinsoku/>
        <w:wordWrap/>
        <w:overflowPunct/>
        <w:topLinePunct w:val="0"/>
        <w:autoSpaceDE/>
        <w:autoSpaceDN/>
        <w:bidi w:val="0"/>
        <w:adjustRightInd w:val="0"/>
        <w:snapToGrid w:val="0"/>
        <w:spacing w:line="640" w:lineRule="exact"/>
        <w:ind w:left="0" w:leftChars="0" w:firstLine="0" w:firstLineChars="0"/>
        <w:jc w:val="both"/>
        <w:textAlignment w:val="auto"/>
        <w:rPr>
          <w:rFonts w:hint="eastAsia" w:ascii="黑体" w:hAnsi="黑体" w:eastAsia="黑体" w:cs="黑体"/>
          <w:b/>
          <w:bCs/>
          <w:kern w:val="0"/>
          <w:sz w:val="28"/>
          <w:szCs w:val="28"/>
          <w:lang w:val="en-US" w:eastAsia="zh-CN" w:bidi="ar-SA"/>
        </w:rPr>
      </w:pPr>
      <w:r>
        <w:rPr>
          <w:rFonts w:hint="eastAsia" w:ascii="黑体" w:hAnsi="黑体" w:eastAsia="黑体" w:cs="黑体"/>
          <w:b/>
          <w:bCs/>
          <w:kern w:val="0"/>
          <w:sz w:val="28"/>
          <w:szCs w:val="28"/>
          <w:lang w:val="en-US" w:eastAsia="zh-CN" w:bidi="ar-SA"/>
        </w:rPr>
        <w:t>表5-2  西咸新区2021-2025年负荷预测表（大用户加自然增长法）</w:t>
      </w:r>
    </w:p>
    <w:tbl>
      <w:tblPr>
        <w:tblStyle w:val="88"/>
        <w:tblW w:w="8836" w:type="dxa"/>
        <w:tblInd w:w="0" w:type="dxa"/>
        <w:tblLayout w:type="fixed"/>
        <w:tblCellMar>
          <w:top w:w="0" w:type="dxa"/>
          <w:left w:w="108" w:type="dxa"/>
          <w:bottom w:w="0" w:type="dxa"/>
          <w:right w:w="108" w:type="dxa"/>
        </w:tblCellMar>
      </w:tblPr>
      <w:tblGrid>
        <w:gridCol w:w="934"/>
        <w:gridCol w:w="1180"/>
        <w:gridCol w:w="1125"/>
        <w:gridCol w:w="1144"/>
        <w:gridCol w:w="1144"/>
        <w:gridCol w:w="1144"/>
        <w:gridCol w:w="1144"/>
        <w:gridCol w:w="1021"/>
      </w:tblGrid>
      <w:tr>
        <w:tblPrEx>
          <w:tblCellMar>
            <w:top w:w="0" w:type="dxa"/>
            <w:left w:w="108" w:type="dxa"/>
            <w:bottom w:w="0" w:type="dxa"/>
            <w:right w:w="108" w:type="dxa"/>
          </w:tblCellMar>
        </w:tblPrEx>
        <w:trPr>
          <w:trHeight w:val="838" w:hRule="atLeast"/>
        </w:trPr>
        <w:tc>
          <w:tcPr>
            <w:tcW w:w="93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类型</w:t>
            </w:r>
          </w:p>
        </w:tc>
        <w:tc>
          <w:tcPr>
            <w:tcW w:w="1180"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方案</w:t>
            </w:r>
          </w:p>
        </w:tc>
        <w:tc>
          <w:tcPr>
            <w:tcW w:w="1125"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2021</w:t>
            </w:r>
          </w:p>
        </w:tc>
        <w:tc>
          <w:tcPr>
            <w:tcW w:w="1144"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2022</w:t>
            </w:r>
          </w:p>
        </w:tc>
        <w:tc>
          <w:tcPr>
            <w:tcW w:w="1144"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2023</w:t>
            </w:r>
          </w:p>
        </w:tc>
        <w:tc>
          <w:tcPr>
            <w:tcW w:w="1144"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2024</w:t>
            </w:r>
          </w:p>
        </w:tc>
        <w:tc>
          <w:tcPr>
            <w:tcW w:w="1144"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2025</w:t>
            </w:r>
          </w:p>
        </w:tc>
        <w:tc>
          <w:tcPr>
            <w:tcW w:w="1021"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十四五年均增长率</w:t>
            </w:r>
          </w:p>
        </w:tc>
      </w:tr>
      <w:tr>
        <w:tblPrEx>
          <w:tblCellMar>
            <w:top w:w="0" w:type="dxa"/>
            <w:left w:w="108" w:type="dxa"/>
            <w:bottom w:w="0" w:type="dxa"/>
            <w:right w:w="108" w:type="dxa"/>
          </w:tblCellMar>
        </w:tblPrEx>
        <w:trPr>
          <w:trHeight w:val="310" w:hRule="atLeast"/>
        </w:trPr>
        <w:tc>
          <w:tcPr>
            <w:tcW w:w="934" w:type="dxa"/>
            <w:vMerge w:val="restart"/>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全社会最大负荷（兆瓦)</w:t>
            </w:r>
          </w:p>
        </w:tc>
        <w:tc>
          <w:tcPr>
            <w:tcW w:w="118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高</w:t>
            </w:r>
          </w:p>
        </w:tc>
        <w:tc>
          <w:tcPr>
            <w:tcW w:w="112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1262</w:t>
            </w:r>
          </w:p>
        </w:tc>
        <w:tc>
          <w:tcPr>
            <w:tcW w:w="114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1603</w:t>
            </w:r>
          </w:p>
        </w:tc>
        <w:tc>
          <w:tcPr>
            <w:tcW w:w="114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1955</w:t>
            </w:r>
          </w:p>
        </w:tc>
        <w:tc>
          <w:tcPr>
            <w:tcW w:w="114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2325</w:t>
            </w:r>
          </w:p>
        </w:tc>
        <w:tc>
          <w:tcPr>
            <w:tcW w:w="114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2790</w:t>
            </w:r>
          </w:p>
        </w:tc>
        <w:tc>
          <w:tcPr>
            <w:tcW w:w="1021"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25.59%</w:t>
            </w:r>
          </w:p>
        </w:tc>
      </w:tr>
      <w:tr>
        <w:tblPrEx>
          <w:tblCellMar>
            <w:top w:w="0" w:type="dxa"/>
            <w:left w:w="108" w:type="dxa"/>
            <w:bottom w:w="0" w:type="dxa"/>
            <w:right w:w="108" w:type="dxa"/>
          </w:tblCellMar>
        </w:tblPrEx>
        <w:trPr>
          <w:trHeight w:val="310" w:hRule="atLeast"/>
        </w:trPr>
        <w:tc>
          <w:tcPr>
            <w:tcW w:w="934"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hint="eastAsia" w:ascii="方正仿宋_GB2312" w:hAnsi="方正仿宋_GB2312" w:eastAsia="方正仿宋_GB2312" w:cs="方正仿宋_GB2312"/>
                <w:color w:val="000000"/>
                <w:kern w:val="0"/>
                <w:sz w:val="21"/>
                <w:szCs w:val="21"/>
              </w:rPr>
            </w:pPr>
          </w:p>
        </w:tc>
        <w:tc>
          <w:tcPr>
            <w:tcW w:w="118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中</w:t>
            </w:r>
          </w:p>
        </w:tc>
        <w:tc>
          <w:tcPr>
            <w:tcW w:w="112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1157</w:t>
            </w:r>
          </w:p>
        </w:tc>
        <w:tc>
          <w:tcPr>
            <w:tcW w:w="114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1486</w:t>
            </w:r>
          </w:p>
        </w:tc>
        <w:tc>
          <w:tcPr>
            <w:tcW w:w="114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1772</w:t>
            </w:r>
          </w:p>
        </w:tc>
        <w:tc>
          <w:tcPr>
            <w:tcW w:w="114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2071</w:t>
            </w:r>
          </w:p>
        </w:tc>
        <w:tc>
          <w:tcPr>
            <w:tcW w:w="114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2444</w:t>
            </w:r>
          </w:p>
        </w:tc>
        <w:tc>
          <w:tcPr>
            <w:tcW w:w="1021"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22.30%</w:t>
            </w:r>
          </w:p>
        </w:tc>
      </w:tr>
      <w:tr>
        <w:tblPrEx>
          <w:tblCellMar>
            <w:top w:w="0" w:type="dxa"/>
            <w:left w:w="108" w:type="dxa"/>
            <w:bottom w:w="0" w:type="dxa"/>
            <w:right w:w="108" w:type="dxa"/>
          </w:tblCellMar>
        </w:tblPrEx>
        <w:trPr>
          <w:trHeight w:val="531" w:hRule="atLeast"/>
        </w:trPr>
        <w:tc>
          <w:tcPr>
            <w:tcW w:w="934"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hint="eastAsia" w:ascii="方正仿宋_GB2312" w:hAnsi="方正仿宋_GB2312" w:eastAsia="方正仿宋_GB2312" w:cs="方正仿宋_GB2312"/>
                <w:color w:val="000000"/>
                <w:kern w:val="0"/>
                <w:sz w:val="21"/>
                <w:szCs w:val="21"/>
              </w:rPr>
            </w:pPr>
          </w:p>
        </w:tc>
        <w:tc>
          <w:tcPr>
            <w:tcW w:w="118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低</w:t>
            </w:r>
          </w:p>
        </w:tc>
        <w:tc>
          <w:tcPr>
            <w:tcW w:w="112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1042</w:t>
            </w:r>
          </w:p>
        </w:tc>
        <w:tc>
          <w:tcPr>
            <w:tcW w:w="114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1383</w:t>
            </w:r>
          </w:p>
        </w:tc>
        <w:tc>
          <w:tcPr>
            <w:tcW w:w="114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1619</w:t>
            </w:r>
          </w:p>
        </w:tc>
        <w:tc>
          <w:tcPr>
            <w:tcW w:w="114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1866</w:t>
            </w:r>
          </w:p>
        </w:tc>
        <w:tc>
          <w:tcPr>
            <w:tcW w:w="114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2173</w:t>
            </w:r>
          </w:p>
        </w:tc>
        <w:tc>
          <w:tcPr>
            <w:tcW w:w="1021"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19.46%</w:t>
            </w:r>
          </w:p>
        </w:tc>
      </w:tr>
    </w:tbl>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rPr>
      </w:pPr>
      <w:bookmarkStart w:id="280" w:name="_Toc74041185"/>
      <w:bookmarkStart w:id="281" w:name="_Toc2834"/>
      <w:r>
        <w:rPr>
          <w:rFonts w:hint="eastAsia" w:ascii="黑体" w:hAnsi="黑体" w:eastAsia="黑体" w:cs="黑体"/>
          <w:b w:val="0"/>
          <w:bCs w:val="0"/>
          <w:sz w:val="32"/>
          <w:szCs w:val="32"/>
        </w:rPr>
        <w:t>负荷密度法预测</w:t>
      </w:r>
      <w:bookmarkEnd w:id="280"/>
      <w:bookmarkEnd w:id="281"/>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西咸新区远期负荷预测采用空间负荷密度法预测。</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根据本次规划中搜集的基础数据，按用地性质分类法，最终确定西咸新区负荷及用地性质分为14类，分别为：居住用地、行政办公用地、文化设施用地、教育科研用地、体育用地、医疗卫生用地、社会福利用地、文物古迹用地、商业服务业设施用地、道路与交通设施用地、工业用地、仓储用地、公共设施用地、绿地与广场用地。</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同时率选取方面，考虑同时率选取0.7～0.9。</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负荷密度指标选取方面，单位建设用地负荷密度指标差异化较大，不同地块需充分考虑该地块规划定位，发展方向和发展速度，制定适合该地块的用地负荷指标值。安排在所辖区域内选取负荷样本开展负荷指标测算分析工作，通过大量样本统计、校核和调整现有用电指标，建立科学的负荷预测模型，以得到最终具有实效性的负荷密度指标。</w:t>
      </w:r>
    </w:p>
    <w:p>
      <w:pPr>
        <w:pStyle w:val="150"/>
        <w:keepNext w:val="0"/>
        <w:keepLines w:val="0"/>
        <w:pageBreakBefore w:val="0"/>
        <w:widowControl w:val="0"/>
        <w:kinsoku/>
        <w:wordWrap/>
        <w:overflowPunct/>
        <w:topLinePunct w:val="0"/>
        <w:autoSpaceDE/>
        <w:autoSpaceDN/>
        <w:bidi w:val="0"/>
        <w:adjustRightInd w:val="0"/>
        <w:snapToGrid w:val="0"/>
        <w:spacing w:line="640" w:lineRule="exact"/>
        <w:ind w:left="0" w:leftChars="0" w:firstLine="0" w:firstLineChars="0"/>
        <w:jc w:val="center"/>
        <w:textAlignment w:val="auto"/>
        <w:rPr>
          <w:rFonts w:hint="eastAsia" w:ascii="黑体" w:hAnsi="黑体" w:eastAsia="黑体" w:cs="黑体"/>
          <w:b w:val="0"/>
          <w:bCs w:val="0"/>
          <w:kern w:val="0"/>
          <w:sz w:val="28"/>
          <w:szCs w:val="28"/>
          <w:lang w:val="en-US" w:eastAsia="zh-CN" w:bidi="ar-SA"/>
        </w:rPr>
      </w:pPr>
      <w:r>
        <w:rPr>
          <w:rFonts w:hint="eastAsia" w:ascii="黑体" w:hAnsi="黑体" w:eastAsia="黑体" w:cs="黑体"/>
          <w:b w:val="0"/>
          <w:bCs w:val="0"/>
          <w:kern w:val="0"/>
          <w:sz w:val="28"/>
          <w:szCs w:val="28"/>
          <w:lang w:val="en-US" w:eastAsia="zh-CN" w:bidi="ar-SA"/>
        </w:rPr>
        <w:t>表5-3  综合发达城市各类用地性质的用电指标情况参考表</w:t>
      </w:r>
    </w:p>
    <w:tbl>
      <w:tblPr>
        <w:tblStyle w:val="88"/>
        <w:tblW w:w="9077" w:type="dxa"/>
        <w:tblInd w:w="15"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0" w:type="dxa"/>
          <w:bottom w:w="0" w:type="dxa"/>
          <w:right w:w="0" w:type="dxa"/>
        </w:tblCellMar>
      </w:tblPr>
      <w:tblGrid>
        <w:gridCol w:w="441"/>
        <w:gridCol w:w="1214"/>
        <w:gridCol w:w="1607"/>
        <w:gridCol w:w="2080"/>
        <w:gridCol w:w="3735"/>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71" w:hRule="atLeast"/>
          <w:tblHeader/>
        </w:trPr>
        <w:tc>
          <w:tcPr>
            <w:tcW w:w="441"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序号</w:t>
            </w:r>
          </w:p>
        </w:tc>
        <w:tc>
          <w:tcPr>
            <w:tcW w:w="1214"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用地性质</w:t>
            </w: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用户类别（44类）</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44类推荐指标（W/m</w:t>
            </w:r>
            <w:r>
              <w:rPr>
                <w:rFonts w:hint="eastAsia" w:ascii="方正仿宋_GB2312" w:hAnsi="方正仿宋_GB2312" w:eastAsia="方正仿宋_GB2312" w:cs="方正仿宋_GB2312"/>
                <w:vertAlign w:val="superscript"/>
              </w:rPr>
              <w:t>2</w:t>
            </w:r>
            <w:r>
              <w:rPr>
                <w:rFonts w:hint="eastAsia" w:ascii="方正仿宋_GB2312" w:hAnsi="方正仿宋_GB2312" w:eastAsia="方正仿宋_GB2312" w:cs="方正仿宋_GB2312"/>
              </w:rPr>
              <w:t>）</w:t>
            </w:r>
          </w:p>
        </w:tc>
        <w:tc>
          <w:tcPr>
            <w:tcW w:w="3735"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用地推荐指标（W/m</w:t>
            </w:r>
            <w:r>
              <w:rPr>
                <w:rFonts w:hint="eastAsia" w:ascii="方正仿宋_GB2312" w:hAnsi="方正仿宋_GB2312" w:eastAsia="方正仿宋_GB2312" w:cs="方正仿宋_GB2312"/>
                <w:vertAlign w:val="superscript"/>
              </w:rPr>
              <w:t>2</w:t>
            </w:r>
            <w:r>
              <w:rPr>
                <w:rFonts w:hint="eastAsia" w:ascii="方正仿宋_GB2312" w:hAnsi="方正仿宋_GB2312" w:eastAsia="方正仿宋_GB2312" w:cs="方正仿宋_GB2312"/>
              </w:rPr>
              <w:t>）</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6" w:hRule="atLeast"/>
        </w:trPr>
        <w:tc>
          <w:tcPr>
            <w:tcW w:w="441"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1</w:t>
            </w:r>
          </w:p>
        </w:tc>
        <w:tc>
          <w:tcPr>
            <w:tcW w:w="1214"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居住用地</w:t>
            </w: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别墅</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18</w:t>
            </w:r>
          </w:p>
        </w:tc>
        <w:tc>
          <w:tcPr>
            <w:tcW w:w="3735"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一类居住（R11）--18</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6" w:hRule="atLeast"/>
        </w:trPr>
        <w:tc>
          <w:tcPr>
            <w:tcW w:w="441"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214"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高层住宅</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13</w:t>
            </w:r>
          </w:p>
        </w:tc>
        <w:tc>
          <w:tcPr>
            <w:tcW w:w="3735"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二类居住（R21）--13</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6" w:hRule="atLeast"/>
        </w:trPr>
        <w:tc>
          <w:tcPr>
            <w:tcW w:w="441"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214"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电采暖住宅</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19</w:t>
            </w:r>
          </w:p>
        </w:tc>
        <w:tc>
          <w:tcPr>
            <w:tcW w:w="3735" w:type="dxa"/>
            <w:vMerge w:val="continue"/>
            <w:shd w:val="clear" w:color="auto" w:fill="FFFFFF"/>
            <w:vAlign w:val="center"/>
          </w:tcPr>
          <w:p>
            <w:pPr>
              <w:pStyle w:val="152"/>
              <w:rPr>
                <w:rFonts w:hint="eastAsia" w:ascii="方正仿宋_GB2312" w:hAnsi="方正仿宋_GB2312" w:eastAsia="方正仿宋_GB2312" w:cs="方正仿宋_GB2312"/>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6" w:hRule="atLeast"/>
        </w:trPr>
        <w:tc>
          <w:tcPr>
            <w:tcW w:w="441"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2</w:t>
            </w:r>
          </w:p>
        </w:tc>
        <w:tc>
          <w:tcPr>
            <w:tcW w:w="1214"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工业用地</w:t>
            </w: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电子设备制造</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142</w:t>
            </w:r>
          </w:p>
        </w:tc>
        <w:tc>
          <w:tcPr>
            <w:tcW w:w="3735"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一类工业（M1）--100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6" w:hRule="atLeast"/>
        </w:trPr>
        <w:tc>
          <w:tcPr>
            <w:tcW w:w="441"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214"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汽车制造厂</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79</w:t>
            </w:r>
          </w:p>
        </w:tc>
        <w:tc>
          <w:tcPr>
            <w:tcW w:w="3735" w:type="dxa"/>
            <w:vMerge w:val="continue"/>
            <w:shd w:val="clear" w:color="auto" w:fill="FFFFFF"/>
            <w:vAlign w:val="center"/>
          </w:tcPr>
          <w:p>
            <w:pPr>
              <w:pStyle w:val="152"/>
              <w:rPr>
                <w:rFonts w:hint="eastAsia" w:ascii="方正仿宋_GB2312" w:hAnsi="方正仿宋_GB2312" w:eastAsia="方正仿宋_GB2312" w:cs="方正仿宋_GB2312"/>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6" w:hRule="atLeast"/>
        </w:trPr>
        <w:tc>
          <w:tcPr>
            <w:tcW w:w="441"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214"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食品加工厂</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42</w:t>
            </w:r>
          </w:p>
        </w:tc>
        <w:tc>
          <w:tcPr>
            <w:tcW w:w="3735"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二类工业（M2）--40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6" w:hRule="atLeast"/>
        </w:trPr>
        <w:tc>
          <w:tcPr>
            <w:tcW w:w="441"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214"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制药厂</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68</w:t>
            </w:r>
          </w:p>
        </w:tc>
        <w:tc>
          <w:tcPr>
            <w:tcW w:w="3735" w:type="dxa"/>
            <w:vMerge w:val="continue"/>
            <w:shd w:val="clear" w:color="auto" w:fill="FFFFFF"/>
            <w:vAlign w:val="center"/>
          </w:tcPr>
          <w:p>
            <w:pPr>
              <w:pStyle w:val="152"/>
              <w:rPr>
                <w:rFonts w:hint="eastAsia" w:ascii="方正仿宋_GB2312" w:hAnsi="方正仿宋_GB2312" w:eastAsia="方正仿宋_GB2312" w:cs="方正仿宋_GB2312"/>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6" w:hRule="atLeast"/>
        </w:trPr>
        <w:tc>
          <w:tcPr>
            <w:tcW w:w="441"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214"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纺织厂</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24</w:t>
            </w:r>
          </w:p>
        </w:tc>
        <w:tc>
          <w:tcPr>
            <w:tcW w:w="3735" w:type="dxa"/>
            <w:vMerge w:val="continue"/>
            <w:shd w:val="clear" w:color="auto" w:fill="FFFFFF"/>
            <w:vAlign w:val="center"/>
          </w:tcPr>
          <w:p>
            <w:pPr>
              <w:pStyle w:val="152"/>
              <w:rPr>
                <w:rFonts w:hint="eastAsia" w:ascii="方正仿宋_GB2312" w:hAnsi="方正仿宋_GB2312" w:eastAsia="方正仿宋_GB2312" w:cs="方正仿宋_GB2312"/>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6" w:hRule="atLeast"/>
        </w:trPr>
        <w:tc>
          <w:tcPr>
            <w:tcW w:w="441"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214"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其他</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58</w:t>
            </w:r>
          </w:p>
        </w:tc>
        <w:tc>
          <w:tcPr>
            <w:tcW w:w="3735" w:type="dxa"/>
            <w:vMerge w:val="continue"/>
            <w:shd w:val="clear" w:color="auto" w:fill="FFFFFF"/>
            <w:vAlign w:val="center"/>
          </w:tcPr>
          <w:p>
            <w:pPr>
              <w:pStyle w:val="152"/>
              <w:rPr>
                <w:rFonts w:hint="eastAsia" w:ascii="方正仿宋_GB2312" w:hAnsi="方正仿宋_GB2312" w:eastAsia="方正仿宋_GB2312" w:cs="方正仿宋_GB2312"/>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6" w:hRule="atLeast"/>
        </w:trPr>
        <w:tc>
          <w:tcPr>
            <w:tcW w:w="441"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3</w:t>
            </w:r>
          </w:p>
        </w:tc>
        <w:tc>
          <w:tcPr>
            <w:tcW w:w="1214"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商业金融</w:t>
            </w: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数据中心</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135</w:t>
            </w:r>
          </w:p>
        </w:tc>
        <w:tc>
          <w:tcPr>
            <w:tcW w:w="3735"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金融业(C22)--100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6" w:hRule="atLeast"/>
        </w:trPr>
        <w:tc>
          <w:tcPr>
            <w:tcW w:w="441"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214"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银行</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60</w:t>
            </w:r>
          </w:p>
        </w:tc>
        <w:tc>
          <w:tcPr>
            <w:tcW w:w="3735" w:type="dxa"/>
            <w:vMerge w:val="continue"/>
            <w:shd w:val="clear" w:color="auto" w:fill="FFFFFF"/>
            <w:vAlign w:val="center"/>
          </w:tcPr>
          <w:p>
            <w:pPr>
              <w:pStyle w:val="152"/>
              <w:rPr>
                <w:rFonts w:hint="eastAsia" w:ascii="方正仿宋_GB2312" w:hAnsi="方正仿宋_GB2312" w:eastAsia="方正仿宋_GB2312" w:cs="方正仿宋_GB2312"/>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6" w:hRule="atLeast"/>
        </w:trPr>
        <w:tc>
          <w:tcPr>
            <w:tcW w:w="441"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214"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大型购物中心</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70</w:t>
            </w:r>
          </w:p>
        </w:tc>
        <w:tc>
          <w:tcPr>
            <w:tcW w:w="3735"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商业、服务业用地(C21、C23-C26)--60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6" w:hRule="atLeast"/>
        </w:trPr>
        <w:tc>
          <w:tcPr>
            <w:tcW w:w="441"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214"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宾馆、酒店</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48</w:t>
            </w:r>
          </w:p>
        </w:tc>
        <w:tc>
          <w:tcPr>
            <w:tcW w:w="3735" w:type="dxa"/>
            <w:vMerge w:val="continue"/>
            <w:shd w:val="clear" w:color="auto" w:fill="FFFFFF"/>
            <w:vAlign w:val="center"/>
          </w:tcPr>
          <w:p>
            <w:pPr>
              <w:pStyle w:val="152"/>
              <w:rPr>
                <w:rFonts w:hint="eastAsia" w:ascii="方正仿宋_GB2312" w:hAnsi="方正仿宋_GB2312" w:eastAsia="方正仿宋_GB2312" w:cs="方正仿宋_GB2312"/>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6" w:hRule="atLeast"/>
        </w:trPr>
        <w:tc>
          <w:tcPr>
            <w:tcW w:w="441"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4</w:t>
            </w:r>
          </w:p>
        </w:tc>
        <w:tc>
          <w:tcPr>
            <w:tcW w:w="1214"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行政办公</w:t>
            </w: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政府机关</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35</w:t>
            </w:r>
          </w:p>
        </w:tc>
        <w:tc>
          <w:tcPr>
            <w:tcW w:w="3735"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行政办公（C1）--42</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6" w:hRule="atLeast"/>
        </w:trPr>
        <w:tc>
          <w:tcPr>
            <w:tcW w:w="441"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214"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写字楼</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48</w:t>
            </w:r>
          </w:p>
        </w:tc>
        <w:tc>
          <w:tcPr>
            <w:tcW w:w="3735" w:type="dxa"/>
            <w:vMerge w:val="continue"/>
            <w:shd w:val="clear" w:color="auto" w:fill="FFFFFF"/>
            <w:vAlign w:val="center"/>
          </w:tcPr>
          <w:p>
            <w:pPr>
              <w:pStyle w:val="152"/>
              <w:rPr>
                <w:rFonts w:hint="eastAsia" w:ascii="方正仿宋_GB2312" w:hAnsi="方正仿宋_GB2312" w:eastAsia="方正仿宋_GB2312" w:cs="方正仿宋_GB2312"/>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6" w:hRule="atLeast"/>
        </w:trPr>
        <w:tc>
          <w:tcPr>
            <w:tcW w:w="441"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5</w:t>
            </w:r>
          </w:p>
        </w:tc>
        <w:tc>
          <w:tcPr>
            <w:tcW w:w="1214"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文化娱乐</w:t>
            </w: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电影院、剧场</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58</w:t>
            </w:r>
          </w:p>
        </w:tc>
        <w:tc>
          <w:tcPr>
            <w:tcW w:w="3735"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文化娱乐（C3）--45</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6" w:hRule="atLeast"/>
        </w:trPr>
        <w:tc>
          <w:tcPr>
            <w:tcW w:w="441"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214"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图书馆</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34</w:t>
            </w:r>
          </w:p>
        </w:tc>
        <w:tc>
          <w:tcPr>
            <w:tcW w:w="3735" w:type="dxa"/>
            <w:vMerge w:val="continue"/>
            <w:shd w:val="clear" w:color="auto" w:fill="FFFFFF"/>
            <w:vAlign w:val="center"/>
          </w:tcPr>
          <w:p>
            <w:pPr>
              <w:pStyle w:val="152"/>
              <w:rPr>
                <w:rFonts w:hint="eastAsia" w:ascii="方正仿宋_GB2312" w:hAnsi="方正仿宋_GB2312" w:eastAsia="方正仿宋_GB2312" w:cs="方正仿宋_GB2312"/>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6" w:hRule="atLeast"/>
        </w:trPr>
        <w:tc>
          <w:tcPr>
            <w:tcW w:w="441"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214"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博物馆</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48</w:t>
            </w:r>
          </w:p>
        </w:tc>
        <w:tc>
          <w:tcPr>
            <w:tcW w:w="3735" w:type="dxa"/>
            <w:vMerge w:val="continue"/>
            <w:shd w:val="clear" w:color="auto" w:fill="FFFFFF"/>
            <w:vAlign w:val="center"/>
          </w:tcPr>
          <w:p>
            <w:pPr>
              <w:pStyle w:val="152"/>
              <w:rPr>
                <w:rFonts w:hint="eastAsia" w:ascii="方正仿宋_GB2312" w:hAnsi="方正仿宋_GB2312" w:eastAsia="方正仿宋_GB2312" w:cs="方正仿宋_GB2312"/>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6" w:hRule="atLeast"/>
        </w:trPr>
        <w:tc>
          <w:tcPr>
            <w:tcW w:w="441"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214"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科技馆</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33</w:t>
            </w:r>
          </w:p>
        </w:tc>
        <w:tc>
          <w:tcPr>
            <w:tcW w:w="3735" w:type="dxa"/>
            <w:vMerge w:val="continue"/>
            <w:shd w:val="clear" w:color="auto" w:fill="FFFFFF"/>
            <w:vAlign w:val="center"/>
          </w:tcPr>
          <w:p>
            <w:pPr>
              <w:pStyle w:val="152"/>
              <w:rPr>
                <w:rFonts w:hint="eastAsia" w:ascii="方正仿宋_GB2312" w:hAnsi="方正仿宋_GB2312" w:eastAsia="方正仿宋_GB2312" w:cs="方正仿宋_GB2312"/>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6" w:hRule="atLeast"/>
        </w:trPr>
        <w:tc>
          <w:tcPr>
            <w:tcW w:w="441"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6</w:t>
            </w:r>
          </w:p>
        </w:tc>
        <w:tc>
          <w:tcPr>
            <w:tcW w:w="1214"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医疗卫生</w:t>
            </w: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医院</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61</w:t>
            </w:r>
          </w:p>
        </w:tc>
        <w:tc>
          <w:tcPr>
            <w:tcW w:w="3735"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医院用地(C51)--50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6" w:hRule="atLeast"/>
        </w:trPr>
        <w:tc>
          <w:tcPr>
            <w:tcW w:w="441"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214"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急救中心</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45</w:t>
            </w:r>
          </w:p>
        </w:tc>
        <w:tc>
          <w:tcPr>
            <w:tcW w:w="3735" w:type="dxa"/>
            <w:vMerge w:val="continue"/>
            <w:shd w:val="clear" w:color="auto" w:fill="FFFFFF"/>
            <w:vAlign w:val="center"/>
          </w:tcPr>
          <w:p>
            <w:pPr>
              <w:pStyle w:val="152"/>
              <w:rPr>
                <w:rFonts w:hint="eastAsia" w:ascii="方正仿宋_GB2312" w:hAnsi="方正仿宋_GB2312" w:eastAsia="方正仿宋_GB2312" w:cs="方正仿宋_GB2312"/>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6" w:hRule="atLeast"/>
        </w:trPr>
        <w:tc>
          <w:tcPr>
            <w:tcW w:w="441"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214"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卫生防疫站</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34</w:t>
            </w:r>
          </w:p>
        </w:tc>
        <w:tc>
          <w:tcPr>
            <w:tcW w:w="3735"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卫生防疫、疗养(C52、C53)--20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6" w:hRule="atLeast"/>
        </w:trPr>
        <w:tc>
          <w:tcPr>
            <w:tcW w:w="441"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214"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休养所和疗养院</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17</w:t>
            </w:r>
          </w:p>
        </w:tc>
        <w:tc>
          <w:tcPr>
            <w:tcW w:w="3735" w:type="dxa"/>
            <w:vMerge w:val="continue"/>
            <w:shd w:val="clear" w:color="auto" w:fill="FFFFFF"/>
            <w:vAlign w:val="center"/>
          </w:tcPr>
          <w:p>
            <w:pPr>
              <w:pStyle w:val="152"/>
              <w:rPr>
                <w:rFonts w:hint="eastAsia" w:ascii="方正仿宋_GB2312" w:hAnsi="方正仿宋_GB2312" w:eastAsia="方正仿宋_GB2312" w:cs="方正仿宋_GB2312"/>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6" w:hRule="atLeast"/>
        </w:trPr>
        <w:tc>
          <w:tcPr>
            <w:tcW w:w="441"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7</w:t>
            </w:r>
          </w:p>
        </w:tc>
        <w:tc>
          <w:tcPr>
            <w:tcW w:w="1214"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教育科研</w:t>
            </w: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大学</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48</w:t>
            </w:r>
          </w:p>
        </w:tc>
        <w:tc>
          <w:tcPr>
            <w:tcW w:w="3735"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高等学校及科研（C61、C65）--42</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6" w:hRule="atLeast"/>
        </w:trPr>
        <w:tc>
          <w:tcPr>
            <w:tcW w:w="441"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214"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科研机构</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39</w:t>
            </w:r>
          </w:p>
        </w:tc>
        <w:tc>
          <w:tcPr>
            <w:tcW w:w="3735" w:type="dxa"/>
            <w:vMerge w:val="continue"/>
            <w:shd w:val="clear" w:color="auto" w:fill="FFFFFF"/>
            <w:vAlign w:val="center"/>
          </w:tcPr>
          <w:p>
            <w:pPr>
              <w:pStyle w:val="152"/>
              <w:rPr>
                <w:rFonts w:hint="eastAsia" w:ascii="方正仿宋_GB2312" w:hAnsi="方正仿宋_GB2312" w:eastAsia="方正仿宋_GB2312" w:cs="方正仿宋_GB2312"/>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6" w:hRule="atLeast"/>
        </w:trPr>
        <w:tc>
          <w:tcPr>
            <w:tcW w:w="441"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8</w:t>
            </w:r>
          </w:p>
        </w:tc>
        <w:tc>
          <w:tcPr>
            <w:tcW w:w="1214"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中小学托幼</w:t>
            </w: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中学</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45</w:t>
            </w:r>
          </w:p>
        </w:tc>
        <w:tc>
          <w:tcPr>
            <w:tcW w:w="3735"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公共服务设施（中小学托幼R12、R22）--36</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6" w:hRule="atLeast"/>
        </w:trPr>
        <w:tc>
          <w:tcPr>
            <w:tcW w:w="441"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214"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小学</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32</w:t>
            </w:r>
          </w:p>
        </w:tc>
        <w:tc>
          <w:tcPr>
            <w:tcW w:w="3735" w:type="dxa"/>
            <w:vMerge w:val="continue"/>
            <w:shd w:val="clear" w:color="auto" w:fill="FFFFFF"/>
            <w:vAlign w:val="center"/>
          </w:tcPr>
          <w:p>
            <w:pPr>
              <w:pStyle w:val="152"/>
              <w:rPr>
                <w:rFonts w:hint="eastAsia" w:ascii="方正仿宋_GB2312" w:hAnsi="方正仿宋_GB2312" w:eastAsia="方正仿宋_GB2312" w:cs="方正仿宋_GB2312"/>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6" w:hRule="atLeast"/>
        </w:trPr>
        <w:tc>
          <w:tcPr>
            <w:tcW w:w="441"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214"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幼儿园</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29</w:t>
            </w:r>
          </w:p>
        </w:tc>
        <w:tc>
          <w:tcPr>
            <w:tcW w:w="3735" w:type="dxa"/>
            <w:vMerge w:val="continue"/>
            <w:shd w:val="clear" w:color="auto" w:fill="FFFFFF"/>
            <w:vAlign w:val="center"/>
          </w:tcPr>
          <w:p>
            <w:pPr>
              <w:pStyle w:val="152"/>
              <w:rPr>
                <w:rFonts w:hint="eastAsia" w:ascii="方正仿宋_GB2312" w:hAnsi="方正仿宋_GB2312" w:eastAsia="方正仿宋_GB2312" w:cs="方正仿宋_GB2312"/>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6" w:hRule="atLeast"/>
        </w:trPr>
        <w:tc>
          <w:tcPr>
            <w:tcW w:w="441"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9</w:t>
            </w:r>
          </w:p>
        </w:tc>
        <w:tc>
          <w:tcPr>
            <w:tcW w:w="1214"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体育用地</w:t>
            </w: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户外球场</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46</w:t>
            </w:r>
          </w:p>
        </w:tc>
        <w:tc>
          <w:tcPr>
            <w:tcW w:w="3735"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体育用地（C4）--50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6" w:hRule="atLeast"/>
        </w:trPr>
        <w:tc>
          <w:tcPr>
            <w:tcW w:w="441"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214"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户内场馆</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56</w:t>
            </w:r>
          </w:p>
        </w:tc>
        <w:tc>
          <w:tcPr>
            <w:tcW w:w="3735" w:type="dxa"/>
            <w:vMerge w:val="continue"/>
            <w:shd w:val="clear" w:color="auto" w:fill="FFFFFF"/>
            <w:vAlign w:val="center"/>
          </w:tcPr>
          <w:p>
            <w:pPr>
              <w:pStyle w:val="152"/>
              <w:rPr>
                <w:rFonts w:hint="eastAsia" w:ascii="方正仿宋_GB2312" w:hAnsi="方正仿宋_GB2312" w:eastAsia="方正仿宋_GB2312" w:cs="方正仿宋_GB2312"/>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6" w:hRule="atLeast"/>
        </w:trPr>
        <w:tc>
          <w:tcPr>
            <w:tcW w:w="441"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10</w:t>
            </w:r>
          </w:p>
        </w:tc>
        <w:tc>
          <w:tcPr>
            <w:tcW w:w="1214"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市政设施用地</w:t>
            </w: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雨水泵站</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39</w:t>
            </w:r>
          </w:p>
        </w:tc>
        <w:tc>
          <w:tcPr>
            <w:tcW w:w="3735"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市政设施用地（U1）--40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6" w:hRule="atLeast"/>
        </w:trPr>
        <w:tc>
          <w:tcPr>
            <w:tcW w:w="441"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214"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储气站、加油站</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38</w:t>
            </w:r>
          </w:p>
        </w:tc>
        <w:tc>
          <w:tcPr>
            <w:tcW w:w="3735" w:type="dxa"/>
            <w:vMerge w:val="continue"/>
            <w:shd w:val="clear" w:color="auto" w:fill="FFFFFF"/>
            <w:vAlign w:val="center"/>
          </w:tcPr>
          <w:p>
            <w:pPr>
              <w:pStyle w:val="152"/>
              <w:rPr>
                <w:rFonts w:hint="eastAsia" w:ascii="方正仿宋_GB2312" w:hAnsi="方正仿宋_GB2312" w:eastAsia="方正仿宋_GB2312" w:cs="方正仿宋_GB2312"/>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6" w:hRule="atLeast"/>
        </w:trPr>
        <w:tc>
          <w:tcPr>
            <w:tcW w:w="441"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214"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供热站</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52</w:t>
            </w:r>
          </w:p>
        </w:tc>
        <w:tc>
          <w:tcPr>
            <w:tcW w:w="3735" w:type="dxa"/>
            <w:vMerge w:val="continue"/>
            <w:shd w:val="clear" w:color="auto" w:fill="FFFFFF"/>
            <w:vAlign w:val="center"/>
          </w:tcPr>
          <w:p>
            <w:pPr>
              <w:pStyle w:val="152"/>
              <w:rPr>
                <w:rFonts w:hint="eastAsia" w:ascii="方正仿宋_GB2312" w:hAnsi="方正仿宋_GB2312" w:eastAsia="方正仿宋_GB2312" w:cs="方正仿宋_GB2312"/>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6" w:hRule="atLeast"/>
        </w:trPr>
        <w:tc>
          <w:tcPr>
            <w:tcW w:w="441"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11</w:t>
            </w:r>
          </w:p>
        </w:tc>
        <w:tc>
          <w:tcPr>
            <w:tcW w:w="1214"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仓储用地</w:t>
            </w: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物流基地</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29</w:t>
            </w:r>
          </w:p>
        </w:tc>
        <w:tc>
          <w:tcPr>
            <w:tcW w:w="3735"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仓储用地（W）--25</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6" w:hRule="atLeast"/>
        </w:trPr>
        <w:tc>
          <w:tcPr>
            <w:tcW w:w="441"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214"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普通仓库</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18</w:t>
            </w:r>
          </w:p>
        </w:tc>
        <w:tc>
          <w:tcPr>
            <w:tcW w:w="3735" w:type="dxa"/>
            <w:vMerge w:val="continue"/>
            <w:shd w:val="clear" w:color="auto" w:fill="FFFFFF"/>
            <w:vAlign w:val="center"/>
          </w:tcPr>
          <w:p>
            <w:pPr>
              <w:pStyle w:val="152"/>
              <w:rPr>
                <w:rFonts w:hint="eastAsia" w:ascii="方正仿宋_GB2312" w:hAnsi="方正仿宋_GB2312" w:eastAsia="方正仿宋_GB2312" w:cs="方正仿宋_GB2312"/>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6" w:hRule="atLeast"/>
        </w:trPr>
        <w:tc>
          <w:tcPr>
            <w:tcW w:w="441"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12</w:t>
            </w:r>
          </w:p>
        </w:tc>
        <w:tc>
          <w:tcPr>
            <w:tcW w:w="1214"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交通用地</w:t>
            </w: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长途客运站</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44</w:t>
            </w:r>
          </w:p>
        </w:tc>
        <w:tc>
          <w:tcPr>
            <w:tcW w:w="3735"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交通用地（U2）--40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6" w:hRule="atLeast"/>
        </w:trPr>
        <w:tc>
          <w:tcPr>
            <w:tcW w:w="441"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214"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铁路站场</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39</w:t>
            </w:r>
          </w:p>
        </w:tc>
        <w:tc>
          <w:tcPr>
            <w:tcW w:w="3735" w:type="dxa"/>
            <w:vMerge w:val="continue"/>
            <w:shd w:val="clear" w:color="auto" w:fill="FFFFFF"/>
            <w:vAlign w:val="center"/>
          </w:tcPr>
          <w:p>
            <w:pPr>
              <w:pStyle w:val="152"/>
              <w:rPr>
                <w:rFonts w:hint="eastAsia" w:ascii="方正仿宋_GB2312" w:hAnsi="方正仿宋_GB2312" w:eastAsia="方正仿宋_GB2312" w:cs="方正仿宋_GB2312"/>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6" w:hRule="atLeast"/>
        </w:trPr>
        <w:tc>
          <w:tcPr>
            <w:tcW w:w="441"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13</w:t>
            </w:r>
          </w:p>
        </w:tc>
        <w:tc>
          <w:tcPr>
            <w:tcW w:w="1214"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农业用地</w:t>
            </w: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农村企业</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18</w:t>
            </w:r>
          </w:p>
        </w:tc>
        <w:tc>
          <w:tcPr>
            <w:tcW w:w="3735"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村镇企业（B62）--20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6" w:hRule="atLeast"/>
        </w:trPr>
        <w:tc>
          <w:tcPr>
            <w:tcW w:w="441"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214"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农村住宅</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6</w:t>
            </w:r>
          </w:p>
        </w:tc>
        <w:tc>
          <w:tcPr>
            <w:tcW w:w="3735"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农业用地（B2、B61）--10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6" w:hRule="atLeast"/>
        </w:trPr>
        <w:tc>
          <w:tcPr>
            <w:tcW w:w="441"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214"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电采暖住宅</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16</w:t>
            </w:r>
          </w:p>
        </w:tc>
        <w:tc>
          <w:tcPr>
            <w:tcW w:w="3735" w:type="dxa"/>
            <w:vMerge w:val="continue"/>
            <w:shd w:val="clear" w:color="auto" w:fill="FFFFFF"/>
            <w:vAlign w:val="center"/>
          </w:tcPr>
          <w:p>
            <w:pPr>
              <w:pStyle w:val="152"/>
              <w:rPr>
                <w:rFonts w:hint="eastAsia" w:ascii="方正仿宋_GB2312" w:hAnsi="方正仿宋_GB2312" w:eastAsia="方正仿宋_GB2312" w:cs="方正仿宋_GB2312"/>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6" w:hRule="atLeast"/>
        </w:trPr>
        <w:tc>
          <w:tcPr>
            <w:tcW w:w="441"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214"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温室大棚</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3</w:t>
            </w:r>
          </w:p>
        </w:tc>
        <w:tc>
          <w:tcPr>
            <w:tcW w:w="3735" w:type="dxa"/>
            <w:vMerge w:val="continue"/>
            <w:shd w:val="clear" w:color="auto" w:fill="FFFFFF"/>
            <w:vAlign w:val="center"/>
          </w:tcPr>
          <w:p>
            <w:pPr>
              <w:pStyle w:val="152"/>
              <w:rPr>
                <w:rFonts w:hint="eastAsia" w:ascii="方正仿宋_GB2312" w:hAnsi="方正仿宋_GB2312" w:eastAsia="方正仿宋_GB2312" w:cs="方正仿宋_GB2312"/>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6" w:hRule="atLeast"/>
        </w:trPr>
        <w:tc>
          <w:tcPr>
            <w:tcW w:w="441"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14</w:t>
            </w:r>
          </w:p>
        </w:tc>
        <w:tc>
          <w:tcPr>
            <w:tcW w:w="1214"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特殊用地</w:t>
            </w: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军事设施</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14</w:t>
            </w:r>
          </w:p>
        </w:tc>
        <w:tc>
          <w:tcPr>
            <w:tcW w:w="3735"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军事用地（D1）--15</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6" w:hRule="atLeast"/>
        </w:trPr>
        <w:tc>
          <w:tcPr>
            <w:tcW w:w="441"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214" w:type="dxa"/>
            <w:vMerge w:val="continue"/>
            <w:shd w:val="clear" w:color="auto" w:fill="FFFFFF"/>
            <w:vAlign w:val="center"/>
          </w:tcPr>
          <w:p>
            <w:pPr>
              <w:pStyle w:val="152"/>
              <w:rPr>
                <w:rFonts w:hint="eastAsia" w:ascii="方正仿宋_GB2312" w:hAnsi="方正仿宋_GB2312" w:eastAsia="方正仿宋_GB2312" w:cs="方正仿宋_GB2312"/>
              </w:rPr>
            </w:pPr>
          </w:p>
        </w:tc>
        <w:tc>
          <w:tcPr>
            <w:tcW w:w="1607"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使、领馆</w:t>
            </w:r>
          </w:p>
        </w:tc>
        <w:tc>
          <w:tcPr>
            <w:tcW w:w="2080" w:type="dxa"/>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38</w:t>
            </w:r>
          </w:p>
        </w:tc>
        <w:tc>
          <w:tcPr>
            <w:tcW w:w="3735" w:type="dxa"/>
            <w:vMerge w:val="restart"/>
            <w:shd w:val="clear" w:color="auto" w:fill="FFFFFF"/>
            <w:vAlign w:val="center"/>
          </w:tcPr>
          <w:p>
            <w:pPr>
              <w:pStyle w:val="152"/>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保安用地（D2、D3）--50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465" w:hRule="atLeast"/>
        </w:trPr>
        <w:tc>
          <w:tcPr>
            <w:tcW w:w="441" w:type="dxa"/>
            <w:vMerge w:val="continue"/>
            <w:shd w:val="clear" w:color="auto" w:fill="FFFFFF"/>
            <w:vAlign w:val="center"/>
          </w:tcPr>
          <w:p>
            <w:pPr>
              <w:pStyle w:val="152"/>
              <w:rPr>
                <w:rFonts w:eastAsia="仿宋"/>
              </w:rPr>
            </w:pPr>
          </w:p>
        </w:tc>
        <w:tc>
          <w:tcPr>
            <w:tcW w:w="1214" w:type="dxa"/>
            <w:vMerge w:val="continue"/>
            <w:shd w:val="clear" w:color="auto" w:fill="FFFFFF"/>
            <w:vAlign w:val="center"/>
          </w:tcPr>
          <w:p>
            <w:pPr>
              <w:pStyle w:val="152"/>
              <w:rPr>
                <w:rFonts w:eastAsia="仿宋"/>
              </w:rPr>
            </w:pPr>
          </w:p>
        </w:tc>
        <w:tc>
          <w:tcPr>
            <w:tcW w:w="1607" w:type="dxa"/>
            <w:shd w:val="clear" w:color="auto" w:fill="FFFFFF"/>
            <w:vAlign w:val="center"/>
          </w:tcPr>
          <w:p>
            <w:pPr>
              <w:pStyle w:val="152"/>
              <w:rPr>
                <w:rFonts w:eastAsia="仿宋"/>
              </w:rPr>
            </w:pPr>
            <w:r>
              <w:rPr>
                <w:rFonts w:eastAsia="仿宋"/>
              </w:rPr>
              <w:t>监狱、拘留所</w:t>
            </w:r>
          </w:p>
        </w:tc>
        <w:tc>
          <w:tcPr>
            <w:tcW w:w="2080" w:type="dxa"/>
            <w:shd w:val="clear" w:color="auto" w:fill="FFFFFF"/>
            <w:vAlign w:val="center"/>
          </w:tcPr>
          <w:p>
            <w:pPr>
              <w:pStyle w:val="152"/>
              <w:rPr>
                <w:rFonts w:eastAsia="仿宋"/>
              </w:rPr>
            </w:pPr>
            <w:r>
              <w:rPr>
                <w:rFonts w:eastAsia="仿宋"/>
              </w:rPr>
              <w:t>58</w:t>
            </w:r>
          </w:p>
        </w:tc>
        <w:tc>
          <w:tcPr>
            <w:tcW w:w="3735" w:type="dxa"/>
            <w:vMerge w:val="continue"/>
            <w:shd w:val="clear" w:color="auto" w:fill="FFFFFF"/>
            <w:vAlign w:val="center"/>
          </w:tcPr>
          <w:p>
            <w:pPr>
              <w:pStyle w:val="152"/>
              <w:rPr>
                <w:rFonts w:eastAsia="仿宋"/>
              </w:rPr>
            </w:pPr>
          </w:p>
        </w:tc>
      </w:tr>
    </w:tbl>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根据本次规划中搜集的基础数据，按用地性质分类法，最终确定西咸新区负荷及用地性质分为14类。各类建设用地平衡表如下所示：</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left="0" w:leftChars="0" w:firstLine="0" w:firstLineChars="0"/>
        <w:jc w:val="center"/>
        <w:textAlignment w:val="auto"/>
        <w:rPr>
          <w:rFonts w:hint="eastAsia" w:ascii="黑体" w:hAnsi="黑体" w:eastAsia="黑体" w:cs="黑体"/>
          <w:b w:val="0"/>
          <w:bCs w:val="0"/>
          <w:kern w:val="0"/>
          <w:sz w:val="28"/>
          <w:szCs w:val="28"/>
          <w:lang w:val="en-US" w:eastAsia="zh-CN" w:bidi="ar-SA"/>
        </w:rPr>
      </w:pPr>
      <w:r>
        <w:rPr>
          <w:rFonts w:hint="eastAsia" w:ascii="黑体" w:hAnsi="黑体" w:eastAsia="黑体" w:cs="黑体"/>
          <w:b w:val="0"/>
          <w:bCs w:val="0"/>
          <w:kern w:val="0"/>
          <w:sz w:val="28"/>
          <w:szCs w:val="28"/>
          <w:lang w:val="en-US" w:eastAsia="zh-CN" w:bidi="ar-SA"/>
        </w:rPr>
        <w:t>表5-4  西咸新区2035年城市建设用地平衡表</w:t>
      </w:r>
    </w:p>
    <w:tbl>
      <w:tblPr>
        <w:tblStyle w:val="88"/>
        <w:tblW w:w="9033"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5" w:type="dxa"/>
          <w:left w:w="108" w:type="dxa"/>
          <w:bottom w:w="15" w:type="dxa"/>
          <w:right w:w="108" w:type="dxa"/>
        </w:tblCellMar>
      </w:tblPr>
      <w:tblGrid>
        <w:gridCol w:w="1040"/>
        <w:gridCol w:w="1405"/>
        <w:gridCol w:w="2202"/>
        <w:gridCol w:w="2922"/>
        <w:gridCol w:w="1464"/>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08" w:type="dxa"/>
            <w:bottom w:w="15" w:type="dxa"/>
            <w:right w:w="108" w:type="dxa"/>
          </w:tblCellMar>
        </w:tblPrEx>
        <w:trPr>
          <w:trHeight w:val="479" w:hRule="atLeast"/>
          <w:jc w:val="center"/>
        </w:trPr>
        <w:tc>
          <w:tcPr>
            <w:tcW w:w="1040"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用地大类</w:t>
            </w:r>
          </w:p>
        </w:tc>
        <w:tc>
          <w:tcPr>
            <w:tcW w:w="1405"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中类</w:t>
            </w:r>
          </w:p>
        </w:tc>
        <w:tc>
          <w:tcPr>
            <w:tcW w:w="220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名称</w:t>
            </w:r>
          </w:p>
        </w:tc>
        <w:tc>
          <w:tcPr>
            <w:tcW w:w="292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占地面积（hm2）</w:t>
            </w:r>
          </w:p>
        </w:tc>
        <w:tc>
          <w:tcPr>
            <w:tcW w:w="1464"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占总面积比例</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08" w:type="dxa"/>
            <w:bottom w:w="15" w:type="dxa"/>
            <w:right w:w="108" w:type="dxa"/>
          </w:tblCellMar>
        </w:tblPrEx>
        <w:trPr>
          <w:trHeight w:val="405" w:hRule="atLeast"/>
          <w:jc w:val="center"/>
        </w:trPr>
        <w:tc>
          <w:tcPr>
            <w:tcW w:w="1040"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R</w:t>
            </w:r>
          </w:p>
        </w:tc>
        <w:tc>
          <w:tcPr>
            <w:tcW w:w="3607" w:type="dxa"/>
            <w:gridSpan w:val="2"/>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居住用地</w:t>
            </w:r>
          </w:p>
        </w:tc>
        <w:tc>
          <w:tcPr>
            <w:tcW w:w="292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6936.95</w:t>
            </w:r>
          </w:p>
        </w:tc>
        <w:tc>
          <w:tcPr>
            <w:tcW w:w="1464" w:type="dxa"/>
            <w:tcBorders>
              <w:tl2br w:val="nil"/>
              <w:tr2bl w:val="nil"/>
            </w:tcBorders>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25.46%</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08" w:type="dxa"/>
            <w:bottom w:w="15" w:type="dxa"/>
            <w:right w:w="108" w:type="dxa"/>
          </w:tblCellMar>
        </w:tblPrEx>
        <w:trPr>
          <w:trHeight w:val="405" w:hRule="atLeast"/>
          <w:jc w:val="center"/>
        </w:trPr>
        <w:tc>
          <w:tcPr>
            <w:tcW w:w="1040" w:type="dxa"/>
            <w:vMerge w:val="restart"/>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A</w:t>
            </w:r>
          </w:p>
        </w:tc>
        <w:tc>
          <w:tcPr>
            <w:tcW w:w="3607" w:type="dxa"/>
            <w:gridSpan w:val="2"/>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公共管理与公共服务设施用地</w:t>
            </w:r>
          </w:p>
        </w:tc>
        <w:tc>
          <w:tcPr>
            <w:tcW w:w="2922" w:type="dxa"/>
            <w:tcBorders>
              <w:tl2br w:val="nil"/>
              <w:tr2bl w:val="nil"/>
            </w:tcBorders>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3229.11</w:t>
            </w:r>
          </w:p>
        </w:tc>
        <w:tc>
          <w:tcPr>
            <w:tcW w:w="1464" w:type="dxa"/>
            <w:tcBorders>
              <w:tl2br w:val="nil"/>
              <w:tr2bl w:val="nil"/>
            </w:tcBorders>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11.85%</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08" w:type="dxa"/>
            <w:bottom w:w="15" w:type="dxa"/>
            <w:right w:w="108" w:type="dxa"/>
          </w:tblCellMar>
        </w:tblPrEx>
        <w:trPr>
          <w:trHeight w:val="405" w:hRule="atLeast"/>
          <w:jc w:val="center"/>
        </w:trPr>
        <w:tc>
          <w:tcPr>
            <w:tcW w:w="1040" w:type="dxa"/>
            <w:vMerge w:val="continue"/>
            <w:tcBorders>
              <w:tl2br w:val="nil"/>
              <w:tr2bl w:val="nil"/>
            </w:tcBorders>
            <w:vAlign w:val="center"/>
          </w:tcPr>
          <w:p>
            <w:pPr>
              <w:widowControl/>
              <w:jc w:val="left"/>
              <w:rPr>
                <w:rFonts w:hint="eastAsia" w:ascii="方正仿宋_GB2312" w:hAnsi="方正仿宋_GB2312" w:eastAsia="方正仿宋_GB2312" w:cs="方正仿宋_GB2312"/>
                <w:kern w:val="0"/>
                <w:sz w:val="21"/>
                <w:szCs w:val="21"/>
              </w:rPr>
            </w:pPr>
          </w:p>
        </w:tc>
        <w:tc>
          <w:tcPr>
            <w:tcW w:w="1405"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A1</w:t>
            </w:r>
          </w:p>
        </w:tc>
        <w:tc>
          <w:tcPr>
            <w:tcW w:w="220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行政办公用地</w:t>
            </w:r>
          </w:p>
        </w:tc>
        <w:tc>
          <w:tcPr>
            <w:tcW w:w="292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367.88</w:t>
            </w:r>
          </w:p>
        </w:tc>
        <w:tc>
          <w:tcPr>
            <w:tcW w:w="1464" w:type="dxa"/>
            <w:tcBorders>
              <w:tl2br w:val="nil"/>
              <w:tr2bl w:val="nil"/>
            </w:tcBorders>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1.35%</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08" w:type="dxa"/>
            <w:bottom w:w="15" w:type="dxa"/>
            <w:right w:w="108" w:type="dxa"/>
          </w:tblCellMar>
        </w:tblPrEx>
        <w:trPr>
          <w:trHeight w:val="405" w:hRule="atLeast"/>
          <w:jc w:val="center"/>
        </w:trPr>
        <w:tc>
          <w:tcPr>
            <w:tcW w:w="1040" w:type="dxa"/>
            <w:vMerge w:val="continue"/>
            <w:tcBorders>
              <w:tl2br w:val="nil"/>
              <w:tr2bl w:val="nil"/>
            </w:tcBorders>
            <w:vAlign w:val="center"/>
          </w:tcPr>
          <w:p>
            <w:pPr>
              <w:widowControl/>
              <w:jc w:val="left"/>
              <w:rPr>
                <w:rFonts w:hint="eastAsia" w:ascii="方正仿宋_GB2312" w:hAnsi="方正仿宋_GB2312" w:eastAsia="方正仿宋_GB2312" w:cs="方正仿宋_GB2312"/>
                <w:kern w:val="0"/>
                <w:sz w:val="21"/>
                <w:szCs w:val="21"/>
              </w:rPr>
            </w:pPr>
          </w:p>
        </w:tc>
        <w:tc>
          <w:tcPr>
            <w:tcW w:w="1405"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A2</w:t>
            </w:r>
          </w:p>
        </w:tc>
        <w:tc>
          <w:tcPr>
            <w:tcW w:w="220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文化设施用地</w:t>
            </w:r>
          </w:p>
        </w:tc>
        <w:tc>
          <w:tcPr>
            <w:tcW w:w="292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333.16</w:t>
            </w:r>
          </w:p>
        </w:tc>
        <w:tc>
          <w:tcPr>
            <w:tcW w:w="1464" w:type="dxa"/>
            <w:tcBorders>
              <w:tl2br w:val="nil"/>
              <w:tr2bl w:val="nil"/>
            </w:tcBorders>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1.22%</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08" w:type="dxa"/>
            <w:bottom w:w="15" w:type="dxa"/>
            <w:right w:w="108" w:type="dxa"/>
          </w:tblCellMar>
        </w:tblPrEx>
        <w:trPr>
          <w:trHeight w:val="405" w:hRule="atLeast"/>
          <w:jc w:val="center"/>
        </w:trPr>
        <w:tc>
          <w:tcPr>
            <w:tcW w:w="1040" w:type="dxa"/>
            <w:vMerge w:val="continue"/>
            <w:tcBorders>
              <w:tl2br w:val="nil"/>
              <w:tr2bl w:val="nil"/>
            </w:tcBorders>
            <w:vAlign w:val="center"/>
          </w:tcPr>
          <w:p>
            <w:pPr>
              <w:widowControl/>
              <w:jc w:val="left"/>
              <w:rPr>
                <w:rFonts w:hint="eastAsia" w:ascii="方正仿宋_GB2312" w:hAnsi="方正仿宋_GB2312" w:eastAsia="方正仿宋_GB2312" w:cs="方正仿宋_GB2312"/>
                <w:kern w:val="0"/>
                <w:sz w:val="21"/>
                <w:szCs w:val="21"/>
              </w:rPr>
            </w:pPr>
          </w:p>
        </w:tc>
        <w:tc>
          <w:tcPr>
            <w:tcW w:w="1405"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A3</w:t>
            </w:r>
          </w:p>
        </w:tc>
        <w:tc>
          <w:tcPr>
            <w:tcW w:w="220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教育科研用地</w:t>
            </w:r>
          </w:p>
        </w:tc>
        <w:tc>
          <w:tcPr>
            <w:tcW w:w="292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1677.08</w:t>
            </w:r>
          </w:p>
        </w:tc>
        <w:tc>
          <w:tcPr>
            <w:tcW w:w="1464" w:type="dxa"/>
            <w:tcBorders>
              <w:tl2br w:val="nil"/>
              <w:tr2bl w:val="nil"/>
            </w:tcBorders>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6.15%</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08" w:type="dxa"/>
            <w:bottom w:w="15" w:type="dxa"/>
            <w:right w:w="108" w:type="dxa"/>
          </w:tblCellMar>
        </w:tblPrEx>
        <w:trPr>
          <w:trHeight w:val="405" w:hRule="atLeast"/>
          <w:jc w:val="center"/>
        </w:trPr>
        <w:tc>
          <w:tcPr>
            <w:tcW w:w="1040" w:type="dxa"/>
            <w:vMerge w:val="continue"/>
            <w:tcBorders>
              <w:tl2br w:val="nil"/>
              <w:tr2bl w:val="nil"/>
            </w:tcBorders>
            <w:vAlign w:val="center"/>
          </w:tcPr>
          <w:p>
            <w:pPr>
              <w:widowControl/>
              <w:jc w:val="left"/>
              <w:rPr>
                <w:rFonts w:hint="eastAsia" w:ascii="方正仿宋_GB2312" w:hAnsi="方正仿宋_GB2312" w:eastAsia="方正仿宋_GB2312" w:cs="方正仿宋_GB2312"/>
                <w:kern w:val="0"/>
                <w:sz w:val="21"/>
                <w:szCs w:val="21"/>
              </w:rPr>
            </w:pPr>
          </w:p>
        </w:tc>
        <w:tc>
          <w:tcPr>
            <w:tcW w:w="1405"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A4</w:t>
            </w:r>
          </w:p>
        </w:tc>
        <w:tc>
          <w:tcPr>
            <w:tcW w:w="220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体育用地</w:t>
            </w:r>
          </w:p>
        </w:tc>
        <w:tc>
          <w:tcPr>
            <w:tcW w:w="292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147.89</w:t>
            </w:r>
          </w:p>
        </w:tc>
        <w:tc>
          <w:tcPr>
            <w:tcW w:w="1464" w:type="dxa"/>
            <w:tcBorders>
              <w:tl2br w:val="nil"/>
              <w:tr2bl w:val="nil"/>
            </w:tcBorders>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0.54%</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08" w:type="dxa"/>
            <w:bottom w:w="15" w:type="dxa"/>
            <w:right w:w="108" w:type="dxa"/>
          </w:tblCellMar>
        </w:tblPrEx>
        <w:trPr>
          <w:trHeight w:val="405" w:hRule="atLeast"/>
          <w:jc w:val="center"/>
        </w:trPr>
        <w:tc>
          <w:tcPr>
            <w:tcW w:w="1040" w:type="dxa"/>
            <w:vMerge w:val="continue"/>
            <w:tcBorders>
              <w:tl2br w:val="nil"/>
              <w:tr2bl w:val="nil"/>
            </w:tcBorders>
            <w:vAlign w:val="center"/>
          </w:tcPr>
          <w:p>
            <w:pPr>
              <w:widowControl/>
              <w:jc w:val="left"/>
              <w:rPr>
                <w:rFonts w:hint="eastAsia" w:ascii="方正仿宋_GB2312" w:hAnsi="方正仿宋_GB2312" w:eastAsia="方正仿宋_GB2312" w:cs="方正仿宋_GB2312"/>
                <w:kern w:val="0"/>
                <w:sz w:val="21"/>
                <w:szCs w:val="21"/>
              </w:rPr>
            </w:pPr>
          </w:p>
        </w:tc>
        <w:tc>
          <w:tcPr>
            <w:tcW w:w="1405"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A5</w:t>
            </w:r>
          </w:p>
        </w:tc>
        <w:tc>
          <w:tcPr>
            <w:tcW w:w="220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医疗卫生用地</w:t>
            </w:r>
          </w:p>
        </w:tc>
        <w:tc>
          <w:tcPr>
            <w:tcW w:w="292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315.01</w:t>
            </w:r>
          </w:p>
        </w:tc>
        <w:tc>
          <w:tcPr>
            <w:tcW w:w="1464" w:type="dxa"/>
            <w:tcBorders>
              <w:tl2br w:val="nil"/>
              <w:tr2bl w:val="nil"/>
            </w:tcBorders>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1.16%</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08" w:type="dxa"/>
            <w:bottom w:w="15" w:type="dxa"/>
            <w:right w:w="108" w:type="dxa"/>
          </w:tblCellMar>
        </w:tblPrEx>
        <w:trPr>
          <w:trHeight w:val="405" w:hRule="atLeast"/>
          <w:jc w:val="center"/>
        </w:trPr>
        <w:tc>
          <w:tcPr>
            <w:tcW w:w="1040" w:type="dxa"/>
            <w:vMerge w:val="continue"/>
            <w:tcBorders>
              <w:tl2br w:val="nil"/>
              <w:tr2bl w:val="nil"/>
            </w:tcBorders>
            <w:vAlign w:val="center"/>
          </w:tcPr>
          <w:p>
            <w:pPr>
              <w:widowControl/>
              <w:jc w:val="left"/>
              <w:rPr>
                <w:rFonts w:hint="eastAsia" w:ascii="方正仿宋_GB2312" w:hAnsi="方正仿宋_GB2312" w:eastAsia="方正仿宋_GB2312" w:cs="方正仿宋_GB2312"/>
                <w:kern w:val="0"/>
                <w:sz w:val="21"/>
                <w:szCs w:val="21"/>
              </w:rPr>
            </w:pPr>
          </w:p>
        </w:tc>
        <w:tc>
          <w:tcPr>
            <w:tcW w:w="1405"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A6</w:t>
            </w:r>
          </w:p>
        </w:tc>
        <w:tc>
          <w:tcPr>
            <w:tcW w:w="220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社会福利用地</w:t>
            </w:r>
          </w:p>
        </w:tc>
        <w:tc>
          <w:tcPr>
            <w:tcW w:w="292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94.28</w:t>
            </w:r>
          </w:p>
        </w:tc>
        <w:tc>
          <w:tcPr>
            <w:tcW w:w="1464" w:type="dxa"/>
            <w:tcBorders>
              <w:tl2br w:val="nil"/>
              <w:tr2bl w:val="nil"/>
            </w:tcBorders>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0.35%</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08" w:type="dxa"/>
            <w:bottom w:w="15" w:type="dxa"/>
            <w:right w:w="108" w:type="dxa"/>
          </w:tblCellMar>
        </w:tblPrEx>
        <w:trPr>
          <w:trHeight w:val="405" w:hRule="atLeast"/>
          <w:jc w:val="center"/>
        </w:trPr>
        <w:tc>
          <w:tcPr>
            <w:tcW w:w="1040" w:type="dxa"/>
            <w:vMerge w:val="continue"/>
            <w:tcBorders>
              <w:tl2br w:val="nil"/>
              <w:tr2bl w:val="nil"/>
            </w:tcBorders>
            <w:vAlign w:val="center"/>
          </w:tcPr>
          <w:p>
            <w:pPr>
              <w:widowControl/>
              <w:jc w:val="left"/>
              <w:rPr>
                <w:rFonts w:hint="eastAsia" w:ascii="方正仿宋_GB2312" w:hAnsi="方正仿宋_GB2312" w:eastAsia="方正仿宋_GB2312" w:cs="方正仿宋_GB2312"/>
                <w:kern w:val="0"/>
                <w:sz w:val="21"/>
                <w:szCs w:val="21"/>
              </w:rPr>
            </w:pPr>
          </w:p>
        </w:tc>
        <w:tc>
          <w:tcPr>
            <w:tcW w:w="1405"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A7</w:t>
            </w:r>
          </w:p>
        </w:tc>
        <w:tc>
          <w:tcPr>
            <w:tcW w:w="220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文物古迹</w:t>
            </w:r>
          </w:p>
        </w:tc>
        <w:tc>
          <w:tcPr>
            <w:tcW w:w="292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297.88</w:t>
            </w:r>
          </w:p>
        </w:tc>
        <w:tc>
          <w:tcPr>
            <w:tcW w:w="1464" w:type="dxa"/>
            <w:tcBorders>
              <w:tl2br w:val="nil"/>
              <w:tr2bl w:val="nil"/>
            </w:tcBorders>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1.09%</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08" w:type="dxa"/>
            <w:bottom w:w="15" w:type="dxa"/>
            <w:right w:w="108" w:type="dxa"/>
          </w:tblCellMar>
        </w:tblPrEx>
        <w:trPr>
          <w:trHeight w:val="435" w:hRule="atLeast"/>
          <w:jc w:val="center"/>
        </w:trPr>
        <w:tc>
          <w:tcPr>
            <w:tcW w:w="1040"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B</w:t>
            </w:r>
          </w:p>
        </w:tc>
        <w:tc>
          <w:tcPr>
            <w:tcW w:w="3607" w:type="dxa"/>
            <w:gridSpan w:val="2"/>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商业服务业设施用地</w:t>
            </w:r>
          </w:p>
        </w:tc>
        <w:tc>
          <w:tcPr>
            <w:tcW w:w="292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5008.77</w:t>
            </w:r>
          </w:p>
        </w:tc>
        <w:tc>
          <w:tcPr>
            <w:tcW w:w="1464" w:type="dxa"/>
            <w:tcBorders>
              <w:tl2br w:val="nil"/>
              <w:tr2bl w:val="nil"/>
            </w:tcBorders>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18.38%</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08" w:type="dxa"/>
            <w:bottom w:w="15" w:type="dxa"/>
            <w:right w:w="108" w:type="dxa"/>
          </w:tblCellMar>
        </w:tblPrEx>
        <w:trPr>
          <w:trHeight w:val="437" w:hRule="atLeast"/>
          <w:jc w:val="center"/>
        </w:trPr>
        <w:tc>
          <w:tcPr>
            <w:tcW w:w="1040"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S</w:t>
            </w:r>
          </w:p>
        </w:tc>
        <w:tc>
          <w:tcPr>
            <w:tcW w:w="3607" w:type="dxa"/>
            <w:gridSpan w:val="2"/>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道路与交通设施用地</w:t>
            </w:r>
          </w:p>
        </w:tc>
        <w:tc>
          <w:tcPr>
            <w:tcW w:w="292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2393.65</w:t>
            </w:r>
          </w:p>
        </w:tc>
        <w:tc>
          <w:tcPr>
            <w:tcW w:w="1464" w:type="dxa"/>
            <w:tcBorders>
              <w:tl2br w:val="nil"/>
              <w:tr2bl w:val="nil"/>
            </w:tcBorders>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8.78%</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08" w:type="dxa"/>
            <w:bottom w:w="15" w:type="dxa"/>
            <w:right w:w="108" w:type="dxa"/>
          </w:tblCellMar>
        </w:tblPrEx>
        <w:trPr>
          <w:trHeight w:val="419" w:hRule="atLeast"/>
          <w:jc w:val="center"/>
        </w:trPr>
        <w:tc>
          <w:tcPr>
            <w:tcW w:w="1040"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M</w:t>
            </w:r>
          </w:p>
        </w:tc>
        <w:tc>
          <w:tcPr>
            <w:tcW w:w="3607" w:type="dxa"/>
            <w:gridSpan w:val="2"/>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工业用地</w:t>
            </w:r>
          </w:p>
        </w:tc>
        <w:tc>
          <w:tcPr>
            <w:tcW w:w="292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3053.06</w:t>
            </w:r>
          </w:p>
        </w:tc>
        <w:tc>
          <w:tcPr>
            <w:tcW w:w="1464" w:type="dxa"/>
            <w:tcBorders>
              <w:tl2br w:val="nil"/>
              <w:tr2bl w:val="nil"/>
            </w:tcBorders>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11.20%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08" w:type="dxa"/>
            <w:bottom w:w="15" w:type="dxa"/>
            <w:right w:w="108" w:type="dxa"/>
          </w:tblCellMar>
        </w:tblPrEx>
        <w:trPr>
          <w:trHeight w:val="405" w:hRule="atLeast"/>
          <w:jc w:val="center"/>
        </w:trPr>
        <w:tc>
          <w:tcPr>
            <w:tcW w:w="1040"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W</w:t>
            </w:r>
          </w:p>
        </w:tc>
        <w:tc>
          <w:tcPr>
            <w:tcW w:w="3607" w:type="dxa"/>
            <w:gridSpan w:val="2"/>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仓储用地</w:t>
            </w:r>
          </w:p>
        </w:tc>
        <w:tc>
          <w:tcPr>
            <w:tcW w:w="292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1321.32</w:t>
            </w:r>
          </w:p>
        </w:tc>
        <w:tc>
          <w:tcPr>
            <w:tcW w:w="1464" w:type="dxa"/>
            <w:tcBorders>
              <w:tl2br w:val="nil"/>
              <w:tr2bl w:val="nil"/>
            </w:tcBorders>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4.85%</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08" w:type="dxa"/>
            <w:bottom w:w="15" w:type="dxa"/>
            <w:right w:w="108" w:type="dxa"/>
          </w:tblCellMar>
        </w:tblPrEx>
        <w:trPr>
          <w:trHeight w:val="419" w:hRule="atLeast"/>
          <w:jc w:val="center"/>
        </w:trPr>
        <w:tc>
          <w:tcPr>
            <w:tcW w:w="1040"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U</w:t>
            </w:r>
          </w:p>
        </w:tc>
        <w:tc>
          <w:tcPr>
            <w:tcW w:w="3607" w:type="dxa"/>
            <w:gridSpan w:val="2"/>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公用设施用地</w:t>
            </w:r>
          </w:p>
        </w:tc>
        <w:tc>
          <w:tcPr>
            <w:tcW w:w="292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629.14</w:t>
            </w:r>
          </w:p>
        </w:tc>
        <w:tc>
          <w:tcPr>
            <w:tcW w:w="1464" w:type="dxa"/>
            <w:tcBorders>
              <w:tl2br w:val="nil"/>
              <w:tr2bl w:val="nil"/>
            </w:tcBorders>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2.31%</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08" w:type="dxa"/>
            <w:bottom w:w="15" w:type="dxa"/>
            <w:right w:w="108" w:type="dxa"/>
          </w:tblCellMar>
        </w:tblPrEx>
        <w:trPr>
          <w:trHeight w:val="419" w:hRule="atLeast"/>
          <w:jc w:val="center"/>
        </w:trPr>
        <w:tc>
          <w:tcPr>
            <w:tcW w:w="1040"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G</w:t>
            </w:r>
          </w:p>
        </w:tc>
        <w:tc>
          <w:tcPr>
            <w:tcW w:w="3607" w:type="dxa"/>
            <w:gridSpan w:val="2"/>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绿地与广场用地</w:t>
            </w:r>
          </w:p>
        </w:tc>
        <w:tc>
          <w:tcPr>
            <w:tcW w:w="292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4677.07</w:t>
            </w:r>
          </w:p>
        </w:tc>
        <w:tc>
          <w:tcPr>
            <w:tcW w:w="1464" w:type="dxa"/>
            <w:tcBorders>
              <w:tl2br w:val="nil"/>
              <w:tr2bl w:val="nil"/>
            </w:tcBorders>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17.16%</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08" w:type="dxa"/>
            <w:bottom w:w="15" w:type="dxa"/>
            <w:right w:w="108" w:type="dxa"/>
          </w:tblCellMar>
        </w:tblPrEx>
        <w:trPr>
          <w:trHeight w:val="518" w:hRule="atLeast"/>
          <w:jc w:val="center"/>
        </w:trPr>
        <w:tc>
          <w:tcPr>
            <w:tcW w:w="4647" w:type="dxa"/>
            <w:gridSpan w:val="3"/>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总计</w:t>
            </w:r>
          </w:p>
        </w:tc>
        <w:tc>
          <w:tcPr>
            <w:tcW w:w="292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27249.07</w:t>
            </w:r>
          </w:p>
        </w:tc>
        <w:tc>
          <w:tcPr>
            <w:tcW w:w="1464" w:type="dxa"/>
            <w:tcBorders>
              <w:tl2br w:val="nil"/>
              <w:tr2bl w:val="nil"/>
            </w:tcBorders>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100.00%</w:t>
            </w:r>
          </w:p>
        </w:tc>
      </w:tr>
    </w:tbl>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根据西咸新区建设用地性质规划，采用负荷密度法预测得2035年西咸新区负荷达到536.52万千瓦。</w:t>
      </w:r>
    </w:p>
    <w:p>
      <w:pPr>
        <w:pStyle w:val="150"/>
        <w:keepNext w:val="0"/>
        <w:keepLines w:val="0"/>
        <w:pageBreakBefore w:val="0"/>
        <w:widowControl w:val="0"/>
        <w:kinsoku/>
        <w:wordWrap/>
        <w:overflowPunct/>
        <w:topLinePunct w:val="0"/>
        <w:autoSpaceDE/>
        <w:autoSpaceDN/>
        <w:bidi w:val="0"/>
        <w:adjustRightInd w:val="0"/>
        <w:snapToGrid w:val="0"/>
        <w:spacing w:line="640" w:lineRule="exact"/>
        <w:ind w:left="0" w:leftChars="0" w:firstLine="0" w:firstLineChars="0"/>
        <w:jc w:val="center"/>
        <w:textAlignment w:val="auto"/>
        <w:rPr>
          <w:rFonts w:hint="eastAsia" w:ascii="黑体" w:hAnsi="黑体" w:eastAsia="黑体" w:cs="黑体"/>
          <w:b w:val="0"/>
          <w:bCs w:val="0"/>
          <w:kern w:val="0"/>
          <w:sz w:val="28"/>
          <w:szCs w:val="28"/>
          <w:lang w:val="en-US" w:eastAsia="zh-CN" w:bidi="ar-SA"/>
        </w:rPr>
      </w:pPr>
      <w:r>
        <w:rPr>
          <w:rFonts w:hint="eastAsia" w:ascii="黑体" w:hAnsi="黑体" w:eastAsia="黑体" w:cs="黑体"/>
          <w:b w:val="0"/>
          <w:bCs w:val="0"/>
          <w:kern w:val="0"/>
          <w:sz w:val="28"/>
          <w:szCs w:val="28"/>
          <w:lang w:val="en-US" w:eastAsia="zh-CN" w:bidi="ar-SA"/>
        </w:rPr>
        <w:t>表5-5  负荷密度法预测结果</w:t>
      </w:r>
    </w:p>
    <w:tbl>
      <w:tblPr>
        <w:tblStyle w:val="88"/>
        <w:tblW w:w="8977" w:type="dxa"/>
        <w:tblInd w:w="0" w:type="dxa"/>
        <w:tblLayout w:type="fixed"/>
        <w:tblCellMar>
          <w:top w:w="0" w:type="dxa"/>
          <w:left w:w="108" w:type="dxa"/>
          <w:bottom w:w="0" w:type="dxa"/>
          <w:right w:w="108" w:type="dxa"/>
        </w:tblCellMar>
      </w:tblPr>
      <w:tblGrid>
        <w:gridCol w:w="1015"/>
        <w:gridCol w:w="1032"/>
        <w:gridCol w:w="1771"/>
        <w:gridCol w:w="1765"/>
        <w:gridCol w:w="1616"/>
        <w:gridCol w:w="1778"/>
      </w:tblGrid>
      <w:tr>
        <w:tblPrEx>
          <w:tblCellMar>
            <w:top w:w="0" w:type="dxa"/>
            <w:left w:w="108" w:type="dxa"/>
            <w:bottom w:w="0" w:type="dxa"/>
            <w:right w:w="108" w:type="dxa"/>
          </w:tblCellMar>
        </w:tblPrEx>
        <w:trPr>
          <w:trHeight w:val="840" w:hRule="atLeast"/>
        </w:trPr>
        <w:tc>
          <w:tcPr>
            <w:tcW w:w="1015" w:type="dxa"/>
            <w:tcBorders>
              <w:top w:val="single" w:color="000000" w:sz="12" w:space="0"/>
              <w:left w:val="single" w:color="000000" w:sz="12" w:space="0"/>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用地大类</w:t>
            </w:r>
          </w:p>
        </w:tc>
        <w:tc>
          <w:tcPr>
            <w:tcW w:w="1032" w:type="dxa"/>
            <w:tcBorders>
              <w:top w:val="single" w:color="000000" w:sz="12" w:space="0"/>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中类</w:t>
            </w:r>
          </w:p>
        </w:tc>
        <w:tc>
          <w:tcPr>
            <w:tcW w:w="1771" w:type="dxa"/>
            <w:tcBorders>
              <w:top w:val="single" w:color="000000" w:sz="12" w:space="0"/>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名称</w:t>
            </w:r>
          </w:p>
        </w:tc>
        <w:tc>
          <w:tcPr>
            <w:tcW w:w="1765" w:type="dxa"/>
            <w:tcBorders>
              <w:top w:val="single" w:color="000000" w:sz="12" w:space="0"/>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占地面积（hm2）</w:t>
            </w:r>
          </w:p>
        </w:tc>
        <w:tc>
          <w:tcPr>
            <w:tcW w:w="1616" w:type="dxa"/>
            <w:tcBorders>
              <w:top w:val="single" w:color="000000" w:sz="12" w:space="0"/>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负荷密度(W/m2)</w:t>
            </w:r>
          </w:p>
        </w:tc>
        <w:tc>
          <w:tcPr>
            <w:tcW w:w="1778" w:type="dxa"/>
            <w:tcBorders>
              <w:top w:val="single" w:color="000000" w:sz="12" w:space="0"/>
              <w:left w:val="nil"/>
              <w:bottom w:val="single" w:color="000000" w:sz="8" w:space="0"/>
              <w:right w:val="single" w:color="000000" w:sz="12"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2035年负荷(兆瓦)</w:t>
            </w:r>
          </w:p>
        </w:tc>
      </w:tr>
      <w:tr>
        <w:tblPrEx>
          <w:tblCellMar>
            <w:top w:w="0" w:type="dxa"/>
            <w:left w:w="108" w:type="dxa"/>
            <w:bottom w:w="0" w:type="dxa"/>
            <w:right w:w="108" w:type="dxa"/>
          </w:tblCellMar>
        </w:tblPrEx>
        <w:trPr>
          <w:trHeight w:val="430" w:hRule="atLeast"/>
        </w:trPr>
        <w:tc>
          <w:tcPr>
            <w:tcW w:w="1015" w:type="dxa"/>
            <w:tcBorders>
              <w:top w:val="nil"/>
              <w:left w:val="single" w:color="000000" w:sz="12" w:space="0"/>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R</w:t>
            </w:r>
          </w:p>
        </w:tc>
        <w:tc>
          <w:tcPr>
            <w:tcW w:w="2803" w:type="dxa"/>
            <w:gridSpan w:val="2"/>
            <w:tcBorders>
              <w:top w:val="single" w:color="000000" w:sz="8" w:space="0"/>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居住用地</w:t>
            </w:r>
          </w:p>
        </w:tc>
        <w:tc>
          <w:tcPr>
            <w:tcW w:w="1765"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6936.95</w:t>
            </w:r>
          </w:p>
        </w:tc>
        <w:tc>
          <w:tcPr>
            <w:tcW w:w="1616"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20</w:t>
            </w:r>
          </w:p>
        </w:tc>
        <w:tc>
          <w:tcPr>
            <w:tcW w:w="1778" w:type="dxa"/>
            <w:tcBorders>
              <w:top w:val="nil"/>
              <w:left w:val="nil"/>
              <w:bottom w:val="single" w:color="000000" w:sz="8" w:space="0"/>
              <w:right w:val="single" w:color="000000" w:sz="12"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 xml:space="preserve">1387.39 </w:t>
            </w:r>
          </w:p>
        </w:tc>
      </w:tr>
      <w:tr>
        <w:tblPrEx>
          <w:tblCellMar>
            <w:top w:w="0" w:type="dxa"/>
            <w:left w:w="108" w:type="dxa"/>
            <w:bottom w:w="0" w:type="dxa"/>
            <w:right w:w="108" w:type="dxa"/>
          </w:tblCellMar>
        </w:tblPrEx>
        <w:trPr>
          <w:trHeight w:val="820" w:hRule="atLeast"/>
        </w:trPr>
        <w:tc>
          <w:tcPr>
            <w:tcW w:w="1015" w:type="dxa"/>
            <w:vMerge w:val="restart"/>
            <w:tcBorders>
              <w:top w:val="nil"/>
              <w:left w:val="single" w:color="000000" w:sz="12" w:space="0"/>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A</w:t>
            </w:r>
          </w:p>
        </w:tc>
        <w:tc>
          <w:tcPr>
            <w:tcW w:w="2803" w:type="dxa"/>
            <w:gridSpan w:val="2"/>
            <w:tcBorders>
              <w:top w:val="single" w:color="000000" w:sz="8" w:space="0"/>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公共管理与公共服务设施用地</w:t>
            </w:r>
          </w:p>
        </w:tc>
        <w:tc>
          <w:tcPr>
            <w:tcW w:w="1765"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3229.11</w:t>
            </w:r>
          </w:p>
        </w:tc>
        <w:tc>
          <w:tcPr>
            <w:tcW w:w="1616"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　</w:t>
            </w:r>
          </w:p>
        </w:tc>
        <w:tc>
          <w:tcPr>
            <w:tcW w:w="1778" w:type="dxa"/>
            <w:tcBorders>
              <w:top w:val="nil"/>
              <w:left w:val="nil"/>
              <w:bottom w:val="single" w:color="000000" w:sz="8" w:space="0"/>
              <w:right w:val="single" w:color="000000" w:sz="12"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 xml:space="preserve">0.00 </w:t>
            </w:r>
          </w:p>
        </w:tc>
      </w:tr>
      <w:tr>
        <w:tblPrEx>
          <w:tblCellMar>
            <w:top w:w="0" w:type="dxa"/>
            <w:left w:w="108" w:type="dxa"/>
            <w:bottom w:w="0" w:type="dxa"/>
            <w:right w:w="108" w:type="dxa"/>
          </w:tblCellMar>
        </w:tblPrEx>
        <w:trPr>
          <w:trHeight w:val="430" w:hRule="atLeast"/>
        </w:trPr>
        <w:tc>
          <w:tcPr>
            <w:tcW w:w="1015" w:type="dxa"/>
            <w:vMerge w:val="continue"/>
            <w:tcBorders>
              <w:top w:val="nil"/>
              <w:left w:val="single" w:color="000000" w:sz="12" w:space="0"/>
              <w:bottom w:val="single" w:color="000000" w:sz="8" w:space="0"/>
              <w:right w:val="single" w:color="000000" w:sz="8" w:space="0"/>
            </w:tcBorders>
            <w:vAlign w:val="center"/>
          </w:tcPr>
          <w:p>
            <w:pPr>
              <w:widowControl/>
              <w:jc w:val="center"/>
              <w:rPr>
                <w:rFonts w:hint="eastAsia" w:ascii="方正仿宋_GB2312" w:hAnsi="方正仿宋_GB2312" w:eastAsia="方正仿宋_GB2312" w:cs="方正仿宋_GB2312"/>
                <w:kern w:val="0"/>
                <w:sz w:val="21"/>
                <w:szCs w:val="21"/>
              </w:rPr>
            </w:pPr>
          </w:p>
        </w:tc>
        <w:tc>
          <w:tcPr>
            <w:tcW w:w="1032"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A1</w:t>
            </w:r>
          </w:p>
        </w:tc>
        <w:tc>
          <w:tcPr>
            <w:tcW w:w="1771"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行政办公用地</w:t>
            </w:r>
          </w:p>
        </w:tc>
        <w:tc>
          <w:tcPr>
            <w:tcW w:w="1765"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367.88</w:t>
            </w:r>
          </w:p>
        </w:tc>
        <w:tc>
          <w:tcPr>
            <w:tcW w:w="1616"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46</w:t>
            </w:r>
          </w:p>
        </w:tc>
        <w:tc>
          <w:tcPr>
            <w:tcW w:w="1778" w:type="dxa"/>
            <w:tcBorders>
              <w:top w:val="nil"/>
              <w:left w:val="nil"/>
              <w:bottom w:val="single" w:color="000000" w:sz="8" w:space="0"/>
              <w:right w:val="single" w:color="000000" w:sz="12"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 xml:space="preserve">169.22 </w:t>
            </w:r>
          </w:p>
        </w:tc>
      </w:tr>
      <w:tr>
        <w:tblPrEx>
          <w:tblCellMar>
            <w:top w:w="0" w:type="dxa"/>
            <w:left w:w="108" w:type="dxa"/>
            <w:bottom w:w="0" w:type="dxa"/>
            <w:right w:w="108" w:type="dxa"/>
          </w:tblCellMar>
        </w:tblPrEx>
        <w:trPr>
          <w:trHeight w:val="430" w:hRule="atLeast"/>
        </w:trPr>
        <w:tc>
          <w:tcPr>
            <w:tcW w:w="1015" w:type="dxa"/>
            <w:vMerge w:val="continue"/>
            <w:tcBorders>
              <w:top w:val="nil"/>
              <w:left w:val="single" w:color="000000" w:sz="12" w:space="0"/>
              <w:bottom w:val="single" w:color="000000" w:sz="8" w:space="0"/>
              <w:right w:val="single" w:color="000000" w:sz="8" w:space="0"/>
            </w:tcBorders>
            <w:vAlign w:val="center"/>
          </w:tcPr>
          <w:p>
            <w:pPr>
              <w:widowControl/>
              <w:jc w:val="center"/>
              <w:rPr>
                <w:rFonts w:hint="eastAsia" w:ascii="方正仿宋_GB2312" w:hAnsi="方正仿宋_GB2312" w:eastAsia="方正仿宋_GB2312" w:cs="方正仿宋_GB2312"/>
                <w:kern w:val="0"/>
                <w:sz w:val="21"/>
                <w:szCs w:val="21"/>
              </w:rPr>
            </w:pPr>
          </w:p>
        </w:tc>
        <w:tc>
          <w:tcPr>
            <w:tcW w:w="1032"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A2</w:t>
            </w:r>
          </w:p>
        </w:tc>
        <w:tc>
          <w:tcPr>
            <w:tcW w:w="1771"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文化设施用地</w:t>
            </w:r>
          </w:p>
        </w:tc>
        <w:tc>
          <w:tcPr>
            <w:tcW w:w="1765"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333.16</w:t>
            </w:r>
          </w:p>
        </w:tc>
        <w:tc>
          <w:tcPr>
            <w:tcW w:w="1616"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40</w:t>
            </w:r>
          </w:p>
        </w:tc>
        <w:tc>
          <w:tcPr>
            <w:tcW w:w="1778" w:type="dxa"/>
            <w:tcBorders>
              <w:top w:val="nil"/>
              <w:left w:val="nil"/>
              <w:bottom w:val="single" w:color="000000" w:sz="8" w:space="0"/>
              <w:right w:val="single" w:color="000000" w:sz="12"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 xml:space="preserve">133.26 </w:t>
            </w:r>
          </w:p>
        </w:tc>
      </w:tr>
      <w:tr>
        <w:tblPrEx>
          <w:tblCellMar>
            <w:top w:w="0" w:type="dxa"/>
            <w:left w:w="108" w:type="dxa"/>
            <w:bottom w:w="0" w:type="dxa"/>
            <w:right w:w="108" w:type="dxa"/>
          </w:tblCellMar>
        </w:tblPrEx>
        <w:trPr>
          <w:trHeight w:val="430" w:hRule="atLeast"/>
        </w:trPr>
        <w:tc>
          <w:tcPr>
            <w:tcW w:w="1015" w:type="dxa"/>
            <w:vMerge w:val="continue"/>
            <w:tcBorders>
              <w:top w:val="nil"/>
              <w:left w:val="single" w:color="000000" w:sz="12" w:space="0"/>
              <w:bottom w:val="single" w:color="000000" w:sz="8" w:space="0"/>
              <w:right w:val="single" w:color="000000" w:sz="8" w:space="0"/>
            </w:tcBorders>
            <w:vAlign w:val="center"/>
          </w:tcPr>
          <w:p>
            <w:pPr>
              <w:widowControl/>
              <w:jc w:val="center"/>
              <w:rPr>
                <w:rFonts w:hint="eastAsia" w:ascii="方正仿宋_GB2312" w:hAnsi="方正仿宋_GB2312" w:eastAsia="方正仿宋_GB2312" w:cs="方正仿宋_GB2312"/>
                <w:kern w:val="0"/>
                <w:sz w:val="21"/>
                <w:szCs w:val="21"/>
              </w:rPr>
            </w:pPr>
          </w:p>
        </w:tc>
        <w:tc>
          <w:tcPr>
            <w:tcW w:w="1032"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A3</w:t>
            </w:r>
          </w:p>
        </w:tc>
        <w:tc>
          <w:tcPr>
            <w:tcW w:w="1771"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教育科研用地</w:t>
            </w:r>
          </w:p>
        </w:tc>
        <w:tc>
          <w:tcPr>
            <w:tcW w:w="1765"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1677.08</w:t>
            </w:r>
          </w:p>
        </w:tc>
        <w:tc>
          <w:tcPr>
            <w:tcW w:w="1616"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46</w:t>
            </w:r>
          </w:p>
        </w:tc>
        <w:tc>
          <w:tcPr>
            <w:tcW w:w="1778" w:type="dxa"/>
            <w:tcBorders>
              <w:top w:val="nil"/>
              <w:left w:val="nil"/>
              <w:bottom w:val="single" w:color="000000" w:sz="8" w:space="0"/>
              <w:right w:val="single" w:color="000000" w:sz="12"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 xml:space="preserve">771.46 </w:t>
            </w:r>
          </w:p>
        </w:tc>
      </w:tr>
      <w:tr>
        <w:tblPrEx>
          <w:tblCellMar>
            <w:top w:w="0" w:type="dxa"/>
            <w:left w:w="108" w:type="dxa"/>
            <w:bottom w:w="0" w:type="dxa"/>
            <w:right w:w="108" w:type="dxa"/>
          </w:tblCellMar>
        </w:tblPrEx>
        <w:trPr>
          <w:trHeight w:val="430" w:hRule="atLeast"/>
        </w:trPr>
        <w:tc>
          <w:tcPr>
            <w:tcW w:w="1015" w:type="dxa"/>
            <w:vMerge w:val="continue"/>
            <w:tcBorders>
              <w:top w:val="nil"/>
              <w:left w:val="single" w:color="000000" w:sz="12" w:space="0"/>
              <w:bottom w:val="single" w:color="000000" w:sz="8" w:space="0"/>
              <w:right w:val="single" w:color="000000" w:sz="8" w:space="0"/>
            </w:tcBorders>
            <w:vAlign w:val="center"/>
          </w:tcPr>
          <w:p>
            <w:pPr>
              <w:widowControl/>
              <w:jc w:val="center"/>
              <w:rPr>
                <w:rFonts w:hint="eastAsia" w:ascii="方正仿宋_GB2312" w:hAnsi="方正仿宋_GB2312" w:eastAsia="方正仿宋_GB2312" w:cs="方正仿宋_GB2312"/>
                <w:kern w:val="0"/>
                <w:sz w:val="21"/>
                <w:szCs w:val="21"/>
              </w:rPr>
            </w:pPr>
          </w:p>
        </w:tc>
        <w:tc>
          <w:tcPr>
            <w:tcW w:w="1032"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A4</w:t>
            </w:r>
          </w:p>
        </w:tc>
        <w:tc>
          <w:tcPr>
            <w:tcW w:w="1771"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体育用地</w:t>
            </w:r>
          </w:p>
        </w:tc>
        <w:tc>
          <w:tcPr>
            <w:tcW w:w="1765"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147.89</w:t>
            </w:r>
          </w:p>
        </w:tc>
        <w:tc>
          <w:tcPr>
            <w:tcW w:w="1616"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25</w:t>
            </w:r>
          </w:p>
        </w:tc>
        <w:tc>
          <w:tcPr>
            <w:tcW w:w="1778" w:type="dxa"/>
            <w:tcBorders>
              <w:top w:val="nil"/>
              <w:left w:val="nil"/>
              <w:bottom w:val="single" w:color="000000" w:sz="8" w:space="0"/>
              <w:right w:val="single" w:color="000000" w:sz="12"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 xml:space="preserve">36.97 </w:t>
            </w:r>
          </w:p>
        </w:tc>
      </w:tr>
      <w:tr>
        <w:tblPrEx>
          <w:tblCellMar>
            <w:top w:w="0" w:type="dxa"/>
            <w:left w:w="108" w:type="dxa"/>
            <w:bottom w:w="0" w:type="dxa"/>
            <w:right w:w="108" w:type="dxa"/>
          </w:tblCellMar>
        </w:tblPrEx>
        <w:trPr>
          <w:trHeight w:val="430" w:hRule="atLeast"/>
        </w:trPr>
        <w:tc>
          <w:tcPr>
            <w:tcW w:w="1015" w:type="dxa"/>
            <w:vMerge w:val="continue"/>
            <w:tcBorders>
              <w:top w:val="nil"/>
              <w:left w:val="single" w:color="000000" w:sz="12" w:space="0"/>
              <w:bottom w:val="single" w:color="000000" w:sz="8" w:space="0"/>
              <w:right w:val="single" w:color="000000" w:sz="8" w:space="0"/>
            </w:tcBorders>
            <w:vAlign w:val="center"/>
          </w:tcPr>
          <w:p>
            <w:pPr>
              <w:widowControl/>
              <w:jc w:val="center"/>
              <w:rPr>
                <w:rFonts w:hint="eastAsia" w:ascii="方正仿宋_GB2312" w:hAnsi="方正仿宋_GB2312" w:eastAsia="方正仿宋_GB2312" w:cs="方正仿宋_GB2312"/>
                <w:kern w:val="0"/>
                <w:sz w:val="21"/>
                <w:szCs w:val="21"/>
              </w:rPr>
            </w:pPr>
          </w:p>
        </w:tc>
        <w:tc>
          <w:tcPr>
            <w:tcW w:w="1032"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A5</w:t>
            </w:r>
          </w:p>
        </w:tc>
        <w:tc>
          <w:tcPr>
            <w:tcW w:w="1771"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医疗卫生用地</w:t>
            </w:r>
          </w:p>
        </w:tc>
        <w:tc>
          <w:tcPr>
            <w:tcW w:w="1765"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315.01</w:t>
            </w:r>
          </w:p>
        </w:tc>
        <w:tc>
          <w:tcPr>
            <w:tcW w:w="1616"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40</w:t>
            </w:r>
          </w:p>
        </w:tc>
        <w:tc>
          <w:tcPr>
            <w:tcW w:w="1778" w:type="dxa"/>
            <w:tcBorders>
              <w:top w:val="nil"/>
              <w:left w:val="nil"/>
              <w:bottom w:val="single" w:color="000000" w:sz="8" w:space="0"/>
              <w:right w:val="single" w:color="000000" w:sz="12"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 xml:space="preserve">126.00 </w:t>
            </w:r>
          </w:p>
        </w:tc>
      </w:tr>
      <w:tr>
        <w:tblPrEx>
          <w:tblCellMar>
            <w:top w:w="0" w:type="dxa"/>
            <w:left w:w="108" w:type="dxa"/>
            <w:bottom w:w="0" w:type="dxa"/>
            <w:right w:w="108" w:type="dxa"/>
          </w:tblCellMar>
        </w:tblPrEx>
        <w:trPr>
          <w:trHeight w:val="430" w:hRule="atLeast"/>
        </w:trPr>
        <w:tc>
          <w:tcPr>
            <w:tcW w:w="1015" w:type="dxa"/>
            <w:vMerge w:val="continue"/>
            <w:tcBorders>
              <w:top w:val="nil"/>
              <w:left w:val="single" w:color="000000" w:sz="12" w:space="0"/>
              <w:bottom w:val="single" w:color="000000" w:sz="8" w:space="0"/>
              <w:right w:val="single" w:color="000000" w:sz="8" w:space="0"/>
            </w:tcBorders>
            <w:vAlign w:val="center"/>
          </w:tcPr>
          <w:p>
            <w:pPr>
              <w:widowControl/>
              <w:jc w:val="center"/>
              <w:rPr>
                <w:rFonts w:hint="eastAsia" w:ascii="方正仿宋_GB2312" w:hAnsi="方正仿宋_GB2312" w:eastAsia="方正仿宋_GB2312" w:cs="方正仿宋_GB2312"/>
                <w:kern w:val="0"/>
                <w:sz w:val="21"/>
                <w:szCs w:val="21"/>
              </w:rPr>
            </w:pPr>
          </w:p>
        </w:tc>
        <w:tc>
          <w:tcPr>
            <w:tcW w:w="1032"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A6</w:t>
            </w:r>
          </w:p>
        </w:tc>
        <w:tc>
          <w:tcPr>
            <w:tcW w:w="1771"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社会福利用地</w:t>
            </w:r>
          </w:p>
        </w:tc>
        <w:tc>
          <w:tcPr>
            <w:tcW w:w="1765"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94.28</w:t>
            </w:r>
          </w:p>
        </w:tc>
        <w:tc>
          <w:tcPr>
            <w:tcW w:w="1616"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25</w:t>
            </w:r>
          </w:p>
        </w:tc>
        <w:tc>
          <w:tcPr>
            <w:tcW w:w="1778" w:type="dxa"/>
            <w:tcBorders>
              <w:top w:val="nil"/>
              <w:left w:val="nil"/>
              <w:bottom w:val="single" w:color="000000" w:sz="8" w:space="0"/>
              <w:right w:val="single" w:color="000000" w:sz="12"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 xml:space="preserve">23.57 </w:t>
            </w:r>
          </w:p>
        </w:tc>
      </w:tr>
      <w:tr>
        <w:tblPrEx>
          <w:tblCellMar>
            <w:top w:w="0" w:type="dxa"/>
            <w:left w:w="108" w:type="dxa"/>
            <w:bottom w:w="0" w:type="dxa"/>
            <w:right w:w="108" w:type="dxa"/>
          </w:tblCellMar>
        </w:tblPrEx>
        <w:trPr>
          <w:trHeight w:val="430" w:hRule="atLeast"/>
        </w:trPr>
        <w:tc>
          <w:tcPr>
            <w:tcW w:w="1015" w:type="dxa"/>
            <w:vMerge w:val="continue"/>
            <w:tcBorders>
              <w:top w:val="nil"/>
              <w:left w:val="single" w:color="000000" w:sz="12" w:space="0"/>
              <w:bottom w:val="single" w:color="000000" w:sz="8" w:space="0"/>
              <w:right w:val="single" w:color="000000" w:sz="8" w:space="0"/>
            </w:tcBorders>
            <w:vAlign w:val="center"/>
          </w:tcPr>
          <w:p>
            <w:pPr>
              <w:widowControl/>
              <w:jc w:val="center"/>
              <w:rPr>
                <w:rFonts w:hint="eastAsia" w:ascii="方正仿宋_GB2312" w:hAnsi="方正仿宋_GB2312" w:eastAsia="方正仿宋_GB2312" w:cs="方正仿宋_GB2312"/>
                <w:kern w:val="0"/>
                <w:sz w:val="21"/>
                <w:szCs w:val="21"/>
              </w:rPr>
            </w:pPr>
          </w:p>
        </w:tc>
        <w:tc>
          <w:tcPr>
            <w:tcW w:w="1032"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A7</w:t>
            </w:r>
          </w:p>
        </w:tc>
        <w:tc>
          <w:tcPr>
            <w:tcW w:w="1771"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文物古迹用地</w:t>
            </w:r>
          </w:p>
        </w:tc>
        <w:tc>
          <w:tcPr>
            <w:tcW w:w="1765"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297.88</w:t>
            </w:r>
          </w:p>
        </w:tc>
        <w:tc>
          <w:tcPr>
            <w:tcW w:w="1616"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20</w:t>
            </w:r>
          </w:p>
        </w:tc>
        <w:tc>
          <w:tcPr>
            <w:tcW w:w="1778" w:type="dxa"/>
            <w:tcBorders>
              <w:top w:val="nil"/>
              <w:left w:val="nil"/>
              <w:bottom w:val="single" w:color="000000" w:sz="8" w:space="0"/>
              <w:right w:val="single" w:color="000000" w:sz="12"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 xml:space="preserve">59.58 </w:t>
            </w:r>
          </w:p>
        </w:tc>
      </w:tr>
      <w:tr>
        <w:tblPrEx>
          <w:tblCellMar>
            <w:top w:w="0" w:type="dxa"/>
            <w:left w:w="108" w:type="dxa"/>
            <w:bottom w:w="0" w:type="dxa"/>
            <w:right w:w="108" w:type="dxa"/>
          </w:tblCellMar>
        </w:tblPrEx>
        <w:trPr>
          <w:trHeight w:val="430" w:hRule="atLeast"/>
        </w:trPr>
        <w:tc>
          <w:tcPr>
            <w:tcW w:w="1015" w:type="dxa"/>
            <w:tcBorders>
              <w:top w:val="nil"/>
              <w:left w:val="single" w:color="000000" w:sz="12" w:space="0"/>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B</w:t>
            </w:r>
          </w:p>
        </w:tc>
        <w:tc>
          <w:tcPr>
            <w:tcW w:w="2803" w:type="dxa"/>
            <w:gridSpan w:val="2"/>
            <w:tcBorders>
              <w:top w:val="single" w:color="000000" w:sz="8" w:space="0"/>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商业服务业设施用地</w:t>
            </w:r>
          </w:p>
        </w:tc>
        <w:tc>
          <w:tcPr>
            <w:tcW w:w="1765"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5008.77</w:t>
            </w:r>
          </w:p>
        </w:tc>
        <w:tc>
          <w:tcPr>
            <w:tcW w:w="1616"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54</w:t>
            </w:r>
          </w:p>
        </w:tc>
        <w:tc>
          <w:tcPr>
            <w:tcW w:w="1778" w:type="dxa"/>
            <w:tcBorders>
              <w:top w:val="nil"/>
              <w:left w:val="nil"/>
              <w:bottom w:val="single" w:color="000000" w:sz="8" w:space="0"/>
              <w:right w:val="single" w:color="000000" w:sz="12"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 xml:space="preserve">2704.74 </w:t>
            </w:r>
          </w:p>
        </w:tc>
      </w:tr>
      <w:tr>
        <w:tblPrEx>
          <w:tblCellMar>
            <w:top w:w="0" w:type="dxa"/>
            <w:left w:w="108" w:type="dxa"/>
            <w:bottom w:w="0" w:type="dxa"/>
            <w:right w:w="108" w:type="dxa"/>
          </w:tblCellMar>
        </w:tblPrEx>
        <w:trPr>
          <w:trHeight w:val="430" w:hRule="atLeast"/>
        </w:trPr>
        <w:tc>
          <w:tcPr>
            <w:tcW w:w="1015" w:type="dxa"/>
            <w:tcBorders>
              <w:top w:val="nil"/>
              <w:left w:val="single" w:color="000000" w:sz="12" w:space="0"/>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S</w:t>
            </w:r>
          </w:p>
        </w:tc>
        <w:tc>
          <w:tcPr>
            <w:tcW w:w="2803" w:type="dxa"/>
            <w:gridSpan w:val="2"/>
            <w:tcBorders>
              <w:top w:val="single" w:color="000000" w:sz="8" w:space="0"/>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道路与交通设施用地</w:t>
            </w:r>
          </w:p>
        </w:tc>
        <w:tc>
          <w:tcPr>
            <w:tcW w:w="1765"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2393.65</w:t>
            </w:r>
          </w:p>
        </w:tc>
        <w:tc>
          <w:tcPr>
            <w:tcW w:w="1616"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w:t>
            </w:r>
          </w:p>
        </w:tc>
        <w:tc>
          <w:tcPr>
            <w:tcW w:w="1778" w:type="dxa"/>
            <w:tcBorders>
              <w:top w:val="nil"/>
              <w:left w:val="nil"/>
              <w:bottom w:val="single" w:color="000000" w:sz="8" w:space="0"/>
              <w:right w:val="single" w:color="000000" w:sz="12"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 xml:space="preserve">71.81 </w:t>
            </w:r>
          </w:p>
        </w:tc>
      </w:tr>
      <w:tr>
        <w:tblPrEx>
          <w:tblCellMar>
            <w:top w:w="0" w:type="dxa"/>
            <w:left w:w="108" w:type="dxa"/>
            <w:bottom w:w="0" w:type="dxa"/>
            <w:right w:w="108" w:type="dxa"/>
          </w:tblCellMar>
        </w:tblPrEx>
        <w:trPr>
          <w:trHeight w:val="430" w:hRule="atLeast"/>
        </w:trPr>
        <w:tc>
          <w:tcPr>
            <w:tcW w:w="1015" w:type="dxa"/>
            <w:tcBorders>
              <w:top w:val="nil"/>
              <w:left w:val="single" w:color="000000" w:sz="12" w:space="0"/>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M</w:t>
            </w:r>
          </w:p>
        </w:tc>
        <w:tc>
          <w:tcPr>
            <w:tcW w:w="2803" w:type="dxa"/>
            <w:gridSpan w:val="2"/>
            <w:tcBorders>
              <w:top w:val="single" w:color="000000" w:sz="8" w:space="0"/>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工业用地</w:t>
            </w:r>
          </w:p>
        </w:tc>
        <w:tc>
          <w:tcPr>
            <w:tcW w:w="1765"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3053.06</w:t>
            </w:r>
          </w:p>
        </w:tc>
        <w:tc>
          <w:tcPr>
            <w:tcW w:w="1616"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28</w:t>
            </w:r>
          </w:p>
        </w:tc>
        <w:tc>
          <w:tcPr>
            <w:tcW w:w="1778" w:type="dxa"/>
            <w:tcBorders>
              <w:top w:val="nil"/>
              <w:left w:val="nil"/>
              <w:bottom w:val="single" w:color="000000" w:sz="8" w:space="0"/>
              <w:right w:val="single" w:color="000000" w:sz="12"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 xml:space="preserve">854.86 </w:t>
            </w:r>
          </w:p>
        </w:tc>
      </w:tr>
      <w:tr>
        <w:tblPrEx>
          <w:tblCellMar>
            <w:top w:w="0" w:type="dxa"/>
            <w:left w:w="108" w:type="dxa"/>
            <w:bottom w:w="0" w:type="dxa"/>
            <w:right w:w="108" w:type="dxa"/>
          </w:tblCellMar>
        </w:tblPrEx>
        <w:trPr>
          <w:trHeight w:val="430" w:hRule="atLeast"/>
        </w:trPr>
        <w:tc>
          <w:tcPr>
            <w:tcW w:w="1015" w:type="dxa"/>
            <w:tcBorders>
              <w:top w:val="nil"/>
              <w:left w:val="single" w:color="000000" w:sz="12" w:space="0"/>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W</w:t>
            </w:r>
          </w:p>
        </w:tc>
        <w:tc>
          <w:tcPr>
            <w:tcW w:w="2803" w:type="dxa"/>
            <w:gridSpan w:val="2"/>
            <w:tcBorders>
              <w:top w:val="single" w:color="000000" w:sz="8" w:space="0"/>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仓储用地</w:t>
            </w:r>
          </w:p>
        </w:tc>
        <w:tc>
          <w:tcPr>
            <w:tcW w:w="1765"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1321.32</w:t>
            </w:r>
          </w:p>
        </w:tc>
        <w:tc>
          <w:tcPr>
            <w:tcW w:w="1616"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16</w:t>
            </w:r>
          </w:p>
        </w:tc>
        <w:tc>
          <w:tcPr>
            <w:tcW w:w="1778" w:type="dxa"/>
            <w:tcBorders>
              <w:top w:val="nil"/>
              <w:left w:val="nil"/>
              <w:bottom w:val="single" w:color="000000" w:sz="8" w:space="0"/>
              <w:right w:val="single" w:color="000000" w:sz="12"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 xml:space="preserve">211.41 </w:t>
            </w:r>
          </w:p>
        </w:tc>
      </w:tr>
      <w:tr>
        <w:tblPrEx>
          <w:tblCellMar>
            <w:top w:w="0" w:type="dxa"/>
            <w:left w:w="108" w:type="dxa"/>
            <w:bottom w:w="0" w:type="dxa"/>
            <w:right w:w="108" w:type="dxa"/>
          </w:tblCellMar>
        </w:tblPrEx>
        <w:trPr>
          <w:trHeight w:val="430" w:hRule="atLeast"/>
        </w:trPr>
        <w:tc>
          <w:tcPr>
            <w:tcW w:w="1015" w:type="dxa"/>
            <w:tcBorders>
              <w:top w:val="nil"/>
              <w:left w:val="single" w:color="000000" w:sz="12" w:space="0"/>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U</w:t>
            </w:r>
          </w:p>
        </w:tc>
        <w:tc>
          <w:tcPr>
            <w:tcW w:w="2803" w:type="dxa"/>
            <w:gridSpan w:val="2"/>
            <w:tcBorders>
              <w:top w:val="single" w:color="000000" w:sz="8" w:space="0"/>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公用设施用地</w:t>
            </w:r>
          </w:p>
        </w:tc>
        <w:tc>
          <w:tcPr>
            <w:tcW w:w="1765"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629.14</w:t>
            </w:r>
          </w:p>
        </w:tc>
        <w:tc>
          <w:tcPr>
            <w:tcW w:w="1616"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1.8</w:t>
            </w:r>
          </w:p>
        </w:tc>
        <w:tc>
          <w:tcPr>
            <w:tcW w:w="1778" w:type="dxa"/>
            <w:tcBorders>
              <w:top w:val="nil"/>
              <w:left w:val="nil"/>
              <w:bottom w:val="single" w:color="000000" w:sz="8" w:space="0"/>
              <w:right w:val="single" w:color="000000" w:sz="12"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 xml:space="preserve">11.32 </w:t>
            </w:r>
          </w:p>
        </w:tc>
      </w:tr>
      <w:tr>
        <w:tblPrEx>
          <w:tblCellMar>
            <w:top w:w="0" w:type="dxa"/>
            <w:left w:w="108" w:type="dxa"/>
            <w:bottom w:w="0" w:type="dxa"/>
            <w:right w:w="108" w:type="dxa"/>
          </w:tblCellMar>
        </w:tblPrEx>
        <w:trPr>
          <w:trHeight w:val="430" w:hRule="atLeast"/>
        </w:trPr>
        <w:tc>
          <w:tcPr>
            <w:tcW w:w="1015" w:type="dxa"/>
            <w:tcBorders>
              <w:top w:val="nil"/>
              <w:left w:val="single" w:color="000000" w:sz="12" w:space="0"/>
              <w:bottom w:val="nil"/>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G</w:t>
            </w:r>
          </w:p>
        </w:tc>
        <w:tc>
          <w:tcPr>
            <w:tcW w:w="2803" w:type="dxa"/>
            <w:gridSpan w:val="2"/>
            <w:tcBorders>
              <w:top w:val="single" w:color="000000" w:sz="8" w:space="0"/>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绿地与广场用地</w:t>
            </w:r>
          </w:p>
        </w:tc>
        <w:tc>
          <w:tcPr>
            <w:tcW w:w="1765"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4677.02</w:t>
            </w:r>
          </w:p>
        </w:tc>
        <w:tc>
          <w:tcPr>
            <w:tcW w:w="1616" w:type="dxa"/>
            <w:tcBorders>
              <w:top w:val="nil"/>
              <w:left w:val="nil"/>
              <w:bottom w:val="single" w:color="000000" w:sz="8"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3</w:t>
            </w:r>
          </w:p>
        </w:tc>
        <w:tc>
          <w:tcPr>
            <w:tcW w:w="1778" w:type="dxa"/>
            <w:tcBorders>
              <w:top w:val="nil"/>
              <w:left w:val="nil"/>
              <w:bottom w:val="single" w:color="000000" w:sz="8" w:space="0"/>
              <w:right w:val="single" w:color="000000" w:sz="12"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 xml:space="preserve">140.31 </w:t>
            </w:r>
          </w:p>
        </w:tc>
      </w:tr>
      <w:tr>
        <w:tblPrEx>
          <w:tblCellMar>
            <w:top w:w="0" w:type="dxa"/>
            <w:left w:w="108" w:type="dxa"/>
            <w:bottom w:w="0" w:type="dxa"/>
            <w:right w:w="108" w:type="dxa"/>
          </w:tblCellMar>
        </w:tblPrEx>
        <w:trPr>
          <w:trHeight w:val="493" w:hRule="atLeast"/>
        </w:trPr>
        <w:tc>
          <w:tcPr>
            <w:tcW w:w="3818" w:type="dxa"/>
            <w:gridSpan w:val="3"/>
            <w:tcBorders>
              <w:top w:val="single" w:color="000000" w:sz="8" w:space="0"/>
              <w:left w:val="single" w:color="000000" w:sz="12" w:space="0"/>
              <w:bottom w:val="single" w:color="000000" w:sz="12"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合计（同时率取0.8）</w:t>
            </w:r>
          </w:p>
        </w:tc>
        <w:tc>
          <w:tcPr>
            <w:tcW w:w="1765" w:type="dxa"/>
            <w:tcBorders>
              <w:top w:val="nil"/>
              <w:left w:val="nil"/>
              <w:bottom w:val="single" w:color="000000" w:sz="12"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27249.02</w:t>
            </w:r>
          </w:p>
        </w:tc>
        <w:tc>
          <w:tcPr>
            <w:tcW w:w="1616" w:type="dxa"/>
            <w:tcBorders>
              <w:top w:val="nil"/>
              <w:left w:val="nil"/>
              <w:bottom w:val="single" w:color="000000" w:sz="12" w:space="0"/>
              <w:right w:val="single" w:color="000000" w:sz="8"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　</w:t>
            </w:r>
          </w:p>
        </w:tc>
        <w:tc>
          <w:tcPr>
            <w:tcW w:w="1778" w:type="dxa"/>
            <w:tcBorders>
              <w:top w:val="nil"/>
              <w:left w:val="nil"/>
              <w:bottom w:val="single" w:color="000000" w:sz="12" w:space="0"/>
              <w:right w:val="single" w:color="000000" w:sz="12" w:space="0"/>
            </w:tcBorders>
            <w:shd w:val="clear" w:color="auto" w:fill="auto"/>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5365.2</w:t>
            </w:r>
          </w:p>
        </w:tc>
      </w:tr>
    </w:tbl>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根据负荷密度法预测结果，参考西安、咸阳等城市最大负荷利用小时数，本次电量预测考虑最大负荷利用小时数为4100小时，预计2035年西咸新区全社会用电量为222.53亿千瓦时。</w:t>
      </w:r>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rPr>
      </w:pPr>
      <w:bookmarkStart w:id="282" w:name="_Toc74041186"/>
      <w:bookmarkStart w:id="283" w:name="_Toc17368"/>
      <w:r>
        <w:rPr>
          <w:rFonts w:hint="eastAsia" w:ascii="黑体" w:hAnsi="黑体" w:eastAsia="黑体" w:cs="黑体"/>
          <w:b w:val="0"/>
          <w:bCs w:val="0"/>
          <w:sz w:val="32"/>
          <w:szCs w:val="32"/>
        </w:rPr>
        <w:t>电量预测</w:t>
      </w:r>
      <w:bookmarkEnd w:id="282"/>
      <w:bookmarkEnd w:id="283"/>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由于西咸新区地处西安、咸阳城乡结合区域。因此，历史用电量增长率可综合参考西安、咸阳两市。下表是西安、咸阳两市的年用电量统计：</w:t>
      </w:r>
    </w:p>
    <w:p>
      <w:pPr>
        <w:pStyle w:val="150"/>
        <w:keepNext w:val="0"/>
        <w:keepLines w:val="0"/>
        <w:pageBreakBefore w:val="0"/>
        <w:widowControl w:val="0"/>
        <w:kinsoku/>
        <w:wordWrap/>
        <w:overflowPunct/>
        <w:topLinePunct w:val="0"/>
        <w:autoSpaceDE/>
        <w:autoSpaceDN/>
        <w:bidi w:val="0"/>
        <w:adjustRightInd w:val="0"/>
        <w:snapToGrid w:val="0"/>
        <w:spacing w:line="640" w:lineRule="exact"/>
        <w:ind w:left="0" w:leftChars="0" w:firstLine="0" w:firstLineChars="0"/>
        <w:jc w:val="center"/>
        <w:textAlignment w:val="auto"/>
        <w:rPr>
          <w:rFonts w:hint="eastAsia" w:ascii="黑体" w:hAnsi="黑体" w:eastAsia="黑体" w:cs="黑体"/>
          <w:b w:val="0"/>
          <w:bCs w:val="0"/>
          <w:kern w:val="0"/>
          <w:sz w:val="28"/>
          <w:szCs w:val="28"/>
          <w:lang w:val="en-US" w:eastAsia="zh-CN" w:bidi="ar-SA"/>
        </w:rPr>
      </w:pPr>
      <w:r>
        <w:rPr>
          <w:rFonts w:hint="eastAsia" w:ascii="黑体" w:hAnsi="黑体" w:eastAsia="黑体" w:cs="黑体"/>
          <w:b w:val="0"/>
          <w:bCs w:val="0"/>
          <w:kern w:val="0"/>
          <w:sz w:val="28"/>
          <w:szCs w:val="28"/>
          <w:lang w:val="en-US" w:eastAsia="zh-CN" w:bidi="ar-SA"/>
        </w:rPr>
        <w:t>表5-6  咸阳市2005-2019年用电量统计表</w:t>
      </w:r>
    </w:p>
    <w:tbl>
      <w:tblPr>
        <w:tblStyle w:val="88"/>
        <w:tblW w:w="9339"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1735"/>
        <w:gridCol w:w="4032"/>
        <w:gridCol w:w="3572"/>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12" w:hRule="atLeast"/>
          <w:jc w:val="center"/>
        </w:trPr>
        <w:tc>
          <w:tcPr>
            <w:tcW w:w="1735"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年份</w:t>
            </w:r>
          </w:p>
        </w:tc>
        <w:tc>
          <w:tcPr>
            <w:tcW w:w="403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用电量(亿千瓦时)</w:t>
            </w:r>
          </w:p>
        </w:tc>
        <w:tc>
          <w:tcPr>
            <w:tcW w:w="357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增长率（%）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36" w:hRule="atLeast"/>
          <w:jc w:val="center"/>
        </w:trPr>
        <w:tc>
          <w:tcPr>
            <w:tcW w:w="1735"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2005</w:t>
            </w:r>
          </w:p>
        </w:tc>
        <w:tc>
          <w:tcPr>
            <w:tcW w:w="403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46.7</w:t>
            </w:r>
          </w:p>
        </w:tc>
        <w:tc>
          <w:tcPr>
            <w:tcW w:w="357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36" w:hRule="atLeast"/>
          <w:jc w:val="center"/>
        </w:trPr>
        <w:tc>
          <w:tcPr>
            <w:tcW w:w="1735"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2006</w:t>
            </w:r>
          </w:p>
        </w:tc>
        <w:tc>
          <w:tcPr>
            <w:tcW w:w="403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51.19</w:t>
            </w:r>
          </w:p>
        </w:tc>
        <w:tc>
          <w:tcPr>
            <w:tcW w:w="357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9.61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36" w:hRule="atLeast"/>
          <w:jc w:val="center"/>
        </w:trPr>
        <w:tc>
          <w:tcPr>
            <w:tcW w:w="1735"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2007</w:t>
            </w:r>
          </w:p>
        </w:tc>
        <w:tc>
          <w:tcPr>
            <w:tcW w:w="403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56.68</w:t>
            </w:r>
          </w:p>
        </w:tc>
        <w:tc>
          <w:tcPr>
            <w:tcW w:w="357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10.72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36" w:hRule="atLeast"/>
          <w:jc w:val="center"/>
        </w:trPr>
        <w:tc>
          <w:tcPr>
            <w:tcW w:w="1735"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2008</w:t>
            </w:r>
          </w:p>
        </w:tc>
        <w:tc>
          <w:tcPr>
            <w:tcW w:w="403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63.17</w:t>
            </w:r>
          </w:p>
        </w:tc>
        <w:tc>
          <w:tcPr>
            <w:tcW w:w="357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11.45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36" w:hRule="atLeast"/>
          <w:jc w:val="center"/>
        </w:trPr>
        <w:tc>
          <w:tcPr>
            <w:tcW w:w="1735"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2009</w:t>
            </w:r>
          </w:p>
        </w:tc>
        <w:tc>
          <w:tcPr>
            <w:tcW w:w="403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69.02</w:t>
            </w:r>
          </w:p>
        </w:tc>
        <w:tc>
          <w:tcPr>
            <w:tcW w:w="357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9.26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36" w:hRule="atLeast"/>
          <w:jc w:val="center"/>
        </w:trPr>
        <w:tc>
          <w:tcPr>
            <w:tcW w:w="1735"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2010</w:t>
            </w:r>
          </w:p>
        </w:tc>
        <w:tc>
          <w:tcPr>
            <w:tcW w:w="403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79.69</w:t>
            </w:r>
          </w:p>
        </w:tc>
        <w:tc>
          <w:tcPr>
            <w:tcW w:w="357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15.46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36" w:hRule="atLeast"/>
          <w:jc w:val="center"/>
        </w:trPr>
        <w:tc>
          <w:tcPr>
            <w:tcW w:w="1735"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2011</w:t>
            </w:r>
          </w:p>
        </w:tc>
        <w:tc>
          <w:tcPr>
            <w:tcW w:w="403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85.99</w:t>
            </w:r>
          </w:p>
        </w:tc>
        <w:tc>
          <w:tcPr>
            <w:tcW w:w="357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7.91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36" w:hRule="atLeast"/>
          <w:jc w:val="center"/>
        </w:trPr>
        <w:tc>
          <w:tcPr>
            <w:tcW w:w="1735"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2012</w:t>
            </w:r>
          </w:p>
        </w:tc>
        <w:tc>
          <w:tcPr>
            <w:tcW w:w="403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96.29</w:t>
            </w:r>
          </w:p>
        </w:tc>
        <w:tc>
          <w:tcPr>
            <w:tcW w:w="357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11.99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36" w:hRule="atLeast"/>
          <w:jc w:val="center"/>
        </w:trPr>
        <w:tc>
          <w:tcPr>
            <w:tcW w:w="1735"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2013</w:t>
            </w:r>
          </w:p>
        </w:tc>
        <w:tc>
          <w:tcPr>
            <w:tcW w:w="403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100.17</w:t>
            </w:r>
          </w:p>
        </w:tc>
        <w:tc>
          <w:tcPr>
            <w:tcW w:w="357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36" w:hRule="atLeast"/>
          <w:jc w:val="center"/>
        </w:trPr>
        <w:tc>
          <w:tcPr>
            <w:tcW w:w="1735"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2014</w:t>
            </w:r>
          </w:p>
        </w:tc>
        <w:tc>
          <w:tcPr>
            <w:tcW w:w="403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107.61</w:t>
            </w:r>
          </w:p>
        </w:tc>
        <w:tc>
          <w:tcPr>
            <w:tcW w:w="357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7.43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36" w:hRule="atLeast"/>
          <w:jc w:val="center"/>
        </w:trPr>
        <w:tc>
          <w:tcPr>
            <w:tcW w:w="1735"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2015</w:t>
            </w:r>
          </w:p>
        </w:tc>
        <w:tc>
          <w:tcPr>
            <w:tcW w:w="403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114.27</w:t>
            </w:r>
          </w:p>
        </w:tc>
        <w:tc>
          <w:tcPr>
            <w:tcW w:w="357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6.18%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36" w:hRule="atLeast"/>
          <w:jc w:val="center"/>
        </w:trPr>
        <w:tc>
          <w:tcPr>
            <w:tcW w:w="1735"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2016</w:t>
            </w:r>
          </w:p>
        </w:tc>
        <w:tc>
          <w:tcPr>
            <w:tcW w:w="403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114.26</w:t>
            </w:r>
          </w:p>
        </w:tc>
        <w:tc>
          <w:tcPr>
            <w:tcW w:w="357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-0.08%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36" w:hRule="atLeast"/>
          <w:jc w:val="center"/>
        </w:trPr>
        <w:tc>
          <w:tcPr>
            <w:tcW w:w="1735"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2017</w:t>
            </w:r>
          </w:p>
        </w:tc>
        <w:tc>
          <w:tcPr>
            <w:tcW w:w="403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117.13</w:t>
            </w:r>
          </w:p>
        </w:tc>
        <w:tc>
          <w:tcPr>
            <w:tcW w:w="357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2.51%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36" w:hRule="atLeast"/>
          <w:jc w:val="center"/>
        </w:trPr>
        <w:tc>
          <w:tcPr>
            <w:tcW w:w="1735"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2018</w:t>
            </w:r>
          </w:p>
        </w:tc>
        <w:tc>
          <w:tcPr>
            <w:tcW w:w="403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130.19</w:t>
            </w:r>
          </w:p>
        </w:tc>
        <w:tc>
          <w:tcPr>
            <w:tcW w:w="357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11.12%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55" w:hRule="atLeast"/>
          <w:jc w:val="center"/>
        </w:trPr>
        <w:tc>
          <w:tcPr>
            <w:tcW w:w="1735"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2019</w:t>
            </w:r>
          </w:p>
        </w:tc>
        <w:tc>
          <w:tcPr>
            <w:tcW w:w="403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139.55</w:t>
            </w:r>
          </w:p>
        </w:tc>
        <w:tc>
          <w:tcPr>
            <w:tcW w:w="357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7.12%</w:t>
            </w:r>
          </w:p>
        </w:tc>
      </w:tr>
    </w:tbl>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西安市2005年至2014年期间用电量年均增长率为8.07%，用电量增长较快。</w:t>
      </w:r>
    </w:p>
    <w:p>
      <w:pPr>
        <w:pStyle w:val="150"/>
        <w:keepNext w:val="0"/>
        <w:keepLines w:val="0"/>
        <w:pageBreakBefore w:val="0"/>
        <w:widowControl w:val="0"/>
        <w:kinsoku/>
        <w:wordWrap/>
        <w:overflowPunct/>
        <w:topLinePunct w:val="0"/>
        <w:autoSpaceDE/>
        <w:autoSpaceDN/>
        <w:bidi w:val="0"/>
        <w:adjustRightInd w:val="0"/>
        <w:snapToGrid w:val="0"/>
        <w:spacing w:line="640" w:lineRule="exact"/>
        <w:ind w:left="0" w:leftChars="0" w:firstLine="0" w:firstLineChars="0"/>
        <w:jc w:val="center"/>
        <w:textAlignment w:val="auto"/>
        <w:rPr>
          <w:rFonts w:hint="eastAsia" w:ascii="黑体" w:hAnsi="黑体" w:eastAsia="黑体" w:cs="黑体"/>
          <w:b w:val="0"/>
          <w:bCs w:val="0"/>
          <w:kern w:val="0"/>
          <w:sz w:val="28"/>
          <w:szCs w:val="28"/>
          <w:lang w:val="en-US" w:eastAsia="zh-CN" w:bidi="ar-SA"/>
        </w:rPr>
      </w:pPr>
      <w:r>
        <w:rPr>
          <w:rFonts w:hint="eastAsia" w:ascii="黑体" w:hAnsi="黑体" w:eastAsia="黑体" w:cs="黑体"/>
          <w:b w:val="0"/>
          <w:bCs w:val="0"/>
          <w:kern w:val="0"/>
          <w:sz w:val="28"/>
          <w:szCs w:val="28"/>
          <w:lang w:val="en-US" w:eastAsia="zh-CN" w:bidi="ar-SA"/>
        </w:rPr>
        <w:t>表5-7  西安市2005-2014年用电量统计表</w:t>
      </w:r>
    </w:p>
    <w:tbl>
      <w:tblPr>
        <w:tblStyle w:val="88"/>
        <w:tblW w:w="9118"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2026"/>
        <w:gridCol w:w="823"/>
        <w:gridCol w:w="3932"/>
        <w:gridCol w:w="2337"/>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71" w:hRule="atLeast"/>
          <w:jc w:val="center"/>
        </w:trPr>
        <w:tc>
          <w:tcPr>
            <w:tcW w:w="2026"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行政区划</w:t>
            </w:r>
          </w:p>
        </w:tc>
        <w:tc>
          <w:tcPr>
            <w:tcW w:w="823"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年份</w:t>
            </w:r>
          </w:p>
        </w:tc>
        <w:tc>
          <w:tcPr>
            <w:tcW w:w="393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全社会用电量(亿千瓦时)</w:t>
            </w:r>
          </w:p>
        </w:tc>
        <w:tc>
          <w:tcPr>
            <w:tcW w:w="2337"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增长率（%）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2" w:hRule="atLeast"/>
          <w:jc w:val="center"/>
        </w:trPr>
        <w:tc>
          <w:tcPr>
            <w:tcW w:w="2026" w:type="dxa"/>
            <w:vMerge w:val="restart"/>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市辖供电区</w:t>
            </w:r>
          </w:p>
          <w:p>
            <w:pPr>
              <w:widowControl/>
              <w:jc w:val="center"/>
              <w:rPr>
                <w:rFonts w:hint="eastAsia" w:ascii="方正仿宋_GB2312" w:hAnsi="方正仿宋_GB2312" w:eastAsia="方正仿宋_GB2312" w:cs="方正仿宋_GB2312"/>
                <w:kern w:val="0"/>
                <w:sz w:val="21"/>
                <w:szCs w:val="21"/>
              </w:rPr>
            </w:pPr>
          </w:p>
        </w:tc>
        <w:tc>
          <w:tcPr>
            <w:tcW w:w="823"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2005</w:t>
            </w:r>
          </w:p>
        </w:tc>
        <w:tc>
          <w:tcPr>
            <w:tcW w:w="393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98.12</w:t>
            </w:r>
          </w:p>
        </w:tc>
        <w:tc>
          <w:tcPr>
            <w:tcW w:w="2337"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2" w:hRule="atLeast"/>
          <w:jc w:val="center"/>
        </w:trPr>
        <w:tc>
          <w:tcPr>
            <w:tcW w:w="2026" w:type="dxa"/>
            <w:vMerge w:val="continue"/>
            <w:tcBorders>
              <w:tl2br w:val="nil"/>
              <w:tr2bl w:val="nil"/>
            </w:tcBorders>
            <w:vAlign w:val="center"/>
          </w:tcPr>
          <w:p>
            <w:pPr>
              <w:widowControl/>
              <w:jc w:val="center"/>
              <w:rPr>
                <w:rFonts w:hint="eastAsia" w:ascii="方正仿宋_GB2312" w:hAnsi="方正仿宋_GB2312" w:eastAsia="方正仿宋_GB2312" w:cs="方正仿宋_GB2312"/>
                <w:kern w:val="0"/>
                <w:sz w:val="21"/>
                <w:szCs w:val="21"/>
              </w:rPr>
            </w:pPr>
          </w:p>
        </w:tc>
        <w:tc>
          <w:tcPr>
            <w:tcW w:w="823"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2010</w:t>
            </w:r>
          </w:p>
        </w:tc>
        <w:tc>
          <w:tcPr>
            <w:tcW w:w="393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142.3</w:t>
            </w:r>
          </w:p>
        </w:tc>
        <w:tc>
          <w:tcPr>
            <w:tcW w:w="2337"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7.72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2" w:hRule="atLeast"/>
          <w:jc w:val="center"/>
        </w:trPr>
        <w:tc>
          <w:tcPr>
            <w:tcW w:w="2026" w:type="dxa"/>
            <w:vMerge w:val="continue"/>
            <w:tcBorders>
              <w:tl2br w:val="nil"/>
              <w:tr2bl w:val="nil"/>
            </w:tcBorders>
            <w:vAlign w:val="center"/>
          </w:tcPr>
          <w:p>
            <w:pPr>
              <w:widowControl/>
              <w:jc w:val="center"/>
              <w:rPr>
                <w:rFonts w:hint="eastAsia" w:ascii="方正仿宋_GB2312" w:hAnsi="方正仿宋_GB2312" w:eastAsia="方正仿宋_GB2312" w:cs="方正仿宋_GB2312"/>
                <w:kern w:val="0"/>
                <w:sz w:val="21"/>
                <w:szCs w:val="21"/>
              </w:rPr>
            </w:pPr>
          </w:p>
        </w:tc>
        <w:tc>
          <w:tcPr>
            <w:tcW w:w="823"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2011</w:t>
            </w:r>
          </w:p>
        </w:tc>
        <w:tc>
          <w:tcPr>
            <w:tcW w:w="393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155.4</w:t>
            </w:r>
          </w:p>
        </w:tc>
        <w:tc>
          <w:tcPr>
            <w:tcW w:w="2337"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9.21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71" w:hRule="atLeast"/>
          <w:jc w:val="center"/>
        </w:trPr>
        <w:tc>
          <w:tcPr>
            <w:tcW w:w="2026" w:type="dxa"/>
            <w:vMerge w:val="continue"/>
            <w:tcBorders>
              <w:tl2br w:val="nil"/>
              <w:tr2bl w:val="nil"/>
            </w:tcBorders>
            <w:vAlign w:val="center"/>
          </w:tcPr>
          <w:p>
            <w:pPr>
              <w:widowControl/>
              <w:jc w:val="center"/>
              <w:rPr>
                <w:rFonts w:hint="eastAsia" w:ascii="方正仿宋_GB2312" w:hAnsi="方正仿宋_GB2312" w:eastAsia="方正仿宋_GB2312" w:cs="方正仿宋_GB2312"/>
                <w:kern w:val="0"/>
                <w:sz w:val="21"/>
                <w:szCs w:val="21"/>
              </w:rPr>
            </w:pPr>
          </w:p>
        </w:tc>
        <w:tc>
          <w:tcPr>
            <w:tcW w:w="823"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2012</w:t>
            </w:r>
          </w:p>
        </w:tc>
        <w:tc>
          <w:tcPr>
            <w:tcW w:w="393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165.05</w:t>
            </w:r>
          </w:p>
        </w:tc>
        <w:tc>
          <w:tcPr>
            <w:tcW w:w="2337"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6.21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71" w:hRule="atLeast"/>
          <w:jc w:val="center"/>
        </w:trPr>
        <w:tc>
          <w:tcPr>
            <w:tcW w:w="2026" w:type="dxa"/>
            <w:vMerge w:val="continue"/>
            <w:tcBorders>
              <w:tl2br w:val="nil"/>
              <w:tr2bl w:val="nil"/>
            </w:tcBorders>
            <w:vAlign w:val="center"/>
          </w:tcPr>
          <w:p>
            <w:pPr>
              <w:widowControl/>
              <w:jc w:val="center"/>
              <w:rPr>
                <w:rFonts w:hint="eastAsia" w:ascii="方正仿宋_GB2312" w:hAnsi="方正仿宋_GB2312" w:eastAsia="方正仿宋_GB2312" w:cs="方正仿宋_GB2312"/>
                <w:kern w:val="0"/>
                <w:sz w:val="21"/>
                <w:szCs w:val="21"/>
              </w:rPr>
            </w:pPr>
          </w:p>
        </w:tc>
        <w:tc>
          <w:tcPr>
            <w:tcW w:w="823"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2013</w:t>
            </w:r>
          </w:p>
        </w:tc>
        <w:tc>
          <w:tcPr>
            <w:tcW w:w="393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179.87</w:t>
            </w:r>
          </w:p>
        </w:tc>
        <w:tc>
          <w:tcPr>
            <w:tcW w:w="2337"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8.98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71" w:hRule="atLeast"/>
          <w:jc w:val="center"/>
        </w:trPr>
        <w:tc>
          <w:tcPr>
            <w:tcW w:w="2026" w:type="dxa"/>
            <w:vMerge w:val="continue"/>
            <w:tcBorders>
              <w:tl2br w:val="nil"/>
              <w:tr2bl w:val="nil"/>
            </w:tcBorders>
            <w:vAlign w:val="center"/>
          </w:tcPr>
          <w:p>
            <w:pPr>
              <w:widowControl/>
              <w:jc w:val="center"/>
              <w:rPr>
                <w:rFonts w:hint="eastAsia" w:ascii="方正仿宋_GB2312" w:hAnsi="方正仿宋_GB2312" w:eastAsia="方正仿宋_GB2312" w:cs="方正仿宋_GB2312"/>
                <w:kern w:val="0"/>
                <w:sz w:val="21"/>
                <w:szCs w:val="21"/>
              </w:rPr>
            </w:pPr>
          </w:p>
        </w:tc>
        <w:tc>
          <w:tcPr>
            <w:tcW w:w="823"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2014</w:t>
            </w:r>
          </w:p>
        </w:tc>
        <w:tc>
          <w:tcPr>
            <w:tcW w:w="393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190.92</w:t>
            </w:r>
          </w:p>
        </w:tc>
        <w:tc>
          <w:tcPr>
            <w:tcW w:w="2337"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6.14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2" w:hRule="atLeast"/>
          <w:jc w:val="center"/>
        </w:trPr>
        <w:tc>
          <w:tcPr>
            <w:tcW w:w="2026" w:type="dxa"/>
            <w:vMerge w:val="restart"/>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县级供电区</w:t>
            </w:r>
          </w:p>
        </w:tc>
        <w:tc>
          <w:tcPr>
            <w:tcW w:w="823"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2005</w:t>
            </w:r>
          </w:p>
        </w:tc>
        <w:tc>
          <w:tcPr>
            <w:tcW w:w="393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28.58</w:t>
            </w:r>
          </w:p>
        </w:tc>
        <w:tc>
          <w:tcPr>
            <w:tcW w:w="2337"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71" w:hRule="atLeast"/>
          <w:jc w:val="center"/>
        </w:trPr>
        <w:tc>
          <w:tcPr>
            <w:tcW w:w="2026" w:type="dxa"/>
            <w:vMerge w:val="continue"/>
            <w:tcBorders>
              <w:tl2br w:val="nil"/>
              <w:tr2bl w:val="nil"/>
            </w:tcBorders>
            <w:vAlign w:val="center"/>
          </w:tcPr>
          <w:p>
            <w:pPr>
              <w:widowControl/>
              <w:jc w:val="center"/>
              <w:rPr>
                <w:rFonts w:hint="eastAsia" w:ascii="方正仿宋_GB2312" w:hAnsi="方正仿宋_GB2312" w:eastAsia="方正仿宋_GB2312" w:cs="方正仿宋_GB2312"/>
                <w:kern w:val="0"/>
                <w:sz w:val="21"/>
                <w:szCs w:val="21"/>
              </w:rPr>
            </w:pPr>
          </w:p>
        </w:tc>
        <w:tc>
          <w:tcPr>
            <w:tcW w:w="823"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2010</w:t>
            </w:r>
          </w:p>
        </w:tc>
        <w:tc>
          <w:tcPr>
            <w:tcW w:w="393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57.2</w:t>
            </w:r>
          </w:p>
        </w:tc>
        <w:tc>
          <w:tcPr>
            <w:tcW w:w="2337"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14.89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2" w:hRule="atLeast"/>
          <w:jc w:val="center"/>
        </w:trPr>
        <w:tc>
          <w:tcPr>
            <w:tcW w:w="2026" w:type="dxa"/>
            <w:vMerge w:val="continue"/>
            <w:tcBorders>
              <w:tl2br w:val="nil"/>
              <w:tr2bl w:val="nil"/>
            </w:tcBorders>
            <w:vAlign w:val="center"/>
          </w:tcPr>
          <w:p>
            <w:pPr>
              <w:widowControl/>
              <w:jc w:val="center"/>
              <w:rPr>
                <w:rFonts w:hint="eastAsia" w:ascii="方正仿宋_GB2312" w:hAnsi="方正仿宋_GB2312" w:eastAsia="方正仿宋_GB2312" w:cs="方正仿宋_GB2312"/>
                <w:kern w:val="0"/>
                <w:sz w:val="21"/>
                <w:szCs w:val="21"/>
              </w:rPr>
            </w:pPr>
          </w:p>
        </w:tc>
        <w:tc>
          <w:tcPr>
            <w:tcW w:w="823"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2011</w:t>
            </w:r>
          </w:p>
        </w:tc>
        <w:tc>
          <w:tcPr>
            <w:tcW w:w="393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65.83</w:t>
            </w:r>
          </w:p>
        </w:tc>
        <w:tc>
          <w:tcPr>
            <w:tcW w:w="2337"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15.09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2" w:hRule="atLeast"/>
          <w:jc w:val="center"/>
        </w:trPr>
        <w:tc>
          <w:tcPr>
            <w:tcW w:w="2026" w:type="dxa"/>
            <w:vMerge w:val="continue"/>
            <w:tcBorders>
              <w:tl2br w:val="nil"/>
              <w:tr2bl w:val="nil"/>
            </w:tcBorders>
            <w:vAlign w:val="center"/>
          </w:tcPr>
          <w:p>
            <w:pPr>
              <w:widowControl/>
              <w:jc w:val="center"/>
              <w:rPr>
                <w:rFonts w:hint="eastAsia" w:ascii="方正仿宋_GB2312" w:hAnsi="方正仿宋_GB2312" w:eastAsia="方正仿宋_GB2312" w:cs="方正仿宋_GB2312"/>
                <w:kern w:val="0"/>
                <w:sz w:val="21"/>
                <w:szCs w:val="21"/>
              </w:rPr>
            </w:pPr>
          </w:p>
        </w:tc>
        <w:tc>
          <w:tcPr>
            <w:tcW w:w="823"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2012</w:t>
            </w:r>
          </w:p>
        </w:tc>
        <w:tc>
          <w:tcPr>
            <w:tcW w:w="393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69.71</w:t>
            </w:r>
          </w:p>
        </w:tc>
        <w:tc>
          <w:tcPr>
            <w:tcW w:w="2337"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5.89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2" w:hRule="atLeast"/>
          <w:jc w:val="center"/>
        </w:trPr>
        <w:tc>
          <w:tcPr>
            <w:tcW w:w="2026" w:type="dxa"/>
            <w:vMerge w:val="continue"/>
            <w:tcBorders>
              <w:tl2br w:val="nil"/>
              <w:tr2bl w:val="nil"/>
            </w:tcBorders>
            <w:vAlign w:val="center"/>
          </w:tcPr>
          <w:p>
            <w:pPr>
              <w:widowControl/>
              <w:jc w:val="center"/>
              <w:rPr>
                <w:rFonts w:hint="eastAsia" w:ascii="方正仿宋_GB2312" w:hAnsi="方正仿宋_GB2312" w:eastAsia="方正仿宋_GB2312" w:cs="方正仿宋_GB2312"/>
                <w:kern w:val="0"/>
                <w:sz w:val="21"/>
                <w:szCs w:val="21"/>
              </w:rPr>
            </w:pPr>
          </w:p>
        </w:tc>
        <w:tc>
          <w:tcPr>
            <w:tcW w:w="823"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2013</w:t>
            </w:r>
          </w:p>
        </w:tc>
        <w:tc>
          <w:tcPr>
            <w:tcW w:w="393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75.11</w:t>
            </w:r>
          </w:p>
        </w:tc>
        <w:tc>
          <w:tcPr>
            <w:tcW w:w="2337"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7.75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2" w:hRule="atLeast"/>
          <w:jc w:val="center"/>
        </w:trPr>
        <w:tc>
          <w:tcPr>
            <w:tcW w:w="2026" w:type="dxa"/>
            <w:vMerge w:val="continue"/>
            <w:tcBorders>
              <w:tl2br w:val="nil"/>
              <w:tr2bl w:val="nil"/>
            </w:tcBorders>
            <w:vAlign w:val="center"/>
          </w:tcPr>
          <w:p>
            <w:pPr>
              <w:widowControl/>
              <w:spacing w:line="240" w:lineRule="auto"/>
              <w:jc w:val="left"/>
              <w:rPr>
                <w:rFonts w:eastAsia="仿宋"/>
                <w:szCs w:val="21"/>
              </w:rPr>
            </w:pPr>
          </w:p>
        </w:tc>
        <w:tc>
          <w:tcPr>
            <w:tcW w:w="823"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2014</w:t>
            </w:r>
          </w:p>
        </w:tc>
        <w:tc>
          <w:tcPr>
            <w:tcW w:w="393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84.4</w:t>
            </w:r>
          </w:p>
        </w:tc>
        <w:tc>
          <w:tcPr>
            <w:tcW w:w="2337"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12.37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2" w:hRule="atLeast"/>
          <w:jc w:val="center"/>
        </w:trPr>
        <w:tc>
          <w:tcPr>
            <w:tcW w:w="2026" w:type="dxa"/>
            <w:vMerge w:val="restart"/>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全市</w:t>
            </w:r>
          </w:p>
        </w:tc>
        <w:tc>
          <w:tcPr>
            <w:tcW w:w="823"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2005</w:t>
            </w:r>
          </w:p>
        </w:tc>
        <w:tc>
          <w:tcPr>
            <w:tcW w:w="393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126.7</w:t>
            </w:r>
          </w:p>
        </w:tc>
        <w:tc>
          <w:tcPr>
            <w:tcW w:w="2337"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2" w:hRule="atLeast"/>
          <w:jc w:val="center"/>
        </w:trPr>
        <w:tc>
          <w:tcPr>
            <w:tcW w:w="2026" w:type="dxa"/>
            <w:vMerge w:val="continue"/>
            <w:tcBorders>
              <w:tl2br w:val="nil"/>
              <w:tr2bl w:val="nil"/>
            </w:tcBorders>
            <w:vAlign w:val="center"/>
          </w:tcPr>
          <w:p>
            <w:pPr>
              <w:widowControl/>
              <w:jc w:val="center"/>
              <w:rPr>
                <w:rFonts w:hint="eastAsia" w:ascii="方正仿宋_GB2312" w:hAnsi="方正仿宋_GB2312" w:eastAsia="方正仿宋_GB2312" w:cs="方正仿宋_GB2312"/>
                <w:kern w:val="0"/>
                <w:sz w:val="21"/>
                <w:szCs w:val="21"/>
              </w:rPr>
            </w:pPr>
          </w:p>
        </w:tc>
        <w:tc>
          <w:tcPr>
            <w:tcW w:w="823"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2010</w:t>
            </w:r>
          </w:p>
        </w:tc>
        <w:tc>
          <w:tcPr>
            <w:tcW w:w="393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199.5</w:t>
            </w:r>
          </w:p>
        </w:tc>
        <w:tc>
          <w:tcPr>
            <w:tcW w:w="2337"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9.50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2" w:hRule="atLeast"/>
          <w:jc w:val="center"/>
        </w:trPr>
        <w:tc>
          <w:tcPr>
            <w:tcW w:w="2026" w:type="dxa"/>
            <w:vMerge w:val="continue"/>
            <w:tcBorders>
              <w:tl2br w:val="nil"/>
              <w:tr2bl w:val="nil"/>
            </w:tcBorders>
            <w:vAlign w:val="center"/>
          </w:tcPr>
          <w:p>
            <w:pPr>
              <w:widowControl/>
              <w:jc w:val="center"/>
              <w:rPr>
                <w:rFonts w:hint="eastAsia" w:ascii="方正仿宋_GB2312" w:hAnsi="方正仿宋_GB2312" w:eastAsia="方正仿宋_GB2312" w:cs="方正仿宋_GB2312"/>
                <w:kern w:val="0"/>
                <w:sz w:val="21"/>
                <w:szCs w:val="21"/>
              </w:rPr>
            </w:pPr>
          </w:p>
        </w:tc>
        <w:tc>
          <w:tcPr>
            <w:tcW w:w="823"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2011</w:t>
            </w:r>
          </w:p>
        </w:tc>
        <w:tc>
          <w:tcPr>
            <w:tcW w:w="393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221.23</w:t>
            </w:r>
          </w:p>
        </w:tc>
        <w:tc>
          <w:tcPr>
            <w:tcW w:w="2337"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10.89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2" w:hRule="atLeast"/>
          <w:jc w:val="center"/>
        </w:trPr>
        <w:tc>
          <w:tcPr>
            <w:tcW w:w="2026" w:type="dxa"/>
            <w:vMerge w:val="continue"/>
            <w:tcBorders>
              <w:tl2br w:val="nil"/>
              <w:tr2bl w:val="nil"/>
            </w:tcBorders>
            <w:vAlign w:val="center"/>
          </w:tcPr>
          <w:p>
            <w:pPr>
              <w:widowControl/>
              <w:jc w:val="center"/>
              <w:rPr>
                <w:rFonts w:hint="eastAsia" w:ascii="方正仿宋_GB2312" w:hAnsi="方正仿宋_GB2312" w:eastAsia="方正仿宋_GB2312" w:cs="方正仿宋_GB2312"/>
                <w:kern w:val="0"/>
                <w:sz w:val="21"/>
                <w:szCs w:val="21"/>
              </w:rPr>
            </w:pPr>
          </w:p>
        </w:tc>
        <w:tc>
          <w:tcPr>
            <w:tcW w:w="823"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2012</w:t>
            </w:r>
          </w:p>
        </w:tc>
        <w:tc>
          <w:tcPr>
            <w:tcW w:w="393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234.76</w:t>
            </w:r>
          </w:p>
        </w:tc>
        <w:tc>
          <w:tcPr>
            <w:tcW w:w="2337"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6.12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2" w:hRule="atLeast"/>
          <w:jc w:val="center"/>
        </w:trPr>
        <w:tc>
          <w:tcPr>
            <w:tcW w:w="2026" w:type="dxa"/>
            <w:vMerge w:val="continue"/>
            <w:tcBorders>
              <w:tl2br w:val="nil"/>
              <w:tr2bl w:val="nil"/>
            </w:tcBorders>
            <w:vAlign w:val="center"/>
          </w:tcPr>
          <w:p>
            <w:pPr>
              <w:widowControl/>
              <w:jc w:val="center"/>
              <w:rPr>
                <w:rFonts w:hint="eastAsia" w:ascii="方正仿宋_GB2312" w:hAnsi="方正仿宋_GB2312" w:eastAsia="方正仿宋_GB2312" w:cs="方正仿宋_GB2312"/>
                <w:kern w:val="0"/>
                <w:sz w:val="21"/>
                <w:szCs w:val="21"/>
              </w:rPr>
            </w:pPr>
          </w:p>
        </w:tc>
        <w:tc>
          <w:tcPr>
            <w:tcW w:w="823"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2013</w:t>
            </w:r>
          </w:p>
        </w:tc>
        <w:tc>
          <w:tcPr>
            <w:tcW w:w="393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254.98</w:t>
            </w:r>
          </w:p>
        </w:tc>
        <w:tc>
          <w:tcPr>
            <w:tcW w:w="2337"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8.61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0" w:hRule="atLeast"/>
          <w:jc w:val="center"/>
        </w:trPr>
        <w:tc>
          <w:tcPr>
            <w:tcW w:w="2026" w:type="dxa"/>
            <w:vMerge w:val="continue"/>
            <w:tcBorders>
              <w:tl2br w:val="nil"/>
              <w:tr2bl w:val="nil"/>
            </w:tcBorders>
            <w:vAlign w:val="center"/>
          </w:tcPr>
          <w:p>
            <w:pPr>
              <w:widowControl/>
              <w:jc w:val="center"/>
              <w:rPr>
                <w:rFonts w:hint="eastAsia" w:ascii="方正仿宋_GB2312" w:hAnsi="方正仿宋_GB2312" w:eastAsia="方正仿宋_GB2312" w:cs="方正仿宋_GB2312"/>
                <w:kern w:val="0"/>
                <w:sz w:val="21"/>
                <w:szCs w:val="21"/>
              </w:rPr>
            </w:pPr>
          </w:p>
        </w:tc>
        <w:tc>
          <w:tcPr>
            <w:tcW w:w="823"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2014</w:t>
            </w:r>
          </w:p>
        </w:tc>
        <w:tc>
          <w:tcPr>
            <w:tcW w:w="3932"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275.32</w:t>
            </w:r>
          </w:p>
        </w:tc>
        <w:tc>
          <w:tcPr>
            <w:tcW w:w="2337" w:type="dxa"/>
            <w:tcBorders>
              <w:tl2br w:val="nil"/>
              <w:tr2bl w:val="nil"/>
            </w:tcBorders>
            <w:shd w:val="clear" w:color="auto" w:fill="FFFFFF"/>
            <w:vAlign w:val="center"/>
          </w:tcPr>
          <w:p>
            <w:pPr>
              <w:widowControl/>
              <w:jc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7.98</w:t>
            </w:r>
          </w:p>
        </w:tc>
      </w:tr>
    </w:tbl>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由于西咸新区作为国家级新区的城市定位，随着“十三五”新区城市配套建设的完成，预计新区“十四五”期间，产能将逐步释放，在“十四五”中期出现负荷的快速增长。因此，在选取电量增长率时应高于西安咸阳。西咸新区电量平均增长速率提出高、中、低三个水平。电量平均增长速率分别为16%、15%、14%，根据经济发展需要取1%-2%的浮动系数。</w:t>
      </w:r>
    </w:p>
    <w:p>
      <w:pPr>
        <w:pStyle w:val="150"/>
        <w:keepNext w:val="0"/>
        <w:keepLines w:val="0"/>
        <w:pageBreakBefore w:val="0"/>
        <w:widowControl w:val="0"/>
        <w:kinsoku/>
        <w:wordWrap/>
        <w:overflowPunct/>
        <w:topLinePunct w:val="0"/>
        <w:autoSpaceDE/>
        <w:autoSpaceDN/>
        <w:bidi w:val="0"/>
        <w:adjustRightInd w:val="0"/>
        <w:snapToGrid w:val="0"/>
        <w:spacing w:line="640" w:lineRule="exact"/>
        <w:ind w:left="0" w:leftChars="0" w:firstLine="0" w:firstLineChars="0"/>
        <w:jc w:val="center"/>
        <w:textAlignment w:val="auto"/>
        <w:rPr>
          <w:rFonts w:hint="eastAsia" w:ascii="黑体" w:hAnsi="黑体" w:eastAsia="黑体" w:cs="黑体"/>
          <w:b w:val="0"/>
          <w:bCs w:val="0"/>
          <w:kern w:val="0"/>
          <w:sz w:val="28"/>
          <w:szCs w:val="28"/>
          <w:lang w:val="en-US" w:eastAsia="zh-CN" w:bidi="ar-SA"/>
        </w:rPr>
      </w:pPr>
      <w:r>
        <w:rPr>
          <w:rFonts w:hint="eastAsia" w:ascii="黑体" w:hAnsi="黑体" w:eastAsia="黑体" w:cs="黑体"/>
          <w:b w:val="0"/>
          <w:bCs w:val="0"/>
          <w:kern w:val="0"/>
          <w:sz w:val="28"/>
          <w:szCs w:val="28"/>
          <w:lang w:val="en-US" w:eastAsia="zh-CN" w:bidi="ar-SA"/>
        </w:rPr>
        <w:t>表5-8  西咸新区2021-2025年全社会电量预测（平均增长率法）</w:t>
      </w:r>
    </w:p>
    <w:tbl>
      <w:tblPr>
        <w:tblStyle w:val="88"/>
        <w:tblW w:w="8834" w:type="dxa"/>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692"/>
        <w:gridCol w:w="889"/>
        <w:gridCol w:w="975"/>
        <w:gridCol w:w="975"/>
        <w:gridCol w:w="975"/>
        <w:gridCol w:w="975"/>
        <w:gridCol w:w="975"/>
        <w:gridCol w:w="1378"/>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61" w:hRule="atLeast"/>
        </w:trPr>
        <w:tc>
          <w:tcPr>
            <w:tcW w:w="1692" w:type="dxa"/>
            <w:shd w:val="clear" w:color="auto" w:fill="auto"/>
            <w:vAlign w:val="center"/>
          </w:tcPr>
          <w:p>
            <w:pPr>
              <w:widowControl/>
              <w:spacing w:line="240" w:lineRule="auto"/>
              <w:jc w:val="center"/>
              <w:rPr>
                <w:rFonts w:eastAsia="仿宋"/>
                <w:kern w:val="0"/>
                <w:sz w:val="21"/>
                <w:szCs w:val="18"/>
              </w:rPr>
            </w:pPr>
            <w:r>
              <w:rPr>
                <w:rFonts w:eastAsia="仿宋"/>
                <w:kern w:val="0"/>
                <w:sz w:val="21"/>
                <w:szCs w:val="18"/>
              </w:rPr>
              <w:t>类型</w:t>
            </w:r>
          </w:p>
        </w:tc>
        <w:tc>
          <w:tcPr>
            <w:tcW w:w="889" w:type="dxa"/>
            <w:shd w:val="clear" w:color="auto" w:fill="auto"/>
            <w:vAlign w:val="center"/>
          </w:tcPr>
          <w:p>
            <w:pPr>
              <w:widowControl/>
              <w:spacing w:line="240" w:lineRule="auto"/>
              <w:jc w:val="center"/>
              <w:rPr>
                <w:rFonts w:eastAsia="仿宋"/>
                <w:kern w:val="0"/>
                <w:sz w:val="21"/>
                <w:szCs w:val="18"/>
              </w:rPr>
            </w:pPr>
            <w:r>
              <w:rPr>
                <w:rFonts w:eastAsia="仿宋"/>
                <w:kern w:val="0"/>
                <w:sz w:val="21"/>
                <w:szCs w:val="18"/>
              </w:rPr>
              <w:t>方案</w:t>
            </w:r>
          </w:p>
        </w:tc>
        <w:tc>
          <w:tcPr>
            <w:tcW w:w="975" w:type="dxa"/>
            <w:shd w:val="clear" w:color="auto" w:fill="auto"/>
            <w:vAlign w:val="center"/>
          </w:tcPr>
          <w:p>
            <w:pPr>
              <w:widowControl/>
              <w:spacing w:line="240" w:lineRule="auto"/>
              <w:jc w:val="center"/>
              <w:rPr>
                <w:rFonts w:eastAsia="仿宋"/>
                <w:kern w:val="0"/>
                <w:sz w:val="21"/>
                <w:szCs w:val="18"/>
              </w:rPr>
            </w:pPr>
            <w:r>
              <w:rPr>
                <w:rFonts w:eastAsia="仿宋"/>
                <w:kern w:val="0"/>
                <w:sz w:val="21"/>
                <w:szCs w:val="18"/>
              </w:rPr>
              <w:t>2021</w:t>
            </w:r>
          </w:p>
        </w:tc>
        <w:tc>
          <w:tcPr>
            <w:tcW w:w="975" w:type="dxa"/>
            <w:shd w:val="clear" w:color="auto" w:fill="auto"/>
            <w:vAlign w:val="center"/>
          </w:tcPr>
          <w:p>
            <w:pPr>
              <w:widowControl/>
              <w:spacing w:line="240" w:lineRule="auto"/>
              <w:jc w:val="center"/>
              <w:rPr>
                <w:rFonts w:eastAsia="仿宋"/>
                <w:kern w:val="0"/>
                <w:sz w:val="21"/>
                <w:szCs w:val="18"/>
              </w:rPr>
            </w:pPr>
            <w:r>
              <w:rPr>
                <w:rFonts w:eastAsia="仿宋"/>
                <w:kern w:val="0"/>
                <w:sz w:val="21"/>
                <w:szCs w:val="18"/>
              </w:rPr>
              <w:t>2022</w:t>
            </w:r>
          </w:p>
        </w:tc>
        <w:tc>
          <w:tcPr>
            <w:tcW w:w="975" w:type="dxa"/>
            <w:shd w:val="clear" w:color="auto" w:fill="auto"/>
            <w:vAlign w:val="center"/>
          </w:tcPr>
          <w:p>
            <w:pPr>
              <w:widowControl/>
              <w:spacing w:line="240" w:lineRule="auto"/>
              <w:jc w:val="center"/>
              <w:rPr>
                <w:rFonts w:eastAsia="仿宋"/>
                <w:kern w:val="0"/>
                <w:sz w:val="21"/>
                <w:szCs w:val="18"/>
              </w:rPr>
            </w:pPr>
            <w:r>
              <w:rPr>
                <w:rFonts w:eastAsia="仿宋"/>
                <w:kern w:val="0"/>
                <w:sz w:val="21"/>
                <w:szCs w:val="18"/>
              </w:rPr>
              <w:t>2023</w:t>
            </w:r>
          </w:p>
        </w:tc>
        <w:tc>
          <w:tcPr>
            <w:tcW w:w="975" w:type="dxa"/>
            <w:shd w:val="clear" w:color="auto" w:fill="auto"/>
            <w:vAlign w:val="center"/>
          </w:tcPr>
          <w:p>
            <w:pPr>
              <w:widowControl/>
              <w:spacing w:line="240" w:lineRule="auto"/>
              <w:jc w:val="center"/>
              <w:rPr>
                <w:rFonts w:eastAsia="仿宋"/>
                <w:kern w:val="0"/>
                <w:sz w:val="21"/>
                <w:szCs w:val="18"/>
              </w:rPr>
            </w:pPr>
            <w:r>
              <w:rPr>
                <w:rFonts w:eastAsia="仿宋"/>
                <w:kern w:val="0"/>
                <w:sz w:val="21"/>
                <w:szCs w:val="18"/>
              </w:rPr>
              <w:t>2024</w:t>
            </w:r>
          </w:p>
        </w:tc>
        <w:tc>
          <w:tcPr>
            <w:tcW w:w="975" w:type="dxa"/>
            <w:shd w:val="clear" w:color="auto" w:fill="auto"/>
            <w:vAlign w:val="center"/>
          </w:tcPr>
          <w:p>
            <w:pPr>
              <w:widowControl/>
              <w:spacing w:line="240" w:lineRule="auto"/>
              <w:jc w:val="center"/>
              <w:rPr>
                <w:rFonts w:eastAsia="仿宋"/>
                <w:kern w:val="0"/>
                <w:sz w:val="21"/>
                <w:szCs w:val="18"/>
              </w:rPr>
            </w:pPr>
            <w:r>
              <w:rPr>
                <w:rFonts w:eastAsia="仿宋"/>
                <w:kern w:val="0"/>
                <w:sz w:val="21"/>
                <w:szCs w:val="18"/>
              </w:rPr>
              <w:t>2025</w:t>
            </w:r>
          </w:p>
        </w:tc>
        <w:tc>
          <w:tcPr>
            <w:tcW w:w="1378" w:type="dxa"/>
            <w:shd w:val="clear" w:color="auto" w:fill="auto"/>
            <w:vAlign w:val="center"/>
          </w:tcPr>
          <w:p>
            <w:pPr>
              <w:widowControl/>
              <w:spacing w:line="240" w:lineRule="auto"/>
              <w:jc w:val="center"/>
              <w:rPr>
                <w:rFonts w:eastAsia="仿宋"/>
                <w:kern w:val="0"/>
                <w:sz w:val="21"/>
                <w:szCs w:val="18"/>
              </w:rPr>
            </w:pPr>
            <w:r>
              <w:rPr>
                <w:rFonts w:eastAsia="仿宋"/>
                <w:kern w:val="0"/>
                <w:sz w:val="21"/>
                <w:szCs w:val="18"/>
              </w:rPr>
              <w:t>十四五平均增长率</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30" w:hRule="atLeast"/>
        </w:trPr>
        <w:tc>
          <w:tcPr>
            <w:tcW w:w="1692" w:type="dxa"/>
            <w:vMerge w:val="restart"/>
            <w:shd w:val="clear" w:color="auto" w:fill="auto"/>
            <w:vAlign w:val="center"/>
          </w:tcPr>
          <w:p>
            <w:pPr>
              <w:widowControl/>
              <w:spacing w:line="240" w:lineRule="auto"/>
              <w:jc w:val="center"/>
              <w:rPr>
                <w:rFonts w:eastAsia="仿宋"/>
                <w:kern w:val="0"/>
                <w:sz w:val="21"/>
                <w:szCs w:val="18"/>
              </w:rPr>
            </w:pPr>
            <w:r>
              <w:rPr>
                <w:rFonts w:eastAsia="仿宋"/>
                <w:kern w:val="0"/>
                <w:sz w:val="21"/>
                <w:szCs w:val="18"/>
              </w:rPr>
              <w:t>全社会</w:t>
            </w:r>
          </w:p>
          <w:p>
            <w:pPr>
              <w:widowControl/>
              <w:spacing w:line="240" w:lineRule="auto"/>
              <w:jc w:val="center"/>
              <w:rPr>
                <w:rFonts w:eastAsia="仿宋"/>
                <w:kern w:val="0"/>
                <w:sz w:val="21"/>
                <w:szCs w:val="18"/>
              </w:rPr>
            </w:pPr>
            <w:r>
              <w:rPr>
                <w:rFonts w:eastAsia="仿宋"/>
                <w:kern w:val="0"/>
                <w:sz w:val="21"/>
                <w:szCs w:val="18"/>
              </w:rPr>
              <w:t>用电量</w:t>
            </w:r>
          </w:p>
          <w:p>
            <w:pPr>
              <w:widowControl/>
              <w:spacing w:line="240" w:lineRule="auto"/>
              <w:rPr>
                <w:rFonts w:eastAsia="仿宋"/>
                <w:kern w:val="0"/>
                <w:sz w:val="21"/>
                <w:szCs w:val="18"/>
              </w:rPr>
            </w:pPr>
            <w:r>
              <w:rPr>
                <w:rFonts w:eastAsia="仿宋"/>
                <w:kern w:val="0"/>
                <w:sz w:val="21"/>
                <w:szCs w:val="18"/>
              </w:rPr>
              <w:t>（亿千瓦h）　</w:t>
            </w:r>
          </w:p>
        </w:tc>
        <w:tc>
          <w:tcPr>
            <w:tcW w:w="889" w:type="dxa"/>
            <w:shd w:val="clear" w:color="auto" w:fill="auto"/>
            <w:vAlign w:val="center"/>
          </w:tcPr>
          <w:p>
            <w:pPr>
              <w:widowControl/>
              <w:spacing w:line="240" w:lineRule="auto"/>
              <w:jc w:val="center"/>
              <w:rPr>
                <w:rFonts w:eastAsia="仿宋"/>
                <w:kern w:val="0"/>
                <w:sz w:val="21"/>
                <w:szCs w:val="18"/>
              </w:rPr>
            </w:pPr>
            <w:r>
              <w:rPr>
                <w:rFonts w:eastAsia="仿宋"/>
                <w:kern w:val="0"/>
                <w:sz w:val="21"/>
                <w:szCs w:val="18"/>
              </w:rPr>
              <w:t>高</w:t>
            </w:r>
          </w:p>
        </w:tc>
        <w:tc>
          <w:tcPr>
            <w:tcW w:w="975" w:type="dxa"/>
            <w:shd w:val="clear" w:color="auto" w:fill="auto"/>
            <w:vAlign w:val="center"/>
          </w:tcPr>
          <w:p>
            <w:pPr>
              <w:widowControl/>
              <w:spacing w:line="240" w:lineRule="auto"/>
              <w:jc w:val="center"/>
              <w:rPr>
                <w:rFonts w:eastAsia="仿宋"/>
                <w:kern w:val="0"/>
                <w:sz w:val="21"/>
                <w:szCs w:val="18"/>
              </w:rPr>
            </w:pPr>
            <w:r>
              <w:rPr>
                <w:rFonts w:eastAsia="仿宋"/>
                <w:kern w:val="0"/>
                <w:sz w:val="21"/>
                <w:szCs w:val="18"/>
              </w:rPr>
              <w:t xml:space="preserve">52 </w:t>
            </w:r>
          </w:p>
        </w:tc>
        <w:tc>
          <w:tcPr>
            <w:tcW w:w="975" w:type="dxa"/>
            <w:shd w:val="clear" w:color="auto" w:fill="auto"/>
            <w:vAlign w:val="center"/>
          </w:tcPr>
          <w:p>
            <w:pPr>
              <w:widowControl/>
              <w:spacing w:line="240" w:lineRule="auto"/>
              <w:jc w:val="center"/>
              <w:rPr>
                <w:rFonts w:eastAsia="仿宋"/>
                <w:kern w:val="0"/>
                <w:sz w:val="21"/>
                <w:szCs w:val="18"/>
              </w:rPr>
            </w:pPr>
            <w:r>
              <w:rPr>
                <w:rFonts w:eastAsia="仿宋"/>
                <w:kern w:val="0"/>
                <w:sz w:val="21"/>
                <w:szCs w:val="18"/>
              </w:rPr>
              <w:t xml:space="preserve">59 </w:t>
            </w:r>
          </w:p>
        </w:tc>
        <w:tc>
          <w:tcPr>
            <w:tcW w:w="975" w:type="dxa"/>
            <w:shd w:val="clear" w:color="auto" w:fill="auto"/>
            <w:vAlign w:val="center"/>
          </w:tcPr>
          <w:p>
            <w:pPr>
              <w:widowControl/>
              <w:spacing w:line="240" w:lineRule="auto"/>
              <w:jc w:val="center"/>
              <w:rPr>
                <w:rFonts w:eastAsia="仿宋"/>
                <w:kern w:val="0"/>
                <w:sz w:val="21"/>
                <w:szCs w:val="18"/>
              </w:rPr>
            </w:pPr>
            <w:r>
              <w:rPr>
                <w:rFonts w:eastAsia="仿宋"/>
                <w:kern w:val="0"/>
                <w:sz w:val="21"/>
                <w:szCs w:val="18"/>
              </w:rPr>
              <w:t xml:space="preserve">69 </w:t>
            </w:r>
          </w:p>
        </w:tc>
        <w:tc>
          <w:tcPr>
            <w:tcW w:w="975" w:type="dxa"/>
            <w:shd w:val="clear" w:color="auto" w:fill="auto"/>
            <w:vAlign w:val="center"/>
          </w:tcPr>
          <w:p>
            <w:pPr>
              <w:widowControl/>
              <w:spacing w:line="240" w:lineRule="auto"/>
              <w:jc w:val="center"/>
              <w:rPr>
                <w:rFonts w:eastAsia="仿宋"/>
                <w:kern w:val="0"/>
                <w:sz w:val="21"/>
                <w:szCs w:val="18"/>
              </w:rPr>
            </w:pPr>
            <w:r>
              <w:rPr>
                <w:rFonts w:eastAsia="仿宋"/>
                <w:kern w:val="0"/>
                <w:sz w:val="21"/>
                <w:szCs w:val="18"/>
              </w:rPr>
              <w:t xml:space="preserve">78 </w:t>
            </w:r>
          </w:p>
        </w:tc>
        <w:tc>
          <w:tcPr>
            <w:tcW w:w="975" w:type="dxa"/>
            <w:shd w:val="clear" w:color="auto" w:fill="auto"/>
            <w:vAlign w:val="center"/>
          </w:tcPr>
          <w:p>
            <w:pPr>
              <w:widowControl/>
              <w:spacing w:line="240" w:lineRule="auto"/>
              <w:jc w:val="center"/>
              <w:rPr>
                <w:rFonts w:eastAsia="仿宋"/>
                <w:kern w:val="0"/>
                <w:sz w:val="21"/>
                <w:szCs w:val="18"/>
              </w:rPr>
            </w:pPr>
            <w:r>
              <w:rPr>
                <w:rFonts w:eastAsia="仿宋"/>
                <w:kern w:val="0"/>
                <w:sz w:val="21"/>
                <w:szCs w:val="18"/>
              </w:rPr>
              <w:t xml:space="preserve">97 </w:t>
            </w:r>
          </w:p>
        </w:tc>
        <w:tc>
          <w:tcPr>
            <w:tcW w:w="1378" w:type="dxa"/>
            <w:shd w:val="clear" w:color="auto" w:fill="auto"/>
            <w:vAlign w:val="center"/>
          </w:tcPr>
          <w:p>
            <w:pPr>
              <w:widowControl/>
              <w:spacing w:line="240" w:lineRule="auto"/>
              <w:jc w:val="center"/>
              <w:rPr>
                <w:rFonts w:eastAsia="仿宋"/>
                <w:kern w:val="0"/>
                <w:sz w:val="21"/>
                <w:szCs w:val="18"/>
              </w:rPr>
            </w:pPr>
            <w:r>
              <w:rPr>
                <w:rFonts w:eastAsia="仿宋"/>
                <w:kern w:val="0"/>
                <w:sz w:val="21"/>
                <w:szCs w:val="18"/>
              </w:rPr>
              <w:t>16.09%</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30" w:hRule="atLeast"/>
        </w:trPr>
        <w:tc>
          <w:tcPr>
            <w:tcW w:w="1692" w:type="dxa"/>
            <w:vMerge w:val="continue"/>
            <w:shd w:val="clear" w:color="auto" w:fill="auto"/>
            <w:vAlign w:val="center"/>
          </w:tcPr>
          <w:p>
            <w:pPr>
              <w:spacing w:line="240" w:lineRule="auto"/>
              <w:jc w:val="left"/>
              <w:rPr>
                <w:rFonts w:eastAsia="仿宋"/>
                <w:kern w:val="0"/>
                <w:sz w:val="21"/>
                <w:szCs w:val="18"/>
              </w:rPr>
            </w:pPr>
          </w:p>
        </w:tc>
        <w:tc>
          <w:tcPr>
            <w:tcW w:w="889" w:type="dxa"/>
            <w:shd w:val="clear" w:color="auto" w:fill="auto"/>
            <w:vAlign w:val="center"/>
          </w:tcPr>
          <w:p>
            <w:pPr>
              <w:widowControl/>
              <w:spacing w:line="240" w:lineRule="auto"/>
              <w:jc w:val="center"/>
              <w:rPr>
                <w:rFonts w:eastAsia="仿宋"/>
                <w:kern w:val="0"/>
                <w:sz w:val="21"/>
                <w:szCs w:val="18"/>
              </w:rPr>
            </w:pPr>
            <w:r>
              <w:rPr>
                <w:rFonts w:eastAsia="仿宋"/>
                <w:kern w:val="0"/>
                <w:sz w:val="21"/>
                <w:szCs w:val="18"/>
              </w:rPr>
              <w:t>中</w:t>
            </w:r>
          </w:p>
        </w:tc>
        <w:tc>
          <w:tcPr>
            <w:tcW w:w="975" w:type="dxa"/>
            <w:shd w:val="clear" w:color="auto" w:fill="auto"/>
            <w:vAlign w:val="center"/>
          </w:tcPr>
          <w:p>
            <w:pPr>
              <w:widowControl/>
              <w:spacing w:line="240" w:lineRule="auto"/>
              <w:jc w:val="center"/>
              <w:rPr>
                <w:rFonts w:eastAsia="仿宋"/>
                <w:kern w:val="0"/>
                <w:sz w:val="21"/>
                <w:szCs w:val="18"/>
              </w:rPr>
            </w:pPr>
            <w:r>
              <w:rPr>
                <w:rFonts w:eastAsia="仿宋"/>
                <w:kern w:val="0"/>
                <w:sz w:val="21"/>
                <w:szCs w:val="18"/>
              </w:rPr>
              <w:t>49</w:t>
            </w:r>
          </w:p>
        </w:tc>
        <w:tc>
          <w:tcPr>
            <w:tcW w:w="975" w:type="dxa"/>
            <w:shd w:val="clear" w:color="auto" w:fill="auto"/>
            <w:vAlign w:val="center"/>
          </w:tcPr>
          <w:p>
            <w:pPr>
              <w:widowControl/>
              <w:spacing w:line="240" w:lineRule="auto"/>
              <w:jc w:val="center"/>
              <w:rPr>
                <w:rFonts w:eastAsia="仿宋"/>
                <w:kern w:val="0"/>
                <w:sz w:val="21"/>
                <w:szCs w:val="18"/>
              </w:rPr>
            </w:pPr>
            <w:r>
              <w:rPr>
                <w:rFonts w:eastAsia="仿宋"/>
                <w:kern w:val="0"/>
                <w:sz w:val="21"/>
                <w:szCs w:val="18"/>
              </w:rPr>
              <w:t>55</w:t>
            </w:r>
          </w:p>
        </w:tc>
        <w:tc>
          <w:tcPr>
            <w:tcW w:w="975" w:type="dxa"/>
            <w:shd w:val="clear" w:color="auto" w:fill="auto"/>
            <w:vAlign w:val="center"/>
          </w:tcPr>
          <w:p>
            <w:pPr>
              <w:widowControl/>
              <w:spacing w:line="240" w:lineRule="auto"/>
              <w:jc w:val="center"/>
              <w:rPr>
                <w:rFonts w:eastAsia="仿宋"/>
                <w:kern w:val="0"/>
                <w:sz w:val="21"/>
                <w:szCs w:val="18"/>
              </w:rPr>
            </w:pPr>
            <w:r>
              <w:rPr>
                <w:rFonts w:eastAsia="仿宋"/>
                <w:kern w:val="0"/>
                <w:sz w:val="21"/>
                <w:szCs w:val="18"/>
              </w:rPr>
              <w:t>65</w:t>
            </w:r>
          </w:p>
        </w:tc>
        <w:tc>
          <w:tcPr>
            <w:tcW w:w="975" w:type="dxa"/>
            <w:shd w:val="clear" w:color="auto" w:fill="auto"/>
            <w:vAlign w:val="center"/>
          </w:tcPr>
          <w:p>
            <w:pPr>
              <w:widowControl/>
              <w:spacing w:line="240" w:lineRule="auto"/>
              <w:jc w:val="center"/>
              <w:rPr>
                <w:rFonts w:eastAsia="仿宋"/>
                <w:kern w:val="0"/>
                <w:sz w:val="21"/>
                <w:szCs w:val="18"/>
              </w:rPr>
            </w:pPr>
            <w:r>
              <w:rPr>
                <w:rFonts w:eastAsia="仿宋"/>
                <w:kern w:val="0"/>
                <w:sz w:val="21"/>
                <w:szCs w:val="18"/>
              </w:rPr>
              <w:t>75</w:t>
            </w:r>
          </w:p>
        </w:tc>
        <w:tc>
          <w:tcPr>
            <w:tcW w:w="975" w:type="dxa"/>
            <w:shd w:val="clear" w:color="auto" w:fill="auto"/>
            <w:vAlign w:val="center"/>
          </w:tcPr>
          <w:p>
            <w:pPr>
              <w:widowControl/>
              <w:spacing w:line="240" w:lineRule="auto"/>
              <w:jc w:val="center"/>
              <w:rPr>
                <w:rFonts w:eastAsia="仿宋"/>
                <w:kern w:val="0"/>
                <w:sz w:val="21"/>
                <w:szCs w:val="18"/>
              </w:rPr>
            </w:pPr>
            <w:r>
              <w:rPr>
                <w:rFonts w:eastAsia="仿宋"/>
                <w:kern w:val="0"/>
                <w:sz w:val="21"/>
                <w:szCs w:val="18"/>
              </w:rPr>
              <w:t>90</w:t>
            </w:r>
          </w:p>
        </w:tc>
        <w:tc>
          <w:tcPr>
            <w:tcW w:w="1378" w:type="dxa"/>
            <w:shd w:val="clear" w:color="auto" w:fill="auto"/>
            <w:vAlign w:val="center"/>
          </w:tcPr>
          <w:p>
            <w:pPr>
              <w:widowControl/>
              <w:spacing w:line="240" w:lineRule="auto"/>
              <w:jc w:val="center"/>
              <w:rPr>
                <w:rFonts w:eastAsia="仿宋"/>
                <w:kern w:val="0"/>
                <w:sz w:val="21"/>
                <w:szCs w:val="18"/>
              </w:rPr>
            </w:pPr>
            <w:r>
              <w:rPr>
                <w:rFonts w:eastAsia="仿宋"/>
                <w:kern w:val="0"/>
                <w:sz w:val="21"/>
                <w:szCs w:val="18"/>
              </w:rPr>
              <w:t>14.87%</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70" w:hRule="atLeast"/>
        </w:trPr>
        <w:tc>
          <w:tcPr>
            <w:tcW w:w="1692" w:type="dxa"/>
            <w:vMerge w:val="continue"/>
            <w:shd w:val="clear" w:color="auto" w:fill="auto"/>
            <w:vAlign w:val="center"/>
          </w:tcPr>
          <w:p>
            <w:pPr>
              <w:widowControl/>
              <w:spacing w:line="240" w:lineRule="auto"/>
              <w:jc w:val="left"/>
              <w:rPr>
                <w:rFonts w:eastAsia="仿宋"/>
                <w:kern w:val="0"/>
                <w:sz w:val="21"/>
                <w:szCs w:val="18"/>
              </w:rPr>
            </w:pPr>
          </w:p>
        </w:tc>
        <w:tc>
          <w:tcPr>
            <w:tcW w:w="889" w:type="dxa"/>
            <w:shd w:val="clear" w:color="auto" w:fill="auto"/>
            <w:vAlign w:val="center"/>
          </w:tcPr>
          <w:p>
            <w:pPr>
              <w:widowControl/>
              <w:spacing w:line="240" w:lineRule="auto"/>
              <w:jc w:val="center"/>
              <w:rPr>
                <w:rFonts w:eastAsia="仿宋"/>
                <w:kern w:val="0"/>
                <w:sz w:val="21"/>
                <w:szCs w:val="18"/>
              </w:rPr>
            </w:pPr>
            <w:r>
              <w:rPr>
                <w:rFonts w:eastAsia="仿宋"/>
                <w:kern w:val="0"/>
                <w:sz w:val="21"/>
                <w:szCs w:val="18"/>
              </w:rPr>
              <w:t>低</w:t>
            </w:r>
          </w:p>
        </w:tc>
        <w:tc>
          <w:tcPr>
            <w:tcW w:w="975" w:type="dxa"/>
            <w:shd w:val="clear" w:color="auto" w:fill="auto"/>
            <w:vAlign w:val="center"/>
          </w:tcPr>
          <w:p>
            <w:pPr>
              <w:widowControl/>
              <w:spacing w:line="240" w:lineRule="auto"/>
              <w:jc w:val="center"/>
              <w:rPr>
                <w:rFonts w:eastAsia="仿宋"/>
                <w:kern w:val="0"/>
                <w:sz w:val="21"/>
                <w:szCs w:val="18"/>
              </w:rPr>
            </w:pPr>
            <w:r>
              <w:rPr>
                <w:rFonts w:eastAsia="仿宋"/>
                <w:kern w:val="0"/>
                <w:sz w:val="21"/>
                <w:szCs w:val="18"/>
              </w:rPr>
              <w:t xml:space="preserve">47 </w:t>
            </w:r>
          </w:p>
        </w:tc>
        <w:tc>
          <w:tcPr>
            <w:tcW w:w="975" w:type="dxa"/>
            <w:shd w:val="clear" w:color="auto" w:fill="auto"/>
            <w:vAlign w:val="center"/>
          </w:tcPr>
          <w:p>
            <w:pPr>
              <w:widowControl/>
              <w:spacing w:line="240" w:lineRule="auto"/>
              <w:jc w:val="center"/>
              <w:rPr>
                <w:rFonts w:eastAsia="仿宋"/>
                <w:kern w:val="0"/>
                <w:sz w:val="21"/>
                <w:szCs w:val="18"/>
              </w:rPr>
            </w:pPr>
            <w:r>
              <w:rPr>
                <w:rFonts w:eastAsia="仿宋"/>
                <w:kern w:val="0"/>
                <w:sz w:val="21"/>
                <w:szCs w:val="18"/>
              </w:rPr>
              <w:t xml:space="preserve">53 </w:t>
            </w:r>
          </w:p>
        </w:tc>
        <w:tc>
          <w:tcPr>
            <w:tcW w:w="975" w:type="dxa"/>
            <w:shd w:val="clear" w:color="auto" w:fill="auto"/>
            <w:vAlign w:val="center"/>
          </w:tcPr>
          <w:p>
            <w:pPr>
              <w:widowControl/>
              <w:spacing w:line="240" w:lineRule="auto"/>
              <w:jc w:val="center"/>
              <w:rPr>
                <w:rFonts w:eastAsia="仿宋"/>
                <w:kern w:val="0"/>
                <w:sz w:val="21"/>
                <w:szCs w:val="18"/>
              </w:rPr>
            </w:pPr>
            <w:r>
              <w:rPr>
                <w:rFonts w:eastAsia="仿宋"/>
                <w:kern w:val="0"/>
                <w:sz w:val="21"/>
                <w:szCs w:val="18"/>
              </w:rPr>
              <w:t xml:space="preserve">61 </w:t>
            </w:r>
          </w:p>
        </w:tc>
        <w:tc>
          <w:tcPr>
            <w:tcW w:w="975" w:type="dxa"/>
            <w:shd w:val="clear" w:color="auto" w:fill="auto"/>
            <w:vAlign w:val="center"/>
          </w:tcPr>
          <w:p>
            <w:pPr>
              <w:widowControl/>
              <w:spacing w:line="240" w:lineRule="auto"/>
              <w:jc w:val="center"/>
              <w:rPr>
                <w:rFonts w:eastAsia="仿宋"/>
                <w:kern w:val="0"/>
                <w:sz w:val="21"/>
                <w:szCs w:val="18"/>
              </w:rPr>
            </w:pPr>
            <w:r>
              <w:rPr>
                <w:rFonts w:eastAsia="仿宋"/>
                <w:kern w:val="0"/>
                <w:sz w:val="21"/>
                <w:szCs w:val="18"/>
              </w:rPr>
              <w:t xml:space="preserve">71 </w:t>
            </w:r>
          </w:p>
        </w:tc>
        <w:tc>
          <w:tcPr>
            <w:tcW w:w="975" w:type="dxa"/>
            <w:shd w:val="clear" w:color="auto" w:fill="auto"/>
            <w:vAlign w:val="center"/>
          </w:tcPr>
          <w:p>
            <w:pPr>
              <w:widowControl/>
              <w:spacing w:line="240" w:lineRule="auto"/>
              <w:jc w:val="center"/>
              <w:rPr>
                <w:rFonts w:eastAsia="仿宋"/>
                <w:kern w:val="0"/>
                <w:sz w:val="21"/>
                <w:szCs w:val="18"/>
              </w:rPr>
            </w:pPr>
            <w:r>
              <w:rPr>
                <w:rFonts w:eastAsia="仿宋"/>
                <w:kern w:val="0"/>
                <w:sz w:val="21"/>
                <w:szCs w:val="18"/>
              </w:rPr>
              <w:t xml:space="preserve">84 </w:t>
            </w:r>
          </w:p>
        </w:tc>
        <w:tc>
          <w:tcPr>
            <w:tcW w:w="1378" w:type="dxa"/>
            <w:shd w:val="clear" w:color="auto" w:fill="auto"/>
            <w:vAlign w:val="center"/>
          </w:tcPr>
          <w:p>
            <w:pPr>
              <w:widowControl/>
              <w:spacing w:line="240" w:lineRule="auto"/>
              <w:jc w:val="center"/>
              <w:rPr>
                <w:rFonts w:eastAsia="仿宋"/>
                <w:kern w:val="0"/>
                <w:sz w:val="21"/>
                <w:szCs w:val="18"/>
              </w:rPr>
            </w:pPr>
            <w:r>
              <w:rPr>
                <w:rFonts w:eastAsia="仿宋"/>
                <w:kern w:val="0"/>
                <w:sz w:val="21"/>
                <w:szCs w:val="18"/>
              </w:rPr>
              <w:t>13.81%</w:t>
            </w:r>
          </w:p>
        </w:tc>
      </w:tr>
    </w:tbl>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利用平均增长率法选取中方案作为负荷预测结果，预计2025年新区全社会用电量为90亿千瓦时。</w:t>
      </w:r>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rPr>
      </w:pPr>
      <w:bookmarkStart w:id="284" w:name="_Toc5479"/>
      <w:bookmarkStart w:id="285" w:name="_Toc74041187"/>
      <w:r>
        <w:rPr>
          <w:rFonts w:hint="eastAsia" w:ascii="黑体" w:hAnsi="黑体" w:eastAsia="黑体" w:cs="黑体"/>
          <w:b w:val="0"/>
          <w:bCs w:val="0"/>
          <w:sz w:val="32"/>
          <w:szCs w:val="32"/>
        </w:rPr>
        <w:t>负荷电量预测结果</w:t>
      </w:r>
      <w:bookmarkEnd w:id="284"/>
      <w:bookmarkEnd w:id="285"/>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依据西咸新区用户负荷报装及城市用地总体规划，结合城市负荷发展特点，近期采用大用户加自然增长预测结果，远期采用负荷密度指标法结果，得到负荷电量高中低方案，本次规划推荐中方案为负荷电量预测结果。结果见下表。</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left="0" w:leftChars="0" w:firstLine="0" w:firstLineChars="0"/>
        <w:jc w:val="center"/>
        <w:textAlignment w:val="auto"/>
        <w:rPr>
          <w:rFonts w:hint="eastAsia" w:ascii="黑体" w:hAnsi="黑体" w:eastAsia="黑体" w:cs="黑体"/>
          <w:b w:val="0"/>
          <w:bCs w:val="0"/>
          <w:kern w:val="0"/>
          <w:sz w:val="28"/>
          <w:szCs w:val="28"/>
          <w:lang w:val="en-US" w:eastAsia="zh-CN" w:bidi="ar-SA"/>
        </w:rPr>
      </w:pPr>
      <w:r>
        <w:rPr>
          <w:rFonts w:hint="eastAsia" w:ascii="黑体" w:hAnsi="黑体" w:eastAsia="黑体" w:cs="黑体"/>
          <w:b w:val="0"/>
          <w:bCs w:val="0"/>
          <w:kern w:val="0"/>
          <w:sz w:val="28"/>
          <w:szCs w:val="28"/>
          <w:lang w:val="en-US" w:eastAsia="zh-CN" w:bidi="ar-SA"/>
        </w:rPr>
        <w:t xml:space="preserve">       表5-9    西咸新区负荷电量预测结  单位：兆瓦、亿千瓦时</w:t>
      </w:r>
    </w:p>
    <w:tbl>
      <w:tblPr>
        <w:tblStyle w:val="88"/>
        <w:tblW w:w="8878" w:type="dxa"/>
        <w:tblInd w:w="0" w:type="dxa"/>
        <w:tblLayout w:type="fixed"/>
        <w:tblCellMar>
          <w:top w:w="0" w:type="dxa"/>
          <w:left w:w="108" w:type="dxa"/>
          <w:bottom w:w="0" w:type="dxa"/>
          <w:right w:w="108" w:type="dxa"/>
        </w:tblCellMar>
      </w:tblPr>
      <w:tblGrid>
        <w:gridCol w:w="1685"/>
        <w:gridCol w:w="940"/>
        <w:gridCol w:w="897"/>
        <w:gridCol w:w="897"/>
        <w:gridCol w:w="911"/>
        <w:gridCol w:w="911"/>
        <w:gridCol w:w="911"/>
        <w:gridCol w:w="911"/>
        <w:gridCol w:w="815"/>
      </w:tblGrid>
      <w:tr>
        <w:tblPrEx>
          <w:tblCellMar>
            <w:top w:w="0" w:type="dxa"/>
            <w:left w:w="108" w:type="dxa"/>
            <w:bottom w:w="0" w:type="dxa"/>
            <w:right w:w="108" w:type="dxa"/>
          </w:tblCellMar>
        </w:tblPrEx>
        <w:trPr>
          <w:trHeight w:val="610" w:hRule="atLeast"/>
        </w:trPr>
        <w:tc>
          <w:tcPr>
            <w:tcW w:w="2625" w:type="dxa"/>
            <w:gridSpan w:val="2"/>
            <w:tcBorders>
              <w:top w:val="single" w:color="auto" w:sz="12" w:space="0"/>
              <w:left w:val="single" w:color="auto" w:sz="12" w:space="0"/>
              <w:bottom w:val="single" w:color="auto" w:sz="8" w:space="0"/>
              <w:right w:val="single" w:color="000000"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项目</w:t>
            </w:r>
          </w:p>
        </w:tc>
        <w:tc>
          <w:tcPr>
            <w:tcW w:w="897" w:type="dxa"/>
            <w:tcBorders>
              <w:top w:val="single" w:color="auto" w:sz="12" w:space="0"/>
              <w:left w:val="nil"/>
              <w:bottom w:val="single" w:color="auto" w:sz="8"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2021</w:t>
            </w:r>
          </w:p>
        </w:tc>
        <w:tc>
          <w:tcPr>
            <w:tcW w:w="897" w:type="dxa"/>
            <w:tcBorders>
              <w:top w:val="single" w:color="auto" w:sz="12" w:space="0"/>
              <w:left w:val="nil"/>
              <w:bottom w:val="single" w:color="auto" w:sz="8"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2022</w:t>
            </w:r>
          </w:p>
        </w:tc>
        <w:tc>
          <w:tcPr>
            <w:tcW w:w="911" w:type="dxa"/>
            <w:tcBorders>
              <w:top w:val="single" w:color="auto" w:sz="12" w:space="0"/>
              <w:left w:val="nil"/>
              <w:bottom w:val="single" w:color="auto" w:sz="8"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2023</w:t>
            </w:r>
          </w:p>
        </w:tc>
        <w:tc>
          <w:tcPr>
            <w:tcW w:w="911" w:type="dxa"/>
            <w:tcBorders>
              <w:top w:val="single" w:color="auto" w:sz="12" w:space="0"/>
              <w:left w:val="nil"/>
              <w:bottom w:val="single" w:color="auto" w:sz="8"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2024</w:t>
            </w:r>
          </w:p>
        </w:tc>
        <w:tc>
          <w:tcPr>
            <w:tcW w:w="911" w:type="dxa"/>
            <w:tcBorders>
              <w:top w:val="single" w:color="auto" w:sz="12" w:space="0"/>
              <w:left w:val="nil"/>
              <w:bottom w:val="single" w:color="auto" w:sz="8"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2025</w:t>
            </w:r>
          </w:p>
        </w:tc>
        <w:tc>
          <w:tcPr>
            <w:tcW w:w="911" w:type="dxa"/>
            <w:tcBorders>
              <w:top w:val="single" w:color="auto" w:sz="12" w:space="0"/>
              <w:left w:val="nil"/>
              <w:bottom w:val="single" w:color="auto" w:sz="8"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2035</w:t>
            </w:r>
          </w:p>
        </w:tc>
        <w:tc>
          <w:tcPr>
            <w:tcW w:w="815" w:type="dxa"/>
            <w:tcBorders>
              <w:top w:val="single" w:color="auto" w:sz="12" w:space="0"/>
              <w:left w:val="nil"/>
              <w:bottom w:val="single" w:color="auto" w:sz="8" w:space="0"/>
              <w:right w:val="single" w:color="auto" w:sz="12"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“十四五”年均增长率（%）</w:t>
            </w:r>
          </w:p>
        </w:tc>
      </w:tr>
      <w:tr>
        <w:tblPrEx>
          <w:tblCellMar>
            <w:top w:w="0" w:type="dxa"/>
            <w:left w:w="108" w:type="dxa"/>
            <w:bottom w:w="0" w:type="dxa"/>
            <w:right w:w="108" w:type="dxa"/>
          </w:tblCellMar>
        </w:tblPrEx>
        <w:trPr>
          <w:trHeight w:val="203" w:hRule="atLeast"/>
        </w:trPr>
        <w:tc>
          <w:tcPr>
            <w:tcW w:w="1685" w:type="dxa"/>
            <w:vMerge w:val="restart"/>
            <w:tcBorders>
              <w:top w:val="nil"/>
              <w:left w:val="single" w:color="auto" w:sz="12" w:space="0"/>
              <w:bottom w:val="single" w:color="000000" w:sz="8"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高方案</w:t>
            </w:r>
          </w:p>
        </w:tc>
        <w:tc>
          <w:tcPr>
            <w:tcW w:w="940" w:type="dxa"/>
            <w:tcBorders>
              <w:top w:val="nil"/>
              <w:left w:val="nil"/>
              <w:bottom w:val="single" w:color="auto" w:sz="8"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电量</w:t>
            </w:r>
          </w:p>
        </w:tc>
        <w:tc>
          <w:tcPr>
            <w:tcW w:w="897" w:type="dxa"/>
            <w:tcBorders>
              <w:top w:val="nil"/>
              <w:left w:val="nil"/>
              <w:bottom w:val="single" w:color="auto" w:sz="8"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52</w:t>
            </w:r>
          </w:p>
        </w:tc>
        <w:tc>
          <w:tcPr>
            <w:tcW w:w="897" w:type="dxa"/>
            <w:tcBorders>
              <w:top w:val="nil"/>
              <w:left w:val="nil"/>
              <w:bottom w:val="single" w:color="auto" w:sz="8"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59</w:t>
            </w:r>
          </w:p>
        </w:tc>
        <w:tc>
          <w:tcPr>
            <w:tcW w:w="911" w:type="dxa"/>
            <w:tcBorders>
              <w:top w:val="nil"/>
              <w:left w:val="nil"/>
              <w:bottom w:val="single" w:color="auto" w:sz="8"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69</w:t>
            </w:r>
          </w:p>
        </w:tc>
        <w:tc>
          <w:tcPr>
            <w:tcW w:w="911" w:type="dxa"/>
            <w:tcBorders>
              <w:top w:val="nil"/>
              <w:left w:val="nil"/>
              <w:bottom w:val="single" w:color="auto" w:sz="8"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78</w:t>
            </w:r>
          </w:p>
        </w:tc>
        <w:tc>
          <w:tcPr>
            <w:tcW w:w="911" w:type="dxa"/>
            <w:tcBorders>
              <w:top w:val="nil"/>
              <w:left w:val="nil"/>
              <w:bottom w:val="single" w:color="auto" w:sz="8"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97</w:t>
            </w:r>
          </w:p>
        </w:tc>
        <w:tc>
          <w:tcPr>
            <w:tcW w:w="911" w:type="dxa"/>
            <w:tcBorders>
              <w:top w:val="nil"/>
              <w:left w:val="nil"/>
              <w:bottom w:val="single" w:color="auto" w:sz="8"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w:t>
            </w:r>
          </w:p>
        </w:tc>
        <w:tc>
          <w:tcPr>
            <w:tcW w:w="815" w:type="dxa"/>
            <w:tcBorders>
              <w:top w:val="nil"/>
              <w:left w:val="nil"/>
              <w:bottom w:val="single" w:color="auto" w:sz="8" w:space="0"/>
              <w:right w:val="single" w:color="auto" w:sz="12"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16.09%</w:t>
            </w:r>
          </w:p>
        </w:tc>
      </w:tr>
      <w:tr>
        <w:tblPrEx>
          <w:tblCellMar>
            <w:top w:w="0" w:type="dxa"/>
            <w:left w:w="108" w:type="dxa"/>
            <w:bottom w:w="0" w:type="dxa"/>
            <w:right w:w="108" w:type="dxa"/>
          </w:tblCellMar>
        </w:tblPrEx>
        <w:trPr>
          <w:trHeight w:val="203" w:hRule="atLeast"/>
        </w:trPr>
        <w:tc>
          <w:tcPr>
            <w:tcW w:w="1685" w:type="dxa"/>
            <w:vMerge w:val="continue"/>
            <w:tcBorders>
              <w:top w:val="nil"/>
              <w:left w:val="single" w:color="auto" w:sz="12" w:space="0"/>
              <w:bottom w:val="single" w:color="000000" w:sz="8" w:space="0"/>
              <w:right w:val="single" w:color="auto" w:sz="8" w:space="0"/>
            </w:tcBorders>
            <w:vAlign w:val="center"/>
          </w:tcPr>
          <w:p>
            <w:pPr>
              <w:widowControl/>
              <w:spacing w:line="240" w:lineRule="auto"/>
              <w:jc w:val="left"/>
              <w:rPr>
                <w:rFonts w:hint="eastAsia" w:ascii="方正仿宋_GB2312" w:hAnsi="方正仿宋_GB2312" w:eastAsia="方正仿宋_GB2312" w:cs="方正仿宋_GB2312"/>
                <w:color w:val="000000"/>
                <w:kern w:val="0"/>
                <w:sz w:val="18"/>
                <w:szCs w:val="18"/>
              </w:rPr>
            </w:pPr>
          </w:p>
        </w:tc>
        <w:tc>
          <w:tcPr>
            <w:tcW w:w="940" w:type="dxa"/>
            <w:tcBorders>
              <w:top w:val="nil"/>
              <w:left w:val="nil"/>
              <w:bottom w:val="single" w:color="auto" w:sz="8"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负荷</w:t>
            </w:r>
          </w:p>
        </w:tc>
        <w:tc>
          <w:tcPr>
            <w:tcW w:w="897" w:type="dxa"/>
            <w:tcBorders>
              <w:top w:val="nil"/>
              <w:left w:val="nil"/>
              <w:bottom w:val="single" w:color="auto" w:sz="8"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1262</w:t>
            </w:r>
          </w:p>
        </w:tc>
        <w:tc>
          <w:tcPr>
            <w:tcW w:w="897" w:type="dxa"/>
            <w:tcBorders>
              <w:top w:val="nil"/>
              <w:left w:val="nil"/>
              <w:bottom w:val="single" w:color="auto" w:sz="8"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1603</w:t>
            </w:r>
          </w:p>
        </w:tc>
        <w:tc>
          <w:tcPr>
            <w:tcW w:w="911" w:type="dxa"/>
            <w:tcBorders>
              <w:top w:val="nil"/>
              <w:left w:val="nil"/>
              <w:bottom w:val="single" w:color="auto" w:sz="8"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1955</w:t>
            </w:r>
          </w:p>
        </w:tc>
        <w:tc>
          <w:tcPr>
            <w:tcW w:w="911" w:type="dxa"/>
            <w:tcBorders>
              <w:top w:val="nil"/>
              <w:left w:val="nil"/>
              <w:bottom w:val="single" w:color="auto" w:sz="8"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2325</w:t>
            </w:r>
          </w:p>
        </w:tc>
        <w:tc>
          <w:tcPr>
            <w:tcW w:w="911" w:type="dxa"/>
            <w:tcBorders>
              <w:top w:val="nil"/>
              <w:left w:val="nil"/>
              <w:bottom w:val="single" w:color="auto" w:sz="8"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2790</w:t>
            </w:r>
          </w:p>
        </w:tc>
        <w:tc>
          <w:tcPr>
            <w:tcW w:w="911" w:type="dxa"/>
            <w:tcBorders>
              <w:top w:val="nil"/>
              <w:left w:val="nil"/>
              <w:bottom w:val="single" w:color="auto" w:sz="8"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w:t>
            </w:r>
          </w:p>
        </w:tc>
        <w:tc>
          <w:tcPr>
            <w:tcW w:w="815" w:type="dxa"/>
            <w:tcBorders>
              <w:top w:val="nil"/>
              <w:left w:val="nil"/>
              <w:bottom w:val="single" w:color="auto" w:sz="8" w:space="0"/>
              <w:right w:val="single" w:color="auto" w:sz="12"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25.59%</w:t>
            </w:r>
          </w:p>
        </w:tc>
      </w:tr>
      <w:tr>
        <w:tblPrEx>
          <w:tblCellMar>
            <w:top w:w="0" w:type="dxa"/>
            <w:left w:w="108" w:type="dxa"/>
            <w:bottom w:w="0" w:type="dxa"/>
            <w:right w:w="108" w:type="dxa"/>
          </w:tblCellMar>
        </w:tblPrEx>
        <w:trPr>
          <w:trHeight w:val="203" w:hRule="atLeast"/>
        </w:trPr>
        <w:tc>
          <w:tcPr>
            <w:tcW w:w="1685" w:type="dxa"/>
            <w:vMerge w:val="restart"/>
            <w:tcBorders>
              <w:top w:val="nil"/>
              <w:left w:val="single" w:color="auto" w:sz="12" w:space="0"/>
              <w:bottom w:val="single" w:color="000000" w:sz="8"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中方案</w:t>
            </w:r>
          </w:p>
        </w:tc>
        <w:tc>
          <w:tcPr>
            <w:tcW w:w="940" w:type="dxa"/>
            <w:tcBorders>
              <w:top w:val="nil"/>
              <w:left w:val="nil"/>
              <w:bottom w:val="single" w:color="auto" w:sz="8"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电量</w:t>
            </w:r>
          </w:p>
        </w:tc>
        <w:tc>
          <w:tcPr>
            <w:tcW w:w="897" w:type="dxa"/>
            <w:tcBorders>
              <w:top w:val="nil"/>
              <w:left w:val="nil"/>
              <w:bottom w:val="single" w:color="auto" w:sz="8"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49</w:t>
            </w:r>
          </w:p>
        </w:tc>
        <w:tc>
          <w:tcPr>
            <w:tcW w:w="897" w:type="dxa"/>
            <w:tcBorders>
              <w:top w:val="nil"/>
              <w:left w:val="nil"/>
              <w:bottom w:val="single" w:color="auto" w:sz="8"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55</w:t>
            </w:r>
          </w:p>
        </w:tc>
        <w:tc>
          <w:tcPr>
            <w:tcW w:w="911" w:type="dxa"/>
            <w:tcBorders>
              <w:top w:val="nil"/>
              <w:left w:val="nil"/>
              <w:bottom w:val="single" w:color="auto" w:sz="8"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65</w:t>
            </w:r>
          </w:p>
        </w:tc>
        <w:tc>
          <w:tcPr>
            <w:tcW w:w="911" w:type="dxa"/>
            <w:tcBorders>
              <w:top w:val="nil"/>
              <w:left w:val="nil"/>
              <w:bottom w:val="single" w:color="auto" w:sz="8"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75</w:t>
            </w:r>
          </w:p>
        </w:tc>
        <w:tc>
          <w:tcPr>
            <w:tcW w:w="911" w:type="dxa"/>
            <w:tcBorders>
              <w:top w:val="nil"/>
              <w:left w:val="nil"/>
              <w:bottom w:val="single" w:color="auto" w:sz="8"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90</w:t>
            </w:r>
          </w:p>
        </w:tc>
        <w:tc>
          <w:tcPr>
            <w:tcW w:w="911" w:type="dxa"/>
            <w:tcBorders>
              <w:top w:val="nil"/>
              <w:left w:val="nil"/>
              <w:bottom w:val="single" w:color="auto" w:sz="8"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222.53</w:t>
            </w:r>
          </w:p>
        </w:tc>
        <w:tc>
          <w:tcPr>
            <w:tcW w:w="815" w:type="dxa"/>
            <w:tcBorders>
              <w:top w:val="nil"/>
              <w:left w:val="nil"/>
              <w:bottom w:val="single" w:color="auto" w:sz="8" w:space="0"/>
              <w:right w:val="single" w:color="auto" w:sz="12"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14.87%</w:t>
            </w:r>
          </w:p>
        </w:tc>
      </w:tr>
      <w:tr>
        <w:tblPrEx>
          <w:tblCellMar>
            <w:top w:w="0" w:type="dxa"/>
            <w:left w:w="108" w:type="dxa"/>
            <w:bottom w:w="0" w:type="dxa"/>
            <w:right w:w="108" w:type="dxa"/>
          </w:tblCellMar>
        </w:tblPrEx>
        <w:trPr>
          <w:trHeight w:val="203" w:hRule="atLeast"/>
        </w:trPr>
        <w:tc>
          <w:tcPr>
            <w:tcW w:w="1685" w:type="dxa"/>
            <w:vMerge w:val="continue"/>
            <w:tcBorders>
              <w:top w:val="nil"/>
              <w:left w:val="single" w:color="auto" w:sz="12" w:space="0"/>
              <w:bottom w:val="single" w:color="000000" w:sz="8" w:space="0"/>
              <w:right w:val="single" w:color="auto" w:sz="8" w:space="0"/>
            </w:tcBorders>
            <w:vAlign w:val="center"/>
          </w:tcPr>
          <w:p>
            <w:pPr>
              <w:widowControl/>
              <w:spacing w:line="240" w:lineRule="auto"/>
              <w:jc w:val="left"/>
              <w:rPr>
                <w:rFonts w:hint="eastAsia" w:ascii="方正仿宋_GB2312" w:hAnsi="方正仿宋_GB2312" w:eastAsia="方正仿宋_GB2312" w:cs="方正仿宋_GB2312"/>
                <w:color w:val="000000"/>
                <w:kern w:val="0"/>
                <w:sz w:val="18"/>
                <w:szCs w:val="18"/>
              </w:rPr>
            </w:pPr>
          </w:p>
        </w:tc>
        <w:tc>
          <w:tcPr>
            <w:tcW w:w="940" w:type="dxa"/>
            <w:tcBorders>
              <w:top w:val="nil"/>
              <w:left w:val="nil"/>
              <w:bottom w:val="single" w:color="auto" w:sz="8"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负荷</w:t>
            </w:r>
          </w:p>
        </w:tc>
        <w:tc>
          <w:tcPr>
            <w:tcW w:w="897" w:type="dxa"/>
            <w:tcBorders>
              <w:top w:val="nil"/>
              <w:left w:val="nil"/>
              <w:bottom w:val="single" w:color="auto" w:sz="8"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1157</w:t>
            </w:r>
          </w:p>
        </w:tc>
        <w:tc>
          <w:tcPr>
            <w:tcW w:w="897" w:type="dxa"/>
            <w:tcBorders>
              <w:top w:val="nil"/>
              <w:left w:val="nil"/>
              <w:bottom w:val="single" w:color="auto" w:sz="8"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1486</w:t>
            </w:r>
          </w:p>
        </w:tc>
        <w:tc>
          <w:tcPr>
            <w:tcW w:w="911" w:type="dxa"/>
            <w:tcBorders>
              <w:top w:val="nil"/>
              <w:left w:val="nil"/>
              <w:bottom w:val="single" w:color="auto" w:sz="8"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1772</w:t>
            </w:r>
          </w:p>
        </w:tc>
        <w:tc>
          <w:tcPr>
            <w:tcW w:w="911" w:type="dxa"/>
            <w:tcBorders>
              <w:top w:val="nil"/>
              <w:left w:val="nil"/>
              <w:bottom w:val="single" w:color="auto" w:sz="8"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2071</w:t>
            </w:r>
          </w:p>
        </w:tc>
        <w:tc>
          <w:tcPr>
            <w:tcW w:w="911" w:type="dxa"/>
            <w:tcBorders>
              <w:top w:val="nil"/>
              <w:left w:val="nil"/>
              <w:bottom w:val="single" w:color="auto" w:sz="8"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2444</w:t>
            </w:r>
          </w:p>
        </w:tc>
        <w:tc>
          <w:tcPr>
            <w:tcW w:w="911" w:type="dxa"/>
            <w:tcBorders>
              <w:top w:val="nil"/>
              <w:left w:val="nil"/>
              <w:bottom w:val="single" w:color="auto" w:sz="8"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5365.2</w:t>
            </w:r>
          </w:p>
        </w:tc>
        <w:tc>
          <w:tcPr>
            <w:tcW w:w="815" w:type="dxa"/>
            <w:tcBorders>
              <w:top w:val="nil"/>
              <w:left w:val="nil"/>
              <w:bottom w:val="single" w:color="auto" w:sz="8" w:space="0"/>
              <w:right w:val="single" w:color="auto" w:sz="12"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22.30%</w:t>
            </w:r>
          </w:p>
        </w:tc>
      </w:tr>
      <w:tr>
        <w:tblPrEx>
          <w:tblCellMar>
            <w:top w:w="0" w:type="dxa"/>
            <w:left w:w="108" w:type="dxa"/>
            <w:bottom w:w="0" w:type="dxa"/>
            <w:right w:w="108" w:type="dxa"/>
          </w:tblCellMar>
        </w:tblPrEx>
        <w:trPr>
          <w:trHeight w:val="203" w:hRule="atLeast"/>
        </w:trPr>
        <w:tc>
          <w:tcPr>
            <w:tcW w:w="1685" w:type="dxa"/>
            <w:vMerge w:val="restart"/>
            <w:tcBorders>
              <w:top w:val="nil"/>
              <w:left w:val="single" w:color="auto" w:sz="12" w:space="0"/>
              <w:bottom w:val="single" w:color="000000" w:sz="12"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低方案</w:t>
            </w:r>
          </w:p>
        </w:tc>
        <w:tc>
          <w:tcPr>
            <w:tcW w:w="940" w:type="dxa"/>
            <w:tcBorders>
              <w:top w:val="nil"/>
              <w:left w:val="nil"/>
              <w:bottom w:val="single" w:color="auto" w:sz="8"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电量</w:t>
            </w:r>
          </w:p>
        </w:tc>
        <w:tc>
          <w:tcPr>
            <w:tcW w:w="897" w:type="dxa"/>
            <w:tcBorders>
              <w:top w:val="nil"/>
              <w:left w:val="nil"/>
              <w:bottom w:val="single" w:color="auto" w:sz="8"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47</w:t>
            </w:r>
          </w:p>
        </w:tc>
        <w:tc>
          <w:tcPr>
            <w:tcW w:w="897" w:type="dxa"/>
            <w:tcBorders>
              <w:top w:val="nil"/>
              <w:left w:val="nil"/>
              <w:bottom w:val="single" w:color="auto" w:sz="8"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53</w:t>
            </w:r>
          </w:p>
        </w:tc>
        <w:tc>
          <w:tcPr>
            <w:tcW w:w="911" w:type="dxa"/>
            <w:tcBorders>
              <w:top w:val="nil"/>
              <w:left w:val="nil"/>
              <w:bottom w:val="single" w:color="auto" w:sz="8"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61</w:t>
            </w:r>
          </w:p>
        </w:tc>
        <w:tc>
          <w:tcPr>
            <w:tcW w:w="911" w:type="dxa"/>
            <w:tcBorders>
              <w:top w:val="nil"/>
              <w:left w:val="nil"/>
              <w:bottom w:val="single" w:color="auto" w:sz="8"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71</w:t>
            </w:r>
          </w:p>
        </w:tc>
        <w:tc>
          <w:tcPr>
            <w:tcW w:w="911" w:type="dxa"/>
            <w:tcBorders>
              <w:top w:val="nil"/>
              <w:left w:val="nil"/>
              <w:bottom w:val="single" w:color="auto" w:sz="8"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84</w:t>
            </w:r>
          </w:p>
        </w:tc>
        <w:tc>
          <w:tcPr>
            <w:tcW w:w="911" w:type="dxa"/>
            <w:tcBorders>
              <w:top w:val="nil"/>
              <w:left w:val="nil"/>
              <w:bottom w:val="single" w:color="auto" w:sz="8"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w:t>
            </w:r>
          </w:p>
        </w:tc>
        <w:tc>
          <w:tcPr>
            <w:tcW w:w="815" w:type="dxa"/>
            <w:tcBorders>
              <w:top w:val="nil"/>
              <w:left w:val="nil"/>
              <w:bottom w:val="single" w:color="auto" w:sz="8" w:space="0"/>
              <w:right w:val="single" w:color="auto" w:sz="12"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13.81%</w:t>
            </w:r>
          </w:p>
        </w:tc>
      </w:tr>
      <w:tr>
        <w:tblPrEx>
          <w:tblCellMar>
            <w:top w:w="0" w:type="dxa"/>
            <w:left w:w="108" w:type="dxa"/>
            <w:bottom w:w="0" w:type="dxa"/>
            <w:right w:w="108" w:type="dxa"/>
          </w:tblCellMar>
        </w:tblPrEx>
        <w:trPr>
          <w:trHeight w:val="228" w:hRule="atLeast"/>
        </w:trPr>
        <w:tc>
          <w:tcPr>
            <w:tcW w:w="1685" w:type="dxa"/>
            <w:vMerge w:val="continue"/>
            <w:tcBorders>
              <w:top w:val="nil"/>
              <w:left w:val="single" w:color="auto" w:sz="12" w:space="0"/>
              <w:bottom w:val="single" w:color="000000" w:sz="12" w:space="0"/>
              <w:right w:val="single" w:color="auto" w:sz="8" w:space="0"/>
            </w:tcBorders>
            <w:vAlign w:val="center"/>
          </w:tcPr>
          <w:p>
            <w:pPr>
              <w:widowControl/>
              <w:spacing w:line="240" w:lineRule="auto"/>
              <w:jc w:val="left"/>
              <w:rPr>
                <w:rFonts w:hint="eastAsia" w:ascii="方正仿宋_GB2312" w:hAnsi="方正仿宋_GB2312" w:eastAsia="方正仿宋_GB2312" w:cs="方正仿宋_GB2312"/>
                <w:color w:val="000000"/>
                <w:kern w:val="0"/>
                <w:sz w:val="18"/>
                <w:szCs w:val="18"/>
              </w:rPr>
            </w:pPr>
          </w:p>
        </w:tc>
        <w:tc>
          <w:tcPr>
            <w:tcW w:w="940" w:type="dxa"/>
            <w:tcBorders>
              <w:top w:val="nil"/>
              <w:left w:val="nil"/>
              <w:bottom w:val="single" w:color="auto" w:sz="12"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负荷</w:t>
            </w:r>
          </w:p>
        </w:tc>
        <w:tc>
          <w:tcPr>
            <w:tcW w:w="897" w:type="dxa"/>
            <w:tcBorders>
              <w:top w:val="nil"/>
              <w:left w:val="nil"/>
              <w:bottom w:val="single" w:color="auto" w:sz="12"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1042</w:t>
            </w:r>
          </w:p>
        </w:tc>
        <w:tc>
          <w:tcPr>
            <w:tcW w:w="897" w:type="dxa"/>
            <w:tcBorders>
              <w:top w:val="nil"/>
              <w:left w:val="nil"/>
              <w:bottom w:val="single" w:color="auto" w:sz="12"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1383</w:t>
            </w:r>
          </w:p>
        </w:tc>
        <w:tc>
          <w:tcPr>
            <w:tcW w:w="911" w:type="dxa"/>
            <w:tcBorders>
              <w:top w:val="nil"/>
              <w:left w:val="nil"/>
              <w:bottom w:val="single" w:color="auto" w:sz="12"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1619</w:t>
            </w:r>
          </w:p>
        </w:tc>
        <w:tc>
          <w:tcPr>
            <w:tcW w:w="911" w:type="dxa"/>
            <w:tcBorders>
              <w:top w:val="nil"/>
              <w:left w:val="nil"/>
              <w:bottom w:val="single" w:color="auto" w:sz="12"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1866</w:t>
            </w:r>
          </w:p>
        </w:tc>
        <w:tc>
          <w:tcPr>
            <w:tcW w:w="911" w:type="dxa"/>
            <w:tcBorders>
              <w:top w:val="nil"/>
              <w:left w:val="nil"/>
              <w:bottom w:val="single" w:color="auto" w:sz="12"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2173</w:t>
            </w:r>
          </w:p>
        </w:tc>
        <w:tc>
          <w:tcPr>
            <w:tcW w:w="911" w:type="dxa"/>
            <w:tcBorders>
              <w:top w:val="nil"/>
              <w:left w:val="nil"/>
              <w:bottom w:val="single" w:color="auto" w:sz="12" w:space="0"/>
              <w:right w:val="single" w:color="auto" w:sz="8"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w:t>
            </w:r>
          </w:p>
        </w:tc>
        <w:tc>
          <w:tcPr>
            <w:tcW w:w="815" w:type="dxa"/>
            <w:tcBorders>
              <w:top w:val="nil"/>
              <w:left w:val="nil"/>
              <w:bottom w:val="single" w:color="auto" w:sz="12" w:space="0"/>
              <w:right w:val="single" w:color="auto" w:sz="12" w:space="0"/>
            </w:tcBorders>
            <w:shd w:val="clear" w:color="000000" w:fill="FFFFFF"/>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19.46%</w:t>
            </w:r>
          </w:p>
        </w:tc>
      </w:tr>
    </w:tbl>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rPr>
      </w:pPr>
      <w:bookmarkStart w:id="286" w:name="_Toc4870"/>
      <w:bookmarkStart w:id="287" w:name="_Toc74041188"/>
      <w:r>
        <w:rPr>
          <w:rFonts w:hint="eastAsia" w:ascii="黑体" w:hAnsi="黑体" w:eastAsia="黑体" w:cs="黑体"/>
          <w:b w:val="0"/>
          <w:bCs w:val="0"/>
          <w:sz w:val="32"/>
          <w:szCs w:val="32"/>
        </w:rPr>
        <w:t>结果校核</w:t>
      </w:r>
      <w:bookmarkEnd w:id="286"/>
      <w:bookmarkEnd w:id="287"/>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288" w:name="_Toc59973926"/>
      <w:bookmarkStart w:id="289" w:name="_Toc74041189"/>
      <w:r>
        <w:rPr>
          <w:rFonts w:eastAsia="仿宋"/>
          <w:sz w:val="32"/>
          <w:szCs w:val="32"/>
        </w:rPr>
        <w:t>人均用电量法校核</w:t>
      </w:r>
      <w:bookmarkEnd w:id="288"/>
      <w:bookmarkEnd w:id="289"/>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将《城市电力规划规范》（GB/T 50293-2014）中对不同用电水平城市的规划人均生活用电量指标列出，作为西咸新区生活用电水平指标参照依据。</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left="0" w:leftChars="0" w:firstLine="0" w:firstLineChars="0"/>
        <w:jc w:val="center"/>
        <w:textAlignment w:val="auto"/>
        <w:rPr>
          <w:rFonts w:hint="eastAsia" w:ascii="黑体" w:hAnsi="黑体" w:eastAsia="黑体" w:cs="黑体"/>
          <w:b w:val="0"/>
          <w:bCs w:val="0"/>
          <w:kern w:val="0"/>
          <w:sz w:val="28"/>
          <w:szCs w:val="28"/>
          <w:lang w:val="en-US" w:eastAsia="zh-CN" w:bidi="ar-SA"/>
        </w:rPr>
      </w:pPr>
      <w:r>
        <w:rPr>
          <w:rFonts w:hint="eastAsia" w:ascii="黑体" w:hAnsi="黑体" w:eastAsia="黑体" w:cs="黑体"/>
          <w:b w:val="0"/>
          <w:bCs w:val="0"/>
          <w:kern w:val="0"/>
          <w:sz w:val="28"/>
          <w:szCs w:val="28"/>
          <w:lang w:val="en-US" w:eastAsia="zh-CN" w:bidi="ar-SA"/>
        </w:rPr>
        <w:t>表5-10  规划人均综合用电量指标</w:t>
      </w:r>
    </w:p>
    <w:tbl>
      <w:tblPr>
        <w:tblStyle w:val="88"/>
        <w:tblW w:w="8520" w:type="dxa"/>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0" w:type="dxa"/>
          <w:bottom w:w="0" w:type="dxa"/>
          <w:right w:w="0" w:type="dxa"/>
        </w:tblCellMar>
      </w:tblPr>
      <w:tblGrid>
        <w:gridCol w:w="4260"/>
        <w:gridCol w:w="4260"/>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457" w:hRule="atLeast"/>
          <w:tblHeader/>
        </w:trPr>
        <w:tc>
          <w:tcPr>
            <w:tcW w:w="4260" w:type="dxa"/>
            <w:shd w:val="clear" w:color="auto" w:fill="FFFFFF"/>
            <w:vAlign w:val="center"/>
          </w:tcPr>
          <w:p>
            <w:pPr>
              <w:pStyle w:val="152"/>
              <w:ind w:firstLine="560"/>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城市用电水平分类</w:t>
            </w:r>
          </w:p>
        </w:tc>
        <w:tc>
          <w:tcPr>
            <w:tcW w:w="4260" w:type="dxa"/>
            <w:shd w:val="clear" w:color="auto" w:fill="FFFFFF"/>
            <w:vAlign w:val="center"/>
          </w:tcPr>
          <w:p>
            <w:pPr>
              <w:pStyle w:val="152"/>
              <w:ind w:firstLine="560"/>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人均综合用量[千瓦时/(人.年)]</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422" w:hRule="atLeast"/>
        </w:trPr>
        <w:tc>
          <w:tcPr>
            <w:tcW w:w="4260" w:type="dxa"/>
            <w:shd w:val="clear" w:color="auto" w:fill="FFFFFF"/>
            <w:vAlign w:val="center"/>
          </w:tcPr>
          <w:p>
            <w:pPr>
              <w:pStyle w:val="152"/>
              <w:ind w:firstLine="560"/>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用电水平较高城市</w:t>
            </w:r>
          </w:p>
        </w:tc>
        <w:tc>
          <w:tcPr>
            <w:tcW w:w="4260" w:type="dxa"/>
            <w:shd w:val="clear" w:color="auto" w:fill="FFFFFF"/>
            <w:vAlign w:val="center"/>
          </w:tcPr>
          <w:p>
            <w:pPr>
              <w:pStyle w:val="152"/>
              <w:ind w:firstLine="560"/>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8000-10000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422" w:hRule="atLeast"/>
        </w:trPr>
        <w:tc>
          <w:tcPr>
            <w:tcW w:w="4260" w:type="dxa"/>
            <w:shd w:val="clear" w:color="auto" w:fill="FFFFFF"/>
            <w:vAlign w:val="center"/>
          </w:tcPr>
          <w:p>
            <w:pPr>
              <w:pStyle w:val="152"/>
              <w:ind w:firstLine="560"/>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用电水平中上城市</w:t>
            </w:r>
          </w:p>
        </w:tc>
        <w:tc>
          <w:tcPr>
            <w:tcW w:w="4260" w:type="dxa"/>
            <w:shd w:val="clear" w:color="auto" w:fill="FFFFFF"/>
            <w:vAlign w:val="center"/>
          </w:tcPr>
          <w:p>
            <w:pPr>
              <w:pStyle w:val="152"/>
              <w:ind w:firstLine="560"/>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5000-8000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422" w:hRule="atLeast"/>
        </w:trPr>
        <w:tc>
          <w:tcPr>
            <w:tcW w:w="4260" w:type="dxa"/>
            <w:shd w:val="clear" w:color="auto" w:fill="FFFFFF"/>
            <w:vAlign w:val="center"/>
          </w:tcPr>
          <w:p>
            <w:pPr>
              <w:pStyle w:val="152"/>
              <w:ind w:firstLine="560"/>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用电水平中等城市</w:t>
            </w:r>
          </w:p>
        </w:tc>
        <w:tc>
          <w:tcPr>
            <w:tcW w:w="4260" w:type="dxa"/>
            <w:shd w:val="clear" w:color="auto" w:fill="FFFFFF"/>
            <w:vAlign w:val="center"/>
          </w:tcPr>
          <w:p>
            <w:pPr>
              <w:pStyle w:val="152"/>
              <w:ind w:firstLine="560"/>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3000-5000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494" w:hRule="atLeast"/>
        </w:trPr>
        <w:tc>
          <w:tcPr>
            <w:tcW w:w="4260" w:type="dxa"/>
            <w:shd w:val="clear" w:color="auto" w:fill="FFFFFF"/>
            <w:vAlign w:val="center"/>
          </w:tcPr>
          <w:p>
            <w:pPr>
              <w:pStyle w:val="152"/>
              <w:ind w:firstLine="560"/>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用电水平较低城市</w:t>
            </w:r>
          </w:p>
        </w:tc>
        <w:tc>
          <w:tcPr>
            <w:tcW w:w="4260" w:type="dxa"/>
            <w:shd w:val="clear" w:color="auto" w:fill="FFFFFF"/>
            <w:vAlign w:val="center"/>
          </w:tcPr>
          <w:p>
            <w:pPr>
              <w:pStyle w:val="152"/>
              <w:ind w:firstLine="560"/>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1500-3000</w:t>
            </w:r>
          </w:p>
        </w:tc>
      </w:tr>
    </w:tbl>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根据预测结果，至远景年新区负荷约5365兆瓦，按负荷利用小时数4100h计，电量为222.53亿千瓦时左右，根据西咸新区总体规划，预计饱和年西咸新区总人口达到272万。由此可计算人均综合用电量约8181千瓦时/（人·年）。根据西咸新区经济社会发展战略定位，与全国先进一线城市北京、上海、广州、深圳等进行对比，此结果与深圳2019年的人均用电量接近。综合考虑城市电力规划规范与产业结构类似城市的人均用电量水平，达到了生活用电水平较高城市。预测结果符合新区发展定位。</w:t>
      </w:r>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290" w:name="_Toc59973927"/>
      <w:bookmarkStart w:id="291" w:name="_Toc74041190"/>
      <w:r>
        <w:rPr>
          <w:rFonts w:eastAsia="仿宋"/>
          <w:sz w:val="32"/>
          <w:szCs w:val="32"/>
        </w:rPr>
        <w:t>负荷密度水平校验</w:t>
      </w:r>
      <w:bookmarkEnd w:id="290"/>
      <w:bookmarkEnd w:id="291"/>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远景年负荷密度指标对比情况如下表所示。</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left="0" w:leftChars="0" w:firstLine="0" w:firstLineChars="0"/>
        <w:jc w:val="center"/>
        <w:textAlignment w:val="auto"/>
        <w:rPr>
          <w:rFonts w:hint="eastAsia" w:ascii="黑体" w:hAnsi="黑体" w:eastAsia="黑体" w:cs="黑体"/>
          <w:b w:val="0"/>
          <w:bCs w:val="0"/>
          <w:kern w:val="0"/>
          <w:sz w:val="28"/>
          <w:szCs w:val="28"/>
          <w:lang w:val="en-US" w:eastAsia="zh-CN" w:bidi="ar-SA"/>
        </w:rPr>
      </w:pPr>
      <w:r>
        <w:rPr>
          <w:rFonts w:hint="eastAsia" w:ascii="黑体" w:hAnsi="黑体" w:eastAsia="黑体" w:cs="黑体"/>
          <w:b w:val="0"/>
          <w:bCs w:val="0"/>
          <w:kern w:val="0"/>
          <w:sz w:val="28"/>
          <w:szCs w:val="28"/>
          <w:lang w:val="en-US" w:eastAsia="zh-CN" w:bidi="ar-SA"/>
        </w:rPr>
        <w:t>表5-11  负荷密度指标对比情况</w:t>
      </w:r>
    </w:p>
    <w:tbl>
      <w:tblPr>
        <w:tblStyle w:val="88"/>
        <w:tblW w:w="8342"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1741"/>
        <w:gridCol w:w="1340"/>
        <w:gridCol w:w="1340"/>
        <w:gridCol w:w="1710"/>
        <w:gridCol w:w="2211"/>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741"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时间</w:t>
            </w:r>
          </w:p>
        </w:tc>
        <w:tc>
          <w:tcPr>
            <w:tcW w:w="134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城市</w:t>
            </w:r>
          </w:p>
        </w:tc>
        <w:tc>
          <w:tcPr>
            <w:tcW w:w="134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地区</w:t>
            </w:r>
          </w:p>
        </w:tc>
        <w:tc>
          <w:tcPr>
            <w:tcW w:w="171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供电面积公里</w:t>
            </w:r>
            <w:r>
              <w:rPr>
                <w:rFonts w:hint="eastAsia" w:ascii="方正仿宋_GB2312" w:hAnsi="方正仿宋_GB2312" w:eastAsia="方正仿宋_GB2312" w:cs="方正仿宋_GB2312"/>
                <w:vertAlign w:val="superscript"/>
              </w:rPr>
              <w:t>2</w:t>
            </w:r>
          </w:p>
        </w:tc>
        <w:tc>
          <w:tcPr>
            <w:tcW w:w="2211"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负荷密度(兆瓦/公里</w:t>
            </w:r>
            <w:r>
              <w:rPr>
                <w:rFonts w:hint="eastAsia" w:ascii="方正仿宋_GB2312" w:hAnsi="方正仿宋_GB2312" w:eastAsia="方正仿宋_GB2312" w:cs="方正仿宋_GB2312"/>
                <w:vertAlign w:val="superscript"/>
              </w:rPr>
              <w:t>2</w:t>
            </w:r>
            <w:r>
              <w:rPr>
                <w:rFonts w:hint="eastAsia" w:ascii="方正仿宋_GB2312" w:hAnsi="方正仿宋_GB2312" w:eastAsia="方正仿宋_GB2312" w:cs="方正仿宋_GB2312"/>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741" w:type="dxa"/>
            <w:vMerge w:val="restart"/>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20世纪90年代初</w:t>
            </w:r>
          </w:p>
        </w:tc>
        <w:tc>
          <w:tcPr>
            <w:tcW w:w="134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东京</w:t>
            </w:r>
          </w:p>
        </w:tc>
        <w:tc>
          <w:tcPr>
            <w:tcW w:w="134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都内</w:t>
            </w:r>
          </w:p>
        </w:tc>
        <w:tc>
          <w:tcPr>
            <w:tcW w:w="171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2155</w:t>
            </w:r>
          </w:p>
        </w:tc>
        <w:tc>
          <w:tcPr>
            <w:tcW w:w="2211"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741" w:type="dxa"/>
            <w:vMerge w:val="continue"/>
            <w:tcBorders>
              <w:tl2br w:val="nil"/>
              <w:tr2bl w:val="nil"/>
            </w:tcBorders>
            <w:vAlign w:val="center"/>
          </w:tcPr>
          <w:p>
            <w:pPr>
              <w:widowControl/>
              <w:jc w:val="left"/>
              <w:rPr>
                <w:rFonts w:hint="eastAsia" w:ascii="方正仿宋_GB2312" w:hAnsi="方正仿宋_GB2312" w:eastAsia="方正仿宋_GB2312" w:cs="方正仿宋_GB2312"/>
                <w:kern w:val="0"/>
                <w:sz w:val="18"/>
                <w:szCs w:val="18"/>
              </w:rPr>
            </w:pPr>
          </w:p>
        </w:tc>
        <w:tc>
          <w:tcPr>
            <w:tcW w:w="134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东京</w:t>
            </w:r>
          </w:p>
        </w:tc>
        <w:tc>
          <w:tcPr>
            <w:tcW w:w="134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中心地区</w:t>
            </w:r>
          </w:p>
        </w:tc>
        <w:tc>
          <w:tcPr>
            <w:tcW w:w="171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621</w:t>
            </w:r>
          </w:p>
        </w:tc>
        <w:tc>
          <w:tcPr>
            <w:tcW w:w="2211"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22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741" w:type="dxa"/>
            <w:vMerge w:val="continue"/>
            <w:tcBorders>
              <w:tl2br w:val="nil"/>
              <w:tr2bl w:val="nil"/>
            </w:tcBorders>
            <w:vAlign w:val="center"/>
          </w:tcPr>
          <w:p>
            <w:pPr>
              <w:widowControl/>
              <w:jc w:val="left"/>
              <w:rPr>
                <w:rFonts w:hint="eastAsia" w:ascii="方正仿宋_GB2312" w:hAnsi="方正仿宋_GB2312" w:eastAsia="方正仿宋_GB2312" w:cs="方正仿宋_GB2312"/>
                <w:kern w:val="0"/>
                <w:sz w:val="18"/>
                <w:szCs w:val="18"/>
              </w:rPr>
            </w:pPr>
          </w:p>
        </w:tc>
        <w:tc>
          <w:tcPr>
            <w:tcW w:w="134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巴黎</w:t>
            </w:r>
          </w:p>
        </w:tc>
        <w:tc>
          <w:tcPr>
            <w:tcW w:w="134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中心区</w:t>
            </w:r>
          </w:p>
        </w:tc>
        <w:tc>
          <w:tcPr>
            <w:tcW w:w="171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105</w:t>
            </w:r>
          </w:p>
        </w:tc>
        <w:tc>
          <w:tcPr>
            <w:tcW w:w="2211"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29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741" w:type="dxa"/>
            <w:vMerge w:val="continue"/>
            <w:tcBorders>
              <w:tl2br w:val="nil"/>
              <w:tr2bl w:val="nil"/>
            </w:tcBorders>
            <w:vAlign w:val="center"/>
          </w:tcPr>
          <w:p>
            <w:pPr>
              <w:widowControl/>
              <w:jc w:val="left"/>
              <w:rPr>
                <w:rFonts w:hint="eastAsia" w:ascii="方正仿宋_GB2312" w:hAnsi="方正仿宋_GB2312" w:eastAsia="方正仿宋_GB2312" w:cs="方正仿宋_GB2312"/>
                <w:kern w:val="0"/>
                <w:sz w:val="18"/>
                <w:szCs w:val="18"/>
              </w:rPr>
            </w:pPr>
          </w:p>
        </w:tc>
        <w:tc>
          <w:tcPr>
            <w:tcW w:w="134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伦敦</w:t>
            </w:r>
          </w:p>
        </w:tc>
        <w:tc>
          <w:tcPr>
            <w:tcW w:w="134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中心区</w:t>
            </w:r>
          </w:p>
        </w:tc>
        <w:tc>
          <w:tcPr>
            <w:tcW w:w="171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666</w:t>
            </w:r>
          </w:p>
        </w:tc>
        <w:tc>
          <w:tcPr>
            <w:tcW w:w="2211"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21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741" w:type="dxa"/>
            <w:vMerge w:val="continue"/>
            <w:tcBorders>
              <w:tl2br w:val="nil"/>
              <w:tr2bl w:val="nil"/>
            </w:tcBorders>
            <w:vAlign w:val="center"/>
          </w:tcPr>
          <w:p>
            <w:pPr>
              <w:widowControl/>
              <w:jc w:val="left"/>
              <w:rPr>
                <w:rFonts w:hint="eastAsia" w:ascii="方正仿宋_GB2312" w:hAnsi="方正仿宋_GB2312" w:eastAsia="方正仿宋_GB2312" w:cs="方正仿宋_GB2312"/>
                <w:kern w:val="0"/>
                <w:sz w:val="18"/>
                <w:szCs w:val="18"/>
              </w:rPr>
            </w:pPr>
          </w:p>
        </w:tc>
        <w:tc>
          <w:tcPr>
            <w:tcW w:w="134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纽约</w:t>
            </w:r>
          </w:p>
        </w:tc>
        <w:tc>
          <w:tcPr>
            <w:tcW w:w="134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市区</w:t>
            </w:r>
          </w:p>
        </w:tc>
        <w:tc>
          <w:tcPr>
            <w:tcW w:w="171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671</w:t>
            </w:r>
          </w:p>
        </w:tc>
        <w:tc>
          <w:tcPr>
            <w:tcW w:w="2211"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14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741" w:type="dxa"/>
            <w:vMerge w:val="restart"/>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2005年实测</w:t>
            </w:r>
          </w:p>
        </w:tc>
        <w:tc>
          <w:tcPr>
            <w:tcW w:w="1340" w:type="dxa"/>
            <w:vMerge w:val="restart"/>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北京</w:t>
            </w:r>
          </w:p>
        </w:tc>
        <w:tc>
          <w:tcPr>
            <w:tcW w:w="134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城近郊</w:t>
            </w:r>
          </w:p>
        </w:tc>
        <w:tc>
          <w:tcPr>
            <w:tcW w:w="171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1335.45</w:t>
            </w:r>
          </w:p>
        </w:tc>
        <w:tc>
          <w:tcPr>
            <w:tcW w:w="2211"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5.1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741" w:type="dxa"/>
            <w:vMerge w:val="continue"/>
            <w:tcBorders>
              <w:tl2br w:val="nil"/>
              <w:tr2bl w:val="nil"/>
            </w:tcBorders>
            <w:vAlign w:val="center"/>
          </w:tcPr>
          <w:p>
            <w:pPr>
              <w:widowControl/>
              <w:jc w:val="left"/>
              <w:rPr>
                <w:rFonts w:hint="eastAsia" w:ascii="方正仿宋_GB2312" w:hAnsi="方正仿宋_GB2312" w:eastAsia="方正仿宋_GB2312" w:cs="方正仿宋_GB2312"/>
                <w:kern w:val="0"/>
                <w:sz w:val="18"/>
                <w:szCs w:val="18"/>
              </w:rPr>
            </w:pPr>
          </w:p>
        </w:tc>
        <w:tc>
          <w:tcPr>
            <w:tcW w:w="1340" w:type="dxa"/>
            <w:vMerge w:val="continue"/>
            <w:tcBorders>
              <w:tl2br w:val="nil"/>
              <w:tr2bl w:val="nil"/>
            </w:tcBorders>
            <w:vAlign w:val="center"/>
          </w:tcPr>
          <w:p>
            <w:pPr>
              <w:widowControl/>
              <w:jc w:val="left"/>
              <w:rPr>
                <w:rFonts w:hint="eastAsia" w:ascii="方正仿宋_GB2312" w:hAnsi="方正仿宋_GB2312" w:eastAsia="方正仿宋_GB2312" w:cs="方正仿宋_GB2312"/>
                <w:kern w:val="0"/>
                <w:sz w:val="18"/>
                <w:szCs w:val="18"/>
              </w:rPr>
            </w:pPr>
          </w:p>
        </w:tc>
        <w:tc>
          <w:tcPr>
            <w:tcW w:w="134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城区</w:t>
            </w:r>
          </w:p>
        </w:tc>
        <w:tc>
          <w:tcPr>
            <w:tcW w:w="171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92.53</w:t>
            </w:r>
          </w:p>
        </w:tc>
        <w:tc>
          <w:tcPr>
            <w:tcW w:w="2211"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18.2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741" w:type="dxa"/>
            <w:vMerge w:val="continue"/>
            <w:tcBorders>
              <w:tl2br w:val="nil"/>
              <w:tr2bl w:val="nil"/>
            </w:tcBorders>
            <w:vAlign w:val="center"/>
          </w:tcPr>
          <w:p>
            <w:pPr>
              <w:widowControl/>
              <w:jc w:val="left"/>
              <w:rPr>
                <w:rFonts w:hint="eastAsia" w:ascii="方正仿宋_GB2312" w:hAnsi="方正仿宋_GB2312" w:eastAsia="方正仿宋_GB2312" w:cs="方正仿宋_GB2312"/>
                <w:kern w:val="0"/>
                <w:sz w:val="18"/>
                <w:szCs w:val="18"/>
              </w:rPr>
            </w:pPr>
          </w:p>
        </w:tc>
        <w:tc>
          <w:tcPr>
            <w:tcW w:w="1340" w:type="dxa"/>
            <w:vMerge w:val="continue"/>
            <w:tcBorders>
              <w:tl2br w:val="nil"/>
              <w:tr2bl w:val="nil"/>
            </w:tcBorders>
            <w:vAlign w:val="center"/>
          </w:tcPr>
          <w:p>
            <w:pPr>
              <w:widowControl/>
              <w:jc w:val="left"/>
              <w:rPr>
                <w:rFonts w:hint="eastAsia" w:ascii="方正仿宋_GB2312" w:hAnsi="方正仿宋_GB2312" w:eastAsia="方正仿宋_GB2312" w:cs="方正仿宋_GB2312"/>
                <w:kern w:val="0"/>
                <w:sz w:val="18"/>
                <w:szCs w:val="18"/>
              </w:rPr>
            </w:pPr>
          </w:p>
        </w:tc>
        <w:tc>
          <w:tcPr>
            <w:tcW w:w="134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朝阳区</w:t>
            </w:r>
          </w:p>
        </w:tc>
        <w:tc>
          <w:tcPr>
            <w:tcW w:w="171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470.8</w:t>
            </w:r>
          </w:p>
        </w:tc>
        <w:tc>
          <w:tcPr>
            <w:tcW w:w="2211"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4.5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741" w:type="dxa"/>
            <w:vMerge w:val="continue"/>
            <w:tcBorders>
              <w:tl2br w:val="nil"/>
              <w:tr2bl w:val="nil"/>
            </w:tcBorders>
            <w:vAlign w:val="center"/>
          </w:tcPr>
          <w:p>
            <w:pPr>
              <w:widowControl/>
              <w:jc w:val="left"/>
              <w:rPr>
                <w:rFonts w:hint="eastAsia" w:ascii="方正仿宋_GB2312" w:hAnsi="方正仿宋_GB2312" w:eastAsia="方正仿宋_GB2312" w:cs="方正仿宋_GB2312"/>
                <w:kern w:val="0"/>
                <w:sz w:val="18"/>
                <w:szCs w:val="18"/>
              </w:rPr>
            </w:pPr>
          </w:p>
        </w:tc>
        <w:tc>
          <w:tcPr>
            <w:tcW w:w="1340" w:type="dxa"/>
            <w:vMerge w:val="continue"/>
            <w:tcBorders>
              <w:tl2br w:val="nil"/>
              <w:tr2bl w:val="nil"/>
            </w:tcBorders>
            <w:vAlign w:val="center"/>
          </w:tcPr>
          <w:p>
            <w:pPr>
              <w:widowControl/>
              <w:jc w:val="left"/>
              <w:rPr>
                <w:rFonts w:hint="eastAsia" w:ascii="方正仿宋_GB2312" w:hAnsi="方正仿宋_GB2312" w:eastAsia="方正仿宋_GB2312" w:cs="方正仿宋_GB2312"/>
                <w:kern w:val="0"/>
                <w:sz w:val="18"/>
                <w:szCs w:val="18"/>
              </w:rPr>
            </w:pPr>
          </w:p>
        </w:tc>
        <w:tc>
          <w:tcPr>
            <w:tcW w:w="134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海淀区</w:t>
            </w:r>
          </w:p>
        </w:tc>
        <w:tc>
          <w:tcPr>
            <w:tcW w:w="171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430.6</w:t>
            </w:r>
          </w:p>
        </w:tc>
        <w:tc>
          <w:tcPr>
            <w:tcW w:w="2211"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741" w:type="dxa"/>
            <w:vMerge w:val="restart"/>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2010年实测</w:t>
            </w:r>
          </w:p>
        </w:tc>
        <w:tc>
          <w:tcPr>
            <w:tcW w:w="1340" w:type="dxa"/>
            <w:vMerge w:val="restart"/>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上海</w:t>
            </w:r>
          </w:p>
        </w:tc>
        <w:tc>
          <w:tcPr>
            <w:tcW w:w="134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全市</w:t>
            </w:r>
          </w:p>
        </w:tc>
        <w:tc>
          <w:tcPr>
            <w:tcW w:w="171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6340</w:t>
            </w:r>
          </w:p>
        </w:tc>
        <w:tc>
          <w:tcPr>
            <w:tcW w:w="2211"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4.8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741" w:type="dxa"/>
            <w:vMerge w:val="continue"/>
            <w:tcBorders>
              <w:tl2br w:val="nil"/>
              <w:tr2bl w:val="nil"/>
            </w:tcBorders>
            <w:vAlign w:val="center"/>
          </w:tcPr>
          <w:p>
            <w:pPr>
              <w:widowControl/>
              <w:jc w:val="left"/>
              <w:rPr>
                <w:rFonts w:hint="eastAsia" w:ascii="方正仿宋_GB2312" w:hAnsi="方正仿宋_GB2312" w:eastAsia="方正仿宋_GB2312" w:cs="方正仿宋_GB2312"/>
                <w:kern w:val="0"/>
                <w:sz w:val="18"/>
                <w:szCs w:val="18"/>
              </w:rPr>
            </w:pPr>
          </w:p>
        </w:tc>
        <w:tc>
          <w:tcPr>
            <w:tcW w:w="1340" w:type="dxa"/>
            <w:vMerge w:val="continue"/>
            <w:tcBorders>
              <w:tl2br w:val="nil"/>
              <w:tr2bl w:val="nil"/>
            </w:tcBorders>
            <w:vAlign w:val="center"/>
          </w:tcPr>
          <w:p>
            <w:pPr>
              <w:widowControl/>
              <w:jc w:val="left"/>
              <w:rPr>
                <w:rFonts w:hint="eastAsia" w:ascii="方正仿宋_GB2312" w:hAnsi="方正仿宋_GB2312" w:eastAsia="方正仿宋_GB2312" w:cs="方正仿宋_GB2312"/>
                <w:kern w:val="0"/>
                <w:sz w:val="18"/>
                <w:szCs w:val="18"/>
              </w:rPr>
            </w:pPr>
          </w:p>
        </w:tc>
        <w:tc>
          <w:tcPr>
            <w:tcW w:w="134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中心城区</w:t>
            </w:r>
          </w:p>
        </w:tc>
        <w:tc>
          <w:tcPr>
            <w:tcW w:w="171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663</w:t>
            </w:r>
          </w:p>
        </w:tc>
        <w:tc>
          <w:tcPr>
            <w:tcW w:w="2211"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19.5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741" w:type="dxa"/>
            <w:vMerge w:val="continue"/>
            <w:tcBorders>
              <w:tl2br w:val="nil"/>
              <w:tr2bl w:val="nil"/>
            </w:tcBorders>
            <w:vAlign w:val="center"/>
          </w:tcPr>
          <w:p>
            <w:pPr>
              <w:widowControl/>
              <w:jc w:val="left"/>
              <w:rPr>
                <w:rFonts w:hint="eastAsia" w:ascii="方正仿宋_GB2312" w:hAnsi="方正仿宋_GB2312" w:eastAsia="方正仿宋_GB2312" w:cs="方正仿宋_GB2312"/>
                <w:kern w:val="0"/>
                <w:sz w:val="18"/>
                <w:szCs w:val="18"/>
              </w:rPr>
            </w:pPr>
          </w:p>
        </w:tc>
        <w:tc>
          <w:tcPr>
            <w:tcW w:w="1340" w:type="dxa"/>
            <w:vMerge w:val="continue"/>
            <w:tcBorders>
              <w:tl2br w:val="nil"/>
              <w:tr2bl w:val="nil"/>
            </w:tcBorders>
            <w:vAlign w:val="center"/>
          </w:tcPr>
          <w:p>
            <w:pPr>
              <w:widowControl/>
              <w:jc w:val="left"/>
              <w:rPr>
                <w:rFonts w:hint="eastAsia" w:ascii="方正仿宋_GB2312" w:hAnsi="方正仿宋_GB2312" w:eastAsia="方正仿宋_GB2312" w:cs="方正仿宋_GB2312"/>
                <w:kern w:val="0"/>
                <w:sz w:val="18"/>
                <w:szCs w:val="18"/>
              </w:rPr>
            </w:pPr>
          </w:p>
        </w:tc>
        <w:tc>
          <w:tcPr>
            <w:tcW w:w="134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新江湾城</w:t>
            </w:r>
          </w:p>
        </w:tc>
        <w:tc>
          <w:tcPr>
            <w:tcW w:w="171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w:t>
            </w:r>
          </w:p>
        </w:tc>
        <w:tc>
          <w:tcPr>
            <w:tcW w:w="2211"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20.1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741" w:type="dxa"/>
            <w:vMerge w:val="restart"/>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2007年实测</w:t>
            </w:r>
          </w:p>
        </w:tc>
        <w:tc>
          <w:tcPr>
            <w:tcW w:w="1340" w:type="dxa"/>
            <w:vMerge w:val="restart"/>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宁波</w:t>
            </w:r>
          </w:p>
        </w:tc>
        <w:tc>
          <w:tcPr>
            <w:tcW w:w="134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全市</w:t>
            </w:r>
          </w:p>
        </w:tc>
        <w:tc>
          <w:tcPr>
            <w:tcW w:w="171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w:t>
            </w:r>
          </w:p>
        </w:tc>
        <w:tc>
          <w:tcPr>
            <w:tcW w:w="2211"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8.7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741" w:type="dxa"/>
            <w:vMerge w:val="continue"/>
            <w:tcBorders>
              <w:tl2br w:val="nil"/>
              <w:tr2bl w:val="nil"/>
            </w:tcBorders>
            <w:vAlign w:val="center"/>
          </w:tcPr>
          <w:p>
            <w:pPr>
              <w:widowControl/>
              <w:jc w:val="left"/>
              <w:rPr>
                <w:rFonts w:hint="eastAsia" w:ascii="方正仿宋_GB2312" w:hAnsi="方正仿宋_GB2312" w:eastAsia="方正仿宋_GB2312" w:cs="方正仿宋_GB2312"/>
                <w:kern w:val="0"/>
                <w:sz w:val="18"/>
                <w:szCs w:val="18"/>
              </w:rPr>
            </w:pPr>
          </w:p>
        </w:tc>
        <w:tc>
          <w:tcPr>
            <w:tcW w:w="1340" w:type="dxa"/>
            <w:vMerge w:val="continue"/>
            <w:tcBorders>
              <w:tl2br w:val="nil"/>
              <w:tr2bl w:val="nil"/>
            </w:tcBorders>
            <w:vAlign w:val="center"/>
          </w:tcPr>
          <w:p>
            <w:pPr>
              <w:widowControl/>
              <w:jc w:val="left"/>
              <w:rPr>
                <w:rFonts w:hint="eastAsia" w:ascii="方正仿宋_GB2312" w:hAnsi="方正仿宋_GB2312" w:eastAsia="方正仿宋_GB2312" w:cs="方正仿宋_GB2312"/>
                <w:kern w:val="0"/>
                <w:sz w:val="18"/>
                <w:szCs w:val="18"/>
              </w:rPr>
            </w:pPr>
          </w:p>
        </w:tc>
        <w:tc>
          <w:tcPr>
            <w:tcW w:w="134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中心商务区</w:t>
            </w:r>
          </w:p>
        </w:tc>
        <w:tc>
          <w:tcPr>
            <w:tcW w:w="171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w:t>
            </w:r>
          </w:p>
        </w:tc>
        <w:tc>
          <w:tcPr>
            <w:tcW w:w="2211"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18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741" w:type="dxa"/>
            <w:vMerge w:val="continue"/>
            <w:tcBorders>
              <w:tl2br w:val="nil"/>
              <w:tr2bl w:val="nil"/>
            </w:tcBorders>
            <w:vAlign w:val="center"/>
          </w:tcPr>
          <w:p>
            <w:pPr>
              <w:widowControl/>
              <w:jc w:val="left"/>
              <w:rPr>
                <w:rFonts w:hint="eastAsia" w:ascii="方正仿宋_GB2312" w:hAnsi="方正仿宋_GB2312" w:eastAsia="方正仿宋_GB2312" w:cs="方正仿宋_GB2312"/>
                <w:kern w:val="0"/>
                <w:sz w:val="18"/>
                <w:szCs w:val="18"/>
              </w:rPr>
            </w:pPr>
          </w:p>
        </w:tc>
        <w:tc>
          <w:tcPr>
            <w:tcW w:w="134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杭州</w:t>
            </w:r>
          </w:p>
        </w:tc>
        <w:tc>
          <w:tcPr>
            <w:tcW w:w="134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滨江区</w:t>
            </w:r>
          </w:p>
        </w:tc>
        <w:tc>
          <w:tcPr>
            <w:tcW w:w="171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w:t>
            </w:r>
          </w:p>
        </w:tc>
        <w:tc>
          <w:tcPr>
            <w:tcW w:w="2211"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16.1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741" w:type="dxa"/>
            <w:vMerge w:val="restart"/>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远景预测</w:t>
            </w:r>
          </w:p>
        </w:tc>
        <w:tc>
          <w:tcPr>
            <w:tcW w:w="134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广州</w:t>
            </w:r>
          </w:p>
        </w:tc>
        <w:tc>
          <w:tcPr>
            <w:tcW w:w="134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番禺区</w:t>
            </w:r>
          </w:p>
        </w:tc>
        <w:tc>
          <w:tcPr>
            <w:tcW w:w="171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786.15</w:t>
            </w:r>
          </w:p>
        </w:tc>
        <w:tc>
          <w:tcPr>
            <w:tcW w:w="2211"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23.6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741" w:type="dxa"/>
            <w:vMerge w:val="continue"/>
            <w:tcBorders>
              <w:tl2br w:val="nil"/>
              <w:tr2bl w:val="nil"/>
            </w:tcBorders>
            <w:vAlign w:val="center"/>
          </w:tcPr>
          <w:p>
            <w:pPr>
              <w:widowControl/>
              <w:jc w:val="left"/>
              <w:rPr>
                <w:rFonts w:hint="eastAsia" w:ascii="方正仿宋_GB2312" w:hAnsi="方正仿宋_GB2312" w:eastAsia="方正仿宋_GB2312" w:cs="方正仿宋_GB2312"/>
                <w:kern w:val="0"/>
                <w:sz w:val="18"/>
                <w:szCs w:val="18"/>
              </w:rPr>
            </w:pPr>
          </w:p>
        </w:tc>
        <w:tc>
          <w:tcPr>
            <w:tcW w:w="134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广州</w:t>
            </w:r>
          </w:p>
        </w:tc>
        <w:tc>
          <w:tcPr>
            <w:tcW w:w="134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花都区</w:t>
            </w:r>
          </w:p>
        </w:tc>
        <w:tc>
          <w:tcPr>
            <w:tcW w:w="171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969.7</w:t>
            </w:r>
          </w:p>
        </w:tc>
        <w:tc>
          <w:tcPr>
            <w:tcW w:w="2211"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15.9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741" w:type="dxa"/>
            <w:vMerge w:val="continue"/>
            <w:tcBorders>
              <w:tl2br w:val="nil"/>
              <w:tr2bl w:val="nil"/>
            </w:tcBorders>
            <w:vAlign w:val="center"/>
          </w:tcPr>
          <w:p>
            <w:pPr>
              <w:widowControl/>
              <w:jc w:val="left"/>
              <w:rPr>
                <w:rFonts w:hint="eastAsia" w:ascii="方正仿宋_GB2312" w:hAnsi="方正仿宋_GB2312" w:eastAsia="方正仿宋_GB2312" w:cs="方正仿宋_GB2312"/>
                <w:kern w:val="0"/>
                <w:sz w:val="18"/>
                <w:szCs w:val="18"/>
              </w:rPr>
            </w:pPr>
          </w:p>
        </w:tc>
        <w:tc>
          <w:tcPr>
            <w:tcW w:w="1340" w:type="dxa"/>
            <w:vMerge w:val="restart"/>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佛山市</w:t>
            </w:r>
          </w:p>
        </w:tc>
        <w:tc>
          <w:tcPr>
            <w:tcW w:w="134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禅城区</w:t>
            </w:r>
          </w:p>
        </w:tc>
        <w:tc>
          <w:tcPr>
            <w:tcW w:w="171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112.52</w:t>
            </w:r>
          </w:p>
        </w:tc>
        <w:tc>
          <w:tcPr>
            <w:tcW w:w="2211"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27.1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741" w:type="dxa"/>
            <w:vMerge w:val="continue"/>
            <w:tcBorders>
              <w:tl2br w:val="nil"/>
              <w:tr2bl w:val="nil"/>
            </w:tcBorders>
            <w:vAlign w:val="center"/>
          </w:tcPr>
          <w:p>
            <w:pPr>
              <w:widowControl/>
              <w:jc w:val="left"/>
              <w:rPr>
                <w:rFonts w:hint="eastAsia" w:ascii="方正仿宋_GB2312" w:hAnsi="方正仿宋_GB2312" w:eastAsia="方正仿宋_GB2312" w:cs="方正仿宋_GB2312"/>
                <w:kern w:val="0"/>
                <w:sz w:val="18"/>
                <w:szCs w:val="18"/>
              </w:rPr>
            </w:pPr>
          </w:p>
        </w:tc>
        <w:tc>
          <w:tcPr>
            <w:tcW w:w="1340" w:type="dxa"/>
            <w:vMerge w:val="continue"/>
            <w:tcBorders>
              <w:tl2br w:val="nil"/>
              <w:tr2bl w:val="nil"/>
            </w:tcBorders>
            <w:vAlign w:val="center"/>
          </w:tcPr>
          <w:p>
            <w:pPr>
              <w:widowControl/>
              <w:jc w:val="left"/>
              <w:rPr>
                <w:rFonts w:hint="eastAsia" w:ascii="方正仿宋_GB2312" w:hAnsi="方正仿宋_GB2312" w:eastAsia="方正仿宋_GB2312" w:cs="方正仿宋_GB2312"/>
                <w:kern w:val="0"/>
                <w:sz w:val="18"/>
                <w:szCs w:val="18"/>
              </w:rPr>
            </w:pPr>
          </w:p>
        </w:tc>
        <w:tc>
          <w:tcPr>
            <w:tcW w:w="134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顺德区</w:t>
            </w:r>
          </w:p>
        </w:tc>
        <w:tc>
          <w:tcPr>
            <w:tcW w:w="171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607.77</w:t>
            </w:r>
          </w:p>
        </w:tc>
        <w:tc>
          <w:tcPr>
            <w:tcW w:w="2211"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8.2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741"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2020年预测</w:t>
            </w:r>
          </w:p>
        </w:tc>
        <w:tc>
          <w:tcPr>
            <w:tcW w:w="134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杭州</w:t>
            </w:r>
          </w:p>
        </w:tc>
        <w:tc>
          <w:tcPr>
            <w:tcW w:w="134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西湖</w:t>
            </w:r>
          </w:p>
        </w:tc>
        <w:tc>
          <w:tcPr>
            <w:tcW w:w="171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263.67</w:t>
            </w:r>
          </w:p>
        </w:tc>
        <w:tc>
          <w:tcPr>
            <w:tcW w:w="2211"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6.6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741"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本次规划远景年</w:t>
            </w:r>
          </w:p>
        </w:tc>
        <w:tc>
          <w:tcPr>
            <w:tcW w:w="134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西咸新区</w:t>
            </w:r>
          </w:p>
        </w:tc>
        <w:tc>
          <w:tcPr>
            <w:tcW w:w="1340"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全区</w:t>
            </w:r>
          </w:p>
        </w:tc>
        <w:tc>
          <w:tcPr>
            <w:tcW w:w="1710"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272.5</w:t>
            </w:r>
          </w:p>
        </w:tc>
        <w:tc>
          <w:tcPr>
            <w:tcW w:w="2211" w:type="dxa"/>
            <w:tcBorders>
              <w:tl2br w:val="nil"/>
              <w:tr2bl w:val="nil"/>
            </w:tcBorders>
            <w:vAlign w:val="center"/>
          </w:tcPr>
          <w:p>
            <w:pPr>
              <w:pStyle w:val="1149"/>
              <w:spacing w:before="24"/>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19.69</w:t>
            </w:r>
          </w:p>
        </w:tc>
      </w:tr>
    </w:tbl>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根据预测，新区远景年负荷约5365.2兆瓦，新区建设用地272.5公里</w:t>
      </w:r>
      <w:r>
        <w:rPr>
          <w:rFonts w:hint="eastAsia" w:ascii="仿宋_GB2312" w:hAnsi="仿宋_GB2312" w:eastAsia="仿宋_GB2312" w:cs="仿宋_GB2312"/>
          <w:kern w:val="2"/>
          <w:sz w:val="32"/>
          <w:szCs w:val="32"/>
          <w:vertAlign w:val="superscript"/>
          <w:lang w:val="en-US" w:eastAsia="zh-CN" w:bidi="ar-SA"/>
        </w:rPr>
        <w:t>2</w:t>
      </w:r>
      <w:r>
        <w:rPr>
          <w:rFonts w:hint="eastAsia" w:ascii="仿宋_GB2312" w:hAnsi="仿宋_GB2312" w:eastAsia="仿宋_GB2312" w:cs="仿宋_GB2312"/>
          <w:kern w:val="2"/>
          <w:sz w:val="32"/>
          <w:szCs w:val="32"/>
          <w:lang w:val="en-US" w:eastAsia="zh-CN" w:bidi="ar-SA"/>
        </w:rPr>
        <w:t>，平均负荷密度19.69兆瓦/公里</w:t>
      </w:r>
      <w:r>
        <w:rPr>
          <w:rFonts w:hint="eastAsia" w:ascii="仿宋_GB2312" w:hAnsi="仿宋_GB2312" w:eastAsia="仿宋_GB2312" w:cs="仿宋_GB2312"/>
          <w:kern w:val="2"/>
          <w:sz w:val="32"/>
          <w:szCs w:val="32"/>
          <w:vertAlign w:val="superscript"/>
          <w:lang w:val="en-US" w:eastAsia="zh-CN" w:bidi="ar-SA"/>
        </w:rPr>
        <w:t>2</w:t>
      </w:r>
      <w:r>
        <w:rPr>
          <w:rFonts w:hint="eastAsia" w:ascii="仿宋_GB2312" w:hAnsi="仿宋_GB2312" w:eastAsia="仿宋_GB2312" w:cs="仿宋_GB2312"/>
          <w:kern w:val="2"/>
          <w:sz w:val="32"/>
          <w:szCs w:val="32"/>
          <w:lang w:val="en-US" w:eastAsia="zh-CN" w:bidi="ar-SA"/>
        </w:rPr>
        <w:t>，西咸新区负荷密度与上海中心城区2010年水平及广州番禺区远景预测水平相近，负荷发展符合新区发展定位。</w:t>
      </w:r>
    </w:p>
    <w:p>
      <w:pPr>
        <w:pStyle w:val="150"/>
        <w:keepNext w:val="0"/>
        <w:keepLines w:val="0"/>
        <w:pageBreakBefore w:val="0"/>
        <w:widowControl w:val="0"/>
        <w:kinsoku/>
        <w:wordWrap/>
        <w:overflowPunct/>
        <w:topLinePunct w:val="0"/>
        <w:autoSpaceDE/>
        <w:autoSpaceDN/>
        <w:bidi w:val="0"/>
        <w:adjustRightInd w:val="0"/>
        <w:snapToGrid w:val="0"/>
        <w:spacing w:line="400" w:lineRule="exact"/>
        <w:ind w:left="0" w:leftChars="0" w:firstLine="0" w:firstLineChars="0"/>
        <w:jc w:val="center"/>
        <w:textAlignment w:val="auto"/>
        <w:rPr>
          <w:rFonts w:hint="eastAsia" w:eastAsia="仿宋" w:cs="Times New Roman"/>
          <w:b/>
          <w:bCs/>
          <w:kern w:val="0"/>
          <w:sz w:val="22"/>
          <w:szCs w:val="22"/>
          <w:lang w:val="en-US" w:eastAsia="zh-CN" w:bidi="ar-SA"/>
        </w:rPr>
      </w:pPr>
      <w:r>
        <w:rPr>
          <w:rFonts w:hint="eastAsia" w:ascii="黑体" w:hAnsi="黑体" w:eastAsia="黑体" w:cs="黑体"/>
          <w:b w:val="0"/>
          <w:bCs w:val="0"/>
          <w:kern w:val="0"/>
          <w:sz w:val="28"/>
          <w:szCs w:val="28"/>
          <w:lang w:val="en-US" w:eastAsia="zh-CN" w:bidi="ar-SA"/>
        </w:rPr>
        <w:t>表5-12  西咸新区负荷全社会用电量及用电负荷预测结果</w:t>
      </w:r>
    </w:p>
    <w:tbl>
      <w:tblPr>
        <w:tblStyle w:val="88"/>
        <w:tblW w:w="8721"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973"/>
        <w:gridCol w:w="914"/>
        <w:gridCol w:w="919"/>
        <w:gridCol w:w="914"/>
        <w:gridCol w:w="917"/>
        <w:gridCol w:w="914"/>
        <w:gridCol w:w="917"/>
        <w:gridCol w:w="1253"/>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3" w:hRule="atLeast"/>
        </w:trPr>
        <w:tc>
          <w:tcPr>
            <w:tcW w:w="1973" w:type="dxa"/>
            <w:tcBorders>
              <w:tl2br w:val="nil"/>
              <w:tr2bl w:val="nil"/>
            </w:tcBorders>
            <w:vAlign w:val="center"/>
          </w:tcPr>
          <w:p>
            <w:pPr>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类型</w:t>
            </w:r>
          </w:p>
        </w:tc>
        <w:tc>
          <w:tcPr>
            <w:tcW w:w="914" w:type="dxa"/>
            <w:tcBorders>
              <w:tl2br w:val="nil"/>
              <w:tr2bl w:val="nil"/>
            </w:tcBorders>
            <w:vAlign w:val="center"/>
          </w:tcPr>
          <w:p>
            <w:pPr>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2021</w:t>
            </w:r>
          </w:p>
        </w:tc>
        <w:tc>
          <w:tcPr>
            <w:tcW w:w="919" w:type="dxa"/>
            <w:tcBorders>
              <w:tl2br w:val="nil"/>
              <w:tr2bl w:val="nil"/>
            </w:tcBorders>
            <w:vAlign w:val="center"/>
          </w:tcPr>
          <w:p>
            <w:pPr>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2022</w:t>
            </w:r>
          </w:p>
        </w:tc>
        <w:tc>
          <w:tcPr>
            <w:tcW w:w="914" w:type="dxa"/>
            <w:tcBorders>
              <w:tl2br w:val="nil"/>
              <w:tr2bl w:val="nil"/>
            </w:tcBorders>
            <w:vAlign w:val="center"/>
          </w:tcPr>
          <w:p>
            <w:pPr>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2023</w:t>
            </w:r>
          </w:p>
        </w:tc>
        <w:tc>
          <w:tcPr>
            <w:tcW w:w="917" w:type="dxa"/>
            <w:tcBorders>
              <w:tl2br w:val="nil"/>
              <w:tr2bl w:val="nil"/>
            </w:tcBorders>
            <w:vAlign w:val="center"/>
          </w:tcPr>
          <w:p>
            <w:pPr>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2024</w:t>
            </w:r>
          </w:p>
        </w:tc>
        <w:tc>
          <w:tcPr>
            <w:tcW w:w="914" w:type="dxa"/>
            <w:tcBorders>
              <w:tl2br w:val="nil"/>
              <w:tr2bl w:val="nil"/>
            </w:tcBorders>
            <w:vAlign w:val="center"/>
          </w:tcPr>
          <w:p>
            <w:pPr>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2025</w:t>
            </w:r>
          </w:p>
        </w:tc>
        <w:tc>
          <w:tcPr>
            <w:tcW w:w="917" w:type="dxa"/>
            <w:tcBorders>
              <w:tl2br w:val="nil"/>
              <w:tr2bl w:val="nil"/>
            </w:tcBorders>
            <w:vAlign w:val="center"/>
          </w:tcPr>
          <w:p>
            <w:pPr>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2035</w:t>
            </w:r>
          </w:p>
        </w:tc>
        <w:tc>
          <w:tcPr>
            <w:tcW w:w="1253" w:type="dxa"/>
            <w:tcBorders>
              <w:tl2br w:val="nil"/>
              <w:tr2bl w:val="nil"/>
            </w:tcBorders>
            <w:vAlign w:val="center"/>
          </w:tcPr>
          <w:p>
            <w:pPr>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十四五年均增长率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72" w:hRule="atLeast"/>
        </w:trPr>
        <w:tc>
          <w:tcPr>
            <w:tcW w:w="1973" w:type="dxa"/>
            <w:tcBorders>
              <w:tl2br w:val="nil"/>
              <w:tr2bl w:val="nil"/>
            </w:tcBorders>
            <w:vAlign w:val="center"/>
          </w:tcPr>
          <w:p>
            <w:pPr>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全社会最大负荷</w:t>
            </w:r>
          </w:p>
          <w:p>
            <w:pPr>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（兆瓦）</w:t>
            </w:r>
          </w:p>
        </w:tc>
        <w:tc>
          <w:tcPr>
            <w:tcW w:w="914" w:type="dxa"/>
            <w:tcBorders>
              <w:tl2br w:val="nil"/>
              <w:tr2bl w:val="nil"/>
            </w:tcBorders>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1157</w:t>
            </w:r>
          </w:p>
        </w:tc>
        <w:tc>
          <w:tcPr>
            <w:tcW w:w="919" w:type="dxa"/>
            <w:tcBorders>
              <w:tl2br w:val="nil"/>
              <w:tr2bl w:val="nil"/>
            </w:tcBorders>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1486</w:t>
            </w:r>
          </w:p>
        </w:tc>
        <w:tc>
          <w:tcPr>
            <w:tcW w:w="914" w:type="dxa"/>
            <w:tcBorders>
              <w:tl2br w:val="nil"/>
              <w:tr2bl w:val="nil"/>
            </w:tcBorders>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1772</w:t>
            </w:r>
          </w:p>
        </w:tc>
        <w:tc>
          <w:tcPr>
            <w:tcW w:w="917" w:type="dxa"/>
            <w:tcBorders>
              <w:tl2br w:val="nil"/>
              <w:tr2bl w:val="nil"/>
            </w:tcBorders>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2071</w:t>
            </w:r>
          </w:p>
        </w:tc>
        <w:tc>
          <w:tcPr>
            <w:tcW w:w="914" w:type="dxa"/>
            <w:tcBorders>
              <w:tl2br w:val="nil"/>
              <w:tr2bl w:val="nil"/>
            </w:tcBorders>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2444</w:t>
            </w:r>
          </w:p>
        </w:tc>
        <w:tc>
          <w:tcPr>
            <w:tcW w:w="917" w:type="dxa"/>
            <w:tcBorders>
              <w:tl2br w:val="nil"/>
              <w:tr2bl w:val="nil"/>
            </w:tcBorders>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5365</w:t>
            </w:r>
          </w:p>
        </w:tc>
        <w:tc>
          <w:tcPr>
            <w:tcW w:w="1253" w:type="dxa"/>
            <w:tcBorders>
              <w:tl2br w:val="nil"/>
              <w:tr2bl w:val="nil"/>
            </w:tcBorders>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22.30%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27" w:hRule="atLeast"/>
        </w:trPr>
        <w:tc>
          <w:tcPr>
            <w:tcW w:w="1973" w:type="dxa"/>
            <w:tcBorders>
              <w:tl2br w:val="nil"/>
              <w:tr2bl w:val="nil"/>
            </w:tcBorders>
            <w:vAlign w:val="center"/>
          </w:tcPr>
          <w:p>
            <w:pPr>
              <w:jc w:val="center"/>
              <w:textAlignment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全社会用电量</w:t>
            </w:r>
          </w:p>
          <w:p>
            <w:pPr>
              <w:widowControl/>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（亿千瓦时）</w:t>
            </w:r>
          </w:p>
        </w:tc>
        <w:tc>
          <w:tcPr>
            <w:tcW w:w="914" w:type="dxa"/>
            <w:tcBorders>
              <w:tl2br w:val="nil"/>
              <w:tr2bl w:val="nil"/>
            </w:tcBorders>
            <w:vAlign w:val="center"/>
          </w:tcPr>
          <w:p>
            <w:pPr>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49</w:t>
            </w:r>
          </w:p>
        </w:tc>
        <w:tc>
          <w:tcPr>
            <w:tcW w:w="919" w:type="dxa"/>
            <w:tcBorders>
              <w:tl2br w:val="nil"/>
              <w:tr2bl w:val="nil"/>
            </w:tcBorders>
            <w:vAlign w:val="center"/>
          </w:tcPr>
          <w:p>
            <w:pPr>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55</w:t>
            </w:r>
          </w:p>
        </w:tc>
        <w:tc>
          <w:tcPr>
            <w:tcW w:w="914" w:type="dxa"/>
            <w:tcBorders>
              <w:tl2br w:val="nil"/>
              <w:tr2bl w:val="nil"/>
            </w:tcBorders>
            <w:vAlign w:val="center"/>
          </w:tcPr>
          <w:p>
            <w:pPr>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65</w:t>
            </w:r>
          </w:p>
        </w:tc>
        <w:tc>
          <w:tcPr>
            <w:tcW w:w="917" w:type="dxa"/>
            <w:tcBorders>
              <w:tl2br w:val="nil"/>
              <w:tr2bl w:val="nil"/>
            </w:tcBorders>
            <w:vAlign w:val="center"/>
          </w:tcPr>
          <w:p>
            <w:pPr>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75</w:t>
            </w:r>
          </w:p>
        </w:tc>
        <w:tc>
          <w:tcPr>
            <w:tcW w:w="914" w:type="dxa"/>
            <w:tcBorders>
              <w:tl2br w:val="nil"/>
              <w:tr2bl w:val="nil"/>
            </w:tcBorders>
            <w:vAlign w:val="center"/>
          </w:tcPr>
          <w:p>
            <w:pPr>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90</w:t>
            </w:r>
          </w:p>
        </w:tc>
        <w:tc>
          <w:tcPr>
            <w:tcW w:w="917"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sz w:val="18"/>
                <w:szCs w:val="18"/>
                <w:lang w:bidi="ar"/>
              </w:rPr>
            </w:pPr>
            <w:r>
              <w:rPr>
                <w:rFonts w:hint="eastAsia" w:ascii="方正仿宋_GB2312" w:hAnsi="方正仿宋_GB2312" w:eastAsia="方正仿宋_GB2312" w:cs="方正仿宋_GB2312"/>
                <w:kern w:val="0"/>
                <w:sz w:val="18"/>
                <w:szCs w:val="18"/>
                <w:lang w:bidi="ar"/>
              </w:rPr>
              <w:t>222.53</w:t>
            </w:r>
          </w:p>
        </w:tc>
        <w:tc>
          <w:tcPr>
            <w:tcW w:w="1253"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sz w:val="18"/>
                <w:szCs w:val="18"/>
                <w:lang w:bidi="ar"/>
              </w:rPr>
            </w:pPr>
            <w:r>
              <w:rPr>
                <w:rFonts w:hint="eastAsia" w:ascii="方正仿宋_GB2312" w:hAnsi="方正仿宋_GB2312" w:eastAsia="方正仿宋_GB2312" w:cs="方正仿宋_GB2312"/>
                <w:kern w:val="0"/>
                <w:sz w:val="18"/>
                <w:szCs w:val="18"/>
                <w:lang w:bidi="ar"/>
              </w:rPr>
              <w:t>14.87%</w:t>
            </w:r>
          </w:p>
        </w:tc>
      </w:tr>
    </w:tbl>
    <w:p>
      <w:pPr>
        <w:pStyle w:val="150"/>
        <w:ind w:firstLine="120"/>
        <w:rPr>
          <w:sz w:val="6"/>
        </w:rPr>
      </w:pPr>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rPr>
      </w:pPr>
      <w:bookmarkStart w:id="292" w:name="_Toc74041191"/>
      <w:bookmarkStart w:id="293" w:name="_Toc20849"/>
      <w:r>
        <w:rPr>
          <w:rFonts w:hint="eastAsia" w:ascii="黑体" w:hAnsi="黑体" w:eastAsia="黑体" w:cs="黑体"/>
          <w:b w:val="0"/>
          <w:bCs w:val="0"/>
          <w:sz w:val="32"/>
          <w:szCs w:val="32"/>
        </w:rPr>
        <w:t>结论</w:t>
      </w:r>
      <w:bookmarkEnd w:id="292"/>
      <w:bookmarkEnd w:id="293"/>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根据西咸新区负荷预测结果，2025年西咸新区负荷为2444兆瓦，电量预测为90亿千瓦时，负荷密度为13.63兆瓦/公里</w:t>
      </w:r>
      <w:r>
        <w:rPr>
          <w:rFonts w:hint="eastAsia" w:ascii="仿宋_GB2312" w:hAnsi="仿宋_GB2312" w:eastAsia="仿宋_GB2312" w:cs="仿宋_GB2312"/>
          <w:kern w:val="2"/>
          <w:sz w:val="32"/>
          <w:szCs w:val="32"/>
          <w:vertAlign w:val="superscript"/>
          <w:lang w:val="en-US" w:eastAsia="zh-CN" w:bidi="ar-SA"/>
        </w:rPr>
        <w:t>2</w:t>
      </w:r>
      <w:r>
        <w:rPr>
          <w:rFonts w:hint="eastAsia" w:ascii="仿宋_GB2312" w:hAnsi="仿宋_GB2312" w:eastAsia="仿宋_GB2312" w:cs="仿宋_GB2312"/>
          <w:kern w:val="2"/>
          <w:sz w:val="32"/>
          <w:szCs w:val="32"/>
          <w:lang w:val="en-US" w:eastAsia="zh-CN" w:bidi="ar-SA"/>
        </w:rPr>
        <w:t>，整体达到B类供电区水平。2035年西咸新区负荷为5365.2兆瓦，电量预测为222.53亿千瓦时，负荷密度为19.69兆瓦/公里</w:t>
      </w:r>
      <w:r>
        <w:rPr>
          <w:rFonts w:hint="eastAsia" w:ascii="仿宋_GB2312" w:hAnsi="仿宋_GB2312" w:eastAsia="仿宋_GB2312" w:cs="仿宋_GB2312"/>
          <w:kern w:val="2"/>
          <w:sz w:val="32"/>
          <w:szCs w:val="32"/>
          <w:vertAlign w:val="superscript"/>
          <w:lang w:val="en-US" w:eastAsia="zh-CN" w:bidi="ar-SA"/>
        </w:rPr>
        <w:t>2</w:t>
      </w:r>
      <w:r>
        <w:rPr>
          <w:rFonts w:hint="eastAsia" w:ascii="仿宋_GB2312" w:hAnsi="仿宋_GB2312" w:eastAsia="仿宋_GB2312" w:cs="仿宋_GB2312"/>
          <w:kern w:val="2"/>
          <w:sz w:val="32"/>
          <w:szCs w:val="32"/>
          <w:lang w:val="en-US" w:eastAsia="zh-CN" w:bidi="ar-SA"/>
        </w:rPr>
        <w:t>，整体达到A类供电区水平。</w:t>
      </w:r>
    </w:p>
    <w:p>
      <w:pPr>
        <w:pStyle w:val="4"/>
        <w:keepNext/>
        <w:keepLines/>
        <w:pageBreakBefore/>
        <w:widowControl w:val="0"/>
        <w:kinsoku/>
        <w:wordWrap/>
        <w:overflowPunct/>
        <w:topLinePunct w:val="0"/>
        <w:autoSpaceDE/>
        <w:autoSpaceDN/>
        <w:bidi w:val="0"/>
        <w:adjustRightInd/>
        <w:snapToGrid/>
        <w:spacing w:before="157" w:beforeLines="50" w:after="157" w:afterLines="50" w:line="560" w:lineRule="exact"/>
        <w:textAlignment w:val="auto"/>
        <w:rPr>
          <w:rFonts w:eastAsia="仿宋"/>
          <w:sz w:val="44"/>
          <w:szCs w:val="44"/>
        </w:rPr>
      </w:pPr>
      <w:bookmarkStart w:id="294" w:name="_Toc253745829"/>
      <w:bookmarkEnd w:id="294"/>
      <w:bookmarkStart w:id="295" w:name="_Toc253744120"/>
      <w:bookmarkEnd w:id="295"/>
      <w:bookmarkStart w:id="296" w:name="_Toc253745843"/>
      <w:bookmarkEnd w:id="296"/>
      <w:bookmarkStart w:id="297" w:name="_Toc253744129"/>
      <w:bookmarkEnd w:id="297"/>
      <w:bookmarkStart w:id="298" w:name="_Toc253744124"/>
      <w:bookmarkEnd w:id="298"/>
      <w:bookmarkStart w:id="299" w:name="_Toc253744114"/>
      <w:bookmarkEnd w:id="299"/>
      <w:bookmarkStart w:id="300" w:name="_Toc253744096"/>
      <w:bookmarkEnd w:id="300"/>
      <w:bookmarkStart w:id="301" w:name="_Toc253744126"/>
      <w:bookmarkEnd w:id="301"/>
      <w:bookmarkStart w:id="302" w:name="_Toc253744121"/>
      <w:bookmarkEnd w:id="302"/>
      <w:bookmarkStart w:id="303" w:name="_Toc253585097"/>
      <w:bookmarkEnd w:id="303"/>
      <w:bookmarkStart w:id="304" w:name="_Toc253747511"/>
      <w:bookmarkEnd w:id="304"/>
      <w:bookmarkStart w:id="305" w:name="_Toc253745853"/>
      <w:bookmarkEnd w:id="305"/>
      <w:bookmarkStart w:id="306" w:name="_Toc253744184"/>
      <w:bookmarkEnd w:id="306"/>
      <w:bookmarkStart w:id="307" w:name="_Toc253745823"/>
      <w:bookmarkEnd w:id="307"/>
      <w:bookmarkStart w:id="308" w:name="_Toc253585008"/>
      <w:bookmarkEnd w:id="308"/>
      <w:bookmarkStart w:id="309" w:name="_Toc253745831"/>
      <w:bookmarkEnd w:id="309"/>
      <w:bookmarkStart w:id="310" w:name="_Toc253747554"/>
      <w:bookmarkEnd w:id="310"/>
      <w:bookmarkStart w:id="311" w:name="_Toc253747522"/>
      <w:bookmarkEnd w:id="311"/>
      <w:bookmarkStart w:id="312" w:name="_Toc253745815"/>
      <w:bookmarkEnd w:id="312"/>
      <w:bookmarkStart w:id="313" w:name="_Toc253745813"/>
      <w:bookmarkEnd w:id="313"/>
      <w:bookmarkStart w:id="314" w:name="_Toc253744160"/>
      <w:bookmarkEnd w:id="314"/>
      <w:bookmarkStart w:id="315" w:name="_Toc253744112"/>
      <w:bookmarkEnd w:id="315"/>
      <w:bookmarkStart w:id="316" w:name="_Toc253744156"/>
      <w:bookmarkEnd w:id="316"/>
      <w:bookmarkStart w:id="317" w:name="_Toc253744131"/>
      <w:bookmarkEnd w:id="317"/>
      <w:bookmarkStart w:id="318" w:name="_Toc253745812"/>
      <w:bookmarkEnd w:id="318"/>
      <w:bookmarkStart w:id="319" w:name="_Toc253747532"/>
      <w:bookmarkEnd w:id="319"/>
      <w:bookmarkStart w:id="320" w:name="_Toc253744116"/>
      <w:bookmarkEnd w:id="320"/>
      <w:bookmarkStart w:id="321" w:name="_Toc253745801"/>
      <w:bookmarkEnd w:id="321"/>
      <w:bookmarkStart w:id="322" w:name="_Toc253599602"/>
      <w:bookmarkEnd w:id="322"/>
      <w:bookmarkStart w:id="323" w:name="_Toc253744137"/>
      <w:bookmarkEnd w:id="323"/>
      <w:bookmarkStart w:id="324" w:name="_Toc253744110"/>
      <w:bookmarkEnd w:id="324"/>
      <w:bookmarkStart w:id="325" w:name="_Toc253747516"/>
      <w:bookmarkEnd w:id="325"/>
      <w:bookmarkStart w:id="326" w:name="_Toc253744144"/>
      <w:bookmarkEnd w:id="326"/>
      <w:bookmarkStart w:id="327" w:name="_Toc253744111"/>
      <w:bookmarkEnd w:id="327"/>
      <w:bookmarkStart w:id="328" w:name="_Toc253744092"/>
      <w:bookmarkEnd w:id="328"/>
      <w:bookmarkStart w:id="329" w:name="_Toc253744100"/>
      <w:bookmarkEnd w:id="329"/>
      <w:bookmarkStart w:id="330" w:name="_Toc253747512"/>
      <w:bookmarkEnd w:id="330"/>
      <w:bookmarkStart w:id="331" w:name="_Toc253747528"/>
      <w:bookmarkEnd w:id="331"/>
      <w:bookmarkStart w:id="332" w:name="_Toc253744128"/>
      <w:bookmarkEnd w:id="332"/>
      <w:bookmarkStart w:id="333" w:name="_Toc253599569"/>
      <w:bookmarkEnd w:id="333"/>
      <w:bookmarkStart w:id="334" w:name="_Toc253745799"/>
      <w:bookmarkEnd w:id="334"/>
      <w:bookmarkStart w:id="335" w:name="_Toc253747513"/>
      <w:bookmarkEnd w:id="335"/>
      <w:bookmarkStart w:id="336" w:name="_Toc253744122"/>
      <w:bookmarkEnd w:id="336"/>
      <w:bookmarkStart w:id="337" w:name="_Toc253745795"/>
      <w:bookmarkEnd w:id="337"/>
      <w:bookmarkStart w:id="338" w:name="_Toc253747583"/>
      <w:bookmarkEnd w:id="338"/>
      <w:bookmarkStart w:id="339" w:name="_Toc253745857"/>
      <w:bookmarkEnd w:id="339"/>
      <w:bookmarkStart w:id="340" w:name="_Toc253747514"/>
      <w:bookmarkEnd w:id="340"/>
      <w:bookmarkStart w:id="341" w:name="_Toc253744127"/>
      <w:bookmarkEnd w:id="341"/>
      <w:bookmarkStart w:id="342" w:name="_Toc253747502"/>
      <w:bookmarkEnd w:id="342"/>
      <w:bookmarkStart w:id="343" w:name="_Toc253745855"/>
      <w:bookmarkEnd w:id="343"/>
      <w:bookmarkStart w:id="344" w:name="_Toc253744098"/>
      <w:bookmarkEnd w:id="344"/>
      <w:bookmarkStart w:id="345" w:name="_Toc253747556"/>
      <w:bookmarkEnd w:id="345"/>
      <w:bookmarkStart w:id="346" w:name="_Toc253747544"/>
      <w:bookmarkEnd w:id="346"/>
      <w:bookmarkStart w:id="347" w:name="_Toc253745882"/>
      <w:bookmarkEnd w:id="347"/>
      <w:bookmarkStart w:id="348" w:name="_Toc253747500"/>
      <w:bookmarkEnd w:id="348"/>
      <w:bookmarkStart w:id="349" w:name="_Toc253745827"/>
      <w:bookmarkEnd w:id="349"/>
      <w:bookmarkStart w:id="350" w:name="_Toc253745847"/>
      <w:bookmarkEnd w:id="350"/>
      <w:bookmarkStart w:id="351" w:name="_Toc253745860"/>
      <w:bookmarkEnd w:id="351"/>
      <w:bookmarkStart w:id="352" w:name="_Toc253744157"/>
      <w:bookmarkEnd w:id="352"/>
      <w:bookmarkStart w:id="353" w:name="_Toc253745888"/>
      <w:bookmarkEnd w:id="353"/>
      <w:bookmarkStart w:id="354" w:name="_Toc253584997"/>
      <w:bookmarkEnd w:id="354"/>
      <w:bookmarkStart w:id="355" w:name="_Toc253744186"/>
      <w:bookmarkEnd w:id="355"/>
      <w:bookmarkStart w:id="356" w:name="_Toc253744135"/>
      <w:bookmarkEnd w:id="356"/>
      <w:bookmarkStart w:id="357" w:name="_Toc253747524"/>
      <w:bookmarkEnd w:id="357"/>
      <w:bookmarkStart w:id="358" w:name="_Toc253745836"/>
      <w:bookmarkEnd w:id="358"/>
      <w:bookmarkStart w:id="359" w:name="_Toc253747588"/>
      <w:bookmarkEnd w:id="359"/>
      <w:bookmarkStart w:id="360" w:name="_Toc253744191"/>
      <w:bookmarkEnd w:id="360"/>
      <w:bookmarkStart w:id="361" w:name="_Toc253585108"/>
      <w:bookmarkEnd w:id="361"/>
      <w:bookmarkStart w:id="362" w:name="_Toc253747523"/>
      <w:bookmarkEnd w:id="362"/>
      <w:bookmarkStart w:id="363" w:name="_Toc253747552"/>
      <w:bookmarkEnd w:id="363"/>
      <w:bookmarkStart w:id="364" w:name="_Toc253747543"/>
      <w:bookmarkEnd w:id="364"/>
      <w:bookmarkStart w:id="365" w:name="_Toc253747562"/>
      <w:bookmarkEnd w:id="365"/>
      <w:bookmarkStart w:id="366" w:name="_Toc253745817"/>
      <w:bookmarkEnd w:id="366"/>
      <w:bookmarkStart w:id="367" w:name="_Toc253744179"/>
      <w:bookmarkEnd w:id="367"/>
      <w:bookmarkStart w:id="368" w:name="_Toc253745851"/>
      <w:bookmarkEnd w:id="368"/>
      <w:bookmarkStart w:id="369" w:name="_Toc253745818"/>
      <w:bookmarkEnd w:id="369"/>
      <w:bookmarkStart w:id="370" w:name="_Toc253745839"/>
      <w:bookmarkEnd w:id="370"/>
      <w:bookmarkStart w:id="371" w:name="_Toc253747537"/>
      <w:bookmarkEnd w:id="371"/>
      <w:bookmarkStart w:id="372" w:name="_Toc253744154"/>
      <w:bookmarkEnd w:id="372"/>
      <w:bookmarkStart w:id="373" w:name="_Toc253747538"/>
      <w:bookmarkEnd w:id="373"/>
      <w:bookmarkStart w:id="374" w:name="_Toc253747551"/>
      <w:bookmarkEnd w:id="374"/>
      <w:bookmarkStart w:id="375" w:name="_Toc253744149"/>
      <w:bookmarkEnd w:id="375"/>
      <w:bookmarkStart w:id="376" w:name="_Toc253745835"/>
      <w:bookmarkEnd w:id="376"/>
      <w:bookmarkStart w:id="377" w:name="_Toc253744171"/>
      <w:bookmarkEnd w:id="377"/>
      <w:bookmarkStart w:id="378" w:name="_Toc253744180"/>
      <w:bookmarkEnd w:id="378"/>
      <w:bookmarkStart w:id="379" w:name="_Toc253747498"/>
      <w:bookmarkEnd w:id="379"/>
      <w:bookmarkStart w:id="380" w:name="_Toc253745822"/>
      <w:bookmarkEnd w:id="380"/>
      <w:bookmarkStart w:id="381" w:name="_Toc253747593"/>
      <w:bookmarkEnd w:id="381"/>
      <w:bookmarkStart w:id="382" w:name="_Toc253747580"/>
      <w:bookmarkEnd w:id="382"/>
      <w:bookmarkStart w:id="383" w:name="_Toc253745850"/>
      <w:bookmarkEnd w:id="383"/>
      <w:bookmarkStart w:id="384" w:name="_Toc253745797"/>
      <w:bookmarkEnd w:id="384"/>
      <w:bookmarkStart w:id="385" w:name="_Toc253744118"/>
      <w:bookmarkEnd w:id="385"/>
      <w:bookmarkStart w:id="386" w:name="_Toc253747519"/>
      <w:bookmarkEnd w:id="386"/>
      <w:bookmarkStart w:id="387" w:name="_Toc253744146"/>
      <w:bookmarkEnd w:id="387"/>
      <w:bookmarkStart w:id="388" w:name="_Toc253745892"/>
      <w:bookmarkEnd w:id="388"/>
      <w:bookmarkStart w:id="389" w:name="_Toc253744150"/>
      <w:bookmarkEnd w:id="389"/>
      <w:bookmarkStart w:id="390" w:name="_Toc253744138"/>
      <w:bookmarkEnd w:id="390"/>
      <w:bookmarkStart w:id="391" w:name="_Toc253744141"/>
      <w:bookmarkEnd w:id="391"/>
      <w:bookmarkStart w:id="392" w:name="_Toc253744189"/>
      <w:bookmarkEnd w:id="392"/>
      <w:bookmarkStart w:id="393" w:name="_Toc253744152"/>
      <w:bookmarkEnd w:id="393"/>
      <w:bookmarkStart w:id="394" w:name="_Toc253745891"/>
      <w:bookmarkEnd w:id="394"/>
      <w:bookmarkStart w:id="395" w:name="_Toc253745838"/>
      <w:bookmarkEnd w:id="395"/>
      <w:bookmarkStart w:id="396" w:name="_Toc253747553"/>
      <w:bookmarkEnd w:id="396"/>
      <w:bookmarkStart w:id="397" w:name="_Toc253747518"/>
      <w:bookmarkEnd w:id="397"/>
      <w:bookmarkStart w:id="398" w:name="_Toc253745879"/>
      <w:bookmarkEnd w:id="398"/>
      <w:bookmarkStart w:id="399" w:name="_Toc253744147"/>
      <w:bookmarkEnd w:id="399"/>
      <w:bookmarkStart w:id="400" w:name="_Toc253745868"/>
      <w:bookmarkEnd w:id="400"/>
      <w:bookmarkStart w:id="401" w:name="_Toc253745890"/>
      <w:bookmarkEnd w:id="401"/>
      <w:bookmarkStart w:id="402" w:name="_Toc253745881"/>
      <w:bookmarkEnd w:id="402"/>
      <w:bookmarkStart w:id="403" w:name="_Toc253745852"/>
      <w:bookmarkEnd w:id="403"/>
      <w:bookmarkStart w:id="404" w:name="_Toc253745819"/>
      <w:bookmarkEnd w:id="404"/>
      <w:bookmarkStart w:id="405" w:name="_Toc253744194"/>
      <w:bookmarkEnd w:id="405"/>
      <w:bookmarkStart w:id="406" w:name="_Toc253747582"/>
      <w:bookmarkEnd w:id="406"/>
      <w:bookmarkStart w:id="407" w:name="_Toc253747539"/>
      <w:bookmarkEnd w:id="407"/>
      <w:bookmarkStart w:id="408" w:name="_Toc253747548"/>
      <w:bookmarkEnd w:id="408"/>
      <w:bookmarkStart w:id="409" w:name="_Toc253744190"/>
      <w:bookmarkEnd w:id="409"/>
      <w:bookmarkStart w:id="410" w:name="_Toc253744192"/>
      <w:bookmarkEnd w:id="410"/>
      <w:bookmarkStart w:id="411" w:name="_Toc253744117"/>
      <w:bookmarkEnd w:id="411"/>
      <w:bookmarkStart w:id="412" w:name="_Toc253744187"/>
      <w:bookmarkEnd w:id="412"/>
      <w:bookmarkStart w:id="413" w:name="_Toc253745833"/>
      <w:bookmarkEnd w:id="413"/>
      <w:bookmarkStart w:id="414" w:name="_Toc253744148"/>
      <w:bookmarkEnd w:id="414"/>
      <w:bookmarkStart w:id="415" w:name="_Toc253747592"/>
      <w:bookmarkEnd w:id="415"/>
      <w:bookmarkStart w:id="416" w:name="_Toc253744178"/>
      <w:bookmarkEnd w:id="416"/>
      <w:bookmarkStart w:id="417" w:name="_Toc253745893"/>
      <w:bookmarkEnd w:id="417"/>
      <w:bookmarkStart w:id="418" w:name="_Toc253744151"/>
      <w:bookmarkEnd w:id="418"/>
      <w:bookmarkStart w:id="419" w:name="_Toc253744168"/>
      <w:bookmarkEnd w:id="419"/>
      <w:bookmarkStart w:id="420" w:name="_Toc253745880"/>
      <w:bookmarkEnd w:id="420"/>
      <w:bookmarkStart w:id="421" w:name="_Toc253744161"/>
      <w:bookmarkEnd w:id="421"/>
      <w:bookmarkStart w:id="422" w:name="_Toc253744139"/>
      <w:bookmarkEnd w:id="422"/>
      <w:bookmarkStart w:id="423" w:name="_Toc253744132"/>
      <w:bookmarkEnd w:id="423"/>
      <w:bookmarkStart w:id="424" w:name="_Toc253747586"/>
      <w:bookmarkEnd w:id="424"/>
      <w:bookmarkStart w:id="425" w:name="_Toc253747533"/>
      <w:bookmarkEnd w:id="425"/>
      <w:bookmarkStart w:id="426" w:name="_Toc253745842"/>
      <w:bookmarkEnd w:id="426"/>
      <w:bookmarkStart w:id="427" w:name="_Toc253745837"/>
      <w:bookmarkEnd w:id="427"/>
      <w:bookmarkStart w:id="428" w:name="_Toc253745849"/>
      <w:bookmarkEnd w:id="428"/>
      <w:bookmarkStart w:id="429" w:name="_Toc253745887"/>
      <w:bookmarkEnd w:id="429"/>
      <w:bookmarkStart w:id="430" w:name="_Toc253745845"/>
      <w:bookmarkEnd w:id="430"/>
      <w:bookmarkStart w:id="431" w:name="_Toc253747520"/>
      <w:bookmarkEnd w:id="431"/>
      <w:bookmarkStart w:id="432" w:name="_Toc253599502"/>
      <w:bookmarkEnd w:id="432"/>
      <w:bookmarkStart w:id="433" w:name="_Toc253745895"/>
      <w:bookmarkEnd w:id="433"/>
      <w:bookmarkStart w:id="434" w:name="_Toc253744181"/>
      <w:bookmarkEnd w:id="434"/>
      <w:bookmarkStart w:id="435" w:name="_Toc253585196"/>
      <w:bookmarkEnd w:id="435"/>
      <w:bookmarkStart w:id="436" w:name="_Toc253744167"/>
      <w:bookmarkEnd w:id="436"/>
      <w:bookmarkStart w:id="437" w:name="_Toc253744134"/>
      <w:bookmarkEnd w:id="437"/>
      <w:bookmarkStart w:id="438" w:name="_Toc253744174"/>
      <w:bookmarkEnd w:id="438"/>
      <w:bookmarkStart w:id="439" w:name="_Toc253747534"/>
      <w:bookmarkEnd w:id="439"/>
      <w:bookmarkStart w:id="440" w:name="_Toc253744107"/>
      <w:bookmarkEnd w:id="440"/>
      <w:bookmarkStart w:id="441" w:name="_Toc253744166"/>
      <w:bookmarkEnd w:id="441"/>
      <w:bookmarkStart w:id="442" w:name="_Toc253744142"/>
      <w:bookmarkEnd w:id="442"/>
      <w:bookmarkStart w:id="443" w:name="_Toc253745870"/>
      <w:bookmarkEnd w:id="443"/>
      <w:bookmarkStart w:id="444" w:name="_Toc253747542"/>
      <w:bookmarkEnd w:id="444"/>
      <w:bookmarkStart w:id="445" w:name="_Toc253744177"/>
      <w:bookmarkEnd w:id="445"/>
      <w:bookmarkStart w:id="446" w:name="_Toc253747581"/>
      <w:bookmarkEnd w:id="446"/>
      <w:bookmarkStart w:id="447" w:name="_Toc253747536"/>
      <w:bookmarkEnd w:id="447"/>
      <w:bookmarkStart w:id="448" w:name="_Toc253747591"/>
      <w:bookmarkEnd w:id="448"/>
      <w:bookmarkStart w:id="449" w:name="_Toc253594611"/>
      <w:bookmarkEnd w:id="449"/>
      <w:bookmarkStart w:id="450" w:name="_Toc253747546"/>
      <w:bookmarkEnd w:id="450"/>
      <w:bookmarkStart w:id="451" w:name="_Toc253747540"/>
      <w:bookmarkEnd w:id="451"/>
      <w:bookmarkStart w:id="452" w:name="_Toc253747596"/>
      <w:bookmarkEnd w:id="452"/>
      <w:bookmarkStart w:id="453" w:name="_Toc253745872"/>
      <w:bookmarkEnd w:id="453"/>
      <w:bookmarkStart w:id="454" w:name="_Toc253745848"/>
      <w:bookmarkEnd w:id="454"/>
      <w:bookmarkStart w:id="455" w:name="_Toc253745841"/>
      <w:bookmarkEnd w:id="455"/>
      <w:bookmarkStart w:id="456" w:name="_Toc253747550"/>
      <w:bookmarkEnd w:id="456"/>
      <w:bookmarkStart w:id="457" w:name="_Toc253745875"/>
      <w:bookmarkEnd w:id="457"/>
      <w:bookmarkStart w:id="458" w:name="_Toc253745840"/>
      <w:bookmarkEnd w:id="458"/>
      <w:bookmarkStart w:id="459" w:name="_Toc253747576"/>
      <w:bookmarkEnd w:id="459"/>
      <w:bookmarkStart w:id="460" w:name="_Toc253744136"/>
      <w:bookmarkEnd w:id="460"/>
      <w:bookmarkStart w:id="461" w:name="_Toc253747541"/>
      <w:bookmarkEnd w:id="461"/>
      <w:bookmarkStart w:id="462" w:name="_Toc253747570"/>
      <w:bookmarkEnd w:id="462"/>
      <w:bookmarkStart w:id="463" w:name="_Toc253744172"/>
      <w:bookmarkEnd w:id="463"/>
      <w:bookmarkStart w:id="464" w:name="_Toc253745861"/>
      <w:bookmarkEnd w:id="464"/>
      <w:bookmarkStart w:id="465" w:name="_Toc253744140"/>
      <w:bookmarkEnd w:id="465"/>
      <w:bookmarkStart w:id="466" w:name="_Toc253745869"/>
      <w:bookmarkEnd w:id="466"/>
      <w:bookmarkStart w:id="467" w:name="_Toc253747594"/>
      <w:bookmarkEnd w:id="467"/>
      <w:bookmarkStart w:id="468" w:name="_Toc253745863"/>
      <w:bookmarkEnd w:id="468"/>
      <w:bookmarkStart w:id="469" w:name="_Toc253594600"/>
      <w:bookmarkEnd w:id="469"/>
      <w:bookmarkStart w:id="470" w:name="_Toc253744164"/>
      <w:bookmarkEnd w:id="470"/>
      <w:bookmarkStart w:id="471" w:name="_Toc253744169"/>
      <w:bookmarkEnd w:id="471"/>
      <w:bookmarkStart w:id="472" w:name="_Toc253745865"/>
      <w:bookmarkEnd w:id="472"/>
      <w:bookmarkStart w:id="473" w:name="_Toc253747563"/>
      <w:bookmarkEnd w:id="473"/>
      <w:bookmarkStart w:id="474" w:name="_Toc253747574"/>
      <w:bookmarkEnd w:id="474"/>
      <w:bookmarkStart w:id="475" w:name="_Toc253747549"/>
      <w:bookmarkEnd w:id="475"/>
      <w:bookmarkStart w:id="476" w:name="_Toc253745862"/>
      <w:bookmarkEnd w:id="476"/>
      <w:bookmarkStart w:id="477" w:name="_Toc253747564"/>
      <w:bookmarkEnd w:id="477"/>
      <w:bookmarkStart w:id="478" w:name="_Toc253745873"/>
      <w:bookmarkEnd w:id="478"/>
      <w:bookmarkStart w:id="479" w:name="_Toc253747568"/>
      <w:bookmarkEnd w:id="479"/>
      <w:bookmarkStart w:id="480" w:name="_Toc253747589"/>
      <w:bookmarkEnd w:id="480"/>
      <w:bookmarkStart w:id="481" w:name="_Toc253585174"/>
      <w:bookmarkEnd w:id="481"/>
      <w:bookmarkStart w:id="482" w:name="_Toc253594744"/>
      <w:bookmarkEnd w:id="482"/>
      <w:bookmarkStart w:id="483" w:name="_Toc253747566"/>
      <w:bookmarkEnd w:id="483"/>
      <w:bookmarkStart w:id="484" w:name="_Toc253585163"/>
      <w:bookmarkEnd w:id="484"/>
      <w:bookmarkStart w:id="485" w:name="_Toc253599480"/>
      <w:bookmarkEnd w:id="485"/>
      <w:bookmarkStart w:id="486" w:name="_Toc253747572"/>
      <w:bookmarkEnd w:id="486"/>
      <w:bookmarkStart w:id="487" w:name="_Toc253745785"/>
      <w:bookmarkEnd w:id="487"/>
      <w:bookmarkStart w:id="488" w:name="_Toc253747579"/>
      <w:bookmarkEnd w:id="488"/>
      <w:bookmarkStart w:id="489" w:name="_Toc253599646"/>
      <w:bookmarkEnd w:id="489"/>
      <w:bookmarkStart w:id="490" w:name="_Toc253744108"/>
      <w:bookmarkEnd w:id="490"/>
      <w:bookmarkStart w:id="491" w:name="_Toc253585075"/>
      <w:bookmarkEnd w:id="491"/>
      <w:bookmarkStart w:id="492" w:name="_Toc253745866"/>
      <w:bookmarkEnd w:id="492"/>
      <w:bookmarkStart w:id="493" w:name="_Toc253594766"/>
      <w:bookmarkEnd w:id="493"/>
      <w:bookmarkStart w:id="494" w:name="_Toc253594711"/>
      <w:bookmarkEnd w:id="494"/>
      <w:bookmarkStart w:id="495" w:name="_Toc253745871"/>
      <w:bookmarkEnd w:id="495"/>
      <w:bookmarkStart w:id="496" w:name="_Toc253745889"/>
      <w:bookmarkEnd w:id="496"/>
      <w:bookmarkStart w:id="497" w:name="_Toc253747486"/>
      <w:bookmarkEnd w:id="497"/>
      <w:bookmarkStart w:id="498" w:name="_Toc253747488"/>
      <w:bookmarkEnd w:id="498"/>
      <w:bookmarkStart w:id="499" w:name="_Toc253599580"/>
      <w:bookmarkEnd w:id="499"/>
      <w:bookmarkStart w:id="500" w:name="_Toc253747590"/>
      <w:bookmarkEnd w:id="500"/>
      <w:bookmarkStart w:id="501" w:name="_Toc253595704"/>
      <w:bookmarkEnd w:id="501"/>
      <w:bookmarkStart w:id="502" w:name="_Toc253744165"/>
      <w:bookmarkEnd w:id="502"/>
      <w:bookmarkStart w:id="503" w:name="_Toc253747485"/>
      <w:bookmarkEnd w:id="503"/>
      <w:bookmarkStart w:id="504" w:name="_Toc253744162"/>
      <w:bookmarkEnd w:id="504"/>
      <w:bookmarkStart w:id="505" w:name="_Toc253595560"/>
      <w:bookmarkEnd w:id="505"/>
      <w:bookmarkStart w:id="506" w:name="_Toc253585141"/>
      <w:bookmarkEnd w:id="506"/>
      <w:bookmarkStart w:id="507" w:name="_Toc253595792"/>
      <w:bookmarkEnd w:id="507"/>
      <w:bookmarkStart w:id="508" w:name="_Toc253594578"/>
      <w:bookmarkEnd w:id="508"/>
      <w:bookmarkStart w:id="509" w:name="_Toc253744188"/>
      <w:bookmarkEnd w:id="509"/>
      <w:bookmarkStart w:id="510" w:name="_Toc253745808"/>
      <w:bookmarkEnd w:id="510"/>
      <w:bookmarkStart w:id="511" w:name="_Toc253744119"/>
      <w:bookmarkEnd w:id="511"/>
      <w:bookmarkStart w:id="512" w:name="_Toc253747494"/>
      <w:bookmarkEnd w:id="512"/>
      <w:bookmarkStart w:id="513" w:name="_Toc253745806"/>
      <w:bookmarkEnd w:id="513"/>
      <w:bookmarkStart w:id="514" w:name="_Toc253744109"/>
      <w:bookmarkEnd w:id="514"/>
      <w:bookmarkStart w:id="515" w:name="_Toc253595626"/>
      <w:bookmarkEnd w:id="515"/>
      <w:bookmarkStart w:id="516" w:name="_Toc253744083"/>
      <w:bookmarkEnd w:id="516"/>
      <w:bookmarkStart w:id="517" w:name="_Toc253745809"/>
      <w:bookmarkEnd w:id="517"/>
      <w:bookmarkStart w:id="518" w:name="_Toc253747571"/>
      <w:bookmarkEnd w:id="518"/>
      <w:bookmarkStart w:id="519" w:name="_Toc253744084"/>
      <w:bookmarkEnd w:id="519"/>
      <w:bookmarkStart w:id="520" w:name="_Toc253745791"/>
      <w:bookmarkEnd w:id="520"/>
      <w:bookmarkStart w:id="521" w:name="_Toc253585041"/>
      <w:bookmarkEnd w:id="521"/>
      <w:bookmarkStart w:id="522" w:name="_Toc253599536"/>
      <w:bookmarkEnd w:id="522"/>
      <w:bookmarkStart w:id="523" w:name="_Toc253595726"/>
      <w:bookmarkEnd w:id="523"/>
      <w:bookmarkStart w:id="524" w:name="_Toc253744082"/>
      <w:bookmarkEnd w:id="524"/>
      <w:bookmarkStart w:id="525" w:name="_Toc253595660"/>
      <w:bookmarkEnd w:id="525"/>
      <w:bookmarkStart w:id="526" w:name="_Toc253599635"/>
      <w:bookmarkEnd w:id="526"/>
      <w:bookmarkStart w:id="527" w:name="_Toc253594667"/>
      <w:bookmarkEnd w:id="527"/>
      <w:bookmarkStart w:id="528" w:name="_Toc253745807"/>
      <w:bookmarkEnd w:id="528"/>
      <w:bookmarkStart w:id="529" w:name="_Toc253594634"/>
      <w:bookmarkEnd w:id="529"/>
      <w:bookmarkStart w:id="530" w:name="_Toc253585064"/>
      <w:bookmarkEnd w:id="530"/>
      <w:bookmarkStart w:id="531" w:name="_Toc253747573"/>
      <w:bookmarkEnd w:id="531"/>
      <w:bookmarkStart w:id="532" w:name="_Toc253594733"/>
      <w:bookmarkEnd w:id="532"/>
      <w:bookmarkStart w:id="533" w:name="_Toc253599513"/>
      <w:bookmarkEnd w:id="533"/>
      <w:bookmarkStart w:id="534" w:name="_Toc253747484"/>
      <w:bookmarkEnd w:id="534"/>
      <w:bookmarkStart w:id="535" w:name="_Toc253599668"/>
      <w:bookmarkEnd w:id="535"/>
      <w:bookmarkStart w:id="536" w:name="_Toc253745867"/>
      <w:bookmarkEnd w:id="536"/>
      <w:bookmarkStart w:id="537" w:name="_Toc253745878"/>
      <w:bookmarkEnd w:id="537"/>
      <w:bookmarkStart w:id="538" w:name="_Toc253595759"/>
      <w:bookmarkEnd w:id="538"/>
      <w:bookmarkStart w:id="539" w:name="_Toc253747489"/>
      <w:bookmarkEnd w:id="539"/>
      <w:bookmarkStart w:id="540" w:name="_Toc253747567"/>
      <w:bookmarkEnd w:id="540"/>
      <w:bookmarkStart w:id="541" w:name="_Toc253594535"/>
      <w:bookmarkEnd w:id="541"/>
      <w:bookmarkStart w:id="542" w:name="_Toc253745787"/>
      <w:bookmarkEnd w:id="542"/>
      <w:bookmarkStart w:id="543" w:name="_Toc253747507"/>
      <w:bookmarkEnd w:id="543"/>
      <w:bookmarkStart w:id="544" w:name="_Toc253595604"/>
      <w:bookmarkEnd w:id="544"/>
      <w:bookmarkStart w:id="545" w:name="_Toc253585130"/>
      <w:bookmarkEnd w:id="545"/>
      <w:bookmarkStart w:id="546" w:name="_Toc253594700"/>
      <w:bookmarkEnd w:id="546"/>
      <w:bookmarkStart w:id="547" w:name="_Toc253595593"/>
      <w:bookmarkEnd w:id="547"/>
      <w:bookmarkStart w:id="548" w:name="_Toc253595561"/>
      <w:bookmarkEnd w:id="548"/>
      <w:bookmarkStart w:id="549" w:name="_Toc253594777"/>
      <w:bookmarkEnd w:id="549"/>
      <w:bookmarkStart w:id="550" w:name="_Toc253747506"/>
      <w:bookmarkEnd w:id="550"/>
      <w:bookmarkStart w:id="551" w:name="_Toc253594567"/>
      <w:bookmarkEnd w:id="551"/>
      <w:bookmarkStart w:id="552" w:name="_Toc253745793"/>
      <w:bookmarkEnd w:id="552"/>
      <w:bookmarkStart w:id="553" w:name="_Toc253747510"/>
      <w:bookmarkEnd w:id="553"/>
      <w:bookmarkStart w:id="554" w:name="_Toc253745788"/>
      <w:bookmarkEnd w:id="554"/>
      <w:bookmarkStart w:id="555" w:name="_Toc253595770"/>
      <w:bookmarkEnd w:id="555"/>
      <w:bookmarkStart w:id="556" w:name="_Toc253747561"/>
      <w:bookmarkEnd w:id="556"/>
      <w:bookmarkStart w:id="557" w:name="_Toc253744088"/>
      <w:bookmarkEnd w:id="557"/>
      <w:bookmarkStart w:id="558" w:name="_Toc253595737"/>
      <w:bookmarkEnd w:id="558"/>
      <w:bookmarkStart w:id="559" w:name="_Toc253744086"/>
      <w:bookmarkEnd w:id="559"/>
      <w:bookmarkStart w:id="560" w:name="_Toc253594533"/>
      <w:bookmarkEnd w:id="560"/>
      <w:bookmarkStart w:id="561" w:name="_Toc253744104"/>
      <w:bookmarkEnd w:id="561"/>
      <w:bookmarkStart w:id="562" w:name="_Toc253744159"/>
      <w:bookmarkEnd w:id="562"/>
      <w:bookmarkStart w:id="563" w:name="_Toc253584964"/>
      <w:bookmarkEnd w:id="563"/>
      <w:bookmarkStart w:id="564" w:name="_Toc253585207"/>
      <w:bookmarkEnd w:id="564"/>
      <w:bookmarkStart w:id="565" w:name="_Toc253595637"/>
      <w:bookmarkEnd w:id="565"/>
      <w:bookmarkStart w:id="566" w:name="_Toc253599613"/>
      <w:bookmarkEnd w:id="566"/>
      <w:bookmarkStart w:id="567" w:name="_Toc253594534"/>
      <w:bookmarkEnd w:id="567"/>
      <w:bookmarkStart w:id="568" w:name="_Toc253745789"/>
      <w:bookmarkEnd w:id="568"/>
      <w:bookmarkStart w:id="569" w:name="_Toc253599435"/>
      <w:bookmarkEnd w:id="569"/>
      <w:bookmarkStart w:id="570" w:name="_Toc253747492"/>
      <w:bookmarkEnd w:id="570"/>
      <w:bookmarkStart w:id="571" w:name="_Toc253599679"/>
      <w:bookmarkEnd w:id="571"/>
      <w:bookmarkStart w:id="572" w:name="_Toc253599547"/>
      <w:bookmarkEnd w:id="572"/>
      <w:bookmarkStart w:id="573" w:name="_Toc253747560"/>
      <w:bookmarkEnd w:id="573"/>
      <w:bookmarkStart w:id="574" w:name="_Toc253744087"/>
      <w:bookmarkEnd w:id="574"/>
      <w:bookmarkStart w:id="575" w:name="_Toc253744170"/>
      <w:bookmarkEnd w:id="575"/>
      <w:bookmarkStart w:id="576" w:name="_Toc253599469"/>
      <w:bookmarkEnd w:id="576"/>
      <w:bookmarkStart w:id="577" w:name="_Toc253595671"/>
      <w:bookmarkEnd w:id="577"/>
      <w:bookmarkStart w:id="578" w:name="_Toc253745821"/>
      <w:bookmarkEnd w:id="578"/>
      <w:bookmarkStart w:id="579" w:name="_Toc253745883"/>
      <w:bookmarkEnd w:id="579"/>
      <w:bookmarkStart w:id="580" w:name="_Toc253745830"/>
      <w:bookmarkEnd w:id="580"/>
      <w:bookmarkStart w:id="581" w:name="_Toc253744158"/>
      <w:bookmarkEnd w:id="581"/>
      <w:bookmarkStart w:id="582" w:name="_Toc253595693"/>
      <w:bookmarkEnd w:id="582"/>
      <w:bookmarkStart w:id="583" w:name="_Toc253599436"/>
      <w:bookmarkEnd w:id="583"/>
      <w:bookmarkStart w:id="584" w:name="_Toc253745885"/>
      <w:bookmarkEnd w:id="584"/>
      <w:bookmarkStart w:id="585" w:name="_Toc253584965"/>
      <w:bookmarkEnd w:id="585"/>
      <w:bookmarkStart w:id="586" w:name="_Toc253747558"/>
      <w:bookmarkEnd w:id="586"/>
      <w:bookmarkStart w:id="587" w:name="_Toc253747531"/>
      <w:bookmarkEnd w:id="587"/>
      <w:bookmarkStart w:id="588" w:name="_Toc253744090"/>
      <w:bookmarkEnd w:id="588"/>
      <w:bookmarkStart w:id="589" w:name="_Toc253595559"/>
      <w:bookmarkEnd w:id="589"/>
      <w:bookmarkStart w:id="590" w:name="_Toc253745859"/>
      <w:bookmarkEnd w:id="590"/>
      <w:bookmarkStart w:id="591" w:name="_Toc253745783"/>
      <w:bookmarkEnd w:id="591"/>
      <w:bookmarkStart w:id="592" w:name="_Toc253584963"/>
      <w:bookmarkEnd w:id="592"/>
      <w:bookmarkStart w:id="593" w:name="_Toc253594678"/>
      <w:bookmarkEnd w:id="593"/>
      <w:bookmarkStart w:id="594" w:name="_Toc253744106"/>
      <w:bookmarkEnd w:id="594"/>
      <w:bookmarkStart w:id="595" w:name="_Toc253595803"/>
      <w:bookmarkEnd w:id="595"/>
      <w:bookmarkStart w:id="596" w:name="_Toc253744182"/>
      <w:bookmarkEnd w:id="596"/>
      <w:bookmarkStart w:id="597" w:name="_Toc253747508"/>
      <w:bookmarkEnd w:id="597"/>
      <w:bookmarkStart w:id="598" w:name="_Toc253745784"/>
      <w:bookmarkEnd w:id="598"/>
      <w:bookmarkStart w:id="599" w:name="_Toc253594645"/>
      <w:bookmarkEnd w:id="599"/>
      <w:bookmarkStart w:id="600" w:name="_Toc253747509"/>
      <w:bookmarkEnd w:id="600"/>
      <w:bookmarkStart w:id="601" w:name="_Toc253747504"/>
      <w:bookmarkEnd w:id="601"/>
      <w:bookmarkStart w:id="602" w:name="_Toc253747584"/>
      <w:bookmarkEnd w:id="602"/>
      <w:bookmarkStart w:id="603" w:name="_Toc253745858"/>
      <w:bookmarkEnd w:id="603"/>
      <w:bookmarkStart w:id="604" w:name="_Toc253747569"/>
      <w:bookmarkEnd w:id="604"/>
      <w:bookmarkStart w:id="605" w:name="_Toc253744130"/>
      <w:bookmarkEnd w:id="605"/>
      <w:bookmarkStart w:id="606" w:name="_Toc253744094"/>
      <w:bookmarkEnd w:id="606"/>
      <w:bookmarkStart w:id="607" w:name="_Toc253745805"/>
      <w:bookmarkEnd w:id="607"/>
      <w:bookmarkStart w:id="608" w:name="_Toc253585030"/>
      <w:bookmarkEnd w:id="608"/>
      <w:bookmarkStart w:id="609" w:name="_Toc253745828"/>
      <w:bookmarkEnd w:id="609"/>
      <w:bookmarkStart w:id="610" w:name="_Toc253599437"/>
      <w:bookmarkEnd w:id="610"/>
      <w:bookmarkStart w:id="611" w:name="_Toc253745810"/>
      <w:bookmarkEnd w:id="611"/>
      <w:bookmarkStart w:id="612" w:name="_Toc253745820"/>
      <w:bookmarkEnd w:id="612"/>
      <w:bookmarkStart w:id="613" w:name="_Toc253747526"/>
      <w:bookmarkEnd w:id="613"/>
      <w:bookmarkStart w:id="614" w:name="_Toc253745877"/>
      <w:bookmarkEnd w:id="614"/>
      <w:bookmarkStart w:id="615" w:name="_Toc253747521"/>
      <w:bookmarkEnd w:id="615"/>
      <w:bookmarkStart w:id="616" w:name="_Toc253747490"/>
      <w:bookmarkEnd w:id="616"/>
      <w:bookmarkStart w:id="617" w:name="_Toc253744102"/>
      <w:bookmarkEnd w:id="617"/>
      <w:bookmarkStart w:id="618" w:name="_Toc253745832"/>
      <w:bookmarkEnd w:id="618"/>
      <w:bookmarkStart w:id="619" w:name="_Toc253745803"/>
      <w:bookmarkEnd w:id="619"/>
      <w:bookmarkStart w:id="620" w:name="_Toc253745811"/>
      <w:bookmarkEnd w:id="620"/>
      <w:bookmarkStart w:id="621" w:name="_Toc253744105"/>
      <w:bookmarkEnd w:id="621"/>
      <w:bookmarkStart w:id="622" w:name="_Toc253747530"/>
      <w:bookmarkEnd w:id="622"/>
      <w:bookmarkStart w:id="623" w:name="_Toc253745825"/>
      <w:bookmarkEnd w:id="623"/>
      <w:bookmarkStart w:id="624" w:name="_Toc253747496"/>
      <w:bookmarkEnd w:id="624"/>
      <w:bookmarkStart w:id="625" w:name="_Toc253747529"/>
      <w:bookmarkEnd w:id="625"/>
      <w:bookmarkStart w:id="626" w:name="_Toc253747559"/>
      <w:bookmarkEnd w:id="626"/>
      <w:bookmarkStart w:id="627" w:name="_Toc253747578"/>
      <w:bookmarkEnd w:id="627"/>
      <w:bookmarkStart w:id="628" w:name="_Toc253744176"/>
      <w:bookmarkEnd w:id="628"/>
      <w:bookmarkStart w:id="629" w:name="_Toc74041192"/>
      <w:bookmarkStart w:id="630" w:name="_Toc250995874"/>
      <w:bookmarkStart w:id="631" w:name="_Toc253594789"/>
      <w:bookmarkStart w:id="632" w:name="_Toc307054063"/>
      <w:bookmarkStart w:id="633" w:name="_Toc306766312"/>
      <w:bookmarkStart w:id="634" w:name="_Toc352610571"/>
      <w:bookmarkStart w:id="635" w:name="_Toc306956248"/>
      <w:bookmarkStart w:id="636" w:name="_Toc253744198"/>
      <w:bookmarkStart w:id="637" w:name="_Toc306780104"/>
      <w:bookmarkStart w:id="638" w:name="_Toc219977907"/>
      <w:bookmarkStart w:id="639" w:name="_Toc1484"/>
      <w:bookmarkStart w:id="640" w:name="_Toc253585219"/>
      <w:bookmarkStart w:id="641" w:name="_Toc250995883"/>
      <w:r>
        <w:rPr>
          <w:rFonts w:eastAsia="仿宋"/>
          <w:sz w:val="44"/>
          <w:szCs w:val="44"/>
        </w:rPr>
        <w:t>西咸新区电网规划目标和技术原则</w:t>
      </w:r>
      <w:bookmarkEnd w:id="629"/>
      <w:bookmarkEnd w:id="630"/>
      <w:bookmarkEnd w:id="631"/>
      <w:bookmarkEnd w:id="632"/>
      <w:bookmarkEnd w:id="633"/>
      <w:bookmarkEnd w:id="634"/>
      <w:bookmarkEnd w:id="635"/>
      <w:bookmarkEnd w:id="636"/>
      <w:bookmarkEnd w:id="637"/>
      <w:bookmarkEnd w:id="638"/>
      <w:bookmarkEnd w:id="639"/>
      <w:bookmarkEnd w:id="640"/>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rPr>
      </w:pPr>
      <w:bookmarkStart w:id="642" w:name="_Toc460522159"/>
      <w:bookmarkStart w:id="643" w:name="_Toc6550"/>
      <w:bookmarkStart w:id="644" w:name="_Toc461548922"/>
      <w:bookmarkStart w:id="645" w:name="_Toc74041193"/>
      <w:r>
        <w:rPr>
          <w:rFonts w:hint="eastAsia" w:ascii="黑体" w:hAnsi="黑体" w:eastAsia="黑体" w:cs="黑体"/>
          <w:b w:val="0"/>
          <w:bCs w:val="0"/>
          <w:sz w:val="32"/>
          <w:szCs w:val="32"/>
        </w:rPr>
        <w:t>规划</w:t>
      </w:r>
      <w:bookmarkEnd w:id="642"/>
      <w:r>
        <w:rPr>
          <w:rFonts w:hint="eastAsia" w:ascii="黑体" w:hAnsi="黑体" w:eastAsia="黑体" w:cs="黑体"/>
          <w:b w:val="0"/>
          <w:bCs w:val="0"/>
          <w:sz w:val="32"/>
          <w:szCs w:val="32"/>
        </w:rPr>
        <w:t>目标</w:t>
      </w:r>
      <w:bookmarkEnd w:id="643"/>
      <w:bookmarkEnd w:id="644"/>
      <w:bookmarkEnd w:id="645"/>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646" w:name="_Toc59973931"/>
      <w:bookmarkStart w:id="647" w:name="_Toc74041194"/>
      <w:bookmarkStart w:id="648" w:name="_Toc454790781"/>
      <w:bookmarkStart w:id="649" w:name="_Toc460522174"/>
      <w:bookmarkStart w:id="650" w:name="_Toc461548936"/>
      <w:r>
        <w:rPr>
          <w:rFonts w:eastAsia="仿宋"/>
          <w:sz w:val="32"/>
          <w:szCs w:val="32"/>
        </w:rPr>
        <w:t>基本原则</w:t>
      </w:r>
      <w:bookmarkEnd w:id="646"/>
      <w:bookmarkEnd w:id="647"/>
      <w:bookmarkEnd w:id="648"/>
      <w:bookmarkEnd w:id="649"/>
      <w:bookmarkEnd w:id="650"/>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bookmarkStart w:id="651" w:name="_Toc352610573"/>
      <w:bookmarkStart w:id="652" w:name="_Toc253744200"/>
      <w:bookmarkStart w:id="653" w:name="_Toc253594791"/>
      <w:bookmarkStart w:id="654" w:name="_Toc306780106"/>
      <w:bookmarkStart w:id="655" w:name="_Toc352071864"/>
      <w:bookmarkStart w:id="656" w:name="_Toc306766314"/>
      <w:bookmarkStart w:id="657" w:name="_Toc219977910"/>
      <w:bookmarkStart w:id="658" w:name="_Toc253585221"/>
      <w:bookmarkStart w:id="659" w:name="_Toc306956250"/>
      <w:bookmarkStart w:id="660" w:name="_Toc307054065"/>
      <w:r>
        <w:rPr>
          <w:rFonts w:hint="eastAsia" w:ascii="仿宋_GB2312" w:hAnsi="仿宋_GB2312" w:eastAsia="仿宋_GB2312" w:cs="仿宋_GB2312"/>
          <w:kern w:val="2"/>
          <w:sz w:val="32"/>
          <w:szCs w:val="32"/>
          <w:lang w:val="en-US" w:eastAsia="zh-CN" w:bidi="ar-SA"/>
        </w:rPr>
        <w:t>按照科学、全面、协调、可持续发展的要求，电网的新建和技术改造应遵循以下基本原则：</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b/>
          <w:bCs/>
          <w:kern w:val="2"/>
          <w:sz w:val="32"/>
          <w:szCs w:val="32"/>
          <w:lang w:val="en-US" w:eastAsia="zh-CN" w:bidi="ar-SA"/>
        </w:rPr>
        <w:t>统一规划原则。</w:t>
      </w:r>
      <w:r>
        <w:rPr>
          <w:rFonts w:hint="eastAsia" w:ascii="仿宋_GB2312" w:hAnsi="仿宋_GB2312" w:eastAsia="仿宋_GB2312" w:cs="仿宋_GB2312"/>
          <w:kern w:val="2"/>
          <w:sz w:val="32"/>
          <w:szCs w:val="32"/>
          <w:lang w:val="en-US" w:eastAsia="zh-CN" w:bidi="ar-SA"/>
        </w:rPr>
        <w:t>制定统一的电网技术导则，在总体上明确电网新建及技术改造的目标和内容，全面指导电网新建及技术改造工作的开展。</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b/>
          <w:bCs/>
          <w:kern w:val="2"/>
          <w:sz w:val="32"/>
          <w:szCs w:val="32"/>
          <w:lang w:val="en-US" w:eastAsia="zh-CN" w:bidi="ar-SA"/>
        </w:rPr>
        <w:t>安全第一原则。</w:t>
      </w:r>
      <w:r>
        <w:rPr>
          <w:rFonts w:hint="eastAsia" w:ascii="仿宋_GB2312" w:hAnsi="仿宋_GB2312" w:eastAsia="仿宋_GB2312" w:cs="仿宋_GB2312"/>
          <w:kern w:val="2"/>
          <w:sz w:val="32"/>
          <w:szCs w:val="32"/>
          <w:lang w:val="en-US" w:eastAsia="zh-CN" w:bidi="ar-SA"/>
        </w:rPr>
        <w:t>通过对电网设备运行状况的评价分析，针对电网设备存在的问题和隐患，确定技术政策和投资策略，合理安排改造计划，构筑网架坚强、设备可靠的智能型电网，大幅度减少电网故障和设备缺陷，具有较强的负荷转移能力，具备一顶的抵御事故和自然灾害的能力，以确保电网能安全可靠运行。</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b/>
          <w:bCs/>
          <w:kern w:val="2"/>
          <w:sz w:val="32"/>
          <w:szCs w:val="32"/>
          <w:lang w:val="en-US" w:eastAsia="zh-CN" w:bidi="ar-SA"/>
        </w:rPr>
        <w:t>技术经济原则。</w:t>
      </w:r>
      <w:r>
        <w:rPr>
          <w:rFonts w:hint="eastAsia" w:ascii="仿宋_GB2312" w:hAnsi="仿宋_GB2312" w:eastAsia="仿宋_GB2312" w:cs="仿宋_GB2312"/>
          <w:kern w:val="2"/>
          <w:sz w:val="32"/>
          <w:szCs w:val="32"/>
          <w:lang w:val="en-US" w:eastAsia="zh-CN" w:bidi="ar-SA"/>
        </w:rPr>
        <w:t>以技术进步为先导，以经济效益为中心，积极采用先进适用的新技术、新产品、新材料、新工艺和电网运行管理控制技术，重点解决限制电网发展的关键问题和突出问题，重点解决电压质量问题和线损问题，并通过技术经济比较，远近结合，适度超前，优化技术改造方案。</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2"/>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b/>
          <w:bCs/>
          <w:kern w:val="2"/>
          <w:sz w:val="32"/>
          <w:szCs w:val="32"/>
          <w:lang w:val="en-US" w:eastAsia="zh-CN" w:bidi="ar-SA"/>
        </w:rPr>
        <w:t>统筹协调原则。</w:t>
      </w:r>
      <w:r>
        <w:rPr>
          <w:rFonts w:hint="eastAsia" w:ascii="仿宋_GB2312" w:hAnsi="仿宋_GB2312" w:eastAsia="仿宋_GB2312" w:cs="仿宋_GB2312"/>
          <w:kern w:val="2"/>
          <w:sz w:val="32"/>
          <w:szCs w:val="32"/>
          <w:lang w:val="en-US" w:eastAsia="zh-CN" w:bidi="ar-SA"/>
        </w:rPr>
        <w:t>根据电网发展需要，统筹考虑电网新建、技术改造规划。既考虑电网整体的安全经济运行水平，又要满足负荷增长的需要，保证具有充足的供电能力；既考虑提高生产能力，又要突出技术进步；既要考虑电网本身的发展，又要与上级输电网相协调，各级变电容量相协调，有功和无功容量相协调，二次规划与一次规划相协调。</w:t>
      </w:r>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661" w:name="_Toc74041195"/>
      <w:bookmarkStart w:id="662" w:name="_Toc59973932"/>
      <w:r>
        <w:rPr>
          <w:rFonts w:eastAsia="仿宋"/>
          <w:sz w:val="32"/>
          <w:szCs w:val="32"/>
        </w:rPr>
        <w:t>规划目标</w:t>
      </w:r>
      <w:bookmarkEnd w:id="651"/>
      <w:bookmarkEnd w:id="652"/>
      <w:bookmarkEnd w:id="653"/>
      <w:bookmarkEnd w:id="654"/>
      <w:bookmarkEnd w:id="655"/>
      <w:bookmarkEnd w:id="656"/>
      <w:bookmarkEnd w:id="657"/>
      <w:bookmarkEnd w:id="658"/>
      <w:bookmarkEnd w:id="659"/>
      <w:bookmarkEnd w:id="660"/>
      <w:bookmarkEnd w:id="661"/>
      <w:bookmarkEnd w:id="662"/>
    </w:p>
    <w:p>
      <w:pPr>
        <w:pStyle w:val="7"/>
        <w:numPr>
          <w:ilvl w:val="3"/>
          <w:numId w:val="23"/>
        </w:numPr>
        <w:spacing w:before="120" w:after="120"/>
        <w:ind w:left="709" w:hanging="709"/>
        <w:rPr>
          <w:rFonts w:eastAsia="仿宋"/>
        </w:rPr>
      </w:pPr>
      <w:bookmarkStart w:id="663" w:name="_Toc352071865"/>
      <w:bookmarkStart w:id="664" w:name="_Toc352610574"/>
      <w:r>
        <w:rPr>
          <w:rFonts w:eastAsia="仿宋"/>
        </w:rPr>
        <w:t>总体目标</w:t>
      </w:r>
      <w:bookmarkEnd w:id="663"/>
      <w:bookmarkEnd w:id="664"/>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bookmarkStart w:id="665" w:name="_Toc383614750"/>
      <w:r>
        <w:rPr>
          <w:rFonts w:hint="eastAsia" w:ascii="仿宋_GB2312" w:hAnsi="仿宋_GB2312" w:eastAsia="仿宋_GB2312" w:cs="仿宋_GB2312"/>
          <w:kern w:val="2"/>
          <w:sz w:val="32"/>
          <w:szCs w:val="32"/>
          <w:lang w:val="en-US" w:eastAsia="zh-CN" w:bidi="ar-SA"/>
        </w:rPr>
        <w:t>西咸新区110千伏及以下电网的总体发展目标是以支撑西咸新区“大西安现代化新中心”的开发建设和适应西咸新区“创新城市发展方式”的建设需要，坚持统一规划，统一标准，统筹城乡电网协调发展，满足西咸新区城镇快速发展，增强各层级电网间的负荷转移和相互支援能力；遵循差异化原则，设计城市核心功能区和负荷集中区；遵循资产全寿命周期先进理念，优化电网规划建设方案；全面实施配电自动化建设，充分满足分布式电源、电动汽车、储能装置等新型负荷的可靠、灵活接入。奋力将西咸新区电网建设成为“超前、创新、友好、绿色，与大西安新中心建设相融合”的坚强智能电网。</w:t>
      </w:r>
    </w:p>
    <w:p>
      <w:pPr>
        <w:pStyle w:val="7"/>
        <w:pageBreakBefore w:val="0"/>
        <w:widowControl w:val="0"/>
        <w:numPr>
          <w:ilvl w:val="3"/>
          <w:numId w:val="23"/>
        </w:numPr>
        <w:kinsoku/>
        <w:wordWrap/>
        <w:overflowPunct/>
        <w:topLinePunct w:val="0"/>
        <w:autoSpaceDE/>
        <w:autoSpaceDN/>
        <w:bidi w:val="0"/>
        <w:spacing w:before="120" w:after="120" w:line="312" w:lineRule="auto"/>
        <w:ind w:left="709" w:hanging="709"/>
        <w:textAlignment w:val="auto"/>
        <w:rPr>
          <w:rFonts w:eastAsia="仿宋"/>
        </w:rPr>
      </w:pPr>
      <w:bookmarkStart w:id="666" w:name="_Toc36799429"/>
      <w:bookmarkEnd w:id="666"/>
      <w:bookmarkStart w:id="667" w:name="_Toc35354334"/>
      <w:bookmarkEnd w:id="667"/>
      <w:bookmarkStart w:id="668" w:name="_Toc36799427"/>
      <w:bookmarkEnd w:id="668"/>
      <w:bookmarkStart w:id="669" w:name="_Toc34911329"/>
      <w:bookmarkEnd w:id="669"/>
      <w:bookmarkStart w:id="670" w:name="_Toc35336502"/>
      <w:bookmarkEnd w:id="670"/>
      <w:bookmarkStart w:id="671" w:name="_Toc35336503"/>
      <w:bookmarkEnd w:id="671"/>
      <w:bookmarkStart w:id="672" w:name="_Toc34911330"/>
      <w:bookmarkEnd w:id="672"/>
      <w:bookmarkStart w:id="673" w:name="_Toc35354333"/>
      <w:bookmarkEnd w:id="673"/>
      <w:bookmarkStart w:id="674" w:name="_Toc36799428"/>
      <w:bookmarkEnd w:id="674"/>
      <w:bookmarkStart w:id="675" w:name="_Toc35354335"/>
      <w:bookmarkEnd w:id="675"/>
      <w:bookmarkStart w:id="676" w:name="_Toc35336504"/>
      <w:bookmarkEnd w:id="676"/>
      <w:bookmarkStart w:id="677" w:name="_Toc34911328"/>
      <w:bookmarkEnd w:id="677"/>
      <w:bookmarkStart w:id="678" w:name="_Toc36799430"/>
      <w:bookmarkStart w:id="679" w:name="_Toc37416167"/>
      <w:bookmarkStart w:id="680" w:name="_Toc7878"/>
      <w:bookmarkStart w:id="681" w:name="_Toc37168001"/>
      <w:r>
        <w:rPr>
          <w:rFonts w:eastAsia="仿宋"/>
        </w:rPr>
        <w:t xml:space="preserve"> 202</w:t>
      </w:r>
      <w:r>
        <w:rPr>
          <w:rFonts w:hint="eastAsia" w:eastAsia="仿宋"/>
          <w:lang w:val="en-US" w:eastAsia="zh-CN"/>
        </w:rPr>
        <w:t>5</w:t>
      </w:r>
      <w:r>
        <w:rPr>
          <w:rFonts w:eastAsia="仿宋"/>
        </w:rPr>
        <w:t>年发展目标</w:t>
      </w:r>
      <w:bookmarkEnd w:id="678"/>
      <w:bookmarkEnd w:id="679"/>
      <w:bookmarkEnd w:id="680"/>
      <w:bookmarkEnd w:id="681"/>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2025年初步建成网架规范、技术先进、清洁高效、灵活可靠、智能坚强的西咸新区新型城市电网。</w:t>
      </w:r>
    </w:p>
    <w:p>
      <w:pPr>
        <w:pStyle w:val="150"/>
        <w:keepNext w:val="0"/>
        <w:keepLines w:val="0"/>
        <w:pageBreakBefore w:val="0"/>
        <w:widowControl w:val="0"/>
        <w:kinsoku/>
        <w:wordWrap/>
        <w:overflowPunct/>
        <w:topLinePunct w:val="0"/>
        <w:autoSpaceDE/>
        <w:autoSpaceDN/>
        <w:bidi w:val="0"/>
        <w:adjustRightInd w:val="0"/>
        <w:snapToGrid w:val="0"/>
        <w:spacing w:line="640" w:lineRule="exact"/>
        <w:ind w:left="0" w:leftChars="0" w:firstLine="0" w:firstLineChars="0"/>
        <w:jc w:val="center"/>
        <w:textAlignment w:val="auto"/>
        <w:rPr>
          <w:rFonts w:hint="eastAsia" w:ascii="黑体" w:hAnsi="黑体" w:eastAsia="黑体" w:cs="黑体"/>
          <w:b w:val="0"/>
          <w:bCs w:val="0"/>
          <w:kern w:val="0"/>
          <w:sz w:val="28"/>
          <w:szCs w:val="28"/>
          <w:lang w:val="en-US" w:eastAsia="zh-CN" w:bidi="ar-SA"/>
        </w:rPr>
      </w:pPr>
      <w:r>
        <w:rPr>
          <w:rFonts w:hint="eastAsia" w:ascii="黑体" w:hAnsi="黑体" w:eastAsia="黑体" w:cs="黑体"/>
          <w:b w:val="0"/>
          <w:bCs w:val="0"/>
          <w:kern w:val="0"/>
          <w:sz w:val="28"/>
          <w:szCs w:val="28"/>
          <w:lang w:val="en-US" w:eastAsia="zh-CN" w:bidi="ar-SA"/>
        </w:rPr>
        <w:t>表6-1  电网规划目标</w:t>
      </w:r>
    </w:p>
    <w:tbl>
      <w:tblPr>
        <w:tblStyle w:val="88"/>
        <w:tblW w:w="9198" w:type="dxa"/>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5" w:type="dxa"/>
          <w:left w:w="15" w:type="dxa"/>
          <w:bottom w:w="15" w:type="dxa"/>
          <w:right w:w="15" w:type="dxa"/>
        </w:tblCellMar>
      </w:tblPr>
      <w:tblGrid>
        <w:gridCol w:w="2079"/>
        <w:gridCol w:w="3738"/>
        <w:gridCol w:w="1446"/>
        <w:gridCol w:w="1935"/>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444" w:hRule="atLeast"/>
        </w:trPr>
        <w:tc>
          <w:tcPr>
            <w:tcW w:w="2079"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kern w:val="0"/>
                <w:sz w:val="21"/>
                <w:szCs w:val="21"/>
                <w:lang w:bidi="ar"/>
              </w:rPr>
              <w:t>指标</w:t>
            </w:r>
          </w:p>
        </w:tc>
        <w:tc>
          <w:tcPr>
            <w:tcW w:w="3738"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kern w:val="0"/>
                <w:sz w:val="21"/>
                <w:szCs w:val="21"/>
                <w:lang w:bidi="ar"/>
              </w:rPr>
              <w:t>细化指标</w:t>
            </w:r>
          </w:p>
        </w:tc>
        <w:tc>
          <w:tcPr>
            <w:tcW w:w="1446"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kern w:val="0"/>
                <w:sz w:val="21"/>
                <w:szCs w:val="21"/>
                <w:lang w:bidi="ar"/>
              </w:rPr>
              <w:t>年份</w:t>
            </w:r>
          </w:p>
        </w:tc>
        <w:tc>
          <w:tcPr>
            <w:tcW w:w="1935"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kern w:val="0"/>
                <w:sz w:val="21"/>
                <w:szCs w:val="21"/>
                <w:lang w:bidi="ar"/>
              </w:rPr>
              <w:t>市辖供电区</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52" w:hRule="atLeast"/>
        </w:trPr>
        <w:tc>
          <w:tcPr>
            <w:tcW w:w="2079" w:type="dxa"/>
            <w:vMerge w:val="restart"/>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kern w:val="0"/>
                <w:sz w:val="21"/>
                <w:szCs w:val="21"/>
                <w:lang w:bidi="ar"/>
              </w:rPr>
              <w:t>供电质量</w:t>
            </w:r>
          </w:p>
        </w:tc>
        <w:tc>
          <w:tcPr>
            <w:tcW w:w="3738" w:type="dxa"/>
            <w:vMerge w:val="restart"/>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kern w:val="0"/>
                <w:sz w:val="21"/>
                <w:szCs w:val="21"/>
                <w:lang w:bidi="ar"/>
              </w:rPr>
              <w:t>户均停电时间（h）</w:t>
            </w:r>
          </w:p>
        </w:tc>
        <w:tc>
          <w:tcPr>
            <w:tcW w:w="1446"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kern w:val="0"/>
                <w:sz w:val="21"/>
                <w:szCs w:val="21"/>
                <w:lang w:bidi="ar"/>
              </w:rPr>
              <w:t>2020</w:t>
            </w:r>
          </w:p>
        </w:tc>
        <w:tc>
          <w:tcPr>
            <w:tcW w:w="1935"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kern w:val="0"/>
                <w:sz w:val="21"/>
                <w:szCs w:val="21"/>
                <w:lang w:bidi="ar"/>
              </w:rPr>
              <w:t>10.61</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82" w:hRule="atLeast"/>
        </w:trPr>
        <w:tc>
          <w:tcPr>
            <w:tcW w:w="2079"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3738"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1446"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kern w:val="0"/>
                <w:sz w:val="21"/>
                <w:szCs w:val="21"/>
                <w:lang w:bidi="ar"/>
              </w:rPr>
              <w:t>2025</w:t>
            </w:r>
          </w:p>
        </w:tc>
        <w:tc>
          <w:tcPr>
            <w:tcW w:w="1935"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kern w:val="0"/>
                <w:sz w:val="21"/>
                <w:szCs w:val="21"/>
                <w:lang w:bidi="ar"/>
              </w:rPr>
              <w:t>3.066</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52" w:hRule="atLeast"/>
        </w:trPr>
        <w:tc>
          <w:tcPr>
            <w:tcW w:w="2079"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3738" w:type="dxa"/>
            <w:vMerge w:val="restart"/>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kern w:val="0"/>
                <w:sz w:val="21"/>
                <w:szCs w:val="21"/>
                <w:lang w:bidi="ar"/>
              </w:rPr>
              <w:t>供电可靠率（%）</w:t>
            </w:r>
          </w:p>
        </w:tc>
        <w:tc>
          <w:tcPr>
            <w:tcW w:w="1446"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kern w:val="0"/>
                <w:sz w:val="21"/>
                <w:szCs w:val="21"/>
                <w:lang w:bidi="ar"/>
              </w:rPr>
              <w:t>2020</w:t>
            </w:r>
          </w:p>
        </w:tc>
        <w:tc>
          <w:tcPr>
            <w:tcW w:w="1935"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kern w:val="0"/>
                <w:sz w:val="21"/>
                <w:szCs w:val="21"/>
                <w:lang w:bidi="ar"/>
              </w:rPr>
              <w:t>99.879</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52" w:hRule="atLeast"/>
        </w:trPr>
        <w:tc>
          <w:tcPr>
            <w:tcW w:w="2079"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3738"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1446"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kern w:val="0"/>
                <w:sz w:val="21"/>
                <w:szCs w:val="21"/>
                <w:lang w:bidi="ar"/>
              </w:rPr>
              <w:t>2025</w:t>
            </w:r>
          </w:p>
        </w:tc>
        <w:tc>
          <w:tcPr>
            <w:tcW w:w="1935"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kern w:val="0"/>
                <w:sz w:val="21"/>
                <w:szCs w:val="21"/>
                <w:lang w:bidi="ar"/>
              </w:rPr>
              <w:t>99.965</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407" w:hRule="atLeast"/>
        </w:trPr>
        <w:tc>
          <w:tcPr>
            <w:tcW w:w="2079"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3738" w:type="dxa"/>
            <w:vMerge w:val="restart"/>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kern w:val="0"/>
                <w:sz w:val="21"/>
                <w:szCs w:val="21"/>
                <w:lang w:bidi="ar"/>
              </w:rPr>
              <w:t>综合电压合格率（%）</w:t>
            </w:r>
          </w:p>
        </w:tc>
        <w:tc>
          <w:tcPr>
            <w:tcW w:w="1446"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kern w:val="0"/>
                <w:sz w:val="21"/>
                <w:szCs w:val="21"/>
                <w:lang w:bidi="ar"/>
              </w:rPr>
              <w:t>2020</w:t>
            </w:r>
          </w:p>
        </w:tc>
        <w:tc>
          <w:tcPr>
            <w:tcW w:w="1935"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kern w:val="0"/>
                <w:sz w:val="21"/>
                <w:szCs w:val="21"/>
                <w:lang w:bidi="ar"/>
              </w:rPr>
              <w:t>99.971</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63" w:hRule="atLeast"/>
        </w:trPr>
        <w:tc>
          <w:tcPr>
            <w:tcW w:w="2079"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3738"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1446"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kern w:val="0"/>
                <w:sz w:val="21"/>
                <w:szCs w:val="21"/>
                <w:lang w:bidi="ar"/>
              </w:rPr>
              <w:t>2025</w:t>
            </w:r>
          </w:p>
        </w:tc>
        <w:tc>
          <w:tcPr>
            <w:tcW w:w="1935"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kern w:val="0"/>
                <w:sz w:val="21"/>
                <w:szCs w:val="21"/>
                <w:lang w:bidi="ar"/>
              </w:rPr>
              <w:t>99.98</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52" w:hRule="atLeast"/>
        </w:trPr>
        <w:tc>
          <w:tcPr>
            <w:tcW w:w="2079"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3738" w:type="dxa"/>
            <w:vMerge w:val="restart"/>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kern w:val="0"/>
                <w:sz w:val="21"/>
                <w:szCs w:val="21"/>
                <w:lang w:bidi="ar"/>
              </w:rPr>
              <w:t>110千伏及以下综合线损率</w:t>
            </w:r>
            <w:r>
              <w:rPr>
                <w:rFonts w:hint="eastAsia" w:ascii="方正仿宋_GB2312" w:hAnsi="方正仿宋_GB2312" w:eastAsia="方正仿宋_GB2312" w:cs="方正仿宋_GB2312"/>
                <w:bCs/>
                <w:kern w:val="0"/>
                <w:sz w:val="21"/>
                <w:szCs w:val="21"/>
                <w:lang w:bidi="ar"/>
              </w:rPr>
              <w:br w:type="textWrapping"/>
            </w:r>
            <w:r>
              <w:rPr>
                <w:rFonts w:hint="eastAsia" w:ascii="方正仿宋_GB2312" w:hAnsi="方正仿宋_GB2312" w:eastAsia="方正仿宋_GB2312" w:cs="方正仿宋_GB2312"/>
                <w:bCs/>
                <w:kern w:val="0"/>
                <w:sz w:val="21"/>
                <w:szCs w:val="21"/>
                <w:lang w:bidi="ar"/>
              </w:rPr>
              <w:t>（%）</w:t>
            </w:r>
          </w:p>
        </w:tc>
        <w:tc>
          <w:tcPr>
            <w:tcW w:w="1446"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kern w:val="0"/>
                <w:sz w:val="21"/>
                <w:szCs w:val="21"/>
                <w:lang w:bidi="ar"/>
              </w:rPr>
              <w:t>2020</w:t>
            </w:r>
          </w:p>
        </w:tc>
        <w:tc>
          <w:tcPr>
            <w:tcW w:w="1935"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kern w:val="0"/>
                <w:sz w:val="21"/>
                <w:szCs w:val="21"/>
                <w:lang w:bidi="ar"/>
              </w:rPr>
              <w:t>5.6</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52" w:hRule="atLeast"/>
        </w:trPr>
        <w:tc>
          <w:tcPr>
            <w:tcW w:w="2079"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3738"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1446"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kern w:val="0"/>
                <w:sz w:val="21"/>
                <w:szCs w:val="21"/>
                <w:lang w:bidi="ar"/>
              </w:rPr>
              <w:t>2025</w:t>
            </w:r>
          </w:p>
        </w:tc>
        <w:tc>
          <w:tcPr>
            <w:tcW w:w="1935"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kern w:val="0"/>
                <w:sz w:val="21"/>
                <w:szCs w:val="21"/>
                <w:lang w:bidi="ar"/>
              </w:rPr>
              <w:t>4</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443" w:hRule="atLeast"/>
        </w:trPr>
        <w:tc>
          <w:tcPr>
            <w:tcW w:w="2079" w:type="dxa"/>
            <w:vMerge w:val="restart"/>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供电能力</w:t>
            </w:r>
          </w:p>
        </w:tc>
        <w:tc>
          <w:tcPr>
            <w:tcW w:w="3738" w:type="dxa"/>
            <w:vMerge w:val="restart"/>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农网户均配变容量（千伏安）</w:t>
            </w:r>
          </w:p>
        </w:tc>
        <w:tc>
          <w:tcPr>
            <w:tcW w:w="1446"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2020</w:t>
            </w:r>
          </w:p>
        </w:tc>
        <w:tc>
          <w:tcPr>
            <w:tcW w:w="1935"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52" w:hRule="atLeast"/>
        </w:trPr>
        <w:tc>
          <w:tcPr>
            <w:tcW w:w="2079"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3738"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1446"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2025</w:t>
            </w:r>
          </w:p>
        </w:tc>
        <w:tc>
          <w:tcPr>
            <w:tcW w:w="1935"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407" w:hRule="atLeast"/>
        </w:trPr>
        <w:tc>
          <w:tcPr>
            <w:tcW w:w="2079"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3738" w:type="dxa"/>
            <w:vMerge w:val="restart"/>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10千伏供电半径（公里）</w:t>
            </w:r>
          </w:p>
        </w:tc>
        <w:tc>
          <w:tcPr>
            <w:tcW w:w="1446"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2020</w:t>
            </w:r>
          </w:p>
        </w:tc>
        <w:tc>
          <w:tcPr>
            <w:tcW w:w="1935"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3.86</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407" w:hRule="atLeast"/>
        </w:trPr>
        <w:tc>
          <w:tcPr>
            <w:tcW w:w="2079"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3738"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1446"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2025</w:t>
            </w:r>
          </w:p>
        </w:tc>
        <w:tc>
          <w:tcPr>
            <w:tcW w:w="1935"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2.82</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407" w:hRule="atLeast"/>
        </w:trPr>
        <w:tc>
          <w:tcPr>
            <w:tcW w:w="2079"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3738" w:type="dxa"/>
            <w:vMerge w:val="restart"/>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0.4千伏供电半径（m）</w:t>
            </w:r>
          </w:p>
        </w:tc>
        <w:tc>
          <w:tcPr>
            <w:tcW w:w="1446"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2020</w:t>
            </w:r>
          </w:p>
        </w:tc>
        <w:tc>
          <w:tcPr>
            <w:tcW w:w="1935"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2516</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407" w:hRule="atLeast"/>
        </w:trPr>
        <w:tc>
          <w:tcPr>
            <w:tcW w:w="2079"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3738"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1446"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2025</w:t>
            </w:r>
          </w:p>
        </w:tc>
        <w:tc>
          <w:tcPr>
            <w:tcW w:w="1935"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2215</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407" w:hRule="atLeast"/>
        </w:trPr>
        <w:tc>
          <w:tcPr>
            <w:tcW w:w="2079" w:type="dxa"/>
            <w:vMerge w:val="restart"/>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网架结构</w:t>
            </w:r>
          </w:p>
        </w:tc>
        <w:tc>
          <w:tcPr>
            <w:tcW w:w="3738" w:type="dxa"/>
            <w:vMerge w:val="restart"/>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110千伏主变N-1通过率（%）</w:t>
            </w:r>
          </w:p>
        </w:tc>
        <w:tc>
          <w:tcPr>
            <w:tcW w:w="1446"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2020</w:t>
            </w:r>
          </w:p>
        </w:tc>
        <w:tc>
          <w:tcPr>
            <w:tcW w:w="1935"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75.47</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407" w:hRule="atLeast"/>
        </w:trPr>
        <w:tc>
          <w:tcPr>
            <w:tcW w:w="2079"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3738"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1446"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2025</w:t>
            </w:r>
          </w:p>
        </w:tc>
        <w:tc>
          <w:tcPr>
            <w:tcW w:w="1935"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100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407" w:hRule="atLeast"/>
        </w:trPr>
        <w:tc>
          <w:tcPr>
            <w:tcW w:w="2079"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3738" w:type="dxa"/>
            <w:vMerge w:val="restart"/>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110千伏线路N-1通过率（%）</w:t>
            </w:r>
          </w:p>
        </w:tc>
        <w:tc>
          <w:tcPr>
            <w:tcW w:w="1446"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2020</w:t>
            </w:r>
          </w:p>
        </w:tc>
        <w:tc>
          <w:tcPr>
            <w:tcW w:w="1935"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79.69</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407" w:hRule="atLeast"/>
        </w:trPr>
        <w:tc>
          <w:tcPr>
            <w:tcW w:w="2079"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3738"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1446"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2025</w:t>
            </w:r>
          </w:p>
        </w:tc>
        <w:tc>
          <w:tcPr>
            <w:tcW w:w="1935"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99.12</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407" w:hRule="atLeast"/>
        </w:trPr>
        <w:tc>
          <w:tcPr>
            <w:tcW w:w="2079"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3738" w:type="dxa"/>
            <w:vMerge w:val="restart"/>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35千伏主变N-1通过率（%）</w:t>
            </w:r>
          </w:p>
        </w:tc>
        <w:tc>
          <w:tcPr>
            <w:tcW w:w="1446"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2020</w:t>
            </w:r>
          </w:p>
        </w:tc>
        <w:tc>
          <w:tcPr>
            <w:tcW w:w="1935"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407" w:hRule="atLeast"/>
        </w:trPr>
        <w:tc>
          <w:tcPr>
            <w:tcW w:w="2079"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3738"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1446"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2025</w:t>
            </w:r>
          </w:p>
        </w:tc>
        <w:tc>
          <w:tcPr>
            <w:tcW w:w="1935"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407" w:hRule="atLeast"/>
        </w:trPr>
        <w:tc>
          <w:tcPr>
            <w:tcW w:w="2079"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3738" w:type="dxa"/>
            <w:vMerge w:val="restart"/>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35千伏线路N-1通过率（%）</w:t>
            </w:r>
          </w:p>
        </w:tc>
        <w:tc>
          <w:tcPr>
            <w:tcW w:w="1446"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2020</w:t>
            </w:r>
          </w:p>
        </w:tc>
        <w:tc>
          <w:tcPr>
            <w:tcW w:w="1935"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100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407" w:hRule="atLeast"/>
        </w:trPr>
        <w:tc>
          <w:tcPr>
            <w:tcW w:w="2079"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3738"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1446"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2025</w:t>
            </w:r>
          </w:p>
        </w:tc>
        <w:tc>
          <w:tcPr>
            <w:tcW w:w="1935"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100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407" w:hRule="atLeast"/>
        </w:trPr>
        <w:tc>
          <w:tcPr>
            <w:tcW w:w="2079"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3738" w:type="dxa"/>
            <w:vMerge w:val="restart"/>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10千伏线路N-1通过率（%）</w:t>
            </w:r>
          </w:p>
        </w:tc>
        <w:tc>
          <w:tcPr>
            <w:tcW w:w="1446"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2020</w:t>
            </w:r>
          </w:p>
        </w:tc>
        <w:tc>
          <w:tcPr>
            <w:tcW w:w="1935"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49.8</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407" w:hRule="atLeast"/>
        </w:trPr>
        <w:tc>
          <w:tcPr>
            <w:tcW w:w="2079"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3738"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1446"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2025</w:t>
            </w:r>
          </w:p>
        </w:tc>
        <w:tc>
          <w:tcPr>
            <w:tcW w:w="1935"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85</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407" w:hRule="atLeast"/>
        </w:trPr>
        <w:tc>
          <w:tcPr>
            <w:tcW w:w="2079"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3738" w:type="dxa"/>
            <w:vMerge w:val="restart"/>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10千伏标准化接线率（%）</w:t>
            </w:r>
          </w:p>
        </w:tc>
        <w:tc>
          <w:tcPr>
            <w:tcW w:w="1446"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2020</w:t>
            </w:r>
          </w:p>
        </w:tc>
        <w:tc>
          <w:tcPr>
            <w:tcW w:w="1935"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56.32</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407" w:hRule="atLeast"/>
        </w:trPr>
        <w:tc>
          <w:tcPr>
            <w:tcW w:w="2079"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3738"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1446"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2025</w:t>
            </w:r>
          </w:p>
        </w:tc>
        <w:tc>
          <w:tcPr>
            <w:tcW w:w="1935"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84.65</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407" w:hRule="atLeast"/>
        </w:trPr>
        <w:tc>
          <w:tcPr>
            <w:tcW w:w="2079" w:type="dxa"/>
            <w:vMerge w:val="restart"/>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配电自动化</w:t>
            </w:r>
          </w:p>
        </w:tc>
        <w:tc>
          <w:tcPr>
            <w:tcW w:w="3738" w:type="dxa"/>
            <w:vMerge w:val="restart"/>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配电自动化覆盖率（%）</w:t>
            </w:r>
          </w:p>
        </w:tc>
        <w:tc>
          <w:tcPr>
            <w:tcW w:w="1446"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2020</w:t>
            </w:r>
          </w:p>
        </w:tc>
        <w:tc>
          <w:tcPr>
            <w:tcW w:w="1935"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70.23</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407" w:hRule="atLeast"/>
        </w:trPr>
        <w:tc>
          <w:tcPr>
            <w:tcW w:w="2079"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3738"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1446"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2025</w:t>
            </w:r>
          </w:p>
        </w:tc>
        <w:tc>
          <w:tcPr>
            <w:tcW w:w="1935"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100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407" w:hRule="atLeast"/>
        </w:trPr>
        <w:tc>
          <w:tcPr>
            <w:tcW w:w="2079" w:type="dxa"/>
            <w:vMerge w:val="restart"/>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配电通信网</w:t>
            </w:r>
          </w:p>
        </w:tc>
        <w:tc>
          <w:tcPr>
            <w:tcW w:w="3738" w:type="dxa"/>
            <w:vMerge w:val="restart"/>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配电通信网覆盖率（%）</w:t>
            </w:r>
          </w:p>
        </w:tc>
        <w:tc>
          <w:tcPr>
            <w:tcW w:w="1446"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2020</w:t>
            </w:r>
          </w:p>
        </w:tc>
        <w:tc>
          <w:tcPr>
            <w:tcW w:w="1935"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23</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407" w:hRule="atLeast"/>
        </w:trPr>
        <w:tc>
          <w:tcPr>
            <w:tcW w:w="2079"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3738"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1446"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2025</w:t>
            </w:r>
          </w:p>
        </w:tc>
        <w:tc>
          <w:tcPr>
            <w:tcW w:w="1935"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100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407" w:hRule="atLeast"/>
        </w:trPr>
        <w:tc>
          <w:tcPr>
            <w:tcW w:w="2079" w:type="dxa"/>
            <w:vMerge w:val="restart"/>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装备水平</w:t>
            </w:r>
          </w:p>
        </w:tc>
        <w:tc>
          <w:tcPr>
            <w:tcW w:w="3738" w:type="dxa"/>
            <w:vMerge w:val="restart"/>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高损配变比例（%）</w:t>
            </w:r>
          </w:p>
        </w:tc>
        <w:tc>
          <w:tcPr>
            <w:tcW w:w="1446"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2020</w:t>
            </w:r>
          </w:p>
        </w:tc>
        <w:tc>
          <w:tcPr>
            <w:tcW w:w="1935"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407" w:hRule="atLeast"/>
        </w:trPr>
        <w:tc>
          <w:tcPr>
            <w:tcW w:w="2079"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3738"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1446"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2025</w:t>
            </w:r>
          </w:p>
        </w:tc>
        <w:tc>
          <w:tcPr>
            <w:tcW w:w="1935"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407" w:hRule="atLeast"/>
        </w:trPr>
        <w:tc>
          <w:tcPr>
            <w:tcW w:w="2079"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3738" w:type="dxa"/>
            <w:vMerge w:val="restart"/>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智能电表覆盖率（%）</w:t>
            </w:r>
          </w:p>
        </w:tc>
        <w:tc>
          <w:tcPr>
            <w:tcW w:w="1446"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2020</w:t>
            </w:r>
          </w:p>
        </w:tc>
        <w:tc>
          <w:tcPr>
            <w:tcW w:w="1935"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100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407" w:hRule="atLeast"/>
        </w:trPr>
        <w:tc>
          <w:tcPr>
            <w:tcW w:w="2079"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3738"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1446"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2025</w:t>
            </w:r>
          </w:p>
        </w:tc>
        <w:tc>
          <w:tcPr>
            <w:tcW w:w="1935"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100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407" w:hRule="atLeast"/>
        </w:trPr>
        <w:tc>
          <w:tcPr>
            <w:tcW w:w="2079" w:type="dxa"/>
            <w:vMerge w:val="restart"/>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新能源和分布式电源消纳</w:t>
            </w:r>
          </w:p>
        </w:tc>
        <w:tc>
          <w:tcPr>
            <w:tcW w:w="3738" w:type="dxa"/>
            <w:vMerge w:val="restart"/>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分布式电源渗透率（%）</w:t>
            </w:r>
          </w:p>
        </w:tc>
        <w:tc>
          <w:tcPr>
            <w:tcW w:w="1446"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2020</w:t>
            </w:r>
          </w:p>
        </w:tc>
        <w:tc>
          <w:tcPr>
            <w:tcW w:w="1935"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0.22</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461" w:hRule="atLeast"/>
        </w:trPr>
        <w:tc>
          <w:tcPr>
            <w:tcW w:w="2079"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3738"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p>
        </w:tc>
        <w:tc>
          <w:tcPr>
            <w:tcW w:w="1446"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2025</w:t>
            </w:r>
          </w:p>
        </w:tc>
        <w:tc>
          <w:tcPr>
            <w:tcW w:w="1935" w:type="dxa"/>
            <w:tcBorders>
              <w:tl2br w:val="nil"/>
              <w:tr2bl w:val="nil"/>
            </w:tcBorders>
            <w:shd w:val="clear" w:color="auto" w:fill="auto"/>
            <w:vAlign w:val="center"/>
          </w:tcPr>
          <w:p>
            <w:pPr>
              <w:jc w:val="center"/>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bCs/>
                <w:sz w:val="21"/>
                <w:szCs w:val="21"/>
              </w:rPr>
              <w:t>0.22</w:t>
            </w:r>
          </w:p>
        </w:tc>
      </w:tr>
    </w:tbl>
    <w:p>
      <w:pPr>
        <w:adjustRightInd w:val="0"/>
        <w:snapToGrid w:val="0"/>
        <w:spacing w:line="360" w:lineRule="auto"/>
        <w:ind w:firstLine="420"/>
        <w:jc w:val="center"/>
        <w:rPr>
          <w:rFonts w:eastAsia="仿宋"/>
        </w:rPr>
      </w:pPr>
    </w:p>
    <w:p>
      <w:pPr>
        <w:pStyle w:val="2"/>
        <w:rPr>
          <w:rFonts w:eastAsia="仿宋"/>
        </w:rPr>
      </w:pPr>
    </w:p>
    <w:p>
      <w:pPr>
        <w:pStyle w:val="2"/>
        <w:rPr>
          <w:rFonts w:eastAsia="仿宋"/>
        </w:rPr>
      </w:pPr>
    </w:p>
    <w:p>
      <w:pPr>
        <w:pStyle w:val="2"/>
        <w:rPr>
          <w:rFonts w:eastAsia="仿宋"/>
        </w:rPr>
      </w:pPr>
    </w:p>
    <w:p>
      <w:pPr>
        <w:pStyle w:val="150"/>
        <w:keepNext w:val="0"/>
        <w:keepLines w:val="0"/>
        <w:pageBreakBefore w:val="0"/>
        <w:widowControl w:val="0"/>
        <w:kinsoku/>
        <w:wordWrap/>
        <w:overflowPunct/>
        <w:topLinePunct w:val="0"/>
        <w:autoSpaceDE/>
        <w:autoSpaceDN/>
        <w:bidi w:val="0"/>
        <w:adjustRightInd w:val="0"/>
        <w:snapToGrid w:val="0"/>
        <w:spacing w:line="640" w:lineRule="exact"/>
        <w:ind w:left="0" w:leftChars="0" w:firstLine="0" w:firstLineChars="0"/>
        <w:jc w:val="center"/>
        <w:textAlignment w:val="auto"/>
        <w:rPr>
          <w:rFonts w:hint="eastAsia" w:ascii="黑体" w:hAnsi="黑体" w:eastAsia="黑体" w:cs="黑体"/>
          <w:b w:val="0"/>
          <w:bCs w:val="0"/>
          <w:kern w:val="0"/>
          <w:sz w:val="28"/>
          <w:szCs w:val="28"/>
          <w:lang w:val="en-US" w:eastAsia="zh-CN" w:bidi="ar-SA"/>
        </w:rPr>
      </w:pPr>
      <w:r>
        <w:rPr>
          <w:rFonts w:hint="eastAsia" w:ascii="黑体" w:hAnsi="黑体" w:eastAsia="黑体" w:cs="黑体"/>
          <w:b w:val="0"/>
          <w:bCs w:val="0"/>
          <w:kern w:val="0"/>
          <w:sz w:val="28"/>
          <w:szCs w:val="28"/>
          <w:lang w:val="en-US" w:eastAsia="zh-CN" w:bidi="ar-SA"/>
        </w:rPr>
        <w:t>表6-2  电网差异化规划目标</w:t>
      </w:r>
    </w:p>
    <w:tbl>
      <w:tblPr>
        <w:tblStyle w:val="88"/>
        <w:tblW w:w="8535" w:type="dxa"/>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5" w:type="dxa"/>
          <w:left w:w="15" w:type="dxa"/>
          <w:bottom w:w="15" w:type="dxa"/>
          <w:right w:w="15" w:type="dxa"/>
        </w:tblCellMar>
      </w:tblPr>
      <w:tblGrid>
        <w:gridCol w:w="936"/>
        <w:gridCol w:w="691"/>
        <w:gridCol w:w="691"/>
        <w:gridCol w:w="623"/>
        <w:gridCol w:w="624"/>
        <w:gridCol w:w="622"/>
        <w:gridCol w:w="623"/>
        <w:gridCol w:w="620"/>
        <w:gridCol w:w="621"/>
        <w:gridCol w:w="621"/>
        <w:gridCol w:w="621"/>
        <w:gridCol w:w="621"/>
        <w:gridCol w:w="621"/>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405" w:hRule="atLeast"/>
        </w:trPr>
        <w:tc>
          <w:tcPr>
            <w:tcW w:w="936" w:type="dxa"/>
            <w:vMerge w:val="restart"/>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单位</w:t>
            </w:r>
          </w:p>
        </w:tc>
        <w:tc>
          <w:tcPr>
            <w:tcW w:w="5115" w:type="dxa"/>
            <w:gridSpan w:val="8"/>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供电质量</w:t>
            </w:r>
          </w:p>
        </w:tc>
        <w:tc>
          <w:tcPr>
            <w:tcW w:w="2484" w:type="dxa"/>
            <w:gridSpan w:val="4"/>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供电能力</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810" w:hRule="atLeast"/>
        </w:trPr>
        <w:tc>
          <w:tcPr>
            <w:tcW w:w="936"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sz w:val="21"/>
                <w:szCs w:val="21"/>
              </w:rPr>
            </w:pPr>
          </w:p>
        </w:tc>
        <w:tc>
          <w:tcPr>
            <w:tcW w:w="1382" w:type="dxa"/>
            <w:gridSpan w:val="2"/>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户均停电时间（h）</w:t>
            </w:r>
          </w:p>
        </w:tc>
        <w:tc>
          <w:tcPr>
            <w:tcW w:w="1247" w:type="dxa"/>
            <w:gridSpan w:val="2"/>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供电可靠率（%）</w:t>
            </w:r>
          </w:p>
        </w:tc>
        <w:tc>
          <w:tcPr>
            <w:tcW w:w="1245" w:type="dxa"/>
            <w:gridSpan w:val="2"/>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综合电压合格率（%）</w:t>
            </w:r>
          </w:p>
        </w:tc>
        <w:tc>
          <w:tcPr>
            <w:tcW w:w="1241" w:type="dxa"/>
            <w:gridSpan w:val="2"/>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110千伏及以下综合线损率</w:t>
            </w:r>
            <w:r>
              <w:rPr>
                <w:rFonts w:hint="eastAsia" w:ascii="方正仿宋_GB2312" w:hAnsi="方正仿宋_GB2312" w:eastAsia="方正仿宋_GB2312" w:cs="方正仿宋_GB2312"/>
                <w:kern w:val="0"/>
                <w:sz w:val="21"/>
                <w:szCs w:val="21"/>
                <w:lang w:bidi="ar"/>
              </w:rPr>
              <w:br w:type="textWrapping"/>
            </w:r>
            <w:r>
              <w:rPr>
                <w:rFonts w:hint="eastAsia" w:ascii="方正仿宋_GB2312" w:hAnsi="方正仿宋_GB2312" w:eastAsia="方正仿宋_GB2312" w:cs="方正仿宋_GB2312"/>
                <w:kern w:val="0"/>
                <w:sz w:val="21"/>
                <w:szCs w:val="21"/>
                <w:lang w:bidi="ar"/>
              </w:rPr>
              <w:t>（%）</w:t>
            </w:r>
          </w:p>
        </w:tc>
        <w:tc>
          <w:tcPr>
            <w:tcW w:w="1242" w:type="dxa"/>
            <w:gridSpan w:val="2"/>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110（66）千伏容载比</w:t>
            </w:r>
          </w:p>
        </w:tc>
        <w:tc>
          <w:tcPr>
            <w:tcW w:w="1242" w:type="dxa"/>
            <w:gridSpan w:val="2"/>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35千伏容载比</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90" w:hRule="atLeast"/>
        </w:trPr>
        <w:tc>
          <w:tcPr>
            <w:tcW w:w="936" w:type="dxa"/>
            <w:vMerge w:val="continue"/>
            <w:tcBorders>
              <w:tl2br w:val="nil"/>
              <w:tr2bl w:val="nil"/>
            </w:tcBorders>
            <w:shd w:val="clear" w:color="auto" w:fill="auto"/>
            <w:vAlign w:val="center"/>
          </w:tcPr>
          <w:p>
            <w:pPr>
              <w:jc w:val="center"/>
              <w:rPr>
                <w:rFonts w:hint="eastAsia" w:ascii="方正仿宋_GB2312" w:hAnsi="方正仿宋_GB2312" w:eastAsia="方正仿宋_GB2312" w:cs="方正仿宋_GB2312"/>
                <w:sz w:val="21"/>
                <w:szCs w:val="21"/>
              </w:rPr>
            </w:pPr>
          </w:p>
        </w:tc>
        <w:tc>
          <w:tcPr>
            <w:tcW w:w="691"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2020</w:t>
            </w:r>
          </w:p>
        </w:tc>
        <w:tc>
          <w:tcPr>
            <w:tcW w:w="691"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2025</w:t>
            </w:r>
          </w:p>
        </w:tc>
        <w:tc>
          <w:tcPr>
            <w:tcW w:w="623"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2020</w:t>
            </w:r>
          </w:p>
        </w:tc>
        <w:tc>
          <w:tcPr>
            <w:tcW w:w="624"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2025</w:t>
            </w:r>
          </w:p>
        </w:tc>
        <w:tc>
          <w:tcPr>
            <w:tcW w:w="622"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2020</w:t>
            </w:r>
          </w:p>
        </w:tc>
        <w:tc>
          <w:tcPr>
            <w:tcW w:w="623"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2025</w:t>
            </w:r>
          </w:p>
        </w:tc>
        <w:tc>
          <w:tcPr>
            <w:tcW w:w="620"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2020</w:t>
            </w:r>
          </w:p>
        </w:tc>
        <w:tc>
          <w:tcPr>
            <w:tcW w:w="621"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2025</w:t>
            </w:r>
          </w:p>
        </w:tc>
        <w:tc>
          <w:tcPr>
            <w:tcW w:w="621"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2020</w:t>
            </w:r>
          </w:p>
        </w:tc>
        <w:tc>
          <w:tcPr>
            <w:tcW w:w="621"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2025</w:t>
            </w:r>
          </w:p>
        </w:tc>
        <w:tc>
          <w:tcPr>
            <w:tcW w:w="621"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2020</w:t>
            </w:r>
          </w:p>
        </w:tc>
        <w:tc>
          <w:tcPr>
            <w:tcW w:w="621"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2025</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90" w:hRule="atLeast"/>
        </w:trPr>
        <w:tc>
          <w:tcPr>
            <w:tcW w:w="936"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西咸新区</w:t>
            </w:r>
          </w:p>
        </w:tc>
        <w:tc>
          <w:tcPr>
            <w:tcW w:w="691"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10.61</w:t>
            </w:r>
          </w:p>
        </w:tc>
        <w:tc>
          <w:tcPr>
            <w:tcW w:w="691"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bCs/>
                <w:kern w:val="0"/>
                <w:sz w:val="21"/>
                <w:szCs w:val="21"/>
                <w:lang w:bidi="ar"/>
              </w:rPr>
              <w:t>3.066</w:t>
            </w:r>
          </w:p>
        </w:tc>
        <w:tc>
          <w:tcPr>
            <w:tcW w:w="623"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bCs/>
                <w:kern w:val="0"/>
                <w:sz w:val="21"/>
                <w:szCs w:val="21"/>
                <w:lang w:bidi="ar"/>
              </w:rPr>
              <w:t>99.879</w:t>
            </w:r>
          </w:p>
        </w:tc>
        <w:tc>
          <w:tcPr>
            <w:tcW w:w="624"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99.965</w:t>
            </w:r>
          </w:p>
        </w:tc>
        <w:tc>
          <w:tcPr>
            <w:tcW w:w="622"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99.971</w:t>
            </w:r>
          </w:p>
        </w:tc>
        <w:tc>
          <w:tcPr>
            <w:tcW w:w="623"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99.98</w:t>
            </w:r>
          </w:p>
        </w:tc>
        <w:tc>
          <w:tcPr>
            <w:tcW w:w="620"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5.6</w:t>
            </w:r>
          </w:p>
        </w:tc>
        <w:tc>
          <w:tcPr>
            <w:tcW w:w="621"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w:t>
            </w:r>
          </w:p>
        </w:tc>
        <w:tc>
          <w:tcPr>
            <w:tcW w:w="621"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3.29</w:t>
            </w:r>
          </w:p>
        </w:tc>
        <w:tc>
          <w:tcPr>
            <w:tcW w:w="621"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2.51</w:t>
            </w:r>
          </w:p>
        </w:tc>
        <w:tc>
          <w:tcPr>
            <w:tcW w:w="621"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1.81</w:t>
            </w:r>
          </w:p>
        </w:tc>
        <w:tc>
          <w:tcPr>
            <w:tcW w:w="621"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0</w:t>
            </w:r>
          </w:p>
        </w:tc>
      </w:tr>
    </w:tbl>
    <w:p>
      <w:pPr>
        <w:adjustRightInd w:val="0"/>
        <w:snapToGrid w:val="0"/>
        <w:spacing w:line="360" w:lineRule="auto"/>
        <w:ind w:firstLine="442" w:firstLineChars="200"/>
        <w:rPr>
          <w:rFonts w:hint="eastAsia" w:cs="Times New Roman"/>
          <w:b/>
          <w:bCs/>
          <w:kern w:val="0"/>
          <w:sz w:val="22"/>
          <w:szCs w:val="22"/>
          <w:lang w:val="en-US" w:eastAsia="zh-CN" w:bidi="ar-SA"/>
        </w:rPr>
      </w:pPr>
    </w:p>
    <w:p>
      <w:pPr>
        <w:adjustRightInd w:val="0"/>
        <w:snapToGrid w:val="0"/>
        <w:spacing w:line="360" w:lineRule="auto"/>
        <w:ind w:firstLine="442" w:firstLineChars="200"/>
        <w:rPr>
          <w:rFonts w:hint="eastAsia" w:cs="Times New Roman"/>
          <w:b/>
          <w:bCs/>
          <w:kern w:val="0"/>
          <w:sz w:val="22"/>
          <w:szCs w:val="22"/>
          <w:lang w:val="en-US" w:eastAsia="zh-CN" w:bidi="ar-SA"/>
        </w:rPr>
      </w:pPr>
    </w:p>
    <w:p>
      <w:pPr>
        <w:pStyle w:val="150"/>
        <w:keepNext w:val="0"/>
        <w:keepLines w:val="0"/>
        <w:pageBreakBefore w:val="0"/>
        <w:widowControl w:val="0"/>
        <w:kinsoku/>
        <w:wordWrap/>
        <w:overflowPunct/>
        <w:topLinePunct w:val="0"/>
        <w:autoSpaceDE/>
        <w:autoSpaceDN/>
        <w:bidi w:val="0"/>
        <w:adjustRightInd w:val="0"/>
        <w:snapToGrid w:val="0"/>
        <w:spacing w:line="400" w:lineRule="exact"/>
        <w:ind w:left="0" w:leftChars="0" w:firstLine="0" w:firstLineChars="0"/>
        <w:jc w:val="center"/>
        <w:textAlignment w:val="auto"/>
        <w:rPr>
          <w:rFonts w:hint="eastAsia" w:ascii="黑体" w:hAnsi="黑体" w:eastAsia="黑体" w:cs="黑体"/>
          <w:b w:val="0"/>
          <w:bCs w:val="0"/>
          <w:kern w:val="0"/>
          <w:sz w:val="28"/>
          <w:szCs w:val="28"/>
          <w:lang w:val="en-US" w:eastAsia="zh-CN" w:bidi="ar-SA"/>
        </w:rPr>
      </w:pPr>
      <w:r>
        <w:rPr>
          <w:rFonts w:hint="eastAsia" w:ascii="黑体" w:hAnsi="黑体" w:eastAsia="黑体" w:cs="黑体"/>
          <w:b w:val="0"/>
          <w:bCs w:val="0"/>
          <w:kern w:val="0"/>
          <w:sz w:val="28"/>
          <w:szCs w:val="28"/>
          <w:lang w:val="en-US" w:eastAsia="zh-CN" w:bidi="ar-SA"/>
        </w:rPr>
        <w:t>表6-3</w:t>
      </w:r>
    </w:p>
    <w:tbl>
      <w:tblPr>
        <w:tblStyle w:val="88"/>
        <w:tblW w:w="8535" w:type="dxa"/>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5" w:type="dxa"/>
          <w:left w:w="15" w:type="dxa"/>
          <w:bottom w:w="15" w:type="dxa"/>
          <w:right w:w="15" w:type="dxa"/>
        </w:tblCellMar>
      </w:tblPr>
      <w:tblGrid>
        <w:gridCol w:w="666"/>
        <w:gridCol w:w="665"/>
        <w:gridCol w:w="600"/>
        <w:gridCol w:w="601"/>
        <w:gridCol w:w="600"/>
        <w:gridCol w:w="600"/>
        <w:gridCol w:w="599"/>
        <w:gridCol w:w="601"/>
        <w:gridCol w:w="600"/>
        <w:gridCol w:w="600"/>
        <w:gridCol w:w="601"/>
        <w:gridCol w:w="601"/>
        <w:gridCol w:w="601"/>
        <w:gridCol w:w="600"/>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405" w:hRule="atLeast"/>
        </w:trPr>
        <w:tc>
          <w:tcPr>
            <w:tcW w:w="7334" w:type="dxa"/>
            <w:gridSpan w:val="12"/>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网架结构</w:t>
            </w:r>
          </w:p>
        </w:tc>
        <w:tc>
          <w:tcPr>
            <w:tcW w:w="1201" w:type="dxa"/>
            <w:gridSpan w:val="2"/>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配电自动化</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810" w:hRule="atLeast"/>
        </w:trPr>
        <w:tc>
          <w:tcPr>
            <w:tcW w:w="1331" w:type="dxa"/>
            <w:gridSpan w:val="2"/>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110(66)千伏主变N-1通过率（%）</w:t>
            </w:r>
          </w:p>
        </w:tc>
        <w:tc>
          <w:tcPr>
            <w:tcW w:w="1201" w:type="dxa"/>
            <w:gridSpan w:val="2"/>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110(66)千伏线路N-1通过率（%）</w:t>
            </w:r>
          </w:p>
        </w:tc>
        <w:tc>
          <w:tcPr>
            <w:tcW w:w="1200" w:type="dxa"/>
            <w:gridSpan w:val="2"/>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35千伏主变N-1通过率（%）</w:t>
            </w:r>
          </w:p>
        </w:tc>
        <w:tc>
          <w:tcPr>
            <w:tcW w:w="1200" w:type="dxa"/>
            <w:gridSpan w:val="2"/>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35千伏线路N-1通过率（%）</w:t>
            </w:r>
          </w:p>
        </w:tc>
        <w:tc>
          <w:tcPr>
            <w:tcW w:w="1200" w:type="dxa"/>
            <w:gridSpan w:val="2"/>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10千伏线路N-1通过率（%）</w:t>
            </w:r>
          </w:p>
        </w:tc>
        <w:tc>
          <w:tcPr>
            <w:tcW w:w="1202" w:type="dxa"/>
            <w:gridSpan w:val="2"/>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10千伏标准化接线率（%）</w:t>
            </w:r>
          </w:p>
        </w:tc>
        <w:tc>
          <w:tcPr>
            <w:tcW w:w="1201" w:type="dxa"/>
            <w:gridSpan w:val="2"/>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配电自动化覆盖率（%）</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0" w:hRule="atLeast"/>
        </w:trPr>
        <w:tc>
          <w:tcPr>
            <w:tcW w:w="666"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2020</w:t>
            </w:r>
          </w:p>
        </w:tc>
        <w:tc>
          <w:tcPr>
            <w:tcW w:w="665"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2025</w:t>
            </w:r>
          </w:p>
        </w:tc>
        <w:tc>
          <w:tcPr>
            <w:tcW w:w="600"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2020</w:t>
            </w:r>
          </w:p>
        </w:tc>
        <w:tc>
          <w:tcPr>
            <w:tcW w:w="601"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2025</w:t>
            </w:r>
          </w:p>
        </w:tc>
        <w:tc>
          <w:tcPr>
            <w:tcW w:w="600"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2020</w:t>
            </w:r>
          </w:p>
        </w:tc>
        <w:tc>
          <w:tcPr>
            <w:tcW w:w="600"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2025</w:t>
            </w:r>
          </w:p>
        </w:tc>
        <w:tc>
          <w:tcPr>
            <w:tcW w:w="599"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2020</w:t>
            </w:r>
          </w:p>
        </w:tc>
        <w:tc>
          <w:tcPr>
            <w:tcW w:w="601"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2025</w:t>
            </w:r>
          </w:p>
        </w:tc>
        <w:tc>
          <w:tcPr>
            <w:tcW w:w="600"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2020</w:t>
            </w:r>
          </w:p>
        </w:tc>
        <w:tc>
          <w:tcPr>
            <w:tcW w:w="600"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2025</w:t>
            </w:r>
          </w:p>
        </w:tc>
        <w:tc>
          <w:tcPr>
            <w:tcW w:w="601"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2020</w:t>
            </w:r>
          </w:p>
        </w:tc>
        <w:tc>
          <w:tcPr>
            <w:tcW w:w="601"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2025</w:t>
            </w:r>
          </w:p>
        </w:tc>
        <w:tc>
          <w:tcPr>
            <w:tcW w:w="601"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2020</w:t>
            </w:r>
          </w:p>
        </w:tc>
        <w:tc>
          <w:tcPr>
            <w:tcW w:w="600"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2025</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0" w:hRule="atLeast"/>
        </w:trPr>
        <w:tc>
          <w:tcPr>
            <w:tcW w:w="666" w:type="dxa"/>
            <w:tcBorders>
              <w:tl2br w:val="nil"/>
              <w:tr2bl w:val="nil"/>
            </w:tcBorders>
            <w:shd w:val="clear" w:color="auto" w:fill="auto"/>
            <w:vAlign w:val="bottom"/>
          </w:tcPr>
          <w:p>
            <w:pPr>
              <w:widowControl/>
              <w:jc w:val="center"/>
              <w:textAlignment w:val="bottom"/>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75.47</w:t>
            </w:r>
          </w:p>
        </w:tc>
        <w:tc>
          <w:tcPr>
            <w:tcW w:w="665" w:type="dxa"/>
            <w:tcBorders>
              <w:tl2br w:val="nil"/>
              <w:tr2bl w:val="nil"/>
            </w:tcBorders>
            <w:shd w:val="clear" w:color="auto" w:fill="auto"/>
            <w:vAlign w:val="bottom"/>
          </w:tcPr>
          <w:p>
            <w:pPr>
              <w:widowControl/>
              <w:jc w:val="center"/>
              <w:textAlignment w:val="bottom"/>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100</w:t>
            </w:r>
          </w:p>
        </w:tc>
        <w:tc>
          <w:tcPr>
            <w:tcW w:w="600" w:type="dxa"/>
            <w:tcBorders>
              <w:tl2br w:val="nil"/>
              <w:tr2bl w:val="nil"/>
            </w:tcBorders>
            <w:shd w:val="clear" w:color="auto" w:fill="auto"/>
            <w:vAlign w:val="bottom"/>
          </w:tcPr>
          <w:p>
            <w:pPr>
              <w:widowControl/>
              <w:jc w:val="center"/>
              <w:textAlignment w:val="bottom"/>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79.69</w:t>
            </w:r>
          </w:p>
        </w:tc>
        <w:tc>
          <w:tcPr>
            <w:tcW w:w="601" w:type="dxa"/>
            <w:tcBorders>
              <w:tl2br w:val="nil"/>
              <w:tr2bl w:val="nil"/>
            </w:tcBorders>
            <w:shd w:val="clear" w:color="auto" w:fill="auto"/>
            <w:vAlign w:val="bottom"/>
          </w:tcPr>
          <w:p>
            <w:pPr>
              <w:widowControl/>
              <w:jc w:val="center"/>
              <w:textAlignment w:val="bottom"/>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99.12</w:t>
            </w:r>
          </w:p>
        </w:tc>
        <w:tc>
          <w:tcPr>
            <w:tcW w:w="600" w:type="dxa"/>
            <w:tcBorders>
              <w:tl2br w:val="nil"/>
              <w:tr2bl w:val="nil"/>
            </w:tcBorders>
            <w:shd w:val="clear" w:color="auto" w:fill="auto"/>
            <w:vAlign w:val="bottom"/>
          </w:tcPr>
          <w:p>
            <w:pPr>
              <w:widowControl/>
              <w:jc w:val="center"/>
              <w:textAlignment w:val="bottom"/>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0</w:t>
            </w:r>
          </w:p>
        </w:tc>
        <w:tc>
          <w:tcPr>
            <w:tcW w:w="600" w:type="dxa"/>
            <w:tcBorders>
              <w:tl2br w:val="nil"/>
              <w:tr2bl w:val="nil"/>
            </w:tcBorders>
            <w:shd w:val="clear" w:color="auto" w:fill="auto"/>
            <w:vAlign w:val="bottom"/>
          </w:tcPr>
          <w:p>
            <w:pPr>
              <w:widowControl/>
              <w:jc w:val="center"/>
              <w:textAlignment w:val="bottom"/>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w:t>
            </w:r>
          </w:p>
        </w:tc>
        <w:tc>
          <w:tcPr>
            <w:tcW w:w="599" w:type="dxa"/>
            <w:tcBorders>
              <w:tl2br w:val="nil"/>
              <w:tr2bl w:val="nil"/>
            </w:tcBorders>
            <w:shd w:val="clear" w:color="auto" w:fill="auto"/>
            <w:vAlign w:val="bottom"/>
          </w:tcPr>
          <w:p>
            <w:pPr>
              <w:widowControl/>
              <w:jc w:val="center"/>
              <w:textAlignment w:val="bottom"/>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100</w:t>
            </w:r>
          </w:p>
        </w:tc>
        <w:tc>
          <w:tcPr>
            <w:tcW w:w="601" w:type="dxa"/>
            <w:tcBorders>
              <w:tl2br w:val="nil"/>
              <w:tr2bl w:val="nil"/>
            </w:tcBorders>
            <w:shd w:val="clear" w:color="auto" w:fill="auto"/>
            <w:vAlign w:val="bottom"/>
          </w:tcPr>
          <w:p>
            <w:pPr>
              <w:widowControl/>
              <w:jc w:val="center"/>
              <w:textAlignment w:val="bottom"/>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100</w:t>
            </w:r>
          </w:p>
        </w:tc>
        <w:tc>
          <w:tcPr>
            <w:tcW w:w="600"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49.8</w:t>
            </w:r>
          </w:p>
        </w:tc>
        <w:tc>
          <w:tcPr>
            <w:tcW w:w="600"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85</w:t>
            </w:r>
          </w:p>
        </w:tc>
        <w:tc>
          <w:tcPr>
            <w:tcW w:w="601"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56.32</w:t>
            </w:r>
          </w:p>
        </w:tc>
        <w:tc>
          <w:tcPr>
            <w:tcW w:w="601"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84.65</w:t>
            </w:r>
          </w:p>
        </w:tc>
        <w:tc>
          <w:tcPr>
            <w:tcW w:w="601"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70.23</w:t>
            </w:r>
          </w:p>
        </w:tc>
        <w:tc>
          <w:tcPr>
            <w:tcW w:w="600"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100</w:t>
            </w:r>
          </w:p>
        </w:tc>
      </w:tr>
    </w:tbl>
    <w:p>
      <w:pPr>
        <w:adjustRightInd w:val="0"/>
        <w:snapToGrid w:val="0"/>
        <w:spacing w:line="360" w:lineRule="auto"/>
        <w:ind w:firstLine="560" w:firstLineChars="200"/>
        <w:rPr>
          <w:rFonts w:eastAsia="仿宋"/>
          <w:sz w:val="28"/>
        </w:rPr>
      </w:pPr>
    </w:p>
    <w:p>
      <w:pPr>
        <w:pStyle w:val="7"/>
        <w:numPr>
          <w:ilvl w:val="3"/>
          <w:numId w:val="23"/>
        </w:numPr>
        <w:spacing w:before="120" w:after="120"/>
        <w:ind w:left="709" w:hanging="709"/>
        <w:rPr>
          <w:rFonts w:eastAsia="仿宋"/>
        </w:rPr>
      </w:pPr>
      <w:bookmarkStart w:id="682" w:name="_Toc471324770"/>
      <w:bookmarkEnd w:id="682"/>
      <w:bookmarkStart w:id="683" w:name="_Toc468886556"/>
      <w:bookmarkEnd w:id="683"/>
      <w:bookmarkStart w:id="684" w:name="_Toc471315561"/>
      <w:bookmarkEnd w:id="684"/>
      <w:bookmarkStart w:id="685" w:name="_Toc37416168"/>
      <w:bookmarkStart w:id="686" w:name="_Toc24841"/>
      <w:bookmarkStart w:id="687" w:name="_Toc37168002"/>
      <w:bookmarkStart w:id="688" w:name="_Toc36799431"/>
      <w:r>
        <w:rPr>
          <w:rFonts w:eastAsia="仿宋"/>
        </w:rPr>
        <w:t xml:space="preserve"> 2035年发展目标</w:t>
      </w:r>
      <w:bookmarkEnd w:id="685"/>
      <w:bookmarkEnd w:id="686"/>
      <w:bookmarkEnd w:id="687"/>
      <w:bookmarkEnd w:id="688"/>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2035年，基本实现“指标一流、技术领先、性能优良、运营优质的世界一流电网”规划总体目标。</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西咸新区整体供电可靠率达到99.999%，综合电压合格率高于99.99%，“N-1”通过率100%，配电自动化覆盖率100%，满足各类新能源、分布式电源和多元化负荷发展需求。</w:t>
      </w:r>
    </w:p>
    <w:bookmarkEnd w:id="665"/>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rPr>
      </w:pPr>
      <w:bookmarkStart w:id="689" w:name="_Toc74041196"/>
      <w:bookmarkStart w:id="690" w:name="_Toc3222"/>
      <w:r>
        <w:rPr>
          <w:rFonts w:hint="eastAsia" w:ascii="黑体" w:hAnsi="黑体" w:eastAsia="黑体" w:cs="黑体"/>
          <w:b w:val="0"/>
          <w:bCs w:val="0"/>
          <w:sz w:val="32"/>
          <w:szCs w:val="32"/>
        </w:rPr>
        <w:t>供电分区划分</w:t>
      </w:r>
      <w:bookmarkEnd w:id="689"/>
      <w:bookmarkEnd w:id="690"/>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691" w:name="_Toc74041197"/>
      <w:bookmarkStart w:id="692" w:name="_Toc59973934"/>
      <w:r>
        <w:rPr>
          <w:rFonts w:eastAsia="仿宋"/>
          <w:sz w:val="32"/>
          <w:szCs w:val="32"/>
        </w:rPr>
        <w:t>供电区划分结果</w:t>
      </w:r>
      <w:bookmarkEnd w:id="691"/>
      <w:bookmarkEnd w:id="692"/>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西咸新区从不同区域的吸引力分析来看，规划形成核心板块、田园社区和优美小镇三种城市功能组团。核心板块规划将建成功能高度集聚，体现大合空间组织；田园社区规划将建成功能中度集聚，体现空间疏密过渡；小镇片区规划将建成功能较低集聚，体现现代田园城市特色。</w:t>
      </w:r>
    </w:p>
    <w:p>
      <w:pPr>
        <w:pStyle w:val="2"/>
        <w:rPr>
          <w:rFonts w:hint="eastAsia"/>
          <w:lang w:val="en-US" w:eastAsia="zh-CN"/>
        </w:rPr>
      </w:pPr>
    </w:p>
    <w:p>
      <w:pPr>
        <w:adjustRightInd w:val="0"/>
        <w:snapToGrid w:val="0"/>
        <w:spacing w:line="360" w:lineRule="auto"/>
        <w:ind w:firstLine="560" w:firstLineChars="200"/>
        <w:jc w:val="center"/>
        <w:rPr>
          <w:rFonts w:eastAsia="仿宋"/>
          <w:sz w:val="28"/>
        </w:rPr>
      </w:pPr>
      <w:r>
        <w:rPr>
          <w:rFonts w:eastAsia="仿宋"/>
          <w:sz w:val="28"/>
        </w:rPr>
        <w:drawing>
          <wp:inline distT="0" distB="0" distL="0" distR="0">
            <wp:extent cx="3364865" cy="3044825"/>
            <wp:effectExtent l="0" t="0" r="6985" b="3175"/>
            <wp:docPr id="31" name="图片框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框 1055"/>
                    <pic:cNvPicPr>
                      <a:picLocks noChangeAspect="1" noChangeArrowheads="1"/>
                    </pic:cNvPicPr>
                  </pic:nvPicPr>
                  <pic:blipFill>
                    <a:blip r:embed="rId17" cstate="print">
                      <a:extLst>
                        <a:ext uri="{28A0092B-C50C-407E-A947-70E740481C1C}">
                          <a14:useLocalDpi xmlns:a14="http://schemas.microsoft.com/office/drawing/2010/main" val="0"/>
                        </a:ext>
                      </a:extLst>
                    </a:blip>
                    <a:srcRect l="46402" t="14458" r="9023" b="13734"/>
                    <a:stretch>
                      <a:fillRect/>
                    </a:stretch>
                  </pic:blipFill>
                  <pic:spPr>
                    <a:xfrm>
                      <a:off x="0" y="0"/>
                      <a:ext cx="3364865" cy="3044825"/>
                    </a:xfrm>
                    <a:prstGeom prst="rect">
                      <a:avLst/>
                    </a:prstGeom>
                    <a:noFill/>
                    <a:ln>
                      <a:noFill/>
                    </a:ln>
                  </pic:spPr>
                </pic:pic>
              </a:graphicData>
            </a:graphic>
          </wp:inline>
        </w:drawing>
      </w:r>
    </w:p>
    <w:p>
      <w:pPr>
        <w:pStyle w:val="150"/>
        <w:keepNext w:val="0"/>
        <w:keepLines w:val="0"/>
        <w:pageBreakBefore w:val="0"/>
        <w:widowControl w:val="0"/>
        <w:kinsoku/>
        <w:wordWrap/>
        <w:overflowPunct/>
        <w:topLinePunct w:val="0"/>
        <w:autoSpaceDE/>
        <w:autoSpaceDN/>
        <w:bidi w:val="0"/>
        <w:adjustRightInd w:val="0"/>
        <w:snapToGrid w:val="0"/>
        <w:spacing w:line="400" w:lineRule="exact"/>
        <w:ind w:left="0" w:leftChars="0" w:firstLine="0" w:firstLineChars="0"/>
        <w:jc w:val="center"/>
        <w:textAlignment w:val="auto"/>
        <w:rPr>
          <w:rFonts w:hint="eastAsia" w:ascii="黑体" w:hAnsi="黑体" w:eastAsia="黑体" w:cs="黑体"/>
          <w:b w:val="0"/>
          <w:bCs w:val="0"/>
          <w:kern w:val="0"/>
          <w:sz w:val="21"/>
          <w:szCs w:val="21"/>
          <w:lang w:val="en-US" w:eastAsia="zh-CN" w:bidi="ar-SA"/>
        </w:rPr>
      </w:pPr>
      <w:r>
        <w:rPr>
          <w:rFonts w:hint="eastAsia" w:ascii="黑体" w:hAnsi="黑体" w:eastAsia="黑体" w:cs="黑体"/>
          <w:b w:val="0"/>
          <w:bCs w:val="0"/>
          <w:kern w:val="0"/>
          <w:sz w:val="21"/>
          <w:szCs w:val="21"/>
          <w:lang w:val="en-US" w:eastAsia="zh-CN" w:bidi="ar-SA"/>
        </w:rPr>
        <w:t>图6-1  西咸新区各新城组团分布图</w:t>
      </w:r>
    </w:p>
    <w:p>
      <w:pPr>
        <w:pStyle w:val="150"/>
        <w:keepNext w:val="0"/>
        <w:keepLines w:val="0"/>
        <w:pageBreakBefore w:val="0"/>
        <w:widowControl w:val="0"/>
        <w:kinsoku/>
        <w:wordWrap/>
        <w:overflowPunct/>
        <w:topLinePunct w:val="0"/>
        <w:autoSpaceDE/>
        <w:autoSpaceDN/>
        <w:bidi w:val="0"/>
        <w:adjustRightInd w:val="0"/>
        <w:snapToGrid w:val="0"/>
        <w:spacing w:line="400" w:lineRule="exact"/>
        <w:ind w:left="0" w:leftChars="0" w:firstLine="0" w:firstLineChars="0"/>
        <w:jc w:val="center"/>
        <w:textAlignment w:val="auto"/>
        <w:rPr>
          <w:rFonts w:hint="eastAsia" w:cs="Times New Roman"/>
          <w:b/>
          <w:bCs/>
          <w:kern w:val="0"/>
          <w:sz w:val="22"/>
          <w:szCs w:val="22"/>
          <w:lang w:val="en-US" w:eastAsia="zh-CN" w:bidi="ar-SA"/>
        </w:rPr>
      </w:pP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目前西咸新区全区划分为B类供电区，考虑新区发展定位和产业发展潜力，结合西咸新区规划发展定位、自然因素和远景负荷密度水平等因素，能源金融贸易园区沣渭三角洲区域（陇海铁路以北、沣泾大道以西、能源北路以东5.17平方公里）、沣东新城科统区板块（西城高铁以东、科源北路以南、绕城以西、新西宝高速以南、能源北路以东13.44平方公里），沣西新城交大创新港、信息产业园板块9.49平方公里纳入A类供电分区进行规划建设。</w:t>
      </w:r>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693" w:name="_Toc74041198"/>
      <w:bookmarkStart w:id="694" w:name="_Toc59973935"/>
      <w:r>
        <w:rPr>
          <w:rFonts w:eastAsia="仿宋"/>
          <w:sz w:val="32"/>
          <w:szCs w:val="32"/>
        </w:rPr>
        <w:t>分区合理性分析</w:t>
      </w:r>
      <w:bookmarkEnd w:id="693"/>
      <w:bookmarkEnd w:id="694"/>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西咸新区为国家级新区，依据西咸新区总体规划，西咸新区将成为丝绸之路经济带重要支点，我国向西开放的重要枢纽，西部大开发的新引擎，中国特色新型城镇化的范例。目前西咸新区整体负荷密度偏低，但根据新区发展规律，未来将迎来经济高速增长。供电区划分需结合新区现状及发展定位综合考虑。</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将新区做为省会城市的行政区划级别进行供电区划分，“新城核心区”则等同于省会城市市中心区，规划为A类供电区，满足A类供电区对行政区划要求。负荷密度方面，根据以往国家级新区的发展经验，新区经济增长迅速，结合负荷分布预测，远景年核心区负荷密度达到30兆瓦/公里</w:t>
      </w:r>
      <w:r>
        <w:rPr>
          <w:rFonts w:hint="eastAsia" w:ascii="仿宋_GB2312" w:hAnsi="仿宋_GB2312" w:eastAsia="仿宋_GB2312" w:cs="仿宋_GB2312"/>
          <w:kern w:val="2"/>
          <w:sz w:val="32"/>
          <w:szCs w:val="32"/>
          <w:vertAlign w:val="superscript"/>
          <w:lang w:val="en-US" w:eastAsia="zh-CN" w:bidi="ar-SA"/>
        </w:rPr>
        <w:t>2</w:t>
      </w:r>
      <w:r>
        <w:rPr>
          <w:rFonts w:hint="eastAsia" w:ascii="仿宋_GB2312" w:hAnsi="仿宋_GB2312" w:eastAsia="仿宋_GB2312" w:cs="仿宋_GB2312"/>
          <w:kern w:val="2"/>
          <w:sz w:val="32"/>
          <w:szCs w:val="32"/>
          <w:lang w:val="en-US" w:eastAsia="zh-CN" w:bidi="ar-SA"/>
        </w:rPr>
        <w:t>，因此划分为A类供电区是合理的。</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西咸新区定位为中国特色新型城镇化的范例，根据新型城镇化建设要求，未来智能化家居、电能替代产品将快速发展，负荷密度将快速提升，结合负荷分布预测，远景年B类供电区负荷密度达到14兆瓦/公里</w:t>
      </w:r>
      <w:r>
        <w:rPr>
          <w:rFonts w:hint="eastAsia" w:ascii="仿宋_GB2312" w:hAnsi="仿宋_GB2312" w:eastAsia="仿宋_GB2312" w:cs="仿宋_GB2312"/>
          <w:kern w:val="2"/>
          <w:sz w:val="32"/>
          <w:szCs w:val="32"/>
          <w:vertAlign w:val="superscript"/>
          <w:lang w:val="en-US" w:eastAsia="zh-CN" w:bidi="ar-SA"/>
        </w:rPr>
        <w:t>2</w:t>
      </w:r>
      <w:r>
        <w:rPr>
          <w:rFonts w:hint="eastAsia" w:ascii="仿宋_GB2312" w:hAnsi="仿宋_GB2312" w:eastAsia="仿宋_GB2312" w:cs="仿宋_GB2312"/>
          <w:kern w:val="2"/>
          <w:sz w:val="32"/>
          <w:szCs w:val="32"/>
          <w:lang w:val="en-US" w:eastAsia="zh-CN" w:bidi="ar-SA"/>
        </w:rPr>
        <w:t>。</w:t>
      </w:r>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rPr>
      </w:pPr>
      <w:bookmarkStart w:id="695" w:name="_Toc9646"/>
      <w:bookmarkStart w:id="696" w:name="_Toc74041199"/>
      <w:r>
        <w:rPr>
          <w:rFonts w:hint="eastAsia" w:ascii="黑体" w:hAnsi="黑体" w:eastAsia="黑体" w:cs="黑体"/>
          <w:b w:val="0"/>
          <w:bCs w:val="0"/>
          <w:sz w:val="32"/>
          <w:szCs w:val="32"/>
        </w:rPr>
        <w:t>330千伏电网规划技术原则</w:t>
      </w:r>
      <w:bookmarkEnd w:id="695"/>
      <w:bookmarkEnd w:id="696"/>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西咸新区主网规划应坚持安全第一原则，注重解决电网的薄弱环节和结构性问题，防止发生电网瓦解、稳定破坏等大面积停电事故；应坚持主、配网协调发展规划原则，优化330（110）千伏变电站布点，以实现110千伏电网链式结构为导向，形成330千伏电源点对110千伏坚强网架支撑，及110千伏高联络率对330千伏电网输电能力的提高；应坚持“量力而行，适度超前”原则，考虑以满足电力市场需求为目标，准确预测负荷需求，优化项目建设时序，提前预留线路走廊和站址。</w:t>
      </w:r>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697" w:name="_Toc59973937"/>
      <w:bookmarkStart w:id="698" w:name="_Toc74041200"/>
      <w:r>
        <w:rPr>
          <w:rFonts w:eastAsia="仿宋"/>
          <w:sz w:val="32"/>
          <w:szCs w:val="32"/>
        </w:rPr>
        <w:t>容载比</w:t>
      </w:r>
      <w:bookmarkEnd w:id="697"/>
      <w:bookmarkEnd w:id="698"/>
    </w:p>
    <w:p>
      <w:pPr>
        <w:pStyle w:val="150"/>
        <w:ind w:firstLine="560"/>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容载比是反映电网供电能力的重要技术经济指标之一，既是宏观控制变电总容量的指标，也是规划设计时布点安排变电容量的依据。容载比过大，电网建设早期投资增大；容载比过小，电网适应性差，影响供电可靠性。</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考虑未来规划区电力需求增长相对快速的特点，电网发展快速期可取较高容载比，待负荷发展相对稳定后，在满足用电需求、可靠性要求的前提下，可逐步降低容载比，提高投资的经济效益。</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根据相关导则规定，330千伏电压等级电网的容载比如下表所示：</w:t>
      </w:r>
    </w:p>
    <w:p>
      <w:pPr>
        <w:pStyle w:val="8"/>
        <w:keepNext/>
        <w:keepLines/>
        <w:pageBreakBefore w:val="0"/>
        <w:widowControl w:val="0"/>
        <w:numPr>
          <w:ilvl w:val="0"/>
          <w:numId w:val="0"/>
        </w:numPr>
        <w:kinsoku/>
        <w:wordWrap/>
        <w:overflowPunct/>
        <w:topLinePunct w:val="0"/>
        <w:autoSpaceDE/>
        <w:autoSpaceDN/>
        <w:bidi w:val="0"/>
        <w:adjustRightInd/>
        <w:snapToGrid/>
        <w:spacing w:line="640" w:lineRule="exact"/>
        <w:jc w:val="center"/>
        <w:textAlignment w:val="auto"/>
        <w:rPr>
          <w:rFonts w:hint="eastAsia" w:ascii="黑体" w:hAnsi="黑体" w:eastAsia="黑体" w:cs="黑体"/>
          <w:b w:val="0"/>
          <w:bCs w:val="0"/>
          <w:kern w:val="0"/>
          <w:sz w:val="28"/>
          <w:szCs w:val="28"/>
          <w:lang w:val="en-US" w:eastAsia="zh-CN" w:bidi="ar-SA"/>
        </w:rPr>
      </w:pPr>
      <w:r>
        <w:rPr>
          <w:rFonts w:hint="eastAsia" w:ascii="黑体" w:hAnsi="黑体" w:eastAsia="黑体" w:cs="黑体"/>
          <w:b w:val="0"/>
          <w:bCs w:val="0"/>
          <w:kern w:val="0"/>
          <w:sz w:val="28"/>
          <w:szCs w:val="28"/>
          <w:lang w:val="en-US" w:eastAsia="zh-CN" w:bidi="ar-SA"/>
        </w:rPr>
        <w:t>表6-4  330千伏电压等级容载比选择范围</w:t>
      </w:r>
    </w:p>
    <w:tbl>
      <w:tblPr>
        <w:tblStyle w:val="88"/>
        <w:tblW w:w="8738" w:type="dxa"/>
        <w:tblInd w:w="15"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0" w:type="dxa"/>
          <w:bottom w:w="0" w:type="dxa"/>
          <w:right w:w="0" w:type="dxa"/>
        </w:tblCellMar>
      </w:tblPr>
      <w:tblGrid>
        <w:gridCol w:w="3621"/>
        <w:gridCol w:w="1823"/>
        <w:gridCol w:w="1972"/>
        <w:gridCol w:w="1322"/>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95" w:hRule="atLeast"/>
          <w:tblHeader/>
        </w:trPr>
        <w:tc>
          <w:tcPr>
            <w:tcW w:w="3621" w:type="dxa"/>
            <w:shd w:val="clear" w:color="auto" w:fill="FFFFFF"/>
            <w:vAlign w:val="center"/>
          </w:tcPr>
          <w:p>
            <w:pPr>
              <w:pStyle w:val="152"/>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sz w:val="21"/>
                <w:szCs w:val="21"/>
              </w:rPr>
              <w:t>城网负荷增长情况</w:t>
            </w:r>
          </w:p>
        </w:tc>
        <w:tc>
          <w:tcPr>
            <w:tcW w:w="1823" w:type="dxa"/>
            <w:shd w:val="clear" w:color="auto" w:fill="FFFFFF"/>
            <w:vAlign w:val="center"/>
          </w:tcPr>
          <w:p>
            <w:pPr>
              <w:pStyle w:val="152"/>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sz w:val="21"/>
                <w:szCs w:val="21"/>
              </w:rPr>
              <w:t>较慢增长</w:t>
            </w:r>
          </w:p>
        </w:tc>
        <w:tc>
          <w:tcPr>
            <w:tcW w:w="1972" w:type="dxa"/>
            <w:shd w:val="clear" w:color="auto" w:fill="FFFFFF"/>
            <w:vAlign w:val="center"/>
          </w:tcPr>
          <w:p>
            <w:pPr>
              <w:pStyle w:val="152"/>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sz w:val="21"/>
                <w:szCs w:val="21"/>
              </w:rPr>
              <w:t>中等增长</w:t>
            </w:r>
          </w:p>
        </w:tc>
        <w:tc>
          <w:tcPr>
            <w:tcW w:w="1322" w:type="dxa"/>
            <w:shd w:val="clear" w:color="auto" w:fill="FFFFFF"/>
            <w:vAlign w:val="center"/>
          </w:tcPr>
          <w:p>
            <w:pPr>
              <w:pStyle w:val="152"/>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sz w:val="21"/>
                <w:szCs w:val="21"/>
              </w:rPr>
              <w:t>较快增长</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1" w:hRule="atLeast"/>
        </w:trPr>
        <w:tc>
          <w:tcPr>
            <w:tcW w:w="3621" w:type="dxa"/>
            <w:shd w:val="clear" w:color="auto" w:fill="FFFFFF"/>
            <w:vAlign w:val="center"/>
          </w:tcPr>
          <w:p>
            <w:pPr>
              <w:pStyle w:val="152"/>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sz w:val="21"/>
                <w:szCs w:val="21"/>
              </w:rPr>
              <w:t>年负荷平均增长率（建议值）</w:t>
            </w:r>
          </w:p>
        </w:tc>
        <w:tc>
          <w:tcPr>
            <w:tcW w:w="1823" w:type="dxa"/>
            <w:shd w:val="clear" w:color="auto" w:fill="FFFFFF"/>
            <w:vAlign w:val="center"/>
          </w:tcPr>
          <w:p>
            <w:pPr>
              <w:pStyle w:val="152"/>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sz w:val="21"/>
                <w:szCs w:val="21"/>
              </w:rPr>
              <w:t>小于7%</w:t>
            </w:r>
          </w:p>
        </w:tc>
        <w:tc>
          <w:tcPr>
            <w:tcW w:w="1972" w:type="dxa"/>
            <w:shd w:val="clear" w:color="auto" w:fill="FFFFFF"/>
            <w:vAlign w:val="center"/>
          </w:tcPr>
          <w:p>
            <w:pPr>
              <w:pStyle w:val="152"/>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sz w:val="21"/>
                <w:szCs w:val="21"/>
              </w:rPr>
              <w:t>7％~12%</w:t>
            </w:r>
          </w:p>
        </w:tc>
        <w:tc>
          <w:tcPr>
            <w:tcW w:w="1322" w:type="dxa"/>
            <w:shd w:val="clear" w:color="auto" w:fill="FFFFFF"/>
            <w:vAlign w:val="center"/>
          </w:tcPr>
          <w:p>
            <w:pPr>
              <w:pStyle w:val="152"/>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sz w:val="21"/>
                <w:szCs w:val="21"/>
              </w:rPr>
              <w:t>大于12%</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08" w:hRule="atLeast"/>
        </w:trPr>
        <w:tc>
          <w:tcPr>
            <w:tcW w:w="3621"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330千伏</w:t>
            </w:r>
          </w:p>
        </w:tc>
        <w:tc>
          <w:tcPr>
            <w:tcW w:w="1823"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1.6~1.9</w:t>
            </w:r>
          </w:p>
        </w:tc>
        <w:tc>
          <w:tcPr>
            <w:tcW w:w="1972"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1.7~2.0</w:t>
            </w:r>
          </w:p>
        </w:tc>
        <w:tc>
          <w:tcPr>
            <w:tcW w:w="1322"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1.8~2.1</w:t>
            </w:r>
          </w:p>
        </w:tc>
      </w:tr>
    </w:tbl>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699" w:name="_Toc59973938"/>
      <w:bookmarkStart w:id="700" w:name="_Toc74041201"/>
      <w:r>
        <w:rPr>
          <w:rFonts w:eastAsia="仿宋"/>
          <w:sz w:val="32"/>
          <w:szCs w:val="32"/>
        </w:rPr>
        <w:t>电网结构</w:t>
      </w:r>
      <w:bookmarkEnd w:id="699"/>
      <w:bookmarkEnd w:id="700"/>
    </w:p>
    <w:p>
      <w:pPr>
        <w:pStyle w:val="150"/>
        <w:ind w:firstLine="560"/>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750千伏电网以双环网、双辐射为主，并立足全国特高压建设，由双辐射向双环网过渡；330千伏电网以双环网、单环网、链式结构为主。</w:t>
      </w:r>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701" w:name="_Toc59973939"/>
      <w:bookmarkStart w:id="702" w:name="_Toc74041202"/>
      <w:r>
        <w:rPr>
          <w:rFonts w:eastAsia="仿宋"/>
          <w:sz w:val="32"/>
          <w:szCs w:val="32"/>
        </w:rPr>
        <w:t>变电站</w:t>
      </w:r>
      <w:bookmarkEnd w:id="701"/>
      <w:bookmarkEnd w:id="702"/>
    </w:p>
    <w:p>
      <w:pPr>
        <w:pStyle w:val="150"/>
        <w:ind w:firstLine="560"/>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1.变电规模及主变序列选择</w:t>
      </w:r>
    </w:p>
    <w:p>
      <w:pPr>
        <w:pStyle w:val="150"/>
        <w:ind w:firstLine="560"/>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根据西咸新区电网发展规划，各电压等级变电站主变容量选择如下：</w:t>
      </w:r>
    </w:p>
    <w:p>
      <w:pPr>
        <w:pStyle w:val="150"/>
        <w:ind w:firstLine="560"/>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750千伏变电站主变容量：2100兆伏安;</w:t>
      </w:r>
    </w:p>
    <w:p>
      <w:pPr>
        <w:pStyle w:val="150"/>
        <w:ind w:firstLine="560"/>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330千伏变电站主变容量：360兆伏安，240兆伏安；一个变电站的主变压器台数最终规模不宜少于2台或多于4台。</w:t>
      </w:r>
    </w:p>
    <w:p>
      <w:pPr>
        <w:pStyle w:val="150"/>
        <w:ind w:firstLine="560"/>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2.各电压等级电气主接线方式选择</w:t>
      </w:r>
    </w:p>
    <w:p>
      <w:pPr>
        <w:pStyle w:val="150"/>
        <w:ind w:firstLine="560"/>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750千伏变电站高、中压侧采用3/2接线方式；</w:t>
      </w:r>
    </w:p>
    <w:p>
      <w:pPr>
        <w:pStyle w:val="150"/>
        <w:ind w:firstLine="560"/>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330千伏变电站高压侧采用双母线接线、双母线分段接线、3/2接线方式，中压侧采用双母线接线方式。</w:t>
      </w:r>
    </w:p>
    <w:p>
      <w:pPr>
        <w:pStyle w:val="150"/>
        <w:ind w:firstLine="560"/>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330千伏电网采用双回和单回环网接线方式，部分地区采用链式，满足110千伏变电站安全可靠供电需求。330千伏变电站之间构建一定的110千伏联络线。</w:t>
      </w:r>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703" w:name="_Toc59973940"/>
      <w:bookmarkStart w:id="704" w:name="_Toc74041203"/>
      <w:r>
        <w:rPr>
          <w:rFonts w:eastAsia="仿宋"/>
          <w:sz w:val="32"/>
          <w:szCs w:val="32"/>
        </w:rPr>
        <w:t>线路</w:t>
      </w:r>
      <w:bookmarkEnd w:id="703"/>
      <w:bookmarkEnd w:id="704"/>
    </w:p>
    <w:p>
      <w:pPr>
        <w:pStyle w:val="150"/>
        <w:ind w:firstLine="560"/>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1.导线截面的选择</w:t>
      </w:r>
    </w:p>
    <w:p>
      <w:pPr>
        <w:pStyle w:val="150"/>
        <w:ind w:firstLine="560"/>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750千伏线路导线截面选择6×LGJ-400；</w:t>
      </w:r>
    </w:p>
    <w:p>
      <w:pPr>
        <w:pStyle w:val="150"/>
        <w:ind w:firstLine="560"/>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330千伏线路以架空线路为主，导线截面不宜小于2×LGJ-300型，可选择2×300mm</w:t>
      </w:r>
      <w:r>
        <w:rPr>
          <w:rFonts w:hint="eastAsia" w:ascii="仿宋_GB2312" w:hAnsi="仿宋_GB2312" w:eastAsia="仿宋_GB2312" w:cs="仿宋_GB2312"/>
          <w:kern w:val="2"/>
          <w:sz w:val="32"/>
          <w:szCs w:val="32"/>
          <w:vertAlign w:val="superscript"/>
          <w:lang w:val="en-US" w:eastAsia="zh-CN" w:bidi="ar-SA"/>
        </w:rPr>
        <w:t>2</w:t>
      </w:r>
      <w:r>
        <w:rPr>
          <w:rFonts w:hint="eastAsia" w:ascii="仿宋_GB2312" w:hAnsi="仿宋_GB2312" w:eastAsia="仿宋_GB2312" w:cs="仿宋_GB2312"/>
          <w:kern w:val="2"/>
          <w:sz w:val="32"/>
          <w:szCs w:val="32"/>
          <w:lang w:val="en-US" w:eastAsia="zh-CN" w:bidi="ar-SA"/>
        </w:rPr>
        <w:t>、2×400mm</w:t>
      </w:r>
      <w:r>
        <w:rPr>
          <w:rFonts w:hint="eastAsia" w:ascii="仿宋_GB2312" w:hAnsi="仿宋_GB2312" w:eastAsia="仿宋_GB2312" w:cs="仿宋_GB2312"/>
          <w:kern w:val="2"/>
          <w:sz w:val="32"/>
          <w:szCs w:val="32"/>
          <w:vertAlign w:val="superscript"/>
          <w:lang w:val="en-US" w:eastAsia="zh-CN" w:bidi="ar-SA"/>
        </w:rPr>
        <w:t>2</w:t>
      </w:r>
      <w:r>
        <w:rPr>
          <w:rFonts w:hint="eastAsia" w:ascii="仿宋_GB2312" w:hAnsi="仿宋_GB2312" w:eastAsia="仿宋_GB2312" w:cs="仿宋_GB2312"/>
          <w:kern w:val="2"/>
          <w:sz w:val="32"/>
          <w:szCs w:val="32"/>
          <w:lang w:val="en-US" w:eastAsia="zh-CN" w:bidi="ar-SA"/>
        </w:rPr>
        <w:t>、4×400mm</w:t>
      </w:r>
      <w:r>
        <w:rPr>
          <w:rFonts w:hint="eastAsia" w:ascii="仿宋_GB2312" w:hAnsi="仿宋_GB2312" w:eastAsia="仿宋_GB2312" w:cs="仿宋_GB2312"/>
          <w:kern w:val="2"/>
          <w:sz w:val="32"/>
          <w:szCs w:val="32"/>
          <w:vertAlign w:val="superscript"/>
          <w:lang w:val="en-US" w:eastAsia="zh-CN" w:bidi="ar-SA"/>
        </w:rPr>
        <w:t>2</w:t>
      </w:r>
      <w:r>
        <w:rPr>
          <w:rFonts w:hint="eastAsia" w:ascii="仿宋_GB2312" w:hAnsi="仿宋_GB2312" w:eastAsia="仿宋_GB2312" w:cs="仿宋_GB2312"/>
          <w:kern w:val="2"/>
          <w:sz w:val="32"/>
          <w:szCs w:val="32"/>
          <w:lang w:val="en-US" w:eastAsia="zh-CN" w:bidi="ar-SA"/>
        </w:rPr>
        <w:t>、2×630mm</w:t>
      </w:r>
      <w:r>
        <w:rPr>
          <w:rFonts w:hint="eastAsia" w:ascii="仿宋_GB2312" w:hAnsi="仿宋_GB2312" w:eastAsia="仿宋_GB2312" w:cs="仿宋_GB2312"/>
          <w:kern w:val="2"/>
          <w:sz w:val="32"/>
          <w:szCs w:val="32"/>
          <w:vertAlign w:val="superscript"/>
          <w:lang w:val="en-US" w:eastAsia="zh-CN" w:bidi="ar-SA"/>
        </w:rPr>
        <w:t>2</w:t>
      </w:r>
      <w:r>
        <w:rPr>
          <w:rFonts w:hint="eastAsia" w:ascii="仿宋_GB2312" w:hAnsi="仿宋_GB2312" w:eastAsia="仿宋_GB2312" w:cs="仿宋_GB2312"/>
          <w:kern w:val="2"/>
          <w:sz w:val="32"/>
          <w:szCs w:val="32"/>
          <w:lang w:val="en-US" w:eastAsia="zh-CN" w:bidi="ar-SA"/>
        </w:rPr>
        <w:t>。</w:t>
      </w:r>
    </w:p>
    <w:p>
      <w:pPr>
        <w:pStyle w:val="150"/>
        <w:ind w:firstLine="560"/>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2.短路电流水平要求</w:t>
      </w:r>
    </w:p>
    <w:p>
      <w:pPr>
        <w:pStyle w:val="150"/>
        <w:ind w:firstLine="560"/>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为了取得合理的安全经济效益，城市电网的各级短路电流水平应从网络的设计、电压等级、变压器容量、运行方式等进行控制，一般不应超过下列数值：</w:t>
      </w:r>
    </w:p>
    <w:p>
      <w:pPr>
        <w:pStyle w:val="150"/>
        <w:ind w:firstLine="560"/>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750千伏变电站一般不大于下列数值：750千伏侧50千安；330千伏侧63 千安。330千伏变电站：枢纽变电站330千伏侧50千安，必要时经计算校核后可采用63千安；负荷变电站330千伏侧50千安。</w:t>
      </w:r>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rPr>
      </w:pPr>
      <w:bookmarkStart w:id="705" w:name="_Toc19598"/>
      <w:bookmarkStart w:id="706" w:name="_Toc74041204"/>
      <w:bookmarkStart w:id="707" w:name="_Toc352610575"/>
      <w:bookmarkStart w:id="708" w:name="_Toc352071866"/>
      <w:r>
        <w:rPr>
          <w:rFonts w:hint="eastAsia" w:ascii="黑体" w:hAnsi="黑体" w:eastAsia="黑体" w:cs="黑体"/>
          <w:b w:val="0"/>
          <w:bCs w:val="0"/>
          <w:sz w:val="32"/>
          <w:szCs w:val="32"/>
        </w:rPr>
        <w:t>110千伏电网规划技术原则</w:t>
      </w:r>
      <w:bookmarkEnd w:id="705"/>
      <w:bookmarkEnd w:id="706"/>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709" w:name="_Toc74041205"/>
      <w:bookmarkStart w:id="710" w:name="_Toc352071875"/>
      <w:bookmarkStart w:id="711" w:name="_Toc352610581"/>
      <w:bookmarkStart w:id="712" w:name="_Toc306956255"/>
      <w:bookmarkStart w:id="713" w:name="_Toc59973942"/>
      <w:bookmarkStart w:id="714" w:name="_Toc307054070"/>
      <w:bookmarkStart w:id="715" w:name="_Toc306956252"/>
      <w:bookmarkStart w:id="716" w:name="_Toc352071872"/>
      <w:bookmarkStart w:id="717" w:name="_Toc307054067"/>
      <w:r>
        <w:rPr>
          <w:rFonts w:eastAsia="仿宋"/>
          <w:sz w:val="32"/>
          <w:szCs w:val="32"/>
        </w:rPr>
        <w:t>容载比</w:t>
      </w:r>
      <w:bookmarkEnd w:id="709"/>
      <w:bookmarkEnd w:id="710"/>
      <w:bookmarkEnd w:id="711"/>
      <w:bookmarkEnd w:id="712"/>
      <w:bookmarkEnd w:id="713"/>
      <w:bookmarkEnd w:id="714"/>
    </w:p>
    <w:p>
      <w:pPr>
        <w:pStyle w:val="150"/>
        <w:ind w:firstLine="560"/>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根据规划区域的经济增长和社会发展的不同阶段，对应的电网负荷增长速度可分为较慢、中等、较快三种情况，相应电压等级电网的容载比如下表所示，总体宜控制在1.8～2.2范围之间。考虑西咸新区为新成立国家级新区，负荷发展较快，容载比可适当放大，控制在2.0～2.2范围之间。</w:t>
      </w:r>
    </w:p>
    <w:p>
      <w:pPr>
        <w:pStyle w:val="8"/>
        <w:numPr>
          <w:ilvl w:val="0"/>
          <w:numId w:val="0"/>
        </w:numPr>
        <w:jc w:val="center"/>
        <w:rPr>
          <w:rFonts w:hint="eastAsia" w:ascii="黑体" w:hAnsi="黑体" w:eastAsia="黑体" w:cs="黑体"/>
          <w:b w:val="0"/>
          <w:bCs w:val="0"/>
          <w:kern w:val="0"/>
          <w:sz w:val="28"/>
          <w:szCs w:val="28"/>
          <w:lang w:val="en-US" w:eastAsia="zh-CN" w:bidi="ar-SA"/>
        </w:rPr>
      </w:pPr>
      <w:r>
        <w:rPr>
          <w:rFonts w:hint="eastAsia" w:ascii="黑体" w:hAnsi="黑体" w:eastAsia="黑体" w:cs="黑体"/>
          <w:b w:val="0"/>
          <w:bCs w:val="0"/>
          <w:kern w:val="0"/>
          <w:sz w:val="28"/>
          <w:szCs w:val="28"/>
          <w:lang w:val="en-US" w:eastAsia="zh-CN" w:bidi="ar-SA"/>
        </w:rPr>
        <w:t>表6-5  高压电网容载比建议值</w:t>
      </w:r>
    </w:p>
    <w:tbl>
      <w:tblPr>
        <w:tblStyle w:val="88"/>
        <w:tblW w:w="7878" w:type="dxa"/>
        <w:tblInd w:w="15"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0" w:type="dxa"/>
          <w:bottom w:w="0" w:type="dxa"/>
          <w:right w:w="0" w:type="dxa"/>
        </w:tblCellMar>
      </w:tblPr>
      <w:tblGrid>
        <w:gridCol w:w="3670"/>
        <w:gridCol w:w="1213"/>
        <w:gridCol w:w="1782"/>
        <w:gridCol w:w="1213"/>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30" w:hRule="atLeast"/>
          <w:tblHeader/>
        </w:trPr>
        <w:tc>
          <w:tcPr>
            <w:tcW w:w="3670" w:type="dxa"/>
            <w:shd w:val="clear" w:color="auto" w:fill="FFFFFF"/>
            <w:vAlign w:val="center"/>
          </w:tcPr>
          <w:p>
            <w:pPr>
              <w:pStyle w:val="152"/>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sz w:val="21"/>
                <w:szCs w:val="21"/>
              </w:rPr>
              <w:t>负荷增长情况</w:t>
            </w:r>
          </w:p>
        </w:tc>
        <w:tc>
          <w:tcPr>
            <w:tcW w:w="1213" w:type="dxa"/>
            <w:shd w:val="clear" w:color="auto" w:fill="FFFFFF"/>
            <w:vAlign w:val="center"/>
          </w:tcPr>
          <w:p>
            <w:pPr>
              <w:pStyle w:val="152"/>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sz w:val="21"/>
                <w:szCs w:val="21"/>
              </w:rPr>
              <w:t>较慢增长</w:t>
            </w:r>
          </w:p>
        </w:tc>
        <w:tc>
          <w:tcPr>
            <w:tcW w:w="1782" w:type="dxa"/>
            <w:shd w:val="clear" w:color="auto" w:fill="FFFFFF"/>
            <w:vAlign w:val="center"/>
          </w:tcPr>
          <w:p>
            <w:pPr>
              <w:pStyle w:val="152"/>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sz w:val="21"/>
                <w:szCs w:val="21"/>
              </w:rPr>
              <w:t>中等增长</w:t>
            </w:r>
          </w:p>
        </w:tc>
        <w:tc>
          <w:tcPr>
            <w:tcW w:w="1213" w:type="dxa"/>
            <w:shd w:val="clear" w:color="auto" w:fill="FFFFFF"/>
            <w:vAlign w:val="center"/>
          </w:tcPr>
          <w:p>
            <w:pPr>
              <w:pStyle w:val="152"/>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sz w:val="21"/>
                <w:szCs w:val="21"/>
              </w:rPr>
              <w:t>较快增长</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94" w:hRule="atLeast"/>
        </w:trPr>
        <w:tc>
          <w:tcPr>
            <w:tcW w:w="3670" w:type="dxa"/>
            <w:shd w:val="clear" w:color="auto" w:fill="FFFFFF"/>
            <w:vAlign w:val="center"/>
          </w:tcPr>
          <w:p>
            <w:pPr>
              <w:pStyle w:val="152"/>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sz w:val="21"/>
                <w:szCs w:val="21"/>
              </w:rPr>
              <w:t>年负荷平均增长率K</w:t>
            </w:r>
            <w:r>
              <w:rPr>
                <w:rFonts w:hint="eastAsia" w:ascii="方正仿宋_GB2312" w:hAnsi="方正仿宋_GB2312" w:eastAsia="方正仿宋_GB2312" w:cs="方正仿宋_GB2312"/>
                <w:position w:val="-8"/>
                <w:sz w:val="21"/>
                <w:szCs w:val="21"/>
                <w:vertAlign w:val="subscript"/>
              </w:rPr>
              <w:t>P</w:t>
            </w:r>
          </w:p>
        </w:tc>
        <w:tc>
          <w:tcPr>
            <w:tcW w:w="1213" w:type="dxa"/>
            <w:shd w:val="clear" w:color="auto" w:fill="FFFFFF"/>
            <w:vAlign w:val="center"/>
          </w:tcPr>
          <w:p>
            <w:pPr>
              <w:pStyle w:val="152"/>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sz w:val="21"/>
                <w:szCs w:val="21"/>
              </w:rPr>
              <w:t>K</w:t>
            </w:r>
            <w:r>
              <w:rPr>
                <w:rFonts w:hint="eastAsia" w:ascii="方正仿宋_GB2312" w:hAnsi="方正仿宋_GB2312" w:eastAsia="方正仿宋_GB2312" w:cs="方正仿宋_GB2312"/>
                <w:position w:val="-8"/>
                <w:sz w:val="21"/>
                <w:szCs w:val="21"/>
                <w:vertAlign w:val="subscript"/>
              </w:rPr>
              <w:t>P</w:t>
            </w:r>
            <w:r>
              <w:rPr>
                <w:rFonts w:hint="eastAsia" w:ascii="方正仿宋_GB2312" w:hAnsi="方正仿宋_GB2312" w:eastAsia="方正仿宋_GB2312" w:cs="方正仿宋_GB2312"/>
                <w:sz w:val="21"/>
                <w:szCs w:val="21"/>
              </w:rPr>
              <w:t>≤7%</w:t>
            </w:r>
          </w:p>
        </w:tc>
        <w:tc>
          <w:tcPr>
            <w:tcW w:w="1782" w:type="dxa"/>
            <w:shd w:val="clear" w:color="auto" w:fill="FFFFFF"/>
            <w:vAlign w:val="center"/>
          </w:tcPr>
          <w:p>
            <w:pPr>
              <w:pStyle w:val="152"/>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sz w:val="21"/>
                <w:szCs w:val="21"/>
              </w:rPr>
              <w:t>7％＜K</w:t>
            </w:r>
            <w:r>
              <w:rPr>
                <w:rFonts w:hint="eastAsia" w:ascii="方正仿宋_GB2312" w:hAnsi="方正仿宋_GB2312" w:eastAsia="方正仿宋_GB2312" w:cs="方正仿宋_GB2312"/>
                <w:position w:val="-8"/>
                <w:sz w:val="21"/>
                <w:szCs w:val="21"/>
                <w:vertAlign w:val="subscript"/>
              </w:rPr>
              <w:t>P</w:t>
            </w:r>
            <w:r>
              <w:rPr>
                <w:rFonts w:hint="eastAsia" w:ascii="方正仿宋_GB2312" w:hAnsi="方正仿宋_GB2312" w:eastAsia="方正仿宋_GB2312" w:cs="方正仿宋_GB2312"/>
                <w:sz w:val="21"/>
                <w:szCs w:val="21"/>
              </w:rPr>
              <w:t>≤12%</w:t>
            </w:r>
          </w:p>
        </w:tc>
        <w:tc>
          <w:tcPr>
            <w:tcW w:w="1213" w:type="dxa"/>
            <w:shd w:val="clear" w:color="auto" w:fill="FFFFFF"/>
            <w:vAlign w:val="center"/>
          </w:tcPr>
          <w:p>
            <w:pPr>
              <w:pStyle w:val="152"/>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sz w:val="21"/>
                <w:szCs w:val="21"/>
              </w:rPr>
              <w:t>K</w:t>
            </w:r>
            <w:r>
              <w:rPr>
                <w:rFonts w:hint="eastAsia" w:ascii="方正仿宋_GB2312" w:hAnsi="方正仿宋_GB2312" w:eastAsia="方正仿宋_GB2312" w:cs="方正仿宋_GB2312"/>
                <w:position w:val="-8"/>
                <w:sz w:val="21"/>
                <w:szCs w:val="21"/>
                <w:vertAlign w:val="subscript"/>
              </w:rPr>
              <w:t>P</w:t>
            </w:r>
            <w:r>
              <w:rPr>
                <w:rFonts w:hint="eastAsia" w:ascii="方正仿宋_GB2312" w:hAnsi="方正仿宋_GB2312" w:eastAsia="方正仿宋_GB2312" w:cs="方正仿宋_GB2312"/>
                <w:sz w:val="21"/>
                <w:szCs w:val="21"/>
              </w:rPr>
              <w:t>＞12%</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45" w:hRule="atLeast"/>
        </w:trPr>
        <w:tc>
          <w:tcPr>
            <w:tcW w:w="3670" w:type="dxa"/>
            <w:shd w:val="clear" w:color="auto" w:fill="FFFFFF"/>
            <w:vAlign w:val="center"/>
          </w:tcPr>
          <w:p>
            <w:pPr>
              <w:pStyle w:val="152"/>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sz w:val="21"/>
                <w:szCs w:val="21"/>
              </w:rPr>
              <w:t>110</w:t>
            </w:r>
            <w:r>
              <w:rPr>
                <w:rFonts w:hint="eastAsia" w:ascii="仿宋_GB2312" w:hAnsi="仿宋_GB2312" w:eastAsia="仿宋_GB2312" w:cs="仿宋_GB2312"/>
                <w:kern w:val="2"/>
                <w:sz w:val="21"/>
                <w:szCs w:val="21"/>
                <w:lang w:val="en-US" w:eastAsia="zh-CN" w:bidi="ar-SA"/>
              </w:rPr>
              <w:t>～</w:t>
            </w:r>
            <w:r>
              <w:rPr>
                <w:rFonts w:hint="eastAsia" w:ascii="方正仿宋_GB2312" w:hAnsi="方正仿宋_GB2312" w:eastAsia="方正仿宋_GB2312" w:cs="方正仿宋_GB2312"/>
                <w:sz w:val="21"/>
                <w:szCs w:val="21"/>
              </w:rPr>
              <w:t>35千伏容载比（建议值）</w:t>
            </w:r>
          </w:p>
        </w:tc>
        <w:tc>
          <w:tcPr>
            <w:tcW w:w="1213" w:type="dxa"/>
            <w:shd w:val="clear" w:color="auto" w:fill="FFFFFF"/>
            <w:vAlign w:val="center"/>
          </w:tcPr>
          <w:p>
            <w:pPr>
              <w:pStyle w:val="152"/>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sz w:val="21"/>
                <w:szCs w:val="21"/>
              </w:rPr>
              <w:t>1.8</w:t>
            </w:r>
            <w:r>
              <w:rPr>
                <w:rFonts w:hint="eastAsia" w:ascii="仿宋_GB2312" w:hAnsi="仿宋_GB2312" w:eastAsia="仿宋_GB2312" w:cs="仿宋_GB2312"/>
                <w:kern w:val="2"/>
                <w:sz w:val="21"/>
                <w:szCs w:val="21"/>
                <w:lang w:val="en-US" w:eastAsia="zh-CN" w:bidi="ar-SA"/>
              </w:rPr>
              <w:t>～</w:t>
            </w:r>
            <w:r>
              <w:rPr>
                <w:rFonts w:hint="eastAsia" w:ascii="方正仿宋_GB2312" w:hAnsi="方正仿宋_GB2312" w:eastAsia="方正仿宋_GB2312" w:cs="方正仿宋_GB2312"/>
                <w:sz w:val="21"/>
                <w:szCs w:val="21"/>
              </w:rPr>
              <w:t>2.0</w:t>
            </w:r>
          </w:p>
        </w:tc>
        <w:tc>
          <w:tcPr>
            <w:tcW w:w="1782" w:type="dxa"/>
            <w:shd w:val="clear" w:color="auto" w:fill="FFFFFF"/>
            <w:vAlign w:val="center"/>
          </w:tcPr>
          <w:p>
            <w:pPr>
              <w:pStyle w:val="152"/>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sz w:val="21"/>
                <w:szCs w:val="21"/>
              </w:rPr>
              <w:t>1.9</w:t>
            </w:r>
            <w:r>
              <w:rPr>
                <w:rFonts w:hint="eastAsia" w:ascii="仿宋_GB2312" w:hAnsi="仿宋_GB2312" w:eastAsia="仿宋_GB2312" w:cs="仿宋_GB2312"/>
                <w:kern w:val="2"/>
                <w:sz w:val="21"/>
                <w:szCs w:val="21"/>
                <w:lang w:val="en-US" w:eastAsia="zh-CN" w:bidi="ar-SA"/>
              </w:rPr>
              <w:t>～</w:t>
            </w:r>
            <w:r>
              <w:rPr>
                <w:rFonts w:hint="eastAsia" w:ascii="方正仿宋_GB2312" w:hAnsi="方正仿宋_GB2312" w:eastAsia="方正仿宋_GB2312" w:cs="方正仿宋_GB2312"/>
                <w:sz w:val="21"/>
                <w:szCs w:val="21"/>
              </w:rPr>
              <w:t>2.1</w:t>
            </w:r>
          </w:p>
        </w:tc>
        <w:tc>
          <w:tcPr>
            <w:tcW w:w="1213" w:type="dxa"/>
            <w:shd w:val="clear" w:color="auto" w:fill="FFFFFF"/>
            <w:vAlign w:val="center"/>
          </w:tcPr>
          <w:p>
            <w:pPr>
              <w:pStyle w:val="152"/>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sz w:val="21"/>
                <w:szCs w:val="21"/>
              </w:rPr>
              <w:t>2.0</w:t>
            </w:r>
            <w:r>
              <w:rPr>
                <w:rFonts w:hint="eastAsia" w:ascii="仿宋_GB2312" w:hAnsi="仿宋_GB2312" w:eastAsia="仿宋_GB2312" w:cs="仿宋_GB2312"/>
                <w:kern w:val="2"/>
                <w:sz w:val="21"/>
                <w:szCs w:val="21"/>
                <w:lang w:val="en-US" w:eastAsia="zh-CN" w:bidi="ar-SA"/>
              </w:rPr>
              <w:t>～</w:t>
            </w:r>
            <w:r>
              <w:rPr>
                <w:rFonts w:hint="eastAsia" w:ascii="方正仿宋_GB2312" w:hAnsi="方正仿宋_GB2312" w:eastAsia="方正仿宋_GB2312" w:cs="方正仿宋_GB2312"/>
                <w:sz w:val="21"/>
                <w:szCs w:val="21"/>
              </w:rPr>
              <w:t>2.2</w:t>
            </w:r>
          </w:p>
        </w:tc>
      </w:tr>
    </w:tbl>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718" w:name="_Toc59973943"/>
      <w:bookmarkStart w:id="719" w:name="_Toc74041206"/>
      <w:bookmarkStart w:id="720" w:name="_Toc352610582"/>
      <w:r>
        <w:rPr>
          <w:rFonts w:eastAsia="仿宋"/>
          <w:sz w:val="32"/>
          <w:szCs w:val="32"/>
        </w:rPr>
        <w:t>电网结构</w:t>
      </w:r>
      <w:bookmarkEnd w:id="715"/>
      <w:bookmarkEnd w:id="716"/>
      <w:bookmarkEnd w:id="717"/>
      <w:bookmarkEnd w:id="718"/>
      <w:bookmarkEnd w:id="719"/>
      <w:bookmarkEnd w:id="720"/>
    </w:p>
    <w:p>
      <w:pPr>
        <w:pStyle w:val="150"/>
        <w:ind w:firstLine="560"/>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根据西咸新区建设所处的不同阶段，综合分析在电网建设的初期、过渡期、完善期对可靠性、设备利用率、负荷发展的需求，最终确定西咸新区电网近期、远期电网结构。</w:t>
      </w:r>
    </w:p>
    <w:p>
      <w:pPr>
        <w:pStyle w:val="150"/>
        <w:ind w:firstLine="560"/>
      </w:pPr>
      <w:r>
        <w:rPr>
          <w:rFonts w:hint="eastAsia" w:ascii="仿宋_GB2312" w:hAnsi="仿宋_GB2312" w:eastAsia="仿宋_GB2312" w:cs="仿宋_GB2312"/>
          <w:kern w:val="2"/>
          <w:sz w:val="32"/>
          <w:szCs w:val="32"/>
          <w:lang w:val="en-US" w:eastAsia="zh-CN" w:bidi="ar-SA"/>
        </w:rPr>
        <w:t>西咸新区各类供电分区110千伏电网近期、远期电网结构见下表</w:t>
      </w:r>
    </w:p>
    <w:p>
      <w:pPr>
        <w:pStyle w:val="150"/>
        <w:keepNext w:val="0"/>
        <w:keepLines w:val="0"/>
        <w:pageBreakBefore w:val="0"/>
        <w:widowControl w:val="0"/>
        <w:kinsoku/>
        <w:wordWrap/>
        <w:overflowPunct/>
        <w:topLinePunct w:val="0"/>
        <w:autoSpaceDE/>
        <w:autoSpaceDN/>
        <w:bidi w:val="0"/>
        <w:adjustRightInd w:val="0"/>
        <w:snapToGrid w:val="0"/>
        <w:spacing w:line="640" w:lineRule="exact"/>
        <w:ind w:left="0" w:leftChars="0" w:firstLine="0" w:firstLineChars="0"/>
        <w:jc w:val="center"/>
        <w:textAlignment w:val="auto"/>
        <w:rPr>
          <w:rFonts w:hint="eastAsia" w:ascii="黑体" w:hAnsi="黑体" w:eastAsia="黑体" w:cs="黑体"/>
          <w:b w:val="0"/>
          <w:bCs w:val="0"/>
          <w:kern w:val="0"/>
          <w:sz w:val="28"/>
          <w:szCs w:val="28"/>
          <w:lang w:val="en-US" w:eastAsia="zh-CN" w:bidi="ar-SA"/>
        </w:rPr>
      </w:pPr>
      <w:r>
        <w:rPr>
          <w:rFonts w:hint="eastAsia" w:ascii="黑体" w:hAnsi="黑体" w:eastAsia="黑体" w:cs="黑体"/>
          <w:b w:val="0"/>
          <w:bCs w:val="0"/>
          <w:kern w:val="0"/>
          <w:sz w:val="28"/>
          <w:szCs w:val="28"/>
          <w:lang w:val="en-US" w:eastAsia="zh-CN" w:bidi="ar-SA"/>
        </w:rPr>
        <w:t>表6-6   西咸新区110千伏近期、远期电网结构推荐表</w:t>
      </w:r>
    </w:p>
    <w:tbl>
      <w:tblPr>
        <w:tblStyle w:val="88"/>
        <w:tblW w:w="7897" w:type="dxa"/>
        <w:tblInd w:w="15"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0" w:type="dxa"/>
          <w:bottom w:w="0" w:type="dxa"/>
          <w:right w:w="0" w:type="dxa"/>
        </w:tblCellMar>
      </w:tblPr>
      <w:tblGrid>
        <w:gridCol w:w="656"/>
        <w:gridCol w:w="1591"/>
        <w:gridCol w:w="2825"/>
        <w:gridCol w:w="2825"/>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05" w:hRule="atLeast"/>
          <w:tblHeader/>
        </w:trPr>
        <w:tc>
          <w:tcPr>
            <w:tcW w:w="656"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序号</w:t>
            </w:r>
          </w:p>
        </w:tc>
        <w:tc>
          <w:tcPr>
            <w:tcW w:w="1591"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供电区类型</w:t>
            </w:r>
          </w:p>
        </w:tc>
        <w:tc>
          <w:tcPr>
            <w:tcW w:w="2825"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近期电网结构</w:t>
            </w:r>
          </w:p>
        </w:tc>
        <w:tc>
          <w:tcPr>
            <w:tcW w:w="2825"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远期电网结构</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91" w:hRule="atLeast"/>
        </w:trPr>
        <w:tc>
          <w:tcPr>
            <w:tcW w:w="656"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w:t>
            </w:r>
          </w:p>
        </w:tc>
        <w:tc>
          <w:tcPr>
            <w:tcW w:w="1591"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安类供电区</w:t>
            </w:r>
          </w:p>
        </w:tc>
        <w:tc>
          <w:tcPr>
            <w:tcW w:w="2825"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双链、单链、双辐射</w:t>
            </w:r>
          </w:p>
        </w:tc>
        <w:tc>
          <w:tcPr>
            <w:tcW w:w="2825"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双链</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29" w:hRule="atLeast"/>
        </w:trPr>
        <w:tc>
          <w:tcPr>
            <w:tcW w:w="656"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w:t>
            </w:r>
          </w:p>
        </w:tc>
        <w:tc>
          <w:tcPr>
            <w:tcW w:w="1591"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B类供电区</w:t>
            </w:r>
          </w:p>
        </w:tc>
        <w:tc>
          <w:tcPr>
            <w:tcW w:w="2825"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双链、单链、双辐射</w:t>
            </w:r>
          </w:p>
        </w:tc>
        <w:tc>
          <w:tcPr>
            <w:tcW w:w="2825"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双链</w:t>
            </w:r>
          </w:p>
        </w:tc>
      </w:tr>
    </w:tbl>
    <w:p>
      <w:pPr>
        <w:pStyle w:val="150"/>
        <w:ind w:firstLine="560"/>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初期：双辐射接线/单链；</w:t>
      </w:r>
    </w:p>
    <w:p>
      <w:pPr>
        <w:pStyle w:val="150"/>
        <w:ind w:firstLine="560"/>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过渡期：不完全双链接线；</w:t>
      </w:r>
    </w:p>
    <w:p>
      <w:pPr>
        <w:pStyle w:val="150"/>
        <w:ind w:firstLine="560"/>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完善期：双链接线。</w:t>
      </w:r>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721" w:name="_Toc59973944"/>
      <w:bookmarkStart w:id="722" w:name="_Toc306956254"/>
      <w:bookmarkStart w:id="723" w:name="_Toc352071874"/>
      <w:bookmarkStart w:id="724" w:name="_Toc461453005"/>
      <w:bookmarkStart w:id="725" w:name="_Toc74041207"/>
      <w:bookmarkStart w:id="726" w:name="_Toc352610583"/>
      <w:bookmarkStart w:id="727" w:name="_Toc307054069"/>
      <w:bookmarkStart w:id="728" w:name="_Toc307054068"/>
      <w:bookmarkStart w:id="729" w:name="_Toc352071873"/>
      <w:bookmarkStart w:id="730" w:name="_Toc306956253"/>
      <w:r>
        <w:rPr>
          <w:rFonts w:eastAsia="仿宋"/>
          <w:sz w:val="32"/>
          <w:szCs w:val="32"/>
        </w:rPr>
        <w:t>变电站</w:t>
      </w:r>
      <w:bookmarkEnd w:id="721"/>
      <w:bookmarkEnd w:id="722"/>
      <w:bookmarkEnd w:id="723"/>
      <w:bookmarkEnd w:id="724"/>
      <w:bookmarkEnd w:id="725"/>
      <w:bookmarkEnd w:id="726"/>
      <w:bookmarkEnd w:id="727"/>
    </w:p>
    <w:bookmarkEnd w:id="728"/>
    <w:bookmarkEnd w:id="729"/>
    <w:bookmarkEnd w:id="730"/>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bookmarkStart w:id="731" w:name="_Toc410030665"/>
      <w:r>
        <w:rPr>
          <w:rFonts w:hint="eastAsia" w:ascii="仿宋_GB2312" w:hAnsi="仿宋_GB2312" w:eastAsia="仿宋_GB2312" w:cs="仿宋_GB2312"/>
          <w:kern w:val="2"/>
          <w:sz w:val="32"/>
          <w:szCs w:val="32"/>
          <w:lang w:val="en-US" w:eastAsia="zh-CN" w:bidi="ar-SA"/>
        </w:rPr>
        <w:t>1.变电站布点</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变电站选址应满足如下要求：</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（1）方便与电源或其他变电站的相互联系，符合整体布局和电网发展的要求；</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（2）便于进出线的布置，交通方便，并尽量靠近负荷中心；</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（3）占地面积应考虑最终规模要求；</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（4）避开易燃易爆及严重污染地区；</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（5）注意对公用通信设施的干扰问题；</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（6）该地区的土壤电阻率能使变电站接地电阻满足接地规程的相关要求。</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原则上供电区不再新建35千伏公用变电站，并适时淘汰或升压改造现有35千伏公用变电站。</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2.变电站规模</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（1）新建的110千伏变电站采用110/10千伏变压器，最终规模一般按3台配置。</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（2）新建变电站优先选择户内变电站建设型式。</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3.主设备选型</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（1）变电站应选用功能完备、质量好、少维护、检修周期长的智能化、节能型设备。</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（2）远景年西咸新区110千伏变电站主变单台容量主要考虑50兆伏安主变。变电站主变应选用节能型有载调压变压器，经计算短路电流较大时应采用高阻抗变压器，还应选用低噪音变压器。</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（3）新建设110千伏变电站根据需要，考虑采用智能化变电站。</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4.变电站主接线</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西咸新区新建变电站电气主接线推荐110千伏采用单母分段接线，10千伏采用单母分段接线或单母三分段接线。出线规模：110千伏侧推荐4-6回进出线，10千伏侧单台主变推荐按12回出线考虑。</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5.智能化改造</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新区110千伏变电站智能化改造随着变电站增容扩建工程同时进行改造。</w:t>
      </w:r>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732" w:name="_Toc59973945"/>
      <w:bookmarkStart w:id="733" w:name="_Toc461453006"/>
      <w:bookmarkStart w:id="734" w:name="_Toc74041208"/>
      <w:bookmarkStart w:id="735" w:name="_Toc410030664"/>
      <w:r>
        <w:rPr>
          <w:rFonts w:eastAsia="仿宋"/>
          <w:sz w:val="32"/>
          <w:szCs w:val="32"/>
        </w:rPr>
        <w:t>线路</w:t>
      </w:r>
      <w:bookmarkEnd w:id="732"/>
      <w:bookmarkEnd w:id="733"/>
      <w:bookmarkEnd w:id="734"/>
      <w:bookmarkEnd w:id="735"/>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以地区功能定位和总体规划为基础，以电网发展现状和变电站规划的位置为依据，确定线路的敷设方式以及不同型号线路的导线截面。</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1.高压线路A、B类供电区《导则》推荐采用电缆或架空线，C类供电区《导则》推荐采用架空线，考虑西咸发展规划建成优美田园城市，A、B类地区宜采用电缆，C类地区选择架空，必要时电缆。</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2.线径的确定应综合考虑近、远期电网发展要求，协调规划。线路应根据地形地貌特点和城市规划道路要求，沿道路绿化带架设，尽量减少与道路、铁路、河流以及架空线路的交叉跨越。</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3.架空导线和电缆截面的选择应满足负荷发展的要求，宜按远期规划考虑，参考饱和负荷值选取。A、B类供电区新建110千伏架空线路采用300mm</w:t>
      </w:r>
      <w:r>
        <w:rPr>
          <w:rFonts w:hint="eastAsia" w:ascii="仿宋_GB2312" w:hAnsi="仿宋_GB2312" w:eastAsia="仿宋_GB2312" w:cs="仿宋_GB2312"/>
          <w:kern w:val="2"/>
          <w:sz w:val="32"/>
          <w:szCs w:val="32"/>
          <w:vertAlign w:val="superscript"/>
          <w:lang w:val="en-US" w:eastAsia="zh-CN" w:bidi="ar-SA"/>
        </w:rPr>
        <w:t>2</w:t>
      </w:r>
      <w:r>
        <w:rPr>
          <w:rFonts w:hint="eastAsia" w:ascii="仿宋_GB2312" w:hAnsi="仿宋_GB2312" w:eastAsia="仿宋_GB2312" w:cs="仿宋_GB2312"/>
          <w:kern w:val="2"/>
          <w:sz w:val="32"/>
          <w:szCs w:val="32"/>
          <w:lang w:val="en-US" w:eastAsia="zh-CN" w:bidi="ar-SA"/>
        </w:rPr>
        <w:t>及以上钢芯铝绞线，电缆采用500mm</w:t>
      </w:r>
      <w:r>
        <w:rPr>
          <w:rFonts w:hint="eastAsia" w:ascii="仿宋_GB2312" w:hAnsi="仿宋_GB2312" w:eastAsia="仿宋_GB2312" w:cs="仿宋_GB2312"/>
          <w:kern w:val="2"/>
          <w:sz w:val="32"/>
          <w:szCs w:val="32"/>
          <w:vertAlign w:val="superscript"/>
          <w:lang w:val="en-US" w:eastAsia="zh-CN" w:bidi="ar-SA"/>
        </w:rPr>
        <w:t>2</w:t>
      </w:r>
      <w:r>
        <w:rPr>
          <w:rFonts w:hint="eastAsia" w:ascii="仿宋_GB2312" w:hAnsi="仿宋_GB2312" w:eastAsia="仿宋_GB2312" w:cs="仿宋_GB2312"/>
          <w:kern w:val="2"/>
          <w:sz w:val="32"/>
          <w:szCs w:val="32"/>
          <w:lang w:val="en-US" w:eastAsia="zh-CN" w:bidi="ar-SA"/>
        </w:rPr>
        <w:t>及以上铜芯电缆；C类供电区新建110千伏架空线路视情况采用400、300、240mm</w:t>
      </w:r>
      <w:r>
        <w:rPr>
          <w:rFonts w:hint="eastAsia" w:ascii="仿宋_GB2312" w:hAnsi="仿宋_GB2312" w:eastAsia="仿宋_GB2312" w:cs="仿宋_GB2312"/>
          <w:kern w:val="2"/>
          <w:sz w:val="32"/>
          <w:szCs w:val="32"/>
          <w:vertAlign w:val="superscript"/>
          <w:lang w:val="en-US" w:eastAsia="zh-CN" w:bidi="ar-SA"/>
        </w:rPr>
        <w:t>2</w:t>
      </w:r>
      <w:r>
        <w:rPr>
          <w:rFonts w:hint="eastAsia" w:ascii="仿宋_GB2312" w:hAnsi="仿宋_GB2312" w:eastAsia="仿宋_GB2312" w:cs="仿宋_GB2312"/>
          <w:kern w:val="2"/>
          <w:sz w:val="32"/>
          <w:szCs w:val="32"/>
          <w:lang w:val="en-US" w:eastAsia="zh-CN" w:bidi="ar-SA"/>
        </w:rPr>
        <w:t>钢芯铝绞线，必要时考虑400mm</w:t>
      </w:r>
      <w:r>
        <w:rPr>
          <w:rFonts w:hint="eastAsia" w:ascii="仿宋_GB2312" w:hAnsi="仿宋_GB2312" w:eastAsia="仿宋_GB2312" w:cs="仿宋_GB2312"/>
          <w:kern w:val="2"/>
          <w:sz w:val="32"/>
          <w:szCs w:val="32"/>
          <w:vertAlign w:val="superscript"/>
          <w:lang w:val="en-US" w:eastAsia="zh-CN" w:bidi="ar-SA"/>
        </w:rPr>
        <w:t>2</w:t>
      </w:r>
      <w:r>
        <w:rPr>
          <w:rFonts w:hint="eastAsia" w:ascii="仿宋_GB2312" w:hAnsi="仿宋_GB2312" w:eastAsia="仿宋_GB2312" w:cs="仿宋_GB2312"/>
          <w:kern w:val="2"/>
          <w:sz w:val="32"/>
          <w:szCs w:val="32"/>
          <w:lang w:val="en-US" w:eastAsia="zh-CN" w:bidi="ar-SA"/>
        </w:rPr>
        <w:t>及以上铜芯电缆。</w:t>
      </w:r>
    </w:p>
    <w:p>
      <w:pPr>
        <w:pStyle w:val="150"/>
        <w:keepNext w:val="0"/>
        <w:keepLines w:val="0"/>
        <w:pageBreakBefore w:val="0"/>
        <w:widowControl w:val="0"/>
        <w:kinsoku/>
        <w:wordWrap/>
        <w:overflowPunct/>
        <w:topLinePunct w:val="0"/>
        <w:autoSpaceDE/>
        <w:autoSpaceDN/>
        <w:bidi w:val="0"/>
        <w:adjustRightInd w:val="0"/>
        <w:snapToGrid w:val="0"/>
        <w:spacing w:line="640" w:lineRule="exact"/>
        <w:ind w:left="0" w:leftChars="0" w:firstLine="0" w:firstLineChars="0"/>
        <w:jc w:val="center"/>
        <w:textAlignment w:val="auto"/>
        <w:rPr>
          <w:rFonts w:hint="eastAsia" w:ascii="黑体" w:hAnsi="黑体" w:eastAsia="黑体" w:cs="黑体"/>
          <w:b w:val="0"/>
          <w:bCs w:val="0"/>
          <w:kern w:val="0"/>
          <w:sz w:val="28"/>
          <w:szCs w:val="28"/>
          <w:lang w:val="en-US" w:eastAsia="zh-CN" w:bidi="ar-SA"/>
        </w:rPr>
      </w:pPr>
      <w:r>
        <w:rPr>
          <w:rFonts w:hint="eastAsia" w:ascii="黑体" w:hAnsi="黑体" w:eastAsia="黑体" w:cs="黑体"/>
          <w:b w:val="0"/>
          <w:bCs w:val="0"/>
          <w:kern w:val="0"/>
          <w:sz w:val="28"/>
          <w:szCs w:val="28"/>
          <w:lang w:val="en-US" w:eastAsia="zh-CN" w:bidi="ar-SA"/>
        </w:rPr>
        <w:t>表6-7  110千伏电网线路建设推荐表</w:t>
      </w:r>
    </w:p>
    <w:tbl>
      <w:tblPr>
        <w:tblStyle w:val="88"/>
        <w:tblW w:w="8342" w:type="dxa"/>
        <w:tblInd w:w="15"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0" w:type="dxa"/>
          <w:bottom w:w="0" w:type="dxa"/>
          <w:right w:w="0" w:type="dxa"/>
        </w:tblCellMar>
      </w:tblPr>
      <w:tblGrid>
        <w:gridCol w:w="825"/>
        <w:gridCol w:w="999"/>
        <w:gridCol w:w="1795"/>
        <w:gridCol w:w="2065"/>
        <w:gridCol w:w="2658"/>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3" w:hRule="atLeast"/>
          <w:tblHeader/>
        </w:trPr>
        <w:tc>
          <w:tcPr>
            <w:tcW w:w="825" w:type="dxa"/>
            <w:shd w:val="clear" w:color="auto" w:fill="FFFFFF"/>
            <w:vAlign w:val="center"/>
          </w:tcPr>
          <w:p>
            <w:pPr>
              <w:pStyle w:val="152"/>
              <w:rPr>
                <w:rFonts w:hint="eastAsia"/>
              </w:rPr>
            </w:pPr>
          </w:p>
          <w:p>
            <w:pPr>
              <w:rPr>
                <w:rFonts w:hint="eastAsia"/>
              </w:rPr>
            </w:pPr>
          </w:p>
        </w:tc>
        <w:tc>
          <w:tcPr>
            <w:tcW w:w="999"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供电区类别</w:t>
            </w:r>
          </w:p>
        </w:tc>
        <w:tc>
          <w:tcPr>
            <w:tcW w:w="1795"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线路建设标准</w:t>
            </w:r>
          </w:p>
        </w:tc>
        <w:tc>
          <w:tcPr>
            <w:tcW w:w="2065"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架空线推荐截面(mm</w:t>
            </w:r>
            <w:r>
              <w:rPr>
                <w:rFonts w:hint="eastAsia" w:ascii="方正仿宋_GB2312" w:hAnsi="方正仿宋_GB2312" w:eastAsia="方正仿宋_GB2312" w:cs="方正仿宋_GB2312"/>
                <w:sz w:val="21"/>
                <w:szCs w:val="21"/>
                <w:vertAlign w:val="superscript"/>
              </w:rPr>
              <w:t>2</w:t>
            </w:r>
            <w:r>
              <w:rPr>
                <w:rFonts w:hint="eastAsia" w:ascii="方正仿宋_GB2312" w:hAnsi="方正仿宋_GB2312" w:eastAsia="方正仿宋_GB2312" w:cs="方正仿宋_GB2312"/>
                <w:sz w:val="21"/>
                <w:szCs w:val="21"/>
              </w:rPr>
              <w:t>)</w:t>
            </w:r>
          </w:p>
        </w:tc>
        <w:tc>
          <w:tcPr>
            <w:tcW w:w="2658"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电缆推荐截面(mm</w:t>
            </w:r>
            <w:r>
              <w:rPr>
                <w:rFonts w:hint="eastAsia" w:ascii="方正仿宋_GB2312" w:hAnsi="方正仿宋_GB2312" w:eastAsia="方正仿宋_GB2312" w:cs="方正仿宋_GB2312"/>
                <w:sz w:val="21"/>
                <w:szCs w:val="21"/>
                <w:vertAlign w:val="superscript"/>
              </w:rPr>
              <w:t>2</w:t>
            </w:r>
            <w:r>
              <w:rPr>
                <w:rFonts w:hint="eastAsia" w:ascii="方正仿宋_GB2312" w:hAnsi="方正仿宋_GB2312" w:eastAsia="方正仿宋_GB2312" w:cs="方正仿宋_GB2312"/>
                <w:sz w:val="21"/>
                <w:szCs w:val="21"/>
              </w:rPr>
              <w:t>)</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3" w:hRule="atLeast"/>
        </w:trPr>
        <w:tc>
          <w:tcPr>
            <w:tcW w:w="825" w:type="dxa"/>
            <w:vMerge w:val="restart"/>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110千伏</w:t>
            </w:r>
          </w:p>
        </w:tc>
        <w:tc>
          <w:tcPr>
            <w:tcW w:w="999"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A类</w:t>
            </w:r>
          </w:p>
        </w:tc>
        <w:tc>
          <w:tcPr>
            <w:tcW w:w="1795"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电缆或架空线</w:t>
            </w:r>
          </w:p>
        </w:tc>
        <w:tc>
          <w:tcPr>
            <w:tcW w:w="2065"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2×300、2×240、400、300</w:t>
            </w:r>
          </w:p>
        </w:tc>
        <w:tc>
          <w:tcPr>
            <w:tcW w:w="2658"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1200、1000、800、630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3" w:hRule="atLeast"/>
        </w:trPr>
        <w:tc>
          <w:tcPr>
            <w:tcW w:w="825" w:type="dxa"/>
            <w:vMerge w:val="continue"/>
            <w:shd w:val="clear" w:color="auto" w:fill="FFFFFF"/>
            <w:vAlign w:val="center"/>
          </w:tcPr>
          <w:p>
            <w:pPr>
              <w:pStyle w:val="152"/>
              <w:rPr>
                <w:rFonts w:hint="eastAsia" w:ascii="方正仿宋_GB2312" w:hAnsi="方正仿宋_GB2312" w:eastAsia="方正仿宋_GB2312" w:cs="方正仿宋_GB2312"/>
                <w:sz w:val="21"/>
                <w:szCs w:val="21"/>
              </w:rPr>
            </w:pPr>
          </w:p>
        </w:tc>
        <w:tc>
          <w:tcPr>
            <w:tcW w:w="999"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B类</w:t>
            </w:r>
          </w:p>
        </w:tc>
        <w:tc>
          <w:tcPr>
            <w:tcW w:w="1795"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架空线、必要时电缆</w:t>
            </w:r>
          </w:p>
        </w:tc>
        <w:tc>
          <w:tcPr>
            <w:tcW w:w="2065"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2×240、400、300</w:t>
            </w:r>
          </w:p>
        </w:tc>
        <w:tc>
          <w:tcPr>
            <w:tcW w:w="2658"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1000、800、630、500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3" w:hRule="atLeast"/>
        </w:trPr>
        <w:tc>
          <w:tcPr>
            <w:tcW w:w="825" w:type="dxa"/>
            <w:vMerge w:val="continue"/>
            <w:shd w:val="clear" w:color="auto" w:fill="FFFFFF"/>
            <w:vAlign w:val="center"/>
          </w:tcPr>
          <w:p>
            <w:pPr>
              <w:pStyle w:val="152"/>
              <w:rPr>
                <w:rFonts w:hint="eastAsia" w:ascii="方正仿宋_GB2312" w:hAnsi="方正仿宋_GB2312" w:eastAsia="方正仿宋_GB2312" w:cs="方正仿宋_GB2312"/>
                <w:sz w:val="21"/>
                <w:szCs w:val="21"/>
              </w:rPr>
            </w:pPr>
          </w:p>
        </w:tc>
        <w:tc>
          <w:tcPr>
            <w:tcW w:w="999"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C类</w:t>
            </w:r>
          </w:p>
        </w:tc>
        <w:tc>
          <w:tcPr>
            <w:tcW w:w="1795"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架空线</w:t>
            </w:r>
          </w:p>
        </w:tc>
        <w:tc>
          <w:tcPr>
            <w:tcW w:w="2065"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400、300、240</w:t>
            </w:r>
          </w:p>
        </w:tc>
        <w:tc>
          <w:tcPr>
            <w:tcW w:w="2658"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必要时，考虑630、500、400</w:t>
            </w:r>
          </w:p>
        </w:tc>
      </w:tr>
      <w:bookmarkEnd w:id="731"/>
    </w:tbl>
    <w:p>
      <w:pPr>
        <w:adjustRightInd w:val="0"/>
        <w:snapToGrid w:val="0"/>
        <w:spacing w:line="360" w:lineRule="auto"/>
        <w:rPr>
          <w:rFonts w:eastAsia="仿宋"/>
          <w:sz w:val="28"/>
        </w:rPr>
      </w:pPr>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rPr>
      </w:pPr>
      <w:bookmarkStart w:id="736" w:name="_Toc461548929"/>
      <w:bookmarkStart w:id="737" w:name="_Toc74041209"/>
      <w:bookmarkStart w:id="738" w:name="_Toc26658"/>
      <w:r>
        <w:rPr>
          <w:rFonts w:hint="eastAsia" w:ascii="黑体" w:hAnsi="黑体" w:eastAsia="黑体" w:cs="黑体"/>
          <w:b w:val="0"/>
          <w:bCs w:val="0"/>
          <w:sz w:val="32"/>
          <w:szCs w:val="32"/>
        </w:rPr>
        <w:t>10千伏电网规划技术原则</w:t>
      </w:r>
      <w:bookmarkEnd w:id="736"/>
      <w:bookmarkEnd w:id="737"/>
      <w:bookmarkEnd w:id="738"/>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739" w:name="_Toc307054078"/>
      <w:bookmarkStart w:id="740" w:name="_Toc219977918"/>
      <w:bookmarkStart w:id="741" w:name="_Toc306766322"/>
      <w:bookmarkStart w:id="742" w:name="_Toc352071886"/>
      <w:bookmarkStart w:id="743" w:name="_Toc74041210"/>
      <w:bookmarkStart w:id="744" w:name="_Toc30189"/>
      <w:bookmarkStart w:id="745" w:name="_Toc306780114"/>
      <w:bookmarkStart w:id="746" w:name="_Toc59973947"/>
      <w:bookmarkStart w:id="747" w:name="_Toc306956263"/>
      <w:bookmarkStart w:id="748" w:name="_Toc253585229"/>
      <w:bookmarkStart w:id="749" w:name="_Toc253744208"/>
      <w:bookmarkStart w:id="750" w:name="_Toc253594799"/>
      <w:bookmarkStart w:id="751" w:name="_Toc1582"/>
      <w:r>
        <w:rPr>
          <w:rFonts w:eastAsia="仿宋"/>
          <w:sz w:val="32"/>
          <w:szCs w:val="32"/>
        </w:rPr>
        <w:t>线路</w:t>
      </w:r>
      <w:bookmarkEnd w:id="739"/>
      <w:bookmarkEnd w:id="740"/>
      <w:bookmarkEnd w:id="741"/>
      <w:bookmarkEnd w:id="742"/>
      <w:bookmarkEnd w:id="743"/>
      <w:bookmarkEnd w:id="744"/>
      <w:bookmarkEnd w:id="745"/>
      <w:bookmarkEnd w:id="746"/>
      <w:bookmarkEnd w:id="747"/>
      <w:bookmarkEnd w:id="748"/>
      <w:bookmarkEnd w:id="749"/>
      <w:bookmarkEnd w:id="750"/>
      <w:bookmarkEnd w:id="751"/>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10千伏配电网应有较强的适应性，主干线截面宜综合饱和负荷状况、线路全寿命周期一次选定。依据《配电网规划设计技术导则》（DL／T5729-2016）相关规定，导线截面选择应系列化，同一规划区的主干线导线截面不宜超过3种，主变容量与中压出线间隔及中压线路导线截面的配合一般可参考下表选择。</w:t>
      </w:r>
    </w:p>
    <w:p>
      <w:pPr>
        <w:pStyle w:val="2"/>
        <w:rPr>
          <w:rFonts w:hint="eastAsia" w:ascii="仿宋_GB2312" w:hAnsi="仿宋_GB2312" w:eastAsia="仿宋_GB2312" w:cs="仿宋_GB2312"/>
          <w:kern w:val="2"/>
          <w:sz w:val="32"/>
          <w:szCs w:val="32"/>
          <w:lang w:val="en-US" w:eastAsia="zh-CN" w:bidi="ar-SA"/>
        </w:rPr>
      </w:pPr>
    </w:p>
    <w:p>
      <w:pPr>
        <w:pStyle w:val="2"/>
        <w:rPr>
          <w:rFonts w:hint="eastAsia" w:ascii="仿宋_GB2312" w:hAnsi="仿宋_GB2312" w:eastAsia="仿宋_GB2312" w:cs="仿宋_GB2312"/>
          <w:kern w:val="2"/>
          <w:sz w:val="32"/>
          <w:szCs w:val="32"/>
          <w:lang w:val="en-US" w:eastAsia="zh-CN" w:bidi="ar-SA"/>
        </w:rPr>
      </w:pPr>
    </w:p>
    <w:p>
      <w:pPr>
        <w:pStyle w:val="150"/>
        <w:keepNext w:val="0"/>
        <w:keepLines w:val="0"/>
        <w:pageBreakBefore w:val="0"/>
        <w:widowControl w:val="0"/>
        <w:kinsoku/>
        <w:wordWrap/>
        <w:overflowPunct/>
        <w:topLinePunct w:val="0"/>
        <w:autoSpaceDE/>
        <w:autoSpaceDN/>
        <w:bidi w:val="0"/>
        <w:adjustRightInd w:val="0"/>
        <w:snapToGrid w:val="0"/>
        <w:spacing w:line="640" w:lineRule="exact"/>
        <w:ind w:left="0" w:leftChars="0" w:firstLine="0" w:firstLineChars="0"/>
        <w:jc w:val="center"/>
        <w:textAlignment w:val="auto"/>
        <w:rPr>
          <w:rFonts w:hint="eastAsia" w:ascii="黑体" w:hAnsi="黑体" w:eastAsia="黑体" w:cs="黑体"/>
          <w:b w:val="0"/>
          <w:bCs w:val="0"/>
          <w:kern w:val="0"/>
          <w:sz w:val="28"/>
          <w:szCs w:val="28"/>
          <w:lang w:val="en-US" w:eastAsia="zh-CN" w:bidi="ar-SA"/>
        </w:rPr>
      </w:pPr>
      <w:r>
        <w:rPr>
          <w:rFonts w:hint="eastAsia" w:ascii="黑体" w:hAnsi="黑体" w:eastAsia="黑体" w:cs="黑体"/>
          <w:b w:val="0"/>
          <w:bCs w:val="0"/>
          <w:kern w:val="0"/>
          <w:sz w:val="28"/>
          <w:szCs w:val="28"/>
          <w:lang w:val="en-US" w:eastAsia="zh-CN" w:bidi="ar-SA"/>
        </w:rPr>
        <w:t>表6-8  主变容量与中压出线间隔及中压线路导线截面配合推荐表</w:t>
      </w:r>
    </w:p>
    <w:tbl>
      <w:tblPr>
        <w:tblStyle w:val="88"/>
        <w:tblW w:w="8940"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801"/>
        <w:gridCol w:w="1288"/>
        <w:gridCol w:w="1213"/>
        <w:gridCol w:w="1212"/>
        <w:gridCol w:w="1213"/>
        <w:gridCol w:w="1213"/>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2" w:hRule="atLeast"/>
          <w:jc w:val="center"/>
        </w:trPr>
        <w:tc>
          <w:tcPr>
            <w:tcW w:w="2801" w:type="dxa"/>
            <w:vMerge w:val="restart"/>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110～35千伏主变容量（兆伏安）</w:t>
            </w:r>
          </w:p>
        </w:tc>
        <w:tc>
          <w:tcPr>
            <w:tcW w:w="1288" w:type="dxa"/>
            <w:vMerge w:val="restart"/>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10千伏馈线数</w:t>
            </w:r>
          </w:p>
        </w:tc>
        <w:tc>
          <w:tcPr>
            <w:tcW w:w="2425" w:type="dxa"/>
            <w:gridSpan w:val="2"/>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10千伏主干线截面（mm</w:t>
            </w:r>
            <w:r>
              <w:rPr>
                <w:rFonts w:hint="eastAsia" w:ascii="方正仿宋_GB2312" w:hAnsi="方正仿宋_GB2312" w:eastAsia="方正仿宋_GB2312" w:cs="方正仿宋_GB2312"/>
                <w:kern w:val="0"/>
                <w:sz w:val="21"/>
                <w:szCs w:val="21"/>
                <w:vertAlign w:val="superscript"/>
              </w:rPr>
              <w:t>2</w:t>
            </w:r>
            <w:r>
              <w:rPr>
                <w:rFonts w:hint="eastAsia" w:ascii="方正仿宋_GB2312" w:hAnsi="方正仿宋_GB2312" w:eastAsia="方正仿宋_GB2312" w:cs="方正仿宋_GB2312"/>
                <w:kern w:val="0"/>
                <w:sz w:val="21"/>
                <w:szCs w:val="21"/>
              </w:rPr>
              <w:t>）</w:t>
            </w:r>
          </w:p>
        </w:tc>
        <w:tc>
          <w:tcPr>
            <w:tcW w:w="2426" w:type="dxa"/>
            <w:gridSpan w:val="2"/>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10千伏分支线截面（mm</w:t>
            </w:r>
            <w:r>
              <w:rPr>
                <w:rFonts w:hint="eastAsia" w:ascii="方正仿宋_GB2312" w:hAnsi="方正仿宋_GB2312" w:eastAsia="方正仿宋_GB2312" w:cs="方正仿宋_GB2312"/>
                <w:kern w:val="0"/>
                <w:sz w:val="21"/>
                <w:szCs w:val="21"/>
                <w:vertAlign w:val="superscript"/>
              </w:rPr>
              <w:t>2</w:t>
            </w:r>
            <w:r>
              <w:rPr>
                <w:rFonts w:hint="eastAsia" w:ascii="方正仿宋_GB2312" w:hAnsi="方正仿宋_GB2312" w:eastAsia="方正仿宋_GB2312" w:cs="方正仿宋_GB2312"/>
                <w:kern w:val="0"/>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12" w:hRule="atLeast"/>
          <w:jc w:val="center"/>
        </w:trPr>
        <w:tc>
          <w:tcPr>
            <w:tcW w:w="2801" w:type="dxa"/>
            <w:vMerge w:val="continue"/>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21"/>
                <w:szCs w:val="21"/>
              </w:rPr>
            </w:pPr>
          </w:p>
        </w:tc>
        <w:tc>
          <w:tcPr>
            <w:tcW w:w="1288" w:type="dxa"/>
            <w:vMerge w:val="continue"/>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21"/>
                <w:szCs w:val="21"/>
              </w:rPr>
            </w:pPr>
          </w:p>
        </w:tc>
        <w:tc>
          <w:tcPr>
            <w:tcW w:w="1213"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架空</w:t>
            </w:r>
          </w:p>
        </w:tc>
        <w:tc>
          <w:tcPr>
            <w:tcW w:w="1212" w:type="dxa"/>
            <w:tcBorders>
              <w:tl2br w:val="nil"/>
              <w:tr2bl w:val="nil"/>
            </w:tcBorders>
            <w:vAlign w:val="center"/>
          </w:tcPr>
          <w:p>
            <w:pPr>
              <w:pStyle w:val="150"/>
              <w:keepNext w:val="0"/>
              <w:keepLines w:val="0"/>
              <w:pageBreakBefore w:val="0"/>
              <w:widowControl w:val="0"/>
              <w:kinsoku/>
              <w:wordWrap/>
              <w:overflowPunct/>
              <w:topLinePunct w:val="0"/>
              <w:autoSpaceDE/>
              <w:autoSpaceDN/>
              <w:bidi w:val="0"/>
              <w:adjustRightInd w:val="0"/>
              <w:snapToGrid w:val="0"/>
              <w:spacing w:line="640" w:lineRule="exact"/>
              <w:ind w:left="0" w:leftChars="0" w:firstLine="0" w:firstLineChars="0"/>
              <w:jc w:val="center"/>
              <w:textAlignment w:val="auto"/>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电缆</w:t>
            </w:r>
          </w:p>
        </w:tc>
        <w:tc>
          <w:tcPr>
            <w:tcW w:w="1213"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架空</w:t>
            </w:r>
          </w:p>
        </w:tc>
        <w:tc>
          <w:tcPr>
            <w:tcW w:w="1213"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电缆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7" w:hRule="atLeast"/>
          <w:jc w:val="center"/>
        </w:trPr>
        <w:tc>
          <w:tcPr>
            <w:tcW w:w="2801"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50</w:t>
            </w:r>
          </w:p>
        </w:tc>
        <w:tc>
          <w:tcPr>
            <w:tcW w:w="1288"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8～14</w:t>
            </w:r>
          </w:p>
        </w:tc>
        <w:tc>
          <w:tcPr>
            <w:tcW w:w="1213"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240、185、150</w:t>
            </w:r>
          </w:p>
        </w:tc>
        <w:tc>
          <w:tcPr>
            <w:tcW w:w="1212"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400、300、240</w:t>
            </w:r>
          </w:p>
        </w:tc>
        <w:tc>
          <w:tcPr>
            <w:tcW w:w="1213"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150、120、95</w:t>
            </w:r>
          </w:p>
        </w:tc>
        <w:tc>
          <w:tcPr>
            <w:tcW w:w="1213" w:type="dxa"/>
            <w:tcBorders>
              <w:tl2br w:val="nil"/>
              <w:tr2bl w:val="nil"/>
            </w:tcBorders>
            <w:vAlign w:val="center"/>
          </w:tcPr>
          <w:p>
            <w:pPr>
              <w:widowControl/>
              <w:jc w:val="center"/>
              <w:textAlignment w:val="center"/>
              <w:rPr>
                <w:rFonts w:hint="eastAsia" w:ascii="方正仿宋_GB2312" w:hAnsi="方正仿宋_GB2312" w:eastAsia="方正仿宋_GB2312" w:cs="方正仿宋_GB2312"/>
                <w:kern w:val="0"/>
                <w:sz w:val="21"/>
                <w:szCs w:val="21"/>
              </w:rPr>
            </w:pPr>
            <w:r>
              <w:rPr>
                <w:rFonts w:hint="eastAsia" w:ascii="方正仿宋_GB2312" w:hAnsi="方正仿宋_GB2312" w:eastAsia="方正仿宋_GB2312" w:cs="方正仿宋_GB2312"/>
                <w:kern w:val="0"/>
                <w:sz w:val="21"/>
                <w:szCs w:val="21"/>
              </w:rPr>
              <w:t>240、185、150</w:t>
            </w:r>
          </w:p>
        </w:tc>
      </w:tr>
    </w:tbl>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西咸新区规划线路主要采用电缆敷设，10千伏主干线及联络线电缆截面采用400mm</w:t>
      </w:r>
      <w:r>
        <w:rPr>
          <w:rFonts w:hint="eastAsia" w:ascii="仿宋_GB2312" w:hAnsi="仿宋_GB2312" w:eastAsia="仿宋_GB2312" w:cs="仿宋_GB2312"/>
          <w:kern w:val="2"/>
          <w:sz w:val="32"/>
          <w:szCs w:val="32"/>
          <w:vertAlign w:val="superscript"/>
          <w:lang w:val="en-US" w:eastAsia="zh-CN" w:bidi="ar-SA"/>
        </w:rPr>
        <w:t>2</w:t>
      </w:r>
      <w:r>
        <w:rPr>
          <w:rFonts w:hint="eastAsia" w:ascii="仿宋_GB2312" w:hAnsi="仿宋_GB2312" w:eastAsia="仿宋_GB2312" w:cs="仿宋_GB2312"/>
          <w:kern w:val="2"/>
          <w:sz w:val="32"/>
          <w:szCs w:val="32"/>
          <w:lang w:val="en-US" w:eastAsia="zh-CN" w:bidi="ar-SA"/>
        </w:rPr>
        <w:t>和300mm</w:t>
      </w:r>
      <w:r>
        <w:rPr>
          <w:rFonts w:hint="eastAsia" w:ascii="仿宋_GB2312" w:hAnsi="仿宋_GB2312" w:eastAsia="仿宋_GB2312" w:cs="仿宋_GB2312"/>
          <w:kern w:val="2"/>
          <w:sz w:val="32"/>
          <w:szCs w:val="32"/>
          <w:vertAlign w:val="superscript"/>
          <w:lang w:val="en-US" w:eastAsia="zh-CN" w:bidi="ar-SA"/>
        </w:rPr>
        <w:t>2</w:t>
      </w:r>
      <w:r>
        <w:rPr>
          <w:rFonts w:hint="eastAsia" w:ascii="仿宋_GB2312" w:hAnsi="仿宋_GB2312" w:eastAsia="仿宋_GB2312" w:cs="仿宋_GB2312"/>
          <w:kern w:val="2"/>
          <w:sz w:val="32"/>
          <w:szCs w:val="32"/>
          <w:lang w:val="en-US" w:eastAsia="zh-CN" w:bidi="ar-SA"/>
        </w:rPr>
        <w:t>，架空线截面选用240mm</w:t>
      </w:r>
      <w:r>
        <w:rPr>
          <w:rFonts w:hint="eastAsia" w:ascii="仿宋_GB2312" w:hAnsi="仿宋_GB2312" w:eastAsia="仿宋_GB2312" w:cs="仿宋_GB2312"/>
          <w:kern w:val="2"/>
          <w:sz w:val="32"/>
          <w:szCs w:val="32"/>
          <w:vertAlign w:val="superscript"/>
          <w:lang w:val="en-US" w:eastAsia="zh-CN" w:bidi="ar-SA"/>
        </w:rPr>
        <w:t>2</w:t>
      </w:r>
      <w:r>
        <w:rPr>
          <w:rFonts w:hint="eastAsia" w:ascii="仿宋_GB2312" w:hAnsi="仿宋_GB2312" w:eastAsia="仿宋_GB2312" w:cs="仿宋_GB2312"/>
          <w:kern w:val="2"/>
          <w:sz w:val="32"/>
          <w:szCs w:val="32"/>
          <w:lang w:val="en-US" w:eastAsia="zh-CN" w:bidi="ar-SA"/>
        </w:rPr>
        <w:t>；分支线电缆截面选用240mm</w:t>
      </w:r>
      <w:r>
        <w:rPr>
          <w:rFonts w:hint="eastAsia" w:ascii="仿宋_GB2312" w:hAnsi="仿宋_GB2312" w:eastAsia="仿宋_GB2312" w:cs="仿宋_GB2312"/>
          <w:kern w:val="2"/>
          <w:sz w:val="32"/>
          <w:szCs w:val="32"/>
          <w:vertAlign w:val="superscript"/>
          <w:lang w:val="en-US" w:eastAsia="zh-CN" w:bidi="ar-SA"/>
        </w:rPr>
        <w:t>2</w:t>
      </w:r>
      <w:r>
        <w:rPr>
          <w:rFonts w:hint="eastAsia" w:ascii="仿宋_GB2312" w:hAnsi="仿宋_GB2312" w:eastAsia="仿宋_GB2312" w:cs="仿宋_GB2312"/>
          <w:kern w:val="2"/>
          <w:sz w:val="32"/>
          <w:szCs w:val="32"/>
          <w:lang w:val="en-US" w:eastAsia="zh-CN" w:bidi="ar-SA"/>
        </w:rPr>
        <w:t>，架空线截面选用120mm</w:t>
      </w:r>
      <w:r>
        <w:rPr>
          <w:rFonts w:hint="eastAsia" w:ascii="仿宋_GB2312" w:hAnsi="仿宋_GB2312" w:eastAsia="仿宋_GB2312" w:cs="仿宋_GB2312"/>
          <w:kern w:val="2"/>
          <w:sz w:val="32"/>
          <w:szCs w:val="32"/>
          <w:vertAlign w:val="superscript"/>
          <w:lang w:val="en-US" w:eastAsia="zh-CN" w:bidi="ar-SA"/>
        </w:rPr>
        <w:t>2</w:t>
      </w:r>
      <w:r>
        <w:rPr>
          <w:rFonts w:hint="eastAsia" w:ascii="仿宋_GB2312" w:hAnsi="仿宋_GB2312" w:eastAsia="仿宋_GB2312" w:cs="仿宋_GB2312"/>
          <w:kern w:val="2"/>
          <w:sz w:val="32"/>
          <w:szCs w:val="32"/>
          <w:lang w:val="en-US" w:eastAsia="zh-CN" w:bidi="ar-SA"/>
        </w:rPr>
        <w:t>。</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10千伏线路供电半径应满足末端电压质量的要求。西咸新区供电区域供电半径不宜超过3公里。</w:t>
      </w:r>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752" w:name="_Toc253585230"/>
      <w:bookmarkStart w:id="753" w:name="_Toc253744209"/>
      <w:bookmarkStart w:id="754" w:name="_Toc219977919"/>
      <w:bookmarkStart w:id="755" w:name="_Toc307054079"/>
      <w:bookmarkStart w:id="756" w:name="_Toc306956264"/>
      <w:bookmarkStart w:id="757" w:name="_Toc253594800"/>
      <w:bookmarkStart w:id="758" w:name="_Toc306766323"/>
      <w:bookmarkStart w:id="759" w:name="_Toc306780115"/>
      <w:bookmarkStart w:id="760" w:name="_Toc74041211"/>
      <w:bookmarkStart w:id="761" w:name="_Toc59973948"/>
      <w:bookmarkStart w:id="762" w:name="_Toc7291"/>
      <w:bookmarkStart w:id="763" w:name="_Toc352071887"/>
      <w:bookmarkStart w:id="764" w:name="_Toc16313"/>
      <w:r>
        <w:rPr>
          <w:rFonts w:eastAsia="仿宋"/>
          <w:sz w:val="32"/>
          <w:szCs w:val="32"/>
        </w:rPr>
        <w:t>配电</w:t>
      </w:r>
      <w:bookmarkEnd w:id="752"/>
      <w:bookmarkEnd w:id="753"/>
      <w:bookmarkEnd w:id="754"/>
      <w:bookmarkEnd w:id="755"/>
      <w:bookmarkEnd w:id="756"/>
      <w:bookmarkEnd w:id="757"/>
      <w:bookmarkEnd w:id="758"/>
      <w:bookmarkEnd w:id="759"/>
      <w:r>
        <w:rPr>
          <w:rFonts w:eastAsia="仿宋"/>
          <w:sz w:val="32"/>
          <w:szCs w:val="32"/>
        </w:rPr>
        <w:t>设备</w:t>
      </w:r>
      <w:bookmarkEnd w:id="760"/>
      <w:bookmarkEnd w:id="761"/>
      <w:bookmarkEnd w:id="762"/>
      <w:bookmarkEnd w:id="763"/>
      <w:bookmarkEnd w:id="764"/>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1.柱上变压器。配电变压器应按“小容量、密布点、短半径”的原则配置，应尽量靠近负荷中心，根据需要也可采用单相变压器。配电变压器容量应根据负荷需要选取，不同类型供电区域的配电变压器容量选取一般应参照下表。</w:t>
      </w:r>
    </w:p>
    <w:p>
      <w:pPr>
        <w:pStyle w:val="150"/>
        <w:keepNext w:val="0"/>
        <w:keepLines w:val="0"/>
        <w:pageBreakBefore w:val="0"/>
        <w:widowControl w:val="0"/>
        <w:kinsoku/>
        <w:wordWrap/>
        <w:overflowPunct/>
        <w:topLinePunct w:val="0"/>
        <w:autoSpaceDE/>
        <w:autoSpaceDN/>
        <w:bidi w:val="0"/>
        <w:adjustRightInd w:val="0"/>
        <w:snapToGrid w:val="0"/>
        <w:spacing w:line="400" w:lineRule="exact"/>
        <w:ind w:left="0" w:leftChars="0" w:firstLine="0" w:firstLineChars="0"/>
        <w:jc w:val="center"/>
        <w:textAlignment w:val="auto"/>
        <w:rPr>
          <w:rFonts w:hint="eastAsia" w:cs="Times New Roman"/>
          <w:b/>
          <w:bCs/>
          <w:kern w:val="0"/>
          <w:sz w:val="22"/>
          <w:szCs w:val="22"/>
          <w:lang w:val="en-US" w:eastAsia="zh-CN" w:bidi="ar-SA"/>
        </w:rPr>
      </w:pPr>
      <w:r>
        <w:rPr>
          <w:rFonts w:hint="eastAsia" w:ascii="黑体" w:hAnsi="黑体" w:eastAsia="黑体" w:cs="黑体"/>
          <w:b w:val="0"/>
          <w:bCs w:val="0"/>
          <w:kern w:val="0"/>
          <w:sz w:val="28"/>
          <w:szCs w:val="28"/>
          <w:lang w:val="en-US" w:eastAsia="zh-CN" w:bidi="ar-SA"/>
        </w:rPr>
        <w:t>表6-9  10千伏柱上变压器容量推荐表</w:t>
      </w:r>
    </w:p>
    <w:tbl>
      <w:tblPr>
        <w:tblStyle w:val="88"/>
        <w:tblW w:w="8880"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506"/>
        <w:gridCol w:w="3528"/>
        <w:gridCol w:w="284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9" w:hRule="atLeast"/>
          <w:jc w:val="center"/>
        </w:trPr>
        <w:tc>
          <w:tcPr>
            <w:tcW w:w="2506" w:type="dxa"/>
            <w:tcBorders>
              <w:tl2br w:val="nil"/>
              <w:tr2bl w:val="nil"/>
            </w:tcBorders>
            <w:vAlign w:val="center"/>
          </w:tcPr>
          <w:p>
            <w:pPr>
              <w:widowControl/>
              <w:spacing w:before="60" w:after="60"/>
              <w:jc w:val="center"/>
              <w:rPr>
                <w:rFonts w:eastAsia="仿宋"/>
                <w:kern w:val="0"/>
                <w:szCs w:val="21"/>
              </w:rPr>
            </w:pPr>
            <w:r>
              <w:rPr>
                <w:rFonts w:eastAsia="仿宋"/>
                <w:kern w:val="0"/>
                <w:szCs w:val="21"/>
              </w:rPr>
              <w:t>供电区域类型</w:t>
            </w:r>
          </w:p>
        </w:tc>
        <w:tc>
          <w:tcPr>
            <w:tcW w:w="3528" w:type="dxa"/>
            <w:tcBorders>
              <w:tl2br w:val="nil"/>
              <w:tr2bl w:val="nil"/>
            </w:tcBorders>
            <w:vAlign w:val="center"/>
          </w:tcPr>
          <w:p>
            <w:pPr>
              <w:widowControl/>
              <w:spacing w:before="60" w:after="60"/>
              <w:jc w:val="center"/>
              <w:rPr>
                <w:rFonts w:eastAsia="仿宋"/>
                <w:kern w:val="0"/>
                <w:szCs w:val="21"/>
              </w:rPr>
            </w:pPr>
            <w:r>
              <w:rPr>
                <w:rFonts w:eastAsia="仿宋"/>
                <w:kern w:val="0"/>
                <w:szCs w:val="21"/>
              </w:rPr>
              <w:t>三相柱上变压器容量（千伏安）</w:t>
            </w:r>
          </w:p>
        </w:tc>
        <w:tc>
          <w:tcPr>
            <w:tcW w:w="2846" w:type="dxa"/>
            <w:tcBorders>
              <w:tl2br w:val="nil"/>
              <w:tr2bl w:val="nil"/>
            </w:tcBorders>
            <w:vAlign w:val="center"/>
          </w:tcPr>
          <w:p>
            <w:pPr>
              <w:widowControl/>
              <w:spacing w:before="60" w:after="60"/>
              <w:jc w:val="center"/>
              <w:rPr>
                <w:rFonts w:eastAsia="仿宋"/>
                <w:kern w:val="0"/>
                <w:szCs w:val="21"/>
              </w:rPr>
            </w:pPr>
            <w:r>
              <w:rPr>
                <w:rFonts w:eastAsia="仿宋"/>
                <w:kern w:val="0"/>
                <w:szCs w:val="21"/>
              </w:rPr>
              <w:t>单相柱上变压器容量（千伏安）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2506" w:type="dxa"/>
            <w:tcBorders>
              <w:tl2br w:val="nil"/>
              <w:tr2bl w:val="nil"/>
            </w:tcBorders>
            <w:vAlign w:val="center"/>
          </w:tcPr>
          <w:p>
            <w:pPr>
              <w:widowControl/>
              <w:spacing w:before="60" w:after="60"/>
              <w:jc w:val="center"/>
              <w:rPr>
                <w:rFonts w:eastAsia="仿宋"/>
                <w:kern w:val="0"/>
                <w:szCs w:val="21"/>
              </w:rPr>
            </w:pPr>
            <w:r>
              <w:rPr>
                <w:rFonts w:eastAsia="仿宋"/>
                <w:kern w:val="0"/>
                <w:szCs w:val="21"/>
              </w:rPr>
              <w:t>B类</w:t>
            </w:r>
          </w:p>
        </w:tc>
        <w:tc>
          <w:tcPr>
            <w:tcW w:w="3528" w:type="dxa"/>
            <w:tcBorders>
              <w:tl2br w:val="nil"/>
              <w:tr2bl w:val="nil"/>
            </w:tcBorders>
            <w:vAlign w:val="center"/>
          </w:tcPr>
          <w:p>
            <w:pPr>
              <w:widowControl/>
              <w:spacing w:before="60" w:after="60"/>
              <w:jc w:val="center"/>
              <w:rPr>
                <w:rFonts w:eastAsia="仿宋"/>
                <w:kern w:val="0"/>
                <w:szCs w:val="21"/>
              </w:rPr>
            </w:pPr>
            <w:r>
              <w:rPr>
                <w:rFonts w:eastAsia="仿宋"/>
                <w:kern w:val="0"/>
                <w:szCs w:val="21"/>
              </w:rPr>
              <w:t>≤400</w:t>
            </w:r>
          </w:p>
        </w:tc>
        <w:tc>
          <w:tcPr>
            <w:tcW w:w="2846" w:type="dxa"/>
            <w:tcBorders>
              <w:tl2br w:val="nil"/>
              <w:tr2bl w:val="nil"/>
            </w:tcBorders>
            <w:vAlign w:val="center"/>
          </w:tcPr>
          <w:p>
            <w:pPr>
              <w:widowControl/>
              <w:spacing w:before="60" w:after="60"/>
              <w:jc w:val="center"/>
              <w:rPr>
                <w:rFonts w:eastAsia="仿宋"/>
                <w:kern w:val="0"/>
                <w:szCs w:val="21"/>
              </w:rPr>
            </w:pPr>
            <w:r>
              <w:rPr>
                <w:rFonts w:eastAsia="仿宋"/>
                <w:kern w:val="0"/>
                <w:szCs w:val="21"/>
              </w:rPr>
              <w:t>≤100</w:t>
            </w:r>
          </w:p>
        </w:tc>
      </w:tr>
    </w:tbl>
    <w:p>
      <w:pPr>
        <w:snapToGrid w:val="0"/>
        <w:rPr>
          <w:rFonts w:eastAsia="仿宋"/>
          <w:sz w:val="18"/>
        </w:rPr>
      </w:pP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配电室。一般独立建设，受条件所限，必须进楼时，可设置在地下一层，但不宜设置在最底层，其配电变压器宜选用干式，并采取屏蔽、减振、防潮措施。变压器接线组别一般采用Dyn11，单台容量不宜超过800千伏安，380/220V侧为单母线分段接线。</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3.箱式变电站。一般用于配电室建设改造困难的情况，如架空线路入地改造地区、配电室无法扩容改造的场所，以及施工用电、临时用电等，其单台变压器容量一般不宜超过500千伏安。</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4.柱上开关。一是规划实施配电自动化的地区，开关性能及自动化原理应一致，并预留自动化接口；二是线路分段、联络开关宜选择负荷开关。长线路后段（超出变电站过流保护范围）、较大分支线路首端及用户分界点处可选择断路器；三是开关的遮断容量应与上级10千伏母线相协调。</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5.环网单元。环网室（箱）宜采用4路进出线，必要时可增减进出线。进线及环出线宜采用负荷开关，配出线根据电网情况及负荷性质可采用负荷开关或断路器。</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6.线路调压器。在缺少电源站点的地区，当10千伏架空线路过长，电压质量不能满足要求时，可在线路适当位置加装线路调压器。</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7.配电变压器的无功补偿。配电变压器的无功补偿装置容量应依据变压器最大负载率、负荷自然功率因数等进行配置。</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8.10千伏架空线路无功补偿装置。在供电距离远、功率因数低的10千伏架空线路上可适当安装无功补偿装置，其容量应经过计算确定，且不宜在低谷负荷时向系统倒送无功。</w:t>
      </w:r>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rPr>
      </w:pPr>
      <w:bookmarkStart w:id="765" w:name="_Toc36799447"/>
      <w:bookmarkEnd w:id="765"/>
      <w:bookmarkStart w:id="766" w:name="_Toc36799445"/>
      <w:bookmarkEnd w:id="766"/>
      <w:bookmarkStart w:id="767" w:name="_Toc36799449"/>
      <w:bookmarkEnd w:id="767"/>
      <w:bookmarkStart w:id="768" w:name="_Toc36799450"/>
      <w:bookmarkEnd w:id="768"/>
      <w:bookmarkStart w:id="769" w:name="_Toc36799446"/>
      <w:bookmarkEnd w:id="769"/>
      <w:bookmarkStart w:id="770" w:name="_Toc36799448"/>
      <w:bookmarkEnd w:id="770"/>
      <w:bookmarkStart w:id="771" w:name="_Toc74041212"/>
      <w:bookmarkStart w:id="772" w:name="_Toc28864"/>
      <w:bookmarkStart w:id="773" w:name="_Toc12167"/>
      <w:bookmarkStart w:id="774" w:name="_Toc352071881"/>
      <w:r>
        <w:rPr>
          <w:rFonts w:hint="eastAsia" w:ascii="黑体" w:hAnsi="黑体" w:eastAsia="黑体" w:cs="黑体"/>
          <w:b w:val="0"/>
          <w:bCs w:val="0"/>
          <w:sz w:val="32"/>
          <w:szCs w:val="32"/>
        </w:rPr>
        <w:t>0.38千伏电网规划技术原则</w:t>
      </w:r>
      <w:bookmarkEnd w:id="771"/>
      <w:bookmarkEnd w:id="772"/>
      <w:bookmarkEnd w:id="773"/>
      <w:bookmarkEnd w:id="774"/>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775" w:name="_Toc4796"/>
      <w:bookmarkStart w:id="776" w:name="_Toc12041"/>
      <w:bookmarkStart w:id="777" w:name="_Toc59973950"/>
      <w:bookmarkStart w:id="778" w:name="_Toc74041213"/>
      <w:r>
        <w:rPr>
          <w:rFonts w:eastAsia="仿宋"/>
          <w:sz w:val="32"/>
          <w:szCs w:val="32"/>
        </w:rPr>
        <w:t>基本要求</w:t>
      </w:r>
      <w:bookmarkEnd w:id="775"/>
      <w:bookmarkEnd w:id="776"/>
      <w:bookmarkEnd w:id="777"/>
      <w:bookmarkEnd w:id="778"/>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1.低压配电网络应力求结线简单，实行分区原则，以配电变压器为单元，不与其它单元互联、交叉、重叠。</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2.低压配电网根据负荷分布、地理条件等因素采用以配电变压器为中心的放射式、树干式结线。低压线路不得跨越城市主要道路供电。</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3.B类供电区域低压架空线路采用不低于10m 的电杆，路边电杆不采用预应力型混凝土电杆，防止车撞脆断。</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4.低压线路与装有分段开关的10千伏配电线路同杆架设时，不应穿越该配电线路的分段开关所在位置，两个不同电源的低压架空线路应有清楚的分界。</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5.下列情形应采用电缆线路：</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（1）负荷密度较高的市区；</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 建筑面积较大的新建、改建居民楼群、高层住宅区、经济开发区；</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（3）主要干道或重要地区；</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（4）其他经济技术采用电缆线路比较适合时；</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（5）对不适于低压架空线通过且地下障碍较多，电缆地下敷设又很困难的地段，可采用具有防辐射性能的架空绝缘电缆。</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（6）新建及改造线路，不应采用裸导线。</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（7）低压电缆进出站室集中敷设时选用 C 类阻燃电缆。</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（8）城区低压接户线使用电缆，农村低压接户线使用电缆或绝缘导线。</w:t>
      </w:r>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779" w:name="_Toc306956270"/>
      <w:bookmarkStart w:id="780" w:name="_Toc253744215"/>
      <w:bookmarkStart w:id="781" w:name="_Toc352071883"/>
      <w:bookmarkStart w:id="782" w:name="_Toc74041214"/>
      <w:bookmarkStart w:id="783" w:name="_Toc307054085"/>
      <w:bookmarkStart w:id="784" w:name="_Toc253594806"/>
      <w:bookmarkStart w:id="785" w:name="_Toc219977925"/>
      <w:bookmarkStart w:id="786" w:name="_Toc59973951"/>
      <w:bookmarkStart w:id="787" w:name="_Toc6701"/>
      <w:bookmarkStart w:id="788" w:name="_Toc306780121"/>
      <w:bookmarkStart w:id="789" w:name="_Toc306766329"/>
      <w:bookmarkStart w:id="790" w:name="_Toc31103"/>
      <w:bookmarkStart w:id="791" w:name="_Toc253585236"/>
      <w:r>
        <w:rPr>
          <w:rFonts w:eastAsia="仿宋"/>
          <w:sz w:val="32"/>
          <w:szCs w:val="32"/>
        </w:rPr>
        <w:t>线路</w:t>
      </w:r>
      <w:bookmarkEnd w:id="779"/>
      <w:bookmarkEnd w:id="780"/>
      <w:bookmarkEnd w:id="781"/>
      <w:bookmarkEnd w:id="782"/>
      <w:bookmarkEnd w:id="783"/>
      <w:bookmarkEnd w:id="784"/>
      <w:bookmarkEnd w:id="785"/>
      <w:bookmarkEnd w:id="786"/>
      <w:bookmarkEnd w:id="787"/>
      <w:bookmarkEnd w:id="788"/>
      <w:bookmarkEnd w:id="789"/>
      <w:bookmarkEnd w:id="790"/>
      <w:bookmarkEnd w:id="791"/>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1.380/220V配电网应有较强的适应性，主干线截面应按远期规划一次选定。导线截面选择应系列化，同一规划区内主干线导线截面不宜超过3种。B类供电区域380/220V主干线路导线截面一般可参考下表选择。</w:t>
      </w:r>
    </w:p>
    <w:p>
      <w:pPr>
        <w:pStyle w:val="8"/>
        <w:keepNext/>
        <w:keepLines/>
        <w:pageBreakBefore w:val="0"/>
        <w:widowControl w:val="0"/>
        <w:numPr>
          <w:ilvl w:val="0"/>
          <w:numId w:val="0"/>
        </w:numPr>
        <w:kinsoku/>
        <w:wordWrap/>
        <w:overflowPunct/>
        <w:topLinePunct w:val="0"/>
        <w:autoSpaceDE/>
        <w:autoSpaceDN/>
        <w:bidi w:val="0"/>
        <w:adjustRightInd/>
        <w:snapToGrid/>
        <w:spacing w:line="640" w:lineRule="exact"/>
        <w:ind w:firstLine="0" w:firstLineChars="0"/>
        <w:jc w:val="center"/>
        <w:textAlignment w:val="auto"/>
        <w:rPr>
          <w:rFonts w:hint="eastAsia" w:ascii="黑体" w:hAnsi="黑体" w:eastAsia="黑体" w:cs="黑体"/>
          <w:b w:val="0"/>
          <w:bCs w:val="0"/>
          <w:kern w:val="0"/>
          <w:sz w:val="28"/>
          <w:szCs w:val="28"/>
          <w:lang w:val="en-US" w:eastAsia="zh-CN" w:bidi="ar-SA"/>
        </w:rPr>
      </w:pPr>
      <w:r>
        <w:rPr>
          <w:rFonts w:hint="eastAsia" w:ascii="黑体" w:hAnsi="黑体" w:eastAsia="黑体" w:cs="黑体"/>
          <w:b w:val="0"/>
          <w:bCs w:val="0"/>
          <w:kern w:val="0"/>
          <w:sz w:val="28"/>
          <w:szCs w:val="28"/>
          <w:lang w:val="en-US" w:eastAsia="zh-CN" w:bidi="ar-SA"/>
        </w:rPr>
        <w:t>表6-10  380/220V主干线路导线截面推荐表</w:t>
      </w:r>
    </w:p>
    <w:tbl>
      <w:tblPr>
        <w:tblStyle w:val="88"/>
        <w:tblW w:w="6842"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736"/>
        <w:gridCol w:w="2404"/>
        <w:gridCol w:w="2702"/>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blHeader/>
          <w:jc w:val="center"/>
        </w:trPr>
        <w:tc>
          <w:tcPr>
            <w:tcW w:w="1736" w:type="dxa"/>
            <w:vAlign w:val="center"/>
          </w:tcPr>
          <w:p>
            <w:pPr>
              <w:snapToGrid w:val="0"/>
              <w:jc w:val="center"/>
              <w:rPr>
                <w:rFonts w:eastAsia="仿宋"/>
                <w:sz w:val="18"/>
              </w:rPr>
            </w:pPr>
            <w:r>
              <w:rPr>
                <w:rFonts w:eastAsia="仿宋"/>
                <w:sz w:val="18"/>
              </w:rPr>
              <w:t>线路形式</w:t>
            </w:r>
          </w:p>
        </w:tc>
        <w:tc>
          <w:tcPr>
            <w:tcW w:w="2404" w:type="dxa"/>
            <w:vAlign w:val="center"/>
          </w:tcPr>
          <w:p>
            <w:pPr>
              <w:snapToGrid w:val="0"/>
              <w:jc w:val="center"/>
              <w:rPr>
                <w:rFonts w:eastAsia="仿宋"/>
                <w:sz w:val="18"/>
              </w:rPr>
            </w:pPr>
            <w:r>
              <w:rPr>
                <w:rFonts w:eastAsia="仿宋"/>
                <w:sz w:val="18"/>
              </w:rPr>
              <w:t>供电区域类型</w:t>
            </w:r>
          </w:p>
        </w:tc>
        <w:tc>
          <w:tcPr>
            <w:tcW w:w="2702" w:type="dxa"/>
            <w:vAlign w:val="center"/>
          </w:tcPr>
          <w:p>
            <w:pPr>
              <w:snapToGrid w:val="0"/>
              <w:jc w:val="center"/>
              <w:rPr>
                <w:rFonts w:eastAsia="仿宋"/>
                <w:sz w:val="18"/>
              </w:rPr>
            </w:pPr>
            <w:r>
              <w:rPr>
                <w:rFonts w:eastAsia="仿宋"/>
                <w:sz w:val="18"/>
              </w:rPr>
              <w:t>主干线（mm</w:t>
            </w:r>
            <w:r>
              <w:rPr>
                <w:rFonts w:eastAsia="仿宋"/>
                <w:sz w:val="18"/>
                <w:vertAlign w:val="superscript"/>
              </w:rPr>
              <w:t>2</w:t>
            </w:r>
            <w:r>
              <w:rPr>
                <w:rFonts w:eastAsia="仿宋"/>
                <w:sz w:val="18"/>
              </w:rPr>
              <w:t>）</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81" w:hRule="atLeast"/>
          <w:tblHeader/>
          <w:jc w:val="center"/>
        </w:trPr>
        <w:tc>
          <w:tcPr>
            <w:tcW w:w="1736" w:type="dxa"/>
            <w:vAlign w:val="center"/>
          </w:tcPr>
          <w:p>
            <w:pPr>
              <w:snapToGrid w:val="0"/>
              <w:jc w:val="center"/>
              <w:rPr>
                <w:rFonts w:eastAsia="仿宋"/>
                <w:sz w:val="18"/>
              </w:rPr>
            </w:pPr>
            <w:r>
              <w:rPr>
                <w:rFonts w:eastAsia="仿宋"/>
                <w:sz w:val="18"/>
              </w:rPr>
              <w:t>电缆线路</w:t>
            </w:r>
          </w:p>
        </w:tc>
        <w:tc>
          <w:tcPr>
            <w:tcW w:w="2404" w:type="dxa"/>
            <w:vAlign w:val="center"/>
          </w:tcPr>
          <w:p>
            <w:pPr>
              <w:snapToGrid w:val="0"/>
              <w:jc w:val="center"/>
              <w:rPr>
                <w:rFonts w:eastAsia="仿宋"/>
                <w:sz w:val="18"/>
              </w:rPr>
            </w:pPr>
            <w:r>
              <w:rPr>
                <w:rFonts w:eastAsia="仿宋"/>
                <w:sz w:val="18"/>
              </w:rPr>
              <w:t>B类</w:t>
            </w:r>
          </w:p>
        </w:tc>
        <w:tc>
          <w:tcPr>
            <w:tcW w:w="2702" w:type="dxa"/>
            <w:vAlign w:val="center"/>
          </w:tcPr>
          <w:p>
            <w:pPr>
              <w:snapToGrid w:val="0"/>
              <w:jc w:val="center"/>
              <w:rPr>
                <w:rFonts w:eastAsia="仿宋"/>
                <w:sz w:val="18"/>
              </w:rPr>
            </w:pPr>
            <w:r>
              <w:rPr>
                <w:rFonts w:eastAsia="仿宋"/>
                <w:sz w:val="18"/>
              </w:rPr>
              <w:t>≥120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736" w:type="dxa"/>
            <w:vAlign w:val="center"/>
          </w:tcPr>
          <w:p>
            <w:pPr>
              <w:snapToGrid w:val="0"/>
              <w:jc w:val="center"/>
              <w:rPr>
                <w:rFonts w:eastAsia="仿宋"/>
                <w:sz w:val="18"/>
              </w:rPr>
            </w:pPr>
            <w:r>
              <w:rPr>
                <w:rFonts w:eastAsia="仿宋"/>
                <w:sz w:val="18"/>
              </w:rPr>
              <w:t>架空线路</w:t>
            </w:r>
          </w:p>
        </w:tc>
        <w:tc>
          <w:tcPr>
            <w:tcW w:w="2404" w:type="dxa"/>
            <w:vAlign w:val="center"/>
          </w:tcPr>
          <w:p>
            <w:pPr>
              <w:snapToGrid w:val="0"/>
              <w:jc w:val="center"/>
              <w:rPr>
                <w:rFonts w:eastAsia="仿宋"/>
                <w:sz w:val="18"/>
              </w:rPr>
            </w:pPr>
            <w:r>
              <w:rPr>
                <w:rFonts w:eastAsia="仿宋"/>
                <w:sz w:val="18"/>
              </w:rPr>
              <w:t>B类</w:t>
            </w:r>
          </w:p>
        </w:tc>
        <w:tc>
          <w:tcPr>
            <w:tcW w:w="2702" w:type="dxa"/>
            <w:vAlign w:val="center"/>
          </w:tcPr>
          <w:p>
            <w:pPr>
              <w:snapToGrid w:val="0"/>
              <w:jc w:val="center"/>
              <w:rPr>
                <w:rFonts w:eastAsia="仿宋"/>
                <w:sz w:val="18"/>
              </w:rPr>
            </w:pPr>
            <w:r>
              <w:rPr>
                <w:rFonts w:eastAsia="仿宋"/>
                <w:sz w:val="18"/>
              </w:rPr>
              <w:t>≥120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6842" w:type="dxa"/>
            <w:gridSpan w:val="3"/>
            <w:vAlign w:val="center"/>
          </w:tcPr>
          <w:p>
            <w:pPr>
              <w:snapToGrid w:val="0"/>
              <w:rPr>
                <w:rFonts w:eastAsia="仿宋"/>
                <w:sz w:val="18"/>
              </w:rPr>
            </w:pPr>
            <w:r>
              <w:rPr>
                <w:rFonts w:eastAsia="仿宋"/>
                <w:sz w:val="18"/>
              </w:rPr>
              <w:t>注1：表中推荐的架空线路为铝芯，电缆线路为铜芯。</w:t>
            </w:r>
          </w:p>
          <w:p>
            <w:pPr>
              <w:snapToGrid w:val="0"/>
              <w:rPr>
                <w:rFonts w:eastAsia="仿宋"/>
                <w:sz w:val="18"/>
              </w:rPr>
            </w:pPr>
            <w:r>
              <w:rPr>
                <w:rFonts w:eastAsia="仿宋"/>
                <w:sz w:val="18"/>
              </w:rPr>
              <w:t>注2： B、C类供电区域宜采用绝缘导线。</w:t>
            </w:r>
          </w:p>
        </w:tc>
      </w:tr>
    </w:tbl>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2.380/220V电缆可采用排管、沟槽、直埋等敷设方式。穿越道路时，应采用抗压力保护管。</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3.380/220V线路应有明确的供电范围，供电半径应满足末端电压质量的要求。原则上B类不宜超过250m。</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4.低压绝缘线路一般采用交联聚乙烯绝缘材料，电压等级为0.6/1千伏，并视使用环境采用防水、阻燃型外护套，同时采取防水密封措施。</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5.低压架空导线一般采用水平排列，采用电杆架设的线路零线应靠电杆侧，采用沿墙水平敷设的线路零线应靠建筑物侧；沿墙垂直排列的零线应在最下层。同一地区低压相序排列应一致。</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6.新建低压线路零线必须与相线截面相同。</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7.低压架空线绝缘子，耐张杆采用悬式绝缘子或蝶式绝缘子，直线杆采用棒式绝缘子。</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8.从杆上引下的接户线档距不超过25m，接户线加进表线的总长度不超过50m。</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9.接户线全部采用绝缘铜导线，按照每户8千瓦用电容量乘以同时系数配置，其截面不小于16mm</w:t>
      </w:r>
      <w:r>
        <w:rPr>
          <w:rFonts w:hint="eastAsia" w:ascii="仿宋_GB2312" w:hAnsi="仿宋_GB2312" w:eastAsia="仿宋_GB2312" w:cs="仿宋_GB2312"/>
          <w:kern w:val="2"/>
          <w:sz w:val="32"/>
          <w:szCs w:val="32"/>
          <w:vertAlign w:val="superscript"/>
          <w:lang w:val="en-US" w:eastAsia="zh-CN" w:bidi="ar-SA"/>
        </w:rPr>
        <w:t>2</w:t>
      </w:r>
      <w:r>
        <w:rPr>
          <w:rFonts w:hint="eastAsia" w:ascii="仿宋_GB2312" w:hAnsi="仿宋_GB2312" w:eastAsia="仿宋_GB2312" w:cs="仿宋_GB2312"/>
          <w:kern w:val="2"/>
          <w:sz w:val="32"/>
          <w:szCs w:val="32"/>
          <w:lang w:val="en-US" w:eastAsia="zh-CN" w:bidi="ar-SA"/>
        </w:rPr>
        <w:t>。</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10.多层楼房的接户线采用三相四线制供电，并应使三相负载电流基本平衡。表后接线新建工程一般选用不小于10mm</w:t>
      </w:r>
      <w:r>
        <w:rPr>
          <w:rFonts w:hint="eastAsia" w:ascii="仿宋_GB2312" w:hAnsi="仿宋_GB2312" w:eastAsia="仿宋_GB2312" w:cs="仿宋_GB2312"/>
          <w:kern w:val="2"/>
          <w:sz w:val="32"/>
          <w:szCs w:val="32"/>
          <w:vertAlign w:val="superscript"/>
          <w:lang w:val="en-US" w:eastAsia="zh-CN" w:bidi="ar-SA"/>
        </w:rPr>
        <w:t>2</w:t>
      </w:r>
      <w:r>
        <w:rPr>
          <w:rFonts w:hint="eastAsia" w:ascii="仿宋_GB2312" w:hAnsi="仿宋_GB2312" w:eastAsia="仿宋_GB2312" w:cs="仿宋_GB2312"/>
          <w:kern w:val="2"/>
          <w:sz w:val="32"/>
          <w:szCs w:val="32"/>
          <w:lang w:val="en-US" w:eastAsia="zh-CN" w:bidi="ar-SA"/>
        </w:rPr>
        <w:t>铜芯绝缘线，改造工程一般选用不小于8mm</w:t>
      </w:r>
      <w:r>
        <w:rPr>
          <w:rFonts w:hint="eastAsia" w:ascii="仿宋_GB2312" w:hAnsi="仿宋_GB2312" w:eastAsia="仿宋_GB2312" w:cs="仿宋_GB2312"/>
          <w:kern w:val="2"/>
          <w:sz w:val="32"/>
          <w:szCs w:val="32"/>
          <w:vertAlign w:val="superscript"/>
          <w:lang w:val="en-US" w:eastAsia="zh-CN" w:bidi="ar-SA"/>
        </w:rPr>
        <w:t>2</w:t>
      </w:r>
      <w:r>
        <w:rPr>
          <w:rFonts w:hint="eastAsia" w:ascii="仿宋_GB2312" w:hAnsi="仿宋_GB2312" w:eastAsia="仿宋_GB2312" w:cs="仿宋_GB2312"/>
          <w:kern w:val="2"/>
          <w:sz w:val="32"/>
          <w:szCs w:val="32"/>
          <w:lang w:val="en-US" w:eastAsia="zh-CN" w:bidi="ar-SA"/>
        </w:rPr>
        <w:t>的铜芯绝缘线。</w:t>
      </w:r>
    </w:p>
    <w:p>
      <w:pPr>
        <w:pStyle w:val="2"/>
        <w:ind w:firstLine="480"/>
        <w:rPr>
          <w:rFonts w:eastAsia="仿宋"/>
        </w:rPr>
      </w:pPr>
    </w:p>
    <w:p>
      <w:pPr>
        <w:pStyle w:val="2"/>
        <w:ind w:firstLine="480"/>
        <w:rPr>
          <w:rFonts w:eastAsia="仿宋"/>
        </w:rPr>
      </w:pPr>
    </w:p>
    <w:p>
      <w:pPr>
        <w:pStyle w:val="2"/>
        <w:ind w:firstLine="480"/>
        <w:rPr>
          <w:rFonts w:eastAsia="仿宋"/>
        </w:rPr>
      </w:pPr>
    </w:p>
    <w:p>
      <w:pPr>
        <w:pStyle w:val="2"/>
        <w:ind w:firstLine="480"/>
        <w:rPr>
          <w:rFonts w:eastAsia="仿宋"/>
        </w:rPr>
      </w:pPr>
    </w:p>
    <w:p>
      <w:pPr>
        <w:pStyle w:val="150"/>
        <w:ind w:left="0" w:leftChars="0" w:firstLine="0" w:firstLineChars="0"/>
      </w:pPr>
    </w:p>
    <w:bookmarkEnd w:id="707"/>
    <w:bookmarkEnd w:id="708"/>
    <w:p>
      <w:pPr>
        <w:pStyle w:val="4"/>
        <w:keepNext/>
        <w:keepLines/>
        <w:pageBreakBefore/>
        <w:widowControl w:val="0"/>
        <w:kinsoku/>
        <w:wordWrap/>
        <w:overflowPunct/>
        <w:topLinePunct w:val="0"/>
        <w:autoSpaceDE/>
        <w:autoSpaceDN/>
        <w:bidi w:val="0"/>
        <w:adjustRightInd/>
        <w:snapToGrid/>
        <w:spacing w:before="157" w:beforeLines="50" w:after="157" w:afterLines="50" w:line="560" w:lineRule="exact"/>
        <w:textAlignment w:val="auto"/>
        <w:rPr>
          <w:rFonts w:eastAsia="仿宋"/>
          <w:sz w:val="44"/>
          <w:szCs w:val="44"/>
        </w:rPr>
      </w:pPr>
      <w:bookmarkStart w:id="792" w:name="_Toc24840"/>
      <w:bookmarkStart w:id="793" w:name="_Toc74041215"/>
      <w:bookmarkStart w:id="794" w:name="_Toc352610596"/>
      <w:bookmarkStart w:id="795" w:name="_Toc307054092"/>
      <w:bookmarkStart w:id="796" w:name="_Toc306956277"/>
      <w:bookmarkStart w:id="797" w:name="_Toc352071871"/>
      <w:bookmarkStart w:id="798" w:name="_Toc352610580"/>
      <w:bookmarkStart w:id="799" w:name="_Toc306956251"/>
      <w:bookmarkStart w:id="800" w:name="_Toc307054066"/>
      <w:r>
        <w:rPr>
          <w:rFonts w:eastAsia="仿宋"/>
          <w:sz w:val="44"/>
          <w:szCs w:val="44"/>
        </w:rPr>
        <w:t>330千伏电网规划</w:t>
      </w:r>
      <w:bookmarkEnd w:id="792"/>
      <w:bookmarkEnd w:id="793"/>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本章进行新区330千伏变电站布点规划，并依托750千伏特高压电网规划，作为边界条件，规划330千伏电网接入方案。</w:t>
      </w:r>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rPr>
      </w:pPr>
      <w:bookmarkStart w:id="801" w:name="_Toc23859"/>
      <w:bookmarkStart w:id="802" w:name="_Toc74041217"/>
      <w:r>
        <w:rPr>
          <w:rFonts w:hint="eastAsia" w:ascii="黑体" w:hAnsi="黑体" w:eastAsia="黑体" w:cs="黑体"/>
          <w:b w:val="0"/>
          <w:bCs w:val="0"/>
          <w:sz w:val="32"/>
          <w:szCs w:val="32"/>
        </w:rPr>
        <w:t>330千伏变电站布点规划</w:t>
      </w:r>
      <w:bookmarkEnd w:id="801"/>
      <w:bookmarkEnd w:id="802"/>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2020年，西咸新区规划增容330千伏古渡变电站，新增容量360兆伏安，届时共有330千伏变电站6座，总容量5520兆伏安，其中区内330千伏变电站3座，总容量2520兆伏安。</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“十四五”期间新建330千伏变电站5座，新增容量3600兆伏安；至2025年共有330千伏变电站11座，总容量9480兆伏安，其中区内330千伏变电站8座，总容量6480兆伏安。</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2026-2035年，新建330千伏变电站1座，新增容量720兆伏安；至2035年共有330千伏变电站12座，总容量10200兆伏安，其中区内330千伏变电站9座，总容量7200兆伏安。</w:t>
      </w:r>
    </w:p>
    <w:p>
      <w:pPr>
        <w:pStyle w:val="8"/>
        <w:keepNext/>
        <w:keepLines/>
        <w:pageBreakBefore w:val="0"/>
        <w:widowControl w:val="0"/>
        <w:numPr>
          <w:ilvl w:val="0"/>
          <w:numId w:val="0"/>
        </w:numPr>
        <w:kinsoku/>
        <w:wordWrap/>
        <w:overflowPunct/>
        <w:topLinePunct w:val="0"/>
        <w:autoSpaceDE/>
        <w:autoSpaceDN/>
        <w:bidi w:val="0"/>
        <w:adjustRightInd/>
        <w:snapToGrid/>
        <w:spacing w:line="560" w:lineRule="exact"/>
        <w:jc w:val="center"/>
        <w:textAlignment w:val="auto"/>
        <w:rPr>
          <w:rFonts w:hint="eastAsia" w:ascii="黑体" w:hAnsi="黑体" w:eastAsia="黑体" w:cs="黑体"/>
          <w:b w:val="0"/>
          <w:bCs w:val="0"/>
          <w:kern w:val="0"/>
          <w:sz w:val="28"/>
          <w:szCs w:val="28"/>
          <w:lang w:val="en-US" w:eastAsia="zh-CN" w:bidi="ar-SA"/>
        </w:rPr>
      </w:pPr>
      <w:r>
        <w:rPr>
          <w:rFonts w:hint="eastAsia" w:ascii="黑体" w:hAnsi="黑体" w:eastAsia="黑体" w:cs="黑体"/>
          <w:b w:val="0"/>
          <w:bCs w:val="0"/>
          <w:kern w:val="0"/>
          <w:sz w:val="28"/>
          <w:szCs w:val="28"/>
          <w:lang w:val="en-US" w:eastAsia="zh-CN" w:bidi="ar-SA"/>
        </w:rPr>
        <w:t>表7-1 2020～2035年西咸新区330千伏电网布点规划  单位：兆伏安</w:t>
      </w:r>
    </w:p>
    <w:tbl>
      <w:tblPr>
        <w:tblStyle w:val="88"/>
        <w:tblW w:w="8535"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0" w:type="dxa"/>
          <w:bottom w:w="0" w:type="dxa"/>
          <w:right w:w="0" w:type="dxa"/>
        </w:tblCellMar>
      </w:tblPr>
      <w:tblGrid>
        <w:gridCol w:w="404"/>
        <w:gridCol w:w="1349"/>
        <w:gridCol w:w="782"/>
        <w:gridCol w:w="750"/>
        <w:gridCol w:w="750"/>
        <w:gridCol w:w="750"/>
        <w:gridCol w:w="750"/>
        <w:gridCol w:w="750"/>
        <w:gridCol w:w="750"/>
        <w:gridCol w:w="750"/>
        <w:gridCol w:w="750"/>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40" w:hRule="atLeast"/>
          <w:tblHeader/>
          <w:jc w:val="center"/>
        </w:trPr>
        <w:tc>
          <w:tcPr>
            <w:tcW w:w="404"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序号</w:t>
            </w:r>
          </w:p>
        </w:tc>
        <w:tc>
          <w:tcPr>
            <w:tcW w:w="1349"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变电站</w:t>
            </w:r>
          </w:p>
        </w:tc>
        <w:tc>
          <w:tcPr>
            <w:tcW w:w="782"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建设性质</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2020年</w:t>
            </w:r>
          </w:p>
        </w:tc>
        <w:tc>
          <w:tcPr>
            <w:tcW w:w="750" w:type="dxa"/>
            <w:shd w:val="clear" w:color="auto" w:fill="FFFFFF"/>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2021年</w:t>
            </w:r>
          </w:p>
        </w:tc>
        <w:tc>
          <w:tcPr>
            <w:tcW w:w="750" w:type="dxa"/>
            <w:shd w:val="clear" w:color="auto" w:fill="FFFFFF"/>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2022年</w:t>
            </w:r>
          </w:p>
        </w:tc>
        <w:tc>
          <w:tcPr>
            <w:tcW w:w="750" w:type="dxa"/>
            <w:shd w:val="clear" w:color="auto" w:fill="FFFFFF"/>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2023年</w:t>
            </w:r>
          </w:p>
        </w:tc>
        <w:tc>
          <w:tcPr>
            <w:tcW w:w="750" w:type="dxa"/>
            <w:shd w:val="clear" w:color="auto" w:fill="FFFFFF"/>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2024年</w:t>
            </w:r>
          </w:p>
        </w:tc>
        <w:tc>
          <w:tcPr>
            <w:tcW w:w="750" w:type="dxa"/>
            <w:shd w:val="clear" w:color="auto" w:fill="FFFFFF"/>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2025年</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2030年</w:t>
            </w:r>
          </w:p>
        </w:tc>
        <w:tc>
          <w:tcPr>
            <w:tcW w:w="750" w:type="dxa"/>
            <w:shd w:val="clear" w:color="auto" w:fill="FFFFFF"/>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2035年</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40" w:hRule="atLeast"/>
          <w:jc w:val="center"/>
        </w:trPr>
        <w:tc>
          <w:tcPr>
            <w:tcW w:w="404"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1</w:t>
            </w:r>
          </w:p>
        </w:tc>
        <w:tc>
          <w:tcPr>
            <w:tcW w:w="1349"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河寨变（区外）</w:t>
            </w:r>
          </w:p>
        </w:tc>
        <w:tc>
          <w:tcPr>
            <w:tcW w:w="782"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已有</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3×360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3×360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3×360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3×360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3×360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3×360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3×360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3×360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40" w:hRule="atLeast"/>
          <w:jc w:val="center"/>
        </w:trPr>
        <w:tc>
          <w:tcPr>
            <w:tcW w:w="404"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w:t>
            </w:r>
          </w:p>
        </w:tc>
        <w:tc>
          <w:tcPr>
            <w:tcW w:w="1349"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草滩变（区外）</w:t>
            </w:r>
          </w:p>
        </w:tc>
        <w:tc>
          <w:tcPr>
            <w:tcW w:w="782"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已有</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3×360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3×360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3×360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3×360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3×360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3×360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3×360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3×360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40" w:hRule="atLeast"/>
          <w:jc w:val="center"/>
        </w:trPr>
        <w:tc>
          <w:tcPr>
            <w:tcW w:w="404"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w:t>
            </w:r>
          </w:p>
        </w:tc>
        <w:tc>
          <w:tcPr>
            <w:tcW w:w="1349"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池阳变（区外）</w:t>
            </w:r>
          </w:p>
        </w:tc>
        <w:tc>
          <w:tcPr>
            <w:tcW w:w="782"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已有</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2×240</w:t>
            </w:r>
          </w:p>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+360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2×240</w:t>
            </w:r>
          </w:p>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+360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2×240</w:t>
            </w:r>
          </w:p>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+360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2×240</w:t>
            </w:r>
          </w:p>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+360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2×240</w:t>
            </w:r>
          </w:p>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+360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2×240</w:t>
            </w:r>
          </w:p>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+360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2×240</w:t>
            </w:r>
          </w:p>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+360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2×240</w:t>
            </w:r>
          </w:p>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+360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40" w:hRule="atLeast"/>
          <w:jc w:val="center"/>
        </w:trPr>
        <w:tc>
          <w:tcPr>
            <w:tcW w:w="404"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4</w:t>
            </w:r>
          </w:p>
        </w:tc>
        <w:tc>
          <w:tcPr>
            <w:tcW w:w="1349"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沣河变</w:t>
            </w:r>
          </w:p>
        </w:tc>
        <w:tc>
          <w:tcPr>
            <w:tcW w:w="782"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已有</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3×240</w:t>
            </w:r>
          </w:p>
        </w:tc>
        <w:tc>
          <w:tcPr>
            <w:tcW w:w="750" w:type="dxa"/>
            <w:shd w:val="clear" w:color="auto" w:fill="FFFFFF"/>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3×240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3×240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3×240</w:t>
            </w:r>
          </w:p>
        </w:tc>
        <w:tc>
          <w:tcPr>
            <w:tcW w:w="750" w:type="dxa"/>
            <w:shd w:val="clear" w:color="auto" w:fill="FFFFFF"/>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3×240</w:t>
            </w:r>
          </w:p>
        </w:tc>
        <w:tc>
          <w:tcPr>
            <w:tcW w:w="750" w:type="dxa"/>
            <w:shd w:val="clear" w:color="auto" w:fill="FFFFFF"/>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3×360</w:t>
            </w:r>
          </w:p>
        </w:tc>
        <w:tc>
          <w:tcPr>
            <w:tcW w:w="750" w:type="dxa"/>
            <w:shd w:val="clear" w:color="auto" w:fill="FFFFFF"/>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3×360</w:t>
            </w:r>
          </w:p>
        </w:tc>
        <w:tc>
          <w:tcPr>
            <w:tcW w:w="750" w:type="dxa"/>
            <w:shd w:val="clear" w:color="auto" w:fill="FFFFFF"/>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3×360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40" w:hRule="atLeast"/>
          <w:jc w:val="center"/>
        </w:trPr>
        <w:tc>
          <w:tcPr>
            <w:tcW w:w="404"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5</w:t>
            </w:r>
          </w:p>
        </w:tc>
        <w:tc>
          <w:tcPr>
            <w:tcW w:w="1349"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古渡变</w:t>
            </w:r>
          </w:p>
        </w:tc>
        <w:tc>
          <w:tcPr>
            <w:tcW w:w="782"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已有</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3×360</w:t>
            </w:r>
          </w:p>
        </w:tc>
        <w:tc>
          <w:tcPr>
            <w:tcW w:w="750" w:type="dxa"/>
            <w:shd w:val="clear" w:color="auto" w:fill="FFFFFF"/>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3×360</w:t>
            </w:r>
          </w:p>
        </w:tc>
        <w:tc>
          <w:tcPr>
            <w:tcW w:w="750" w:type="dxa"/>
            <w:shd w:val="clear" w:color="auto" w:fill="FFFFFF"/>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3×360</w:t>
            </w:r>
          </w:p>
        </w:tc>
        <w:tc>
          <w:tcPr>
            <w:tcW w:w="750" w:type="dxa"/>
            <w:shd w:val="clear" w:color="auto" w:fill="FFFFFF"/>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3×360</w:t>
            </w:r>
          </w:p>
        </w:tc>
        <w:tc>
          <w:tcPr>
            <w:tcW w:w="750" w:type="dxa"/>
            <w:shd w:val="clear" w:color="auto" w:fill="FFFFFF"/>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3×360</w:t>
            </w:r>
          </w:p>
        </w:tc>
        <w:tc>
          <w:tcPr>
            <w:tcW w:w="750" w:type="dxa"/>
            <w:shd w:val="clear" w:color="auto" w:fill="FFFFFF"/>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3×360</w:t>
            </w:r>
          </w:p>
        </w:tc>
        <w:tc>
          <w:tcPr>
            <w:tcW w:w="750" w:type="dxa"/>
            <w:shd w:val="clear" w:color="auto" w:fill="FFFFFF"/>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3×360</w:t>
            </w:r>
          </w:p>
        </w:tc>
        <w:tc>
          <w:tcPr>
            <w:tcW w:w="750" w:type="dxa"/>
            <w:shd w:val="clear" w:color="auto" w:fill="FFFFFF"/>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3×360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40" w:hRule="atLeast"/>
          <w:jc w:val="center"/>
        </w:trPr>
        <w:tc>
          <w:tcPr>
            <w:tcW w:w="404"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6</w:t>
            </w:r>
          </w:p>
        </w:tc>
        <w:tc>
          <w:tcPr>
            <w:tcW w:w="1349"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云谷变</w:t>
            </w:r>
          </w:p>
        </w:tc>
        <w:tc>
          <w:tcPr>
            <w:tcW w:w="782"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已有</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2×360</w:t>
            </w:r>
          </w:p>
        </w:tc>
        <w:tc>
          <w:tcPr>
            <w:tcW w:w="750" w:type="dxa"/>
            <w:shd w:val="clear" w:color="auto" w:fill="FFFFFF"/>
          </w:tcPr>
          <w:p>
            <w:pPr>
              <w:pStyle w:val="152"/>
              <w:rPr>
                <w:rFonts w:hint="eastAsia" w:ascii="方正仿宋_GB2312" w:hAnsi="方正仿宋_GB2312" w:eastAsia="方正仿宋_GB2312" w:cs="方正仿宋_GB2312"/>
                <w:b/>
                <w:bCs/>
                <w:sz w:val="18"/>
                <w:szCs w:val="18"/>
              </w:rPr>
            </w:pPr>
            <w:r>
              <w:rPr>
                <w:rFonts w:hint="eastAsia" w:ascii="方正仿宋_GB2312" w:hAnsi="方正仿宋_GB2312" w:eastAsia="方正仿宋_GB2312" w:cs="方正仿宋_GB2312"/>
                <w:sz w:val="18"/>
                <w:szCs w:val="18"/>
              </w:rPr>
              <w:t>2×360</w:t>
            </w:r>
          </w:p>
        </w:tc>
        <w:tc>
          <w:tcPr>
            <w:tcW w:w="750" w:type="dxa"/>
            <w:shd w:val="clear" w:color="auto" w:fill="FFFFFF"/>
          </w:tcPr>
          <w:p>
            <w:pPr>
              <w:pStyle w:val="152"/>
              <w:rPr>
                <w:rFonts w:hint="eastAsia" w:ascii="方正仿宋_GB2312" w:hAnsi="方正仿宋_GB2312" w:eastAsia="方正仿宋_GB2312" w:cs="方正仿宋_GB2312"/>
                <w:b/>
                <w:bCs/>
                <w:sz w:val="18"/>
                <w:szCs w:val="18"/>
              </w:rPr>
            </w:pPr>
            <w:r>
              <w:rPr>
                <w:rFonts w:hint="eastAsia" w:ascii="方正仿宋_GB2312" w:hAnsi="方正仿宋_GB2312" w:eastAsia="方正仿宋_GB2312" w:cs="方正仿宋_GB2312"/>
                <w:sz w:val="18"/>
                <w:szCs w:val="18"/>
              </w:rPr>
              <w:t>2×360</w:t>
            </w:r>
          </w:p>
        </w:tc>
        <w:tc>
          <w:tcPr>
            <w:tcW w:w="750" w:type="dxa"/>
            <w:shd w:val="clear" w:color="auto" w:fill="FFFFFF"/>
          </w:tcPr>
          <w:p>
            <w:pPr>
              <w:pStyle w:val="152"/>
              <w:rPr>
                <w:rFonts w:hint="eastAsia" w:ascii="方正仿宋_GB2312" w:hAnsi="方正仿宋_GB2312" w:eastAsia="方正仿宋_GB2312" w:cs="方正仿宋_GB2312"/>
                <w:b/>
                <w:bCs/>
                <w:sz w:val="18"/>
                <w:szCs w:val="18"/>
              </w:rPr>
            </w:pPr>
            <w:r>
              <w:rPr>
                <w:rFonts w:hint="eastAsia" w:ascii="方正仿宋_GB2312" w:hAnsi="方正仿宋_GB2312" w:eastAsia="方正仿宋_GB2312" w:cs="方正仿宋_GB2312"/>
                <w:sz w:val="18"/>
                <w:szCs w:val="18"/>
              </w:rPr>
              <w:t>2×360</w:t>
            </w:r>
          </w:p>
        </w:tc>
        <w:tc>
          <w:tcPr>
            <w:tcW w:w="750" w:type="dxa"/>
            <w:shd w:val="clear" w:color="auto" w:fill="FFFFFF"/>
          </w:tcPr>
          <w:p>
            <w:pPr>
              <w:pStyle w:val="152"/>
              <w:rPr>
                <w:rFonts w:hint="eastAsia" w:ascii="方正仿宋_GB2312" w:hAnsi="方正仿宋_GB2312" w:eastAsia="方正仿宋_GB2312" w:cs="方正仿宋_GB2312"/>
                <w:b/>
                <w:bCs/>
                <w:sz w:val="18"/>
                <w:szCs w:val="18"/>
              </w:rPr>
            </w:pPr>
            <w:r>
              <w:rPr>
                <w:rFonts w:hint="eastAsia" w:ascii="方正仿宋_GB2312" w:hAnsi="方正仿宋_GB2312" w:eastAsia="方正仿宋_GB2312" w:cs="方正仿宋_GB2312"/>
                <w:sz w:val="18"/>
                <w:szCs w:val="18"/>
              </w:rPr>
              <w:t>2×360</w:t>
            </w:r>
          </w:p>
        </w:tc>
        <w:tc>
          <w:tcPr>
            <w:tcW w:w="750" w:type="dxa"/>
            <w:shd w:val="clear" w:color="auto" w:fill="FFFFFF"/>
          </w:tcPr>
          <w:p>
            <w:pPr>
              <w:pStyle w:val="152"/>
              <w:rPr>
                <w:rFonts w:hint="eastAsia" w:ascii="方正仿宋_GB2312" w:hAnsi="方正仿宋_GB2312" w:eastAsia="方正仿宋_GB2312" w:cs="方正仿宋_GB2312"/>
                <w:b/>
                <w:bCs/>
                <w:sz w:val="18"/>
                <w:szCs w:val="18"/>
              </w:rPr>
            </w:pPr>
            <w:r>
              <w:rPr>
                <w:rFonts w:hint="eastAsia" w:ascii="方正仿宋_GB2312" w:hAnsi="方正仿宋_GB2312" w:eastAsia="方正仿宋_GB2312" w:cs="方正仿宋_GB2312"/>
                <w:sz w:val="18"/>
                <w:szCs w:val="18"/>
              </w:rPr>
              <w:t>2×360</w:t>
            </w:r>
          </w:p>
        </w:tc>
        <w:tc>
          <w:tcPr>
            <w:tcW w:w="750" w:type="dxa"/>
            <w:shd w:val="clear" w:color="auto" w:fill="FFFFFF"/>
          </w:tcPr>
          <w:p>
            <w:pPr>
              <w:pStyle w:val="152"/>
              <w:rPr>
                <w:rFonts w:hint="eastAsia" w:ascii="方正仿宋_GB2312" w:hAnsi="方正仿宋_GB2312" w:eastAsia="方正仿宋_GB2312" w:cs="方正仿宋_GB2312"/>
                <w:b/>
                <w:bCs/>
                <w:sz w:val="18"/>
                <w:szCs w:val="18"/>
              </w:rPr>
            </w:pPr>
            <w:r>
              <w:rPr>
                <w:rFonts w:hint="eastAsia" w:ascii="方正仿宋_GB2312" w:hAnsi="方正仿宋_GB2312" w:eastAsia="方正仿宋_GB2312" w:cs="方正仿宋_GB2312"/>
                <w:sz w:val="18"/>
                <w:szCs w:val="18"/>
              </w:rPr>
              <w:t>2×360</w:t>
            </w:r>
          </w:p>
        </w:tc>
        <w:tc>
          <w:tcPr>
            <w:tcW w:w="750" w:type="dxa"/>
            <w:shd w:val="clear" w:color="auto" w:fill="FFFFFF"/>
          </w:tcPr>
          <w:p>
            <w:pPr>
              <w:pStyle w:val="152"/>
              <w:rPr>
                <w:rFonts w:hint="eastAsia" w:ascii="方正仿宋_GB2312" w:hAnsi="方正仿宋_GB2312" w:eastAsia="方正仿宋_GB2312" w:cs="方正仿宋_GB2312"/>
                <w:b/>
                <w:bCs/>
                <w:sz w:val="18"/>
                <w:szCs w:val="18"/>
              </w:rPr>
            </w:pPr>
            <w:r>
              <w:rPr>
                <w:rFonts w:hint="eastAsia" w:ascii="方正仿宋_GB2312" w:hAnsi="方正仿宋_GB2312" w:eastAsia="方正仿宋_GB2312" w:cs="方正仿宋_GB2312"/>
                <w:sz w:val="18"/>
                <w:szCs w:val="18"/>
              </w:rPr>
              <w:t>2×360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40" w:hRule="atLeast"/>
          <w:jc w:val="center"/>
        </w:trPr>
        <w:tc>
          <w:tcPr>
            <w:tcW w:w="404"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7</w:t>
            </w:r>
          </w:p>
        </w:tc>
        <w:tc>
          <w:tcPr>
            <w:tcW w:w="1349"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秦汉变</w:t>
            </w:r>
          </w:p>
        </w:tc>
        <w:tc>
          <w:tcPr>
            <w:tcW w:w="782"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新建</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2×360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2×360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2×360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2×360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2×360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2×360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40" w:hRule="atLeast"/>
          <w:jc w:val="center"/>
        </w:trPr>
        <w:tc>
          <w:tcPr>
            <w:tcW w:w="404"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8</w:t>
            </w:r>
          </w:p>
        </w:tc>
        <w:tc>
          <w:tcPr>
            <w:tcW w:w="1349"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沣渭变</w:t>
            </w:r>
          </w:p>
        </w:tc>
        <w:tc>
          <w:tcPr>
            <w:tcW w:w="782"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新建</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2×360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2×360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2×360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2×360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2×360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40" w:hRule="atLeast"/>
          <w:jc w:val="center"/>
        </w:trPr>
        <w:tc>
          <w:tcPr>
            <w:tcW w:w="404"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9</w:t>
            </w:r>
          </w:p>
        </w:tc>
        <w:tc>
          <w:tcPr>
            <w:tcW w:w="1349"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泾河变</w:t>
            </w:r>
          </w:p>
        </w:tc>
        <w:tc>
          <w:tcPr>
            <w:tcW w:w="782"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新建</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p>
        </w:tc>
        <w:tc>
          <w:tcPr>
            <w:tcW w:w="750" w:type="dxa"/>
            <w:shd w:val="clear" w:color="auto" w:fill="FFFFFF"/>
          </w:tcPr>
          <w:p>
            <w:pPr>
              <w:pStyle w:val="152"/>
              <w:rPr>
                <w:rFonts w:hint="eastAsia" w:ascii="方正仿宋_GB2312" w:hAnsi="方正仿宋_GB2312" w:eastAsia="方正仿宋_GB2312" w:cs="方正仿宋_GB2312"/>
                <w:b/>
                <w:bCs/>
                <w:sz w:val="18"/>
                <w:szCs w:val="18"/>
              </w:rPr>
            </w:pPr>
          </w:p>
        </w:tc>
        <w:tc>
          <w:tcPr>
            <w:tcW w:w="750" w:type="dxa"/>
            <w:shd w:val="clear" w:color="auto" w:fill="FFFFFF"/>
          </w:tcPr>
          <w:p>
            <w:pPr>
              <w:pStyle w:val="152"/>
              <w:rPr>
                <w:rFonts w:hint="eastAsia" w:ascii="方正仿宋_GB2312" w:hAnsi="方正仿宋_GB2312" w:eastAsia="方正仿宋_GB2312" w:cs="方正仿宋_GB2312"/>
                <w:b/>
                <w:bCs/>
                <w:sz w:val="18"/>
                <w:szCs w:val="18"/>
              </w:rPr>
            </w:pPr>
          </w:p>
        </w:tc>
        <w:tc>
          <w:tcPr>
            <w:tcW w:w="750" w:type="dxa"/>
            <w:shd w:val="clear" w:color="auto" w:fill="FFFFFF"/>
          </w:tcPr>
          <w:p>
            <w:pPr>
              <w:pStyle w:val="152"/>
              <w:rPr>
                <w:rFonts w:hint="eastAsia" w:ascii="方正仿宋_GB2312" w:hAnsi="方正仿宋_GB2312" w:eastAsia="方正仿宋_GB2312" w:cs="方正仿宋_GB2312"/>
                <w:b/>
                <w:bCs/>
                <w:sz w:val="18"/>
                <w:szCs w:val="18"/>
              </w:rPr>
            </w:pPr>
          </w:p>
        </w:tc>
        <w:tc>
          <w:tcPr>
            <w:tcW w:w="750" w:type="dxa"/>
            <w:shd w:val="clear" w:color="auto" w:fill="FFFFFF"/>
          </w:tcPr>
          <w:p>
            <w:pPr>
              <w:pStyle w:val="152"/>
              <w:rPr>
                <w:rFonts w:hint="eastAsia" w:ascii="方正仿宋_GB2312" w:hAnsi="方正仿宋_GB2312" w:eastAsia="方正仿宋_GB2312" w:cs="方正仿宋_GB2312"/>
                <w:b/>
                <w:bCs/>
                <w:sz w:val="18"/>
                <w:szCs w:val="18"/>
              </w:rPr>
            </w:pPr>
            <w:r>
              <w:rPr>
                <w:rFonts w:hint="eastAsia" w:ascii="方正仿宋_GB2312" w:hAnsi="方正仿宋_GB2312" w:eastAsia="方正仿宋_GB2312" w:cs="方正仿宋_GB2312"/>
                <w:sz w:val="18"/>
                <w:szCs w:val="18"/>
              </w:rPr>
              <w:t>2×360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2×360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2×360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2×360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40" w:hRule="atLeast"/>
          <w:jc w:val="center"/>
        </w:trPr>
        <w:tc>
          <w:tcPr>
            <w:tcW w:w="404"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10</w:t>
            </w:r>
          </w:p>
        </w:tc>
        <w:tc>
          <w:tcPr>
            <w:tcW w:w="1349"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沣西2#变</w:t>
            </w:r>
          </w:p>
        </w:tc>
        <w:tc>
          <w:tcPr>
            <w:tcW w:w="782"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新建</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2×360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2×360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2×360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40" w:hRule="atLeast"/>
          <w:jc w:val="center"/>
        </w:trPr>
        <w:tc>
          <w:tcPr>
            <w:tcW w:w="404"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11</w:t>
            </w:r>
          </w:p>
        </w:tc>
        <w:tc>
          <w:tcPr>
            <w:tcW w:w="1349"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空港变</w:t>
            </w:r>
          </w:p>
        </w:tc>
        <w:tc>
          <w:tcPr>
            <w:tcW w:w="782"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新建</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p>
        </w:tc>
        <w:tc>
          <w:tcPr>
            <w:tcW w:w="750" w:type="dxa"/>
            <w:shd w:val="clear" w:color="auto" w:fill="FFFFFF"/>
          </w:tcPr>
          <w:p>
            <w:pPr>
              <w:pStyle w:val="152"/>
              <w:rPr>
                <w:rFonts w:hint="eastAsia" w:ascii="方正仿宋_GB2312" w:hAnsi="方正仿宋_GB2312" w:eastAsia="方正仿宋_GB2312" w:cs="方正仿宋_GB2312"/>
                <w:b/>
                <w:bCs/>
                <w:sz w:val="18"/>
                <w:szCs w:val="18"/>
              </w:rPr>
            </w:pPr>
          </w:p>
        </w:tc>
        <w:tc>
          <w:tcPr>
            <w:tcW w:w="750" w:type="dxa"/>
            <w:shd w:val="clear" w:color="auto" w:fill="FFFFFF"/>
          </w:tcPr>
          <w:p>
            <w:pPr>
              <w:pStyle w:val="152"/>
              <w:rPr>
                <w:rFonts w:hint="eastAsia" w:ascii="方正仿宋_GB2312" w:hAnsi="方正仿宋_GB2312" w:eastAsia="方正仿宋_GB2312" w:cs="方正仿宋_GB2312"/>
                <w:b/>
                <w:bCs/>
                <w:sz w:val="18"/>
                <w:szCs w:val="18"/>
              </w:rPr>
            </w:pPr>
          </w:p>
        </w:tc>
        <w:tc>
          <w:tcPr>
            <w:tcW w:w="750" w:type="dxa"/>
            <w:shd w:val="clear" w:color="auto" w:fill="FFFFFF"/>
          </w:tcPr>
          <w:p>
            <w:pPr>
              <w:pStyle w:val="152"/>
              <w:rPr>
                <w:rFonts w:hint="eastAsia" w:ascii="方正仿宋_GB2312" w:hAnsi="方正仿宋_GB2312" w:eastAsia="方正仿宋_GB2312" w:cs="方正仿宋_GB2312"/>
                <w:b/>
                <w:bCs/>
                <w:sz w:val="18"/>
                <w:szCs w:val="18"/>
              </w:rPr>
            </w:pPr>
          </w:p>
        </w:tc>
        <w:tc>
          <w:tcPr>
            <w:tcW w:w="750" w:type="dxa"/>
            <w:shd w:val="clear" w:color="auto" w:fill="FFFFFF"/>
          </w:tcPr>
          <w:p>
            <w:pPr>
              <w:pStyle w:val="152"/>
              <w:rPr>
                <w:rFonts w:hint="eastAsia" w:ascii="方正仿宋_GB2312" w:hAnsi="方正仿宋_GB2312" w:eastAsia="方正仿宋_GB2312" w:cs="方正仿宋_GB2312"/>
                <w:b/>
                <w:bCs/>
                <w:sz w:val="18"/>
                <w:szCs w:val="18"/>
              </w:rPr>
            </w:pPr>
          </w:p>
        </w:tc>
        <w:tc>
          <w:tcPr>
            <w:tcW w:w="750" w:type="dxa"/>
            <w:shd w:val="clear" w:color="auto" w:fill="FFFFFF"/>
          </w:tcPr>
          <w:p>
            <w:pPr>
              <w:pStyle w:val="152"/>
              <w:rPr>
                <w:rFonts w:hint="eastAsia" w:ascii="方正仿宋_GB2312" w:hAnsi="方正仿宋_GB2312" w:eastAsia="方正仿宋_GB2312" w:cs="方正仿宋_GB2312"/>
                <w:b/>
                <w:bCs/>
                <w:sz w:val="18"/>
                <w:szCs w:val="18"/>
              </w:rPr>
            </w:pPr>
            <w:r>
              <w:rPr>
                <w:rFonts w:hint="eastAsia" w:ascii="方正仿宋_GB2312" w:hAnsi="方正仿宋_GB2312" w:eastAsia="方正仿宋_GB2312" w:cs="方正仿宋_GB2312"/>
                <w:sz w:val="18"/>
                <w:szCs w:val="18"/>
              </w:rPr>
              <w:t>2×360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2×360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2×360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40" w:hRule="atLeast"/>
          <w:jc w:val="center"/>
        </w:trPr>
        <w:tc>
          <w:tcPr>
            <w:tcW w:w="404"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12</w:t>
            </w:r>
          </w:p>
        </w:tc>
        <w:tc>
          <w:tcPr>
            <w:tcW w:w="1349"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沣东变</w:t>
            </w:r>
          </w:p>
        </w:tc>
        <w:tc>
          <w:tcPr>
            <w:tcW w:w="782"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展望</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p>
        </w:tc>
        <w:tc>
          <w:tcPr>
            <w:tcW w:w="750" w:type="dxa"/>
            <w:shd w:val="clear" w:color="auto" w:fill="FFFFFF"/>
          </w:tcPr>
          <w:p>
            <w:pPr>
              <w:pStyle w:val="152"/>
              <w:rPr>
                <w:rFonts w:hint="eastAsia" w:ascii="方正仿宋_GB2312" w:hAnsi="方正仿宋_GB2312" w:eastAsia="方正仿宋_GB2312" w:cs="方正仿宋_GB2312"/>
                <w:b/>
                <w:bCs/>
                <w:sz w:val="18"/>
                <w:szCs w:val="18"/>
              </w:rPr>
            </w:pPr>
          </w:p>
        </w:tc>
        <w:tc>
          <w:tcPr>
            <w:tcW w:w="750" w:type="dxa"/>
            <w:shd w:val="clear" w:color="auto" w:fill="FFFFFF"/>
          </w:tcPr>
          <w:p>
            <w:pPr>
              <w:pStyle w:val="152"/>
              <w:rPr>
                <w:rFonts w:hint="eastAsia" w:ascii="方正仿宋_GB2312" w:hAnsi="方正仿宋_GB2312" w:eastAsia="方正仿宋_GB2312" w:cs="方正仿宋_GB2312"/>
                <w:b/>
                <w:bCs/>
                <w:sz w:val="18"/>
                <w:szCs w:val="18"/>
              </w:rPr>
            </w:pPr>
          </w:p>
        </w:tc>
        <w:tc>
          <w:tcPr>
            <w:tcW w:w="750" w:type="dxa"/>
            <w:shd w:val="clear" w:color="auto" w:fill="FFFFFF"/>
          </w:tcPr>
          <w:p>
            <w:pPr>
              <w:pStyle w:val="152"/>
              <w:rPr>
                <w:rFonts w:hint="eastAsia" w:ascii="方正仿宋_GB2312" w:hAnsi="方正仿宋_GB2312" w:eastAsia="方正仿宋_GB2312" w:cs="方正仿宋_GB2312"/>
                <w:b/>
                <w:bCs/>
                <w:sz w:val="18"/>
                <w:szCs w:val="18"/>
              </w:rPr>
            </w:pPr>
          </w:p>
        </w:tc>
        <w:tc>
          <w:tcPr>
            <w:tcW w:w="750" w:type="dxa"/>
            <w:shd w:val="clear" w:color="auto" w:fill="FFFFFF"/>
          </w:tcPr>
          <w:p>
            <w:pPr>
              <w:pStyle w:val="152"/>
              <w:rPr>
                <w:rFonts w:hint="eastAsia" w:ascii="方正仿宋_GB2312" w:hAnsi="方正仿宋_GB2312" w:eastAsia="方正仿宋_GB2312" w:cs="方正仿宋_GB2312"/>
                <w:b/>
                <w:bCs/>
                <w:sz w:val="18"/>
                <w:szCs w:val="18"/>
              </w:rPr>
            </w:pPr>
          </w:p>
        </w:tc>
        <w:tc>
          <w:tcPr>
            <w:tcW w:w="750" w:type="dxa"/>
            <w:shd w:val="clear" w:color="auto" w:fill="FFFFFF"/>
          </w:tcPr>
          <w:p>
            <w:pPr>
              <w:pStyle w:val="152"/>
              <w:rPr>
                <w:rFonts w:hint="eastAsia" w:ascii="方正仿宋_GB2312" w:hAnsi="方正仿宋_GB2312" w:eastAsia="方正仿宋_GB2312" w:cs="方正仿宋_GB2312"/>
                <w:b/>
                <w:bCs/>
                <w:sz w:val="18"/>
                <w:szCs w:val="18"/>
              </w:rPr>
            </w:pP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2×360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2×360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40" w:hRule="atLeast"/>
          <w:jc w:val="center"/>
        </w:trPr>
        <w:tc>
          <w:tcPr>
            <w:tcW w:w="2535" w:type="dxa"/>
            <w:gridSpan w:val="3"/>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变电站座数</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6</w:t>
            </w:r>
          </w:p>
        </w:tc>
        <w:tc>
          <w:tcPr>
            <w:tcW w:w="750" w:type="dxa"/>
            <w:shd w:val="clear" w:color="auto" w:fill="FFFFFF"/>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6</w:t>
            </w:r>
          </w:p>
        </w:tc>
        <w:tc>
          <w:tcPr>
            <w:tcW w:w="750" w:type="dxa"/>
            <w:shd w:val="clear" w:color="auto" w:fill="FFFFFF"/>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7</w:t>
            </w:r>
          </w:p>
        </w:tc>
        <w:tc>
          <w:tcPr>
            <w:tcW w:w="750" w:type="dxa"/>
            <w:shd w:val="clear" w:color="auto" w:fill="FFFFFF"/>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8</w:t>
            </w:r>
          </w:p>
        </w:tc>
        <w:tc>
          <w:tcPr>
            <w:tcW w:w="750" w:type="dxa"/>
            <w:shd w:val="clear" w:color="auto" w:fill="FFFFFF"/>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9</w:t>
            </w:r>
          </w:p>
        </w:tc>
        <w:tc>
          <w:tcPr>
            <w:tcW w:w="750" w:type="dxa"/>
            <w:shd w:val="clear" w:color="auto" w:fill="FFFFFF"/>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10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12</w:t>
            </w:r>
          </w:p>
        </w:tc>
        <w:tc>
          <w:tcPr>
            <w:tcW w:w="750" w:type="dxa"/>
            <w:shd w:val="clear" w:color="auto" w:fill="FFFFFF"/>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12</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40" w:hRule="atLeast"/>
          <w:jc w:val="center"/>
        </w:trPr>
        <w:tc>
          <w:tcPr>
            <w:tcW w:w="2535" w:type="dxa"/>
            <w:gridSpan w:val="3"/>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变电站容量</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5520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5520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6240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6960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7680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9480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10200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10200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40" w:hRule="atLeast"/>
          <w:jc w:val="center"/>
        </w:trPr>
        <w:tc>
          <w:tcPr>
            <w:tcW w:w="2535" w:type="dxa"/>
            <w:gridSpan w:val="3"/>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区内变电站座数</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w:t>
            </w:r>
          </w:p>
        </w:tc>
        <w:tc>
          <w:tcPr>
            <w:tcW w:w="750" w:type="dxa"/>
            <w:shd w:val="clear" w:color="auto" w:fill="FFFFFF"/>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w:t>
            </w:r>
          </w:p>
        </w:tc>
        <w:tc>
          <w:tcPr>
            <w:tcW w:w="750" w:type="dxa"/>
            <w:shd w:val="clear" w:color="auto" w:fill="FFFFFF"/>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4</w:t>
            </w:r>
          </w:p>
        </w:tc>
        <w:tc>
          <w:tcPr>
            <w:tcW w:w="750" w:type="dxa"/>
            <w:shd w:val="clear" w:color="auto" w:fill="FFFFFF"/>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5</w:t>
            </w:r>
          </w:p>
        </w:tc>
        <w:tc>
          <w:tcPr>
            <w:tcW w:w="750" w:type="dxa"/>
            <w:shd w:val="clear" w:color="auto" w:fill="FFFFFF"/>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6</w:t>
            </w:r>
          </w:p>
        </w:tc>
        <w:tc>
          <w:tcPr>
            <w:tcW w:w="750" w:type="dxa"/>
            <w:shd w:val="clear" w:color="auto" w:fill="FFFFFF"/>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8</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9</w:t>
            </w:r>
          </w:p>
        </w:tc>
        <w:tc>
          <w:tcPr>
            <w:tcW w:w="750" w:type="dxa"/>
            <w:shd w:val="clear" w:color="auto" w:fill="FFFFFF"/>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9</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40" w:hRule="atLeast"/>
          <w:jc w:val="center"/>
        </w:trPr>
        <w:tc>
          <w:tcPr>
            <w:tcW w:w="2535" w:type="dxa"/>
            <w:gridSpan w:val="3"/>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区内变电站容量</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2520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2520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3240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3960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4680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6480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7200</w:t>
            </w:r>
          </w:p>
        </w:tc>
        <w:tc>
          <w:tcPr>
            <w:tcW w:w="750" w:type="dxa"/>
            <w:shd w:val="clear" w:color="auto" w:fill="FFFFFF"/>
            <w:vAlign w:val="center"/>
          </w:tcPr>
          <w:p>
            <w:pPr>
              <w:pStyle w:val="152"/>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7200</w:t>
            </w:r>
          </w:p>
        </w:tc>
      </w:tr>
    </w:tbl>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rPr>
      </w:pPr>
      <w:bookmarkStart w:id="803" w:name="_Toc32599"/>
      <w:bookmarkStart w:id="804" w:name="_Toc74041218"/>
      <w:r>
        <w:rPr>
          <w:rFonts w:hint="eastAsia" w:ascii="黑体" w:hAnsi="黑体" w:eastAsia="黑体" w:cs="黑体"/>
          <w:b w:val="0"/>
          <w:bCs w:val="0"/>
          <w:sz w:val="32"/>
          <w:szCs w:val="32"/>
        </w:rPr>
        <w:t>330千伏规划方案</w:t>
      </w:r>
      <w:bookmarkEnd w:id="803"/>
      <w:bookmarkEnd w:id="804"/>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805" w:name="_Toc74041219"/>
      <w:bookmarkStart w:id="806" w:name="_Toc59973956"/>
      <w:r>
        <w:rPr>
          <w:rFonts w:eastAsia="仿宋"/>
          <w:sz w:val="32"/>
          <w:szCs w:val="32"/>
        </w:rPr>
        <w:t>“十四五”规划</w:t>
      </w:r>
      <w:bookmarkEnd w:id="805"/>
      <w:bookmarkEnd w:id="806"/>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西咸新区以750千伏电网为依托，为满足西咸新区负荷增长的需要，2021年-2025年，西咸新区规划新建5座330千伏变电站，包括：咸阳东（秦汉）330千伏变电站、沣渭330千伏变电站、泾河330千伏变电站、沣西#2 330千伏变电站、空港330千伏变电站，新增变电容量3600兆伏安。</w:t>
      </w:r>
    </w:p>
    <w:p>
      <w:pPr>
        <w:keepNext w:val="0"/>
        <w:keepLines w:val="0"/>
        <w:pageBreakBefore w:val="0"/>
        <w:widowControl w:val="0"/>
        <w:kinsoku/>
        <w:wordWrap/>
        <w:overflowPunct/>
        <w:topLinePunct w:val="0"/>
        <w:autoSpaceDE/>
        <w:autoSpaceDN/>
        <w:bidi w:val="0"/>
        <w:adjustRightInd w:val="0"/>
        <w:snapToGrid w:val="0"/>
        <w:spacing w:line="560" w:lineRule="exact"/>
        <w:ind w:firstLine="643" w:firstLineChars="200"/>
        <w:textAlignment w:val="auto"/>
        <w:rPr>
          <w:rFonts w:hint="eastAsia" w:ascii="仿宋" w:hAnsi="仿宋" w:eastAsia="仿宋" w:cs="仿宋"/>
          <w:b/>
          <w:bCs/>
          <w:kern w:val="2"/>
          <w:sz w:val="32"/>
          <w:szCs w:val="32"/>
          <w:lang w:val="en-US" w:eastAsia="zh-CN" w:bidi="ar-SA"/>
        </w:rPr>
      </w:pPr>
      <w:r>
        <w:rPr>
          <w:rFonts w:hint="eastAsia" w:ascii="仿宋" w:hAnsi="仿宋" w:eastAsia="仿宋" w:cs="仿宋"/>
          <w:b/>
          <w:bCs/>
          <w:kern w:val="2"/>
          <w:sz w:val="32"/>
          <w:szCs w:val="32"/>
          <w:lang w:val="en-US" w:eastAsia="zh-CN" w:bidi="ar-SA"/>
        </w:rPr>
        <w:t>1.咸阳东（秦汉）330千伏输变电工程</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咸阳东（秦汉）330千伏输变电工程主要是为满足西咸新区秦汉新城负荷发展需求，缓解沣河变供电压力；优化330千伏网架，为乾县、泾渭750千伏供电区解环创造条件，同时咸阳电网形成以750千伏乾县变为核心，330千伏双环网供电的网架结构；另外，该区域距离沣河变、古渡变和池阳变均较远，110千伏供电距离较远，新增330千伏布点可组织优化110千伏网架。该项目计划于2021年建成投产。</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咸阳东（秦汉）330千伏变电站主变容量2×360兆伏安，330千伏本期出线6回，新建线路长度129.1公里。建设方案为双π入沣河~渭热双回330千伏线路上，新建双回线路至池阳变，同时将渭二电厂π入池阳~高工三330千伏线路上。</w:t>
      </w:r>
    </w:p>
    <w:p>
      <w:pPr>
        <w:pStyle w:val="150"/>
        <w:ind w:firstLine="0" w:firstLineChars="0"/>
        <w:jc w:val="center"/>
      </w:pPr>
      <w:r>
        <w:drawing>
          <wp:inline distT="0" distB="0" distL="0" distR="0">
            <wp:extent cx="5663565" cy="5263515"/>
            <wp:effectExtent l="0" t="0" r="635" b="6985"/>
            <wp:docPr id="2" name="图片 2" descr="C:\Users\HP\AppData\Roaming\ECM\screenshot\12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HP\AppData\Roaming\ECM\screenshot\1258.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695298" cy="5293260"/>
                    </a:xfrm>
                    <a:prstGeom prst="rect">
                      <a:avLst/>
                    </a:prstGeom>
                    <a:noFill/>
                    <a:ln>
                      <a:noFill/>
                    </a:ln>
                  </pic:spPr>
                </pic:pic>
              </a:graphicData>
            </a:graphic>
          </wp:inline>
        </w:drawing>
      </w:r>
    </w:p>
    <w:p>
      <w:pPr>
        <w:pStyle w:val="8"/>
        <w:numPr>
          <w:ilvl w:val="0"/>
          <w:numId w:val="0"/>
        </w:numPr>
        <w:jc w:val="center"/>
        <w:rPr>
          <w:rFonts w:hint="eastAsia"/>
          <w:lang w:val="en-US" w:eastAsia="zh-CN"/>
        </w:rPr>
      </w:pPr>
      <w:r>
        <w:rPr>
          <w:rFonts w:hint="eastAsia" w:ascii="黑体" w:hAnsi="黑体" w:eastAsia="黑体" w:cs="黑体"/>
          <w:b w:val="0"/>
          <w:bCs w:val="0"/>
          <w:kern w:val="0"/>
          <w:sz w:val="24"/>
          <w:szCs w:val="24"/>
          <w:lang w:val="en-US" w:eastAsia="zh-CN" w:bidi="ar-SA"/>
        </w:rPr>
        <w:t>图7-1  咸阳东（秦汉）330千伏输变电工程</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2"/>
        <w:textAlignment w:val="auto"/>
        <w:rPr>
          <w:rFonts w:hint="eastAsia" w:ascii="仿宋" w:hAnsi="仿宋" w:eastAsia="仿宋" w:cs="仿宋"/>
          <w:b/>
          <w:bCs/>
          <w:kern w:val="2"/>
          <w:sz w:val="32"/>
          <w:szCs w:val="32"/>
          <w:lang w:val="en-US" w:eastAsia="zh-CN" w:bidi="ar-SA"/>
        </w:rPr>
      </w:pPr>
      <w:r>
        <w:rPr>
          <w:rFonts w:hint="eastAsia" w:ascii="仿宋" w:hAnsi="仿宋" w:eastAsia="仿宋" w:cs="仿宋"/>
          <w:b/>
          <w:bCs/>
          <w:kern w:val="2"/>
          <w:sz w:val="32"/>
          <w:szCs w:val="32"/>
          <w:lang w:val="en-US" w:eastAsia="zh-CN" w:bidi="ar-SA"/>
        </w:rPr>
        <w:t>2.沣渭330千伏输变电工程</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西咸新区沣东新城将陆续投产陕西省重点项目沣东环普自贸产业园（报装60兆瓦）、华侨城欢乐谷商住一体项目（报装71兆瓦）以及后期楼绿地大厦501（报装45兆瓦）等大用户，沣渭330千伏输变电工程主要为满足西咸新区沣东新城负荷发展需求，缓解330千伏沣河变供电压力，优化沣东新城网架结构，增强供电可靠性。该项目计划于2023年建成投产。</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沣渭330千伏变电站主变容量2×360兆伏安，330千伏本期出线4回，新建线路长度57.1公里。建设方案为双π入庄头~河寨双回330千伏线路上，同时将训善变双π入沣渭~河寨双回330千伏线路上。</w:t>
      </w:r>
    </w:p>
    <w:p>
      <w:pPr>
        <w:pStyle w:val="150"/>
        <w:ind w:firstLine="0" w:firstLineChars="0"/>
        <w:jc w:val="center"/>
      </w:pPr>
      <w:r>
        <w:drawing>
          <wp:inline distT="0" distB="0" distL="0" distR="0">
            <wp:extent cx="4393565" cy="2388235"/>
            <wp:effectExtent l="0" t="0" r="635" b="12065"/>
            <wp:docPr id="1" name="图片 1" descr="C:\Users\HP\AppData\Roaming\ECM\screenshot\12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HP\AppData\Roaming\ECM\screenshot\1262.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427089" cy="2406240"/>
                    </a:xfrm>
                    <a:prstGeom prst="rect">
                      <a:avLst/>
                    </a:prstGeom>
                    <a:noFill/>
                    <a:ln>
                      <a:noFill/>
                    </a:ln>
                  </pic:spPr>
                </pic:pic>
              </a:graphicData>
            </a:graphic>
          </wp:inline>
        </w:drawing>
      </w:r>
    </w:p>
    <w:p>
      <w:pPr>
        <w:pStyle w:val="8"/>
        <w:numPr>
          <w:ilvl w:val="0"/>
          <w:numId w:val="0"/>
        </w:numPr>
        <w:jc w:val="center"/>
        <w:rPr>
          <w:rFonts w:hint="eastAsia"/>
          <w:lang w:val="en-US" w:eastAsia="zh-CN"/>
        </w:rPr>
      </w:pPr>
      <w:r>
        <w:rPr>
          <w:rFonts w:hint="eastAsia" w:ascii="黑体" w:hAnsi="黑体" w:eastAsia="黑体" w:cs="黑体"/>
          <w:b w:val="0"/>
          <w:bCs w:val="0"/>
          <w:kern w:val="0"/>
          <w:sz w:val="24"/>
          <w:szCs w:val="24"/>
          <w:lang w:val="en-US" w:eastAsia="zh-CN" w:bidi="ar-SA"/>
        </w:rPr>
        <w:t>图7-2  沣渭330千伏输变电工程</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2"/>
        <w:textAlignment w:val="auto"/>
        <w:rPr>
          <w:rFonts w:hint="eastAsia" w:ascii="仿宋" w:hAnsi="仿宋" w:eastAsia="仿宋" w:cs="仿宋"/>
          <w:b/>
          <w:bCs/>
          <w:kern w:val="2"/>
          <w:sz w:val="32"/>
          <w:szCs w:val="32"/>
          <w:lang w:val="en-US" w:eastAsia="zh-CN" w:bidi="ar-SA"/>
        </w:rPr>
      </w:pPr>
      <w:r>
        <w:rPr>
          <w:rFonts w:hint="eastAsia" w:ascii="仿宋" w:hAnsi="仿宋" w:eastAsia="仿宋" w:cs="仿宋"/>
          <w:b/>
          <w:bCs/>
          <w:kern w:val="2"/>
          <w:sz w:val="32"/>
          <w:szCs w:val="32"/>
          <w:lang w:val="en-US" w:eastAsia="zh-CN" w:bidi="ar-SA"/>
        </w:rPr>
        <w:t>3.泾河330千伏输变电工程</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泾河330千伏输变电工程主要是为满足泾阳县特别是泾河新城负荷供电的需要，缓解池阳变供电压力。该项目计划于2024年建成投产。</w:t>
      </w:r>
    </w:p>
    <w:p>
      <w:pPr>
        <w:pStyle w:val="150"/>
        <w:ind w:firstLine="0" w:firstLineChars="0"/>
        <w:jc w:val="center"/>
        <w:rPr>
          <w:b/>
        </w:rPr>
      </w:pPr>
      <w:r>
        <w:drawing>
          <wp:inline distT="0" distB="0" distL="0" distR="0">
            <wp:extent cx="3506470" cy="3367405"/>
            <wp:effectExtent l="0" t="0" r="17780" b="4445"/>
            <wp:docPr id="4" name="图片 4" descr="C:\Users\HP\AppData\Roaming\ECM\screenshot\12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HP\AppData\Roaming\ECM\screenshot\1264.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506470" cy="3367405"/>
                    </a:xfrm>
                    <a:prstGeom prst="rect">
                      <a:avLst/>
                    </a:prstGeom>
                    <a:noFill/>
                    <a:ln>
                      <a:noFill/>
                    </a:ln>
                  </pic:spPr>
                </pic:pic>
              </a:graphicData>
            </a:graphic>
          </wp:inline>
        </w:drawing>
      </w:r>
    </w:p>
    <w:p>
      <w:pPr>
        <w:pStyle w:val="8"/>
        <w:numPr>
          <w:ilvl w:val="0"/>
          <w:numId w:val="0"/>
        </w:numPr>
        <w:jc w:val="center"/>
        <w:rPr>
          <w:rFonts w:hint="eastAsia" w:ascii="黑体" w:hAnsi="黑体" w:eastAsia="黑体" w:cs="黑体"/>
          <w:b w:val="0"/>
          <w:bCs w:val="0"/>
          <w:kern w:val="0"/>
          <w:sz w:val="24"/>
          <w:szCs w:val="24"/>
          <w:lang w:val="en-US" w:eastAsia="zh-CN" w:bidi="ar-SA"/>
        </w:rPr>
      </w:pPr>
      <w:r>
        <w:rPr>
          <w:rFonts w:hint="eastAsia" w:ascii="黑体" w:hAnsi="黑体" w:eastAsia="黑体" w:cs="黑体"/>
          <w:b w:val="0"/>
          <w:bCs w:val="0"/>
          <w:kern w:val="0"/>
          <w:sz w:val="24"/>
          <w:szCs w:val="24"/>
          <w:lang w:val="en-US" w:eastAsia="zh-CN" w:bidi="ar-SA"/>
        </w:rPr>
        <w:t>图7-3  泾河330千伏输变电工程</w:t>
      </w:r>
    </w:p>
    <w:p>
      <w:pPr>
        <w:rPr>
          <w:rFonts w:hint="eastAsia"/>
          <w:lang w:val="en-US" w:eastAsia="zh-CN"/>
        </w:rPr>
      </w:pP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泾河330千伏变电站主变容量2×360兆伏安，330千伏本期出线4回，新建线路长度6.6公里。建设方案为单π入渭二~高工三330千伏线路上，单π入渭二～池阳330千伏线路上。</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 w:hAnsi="仿宋" w:eastAsia="仿宋" w:cs="仿宋"/>
          <w:b/>
          <w:bCs/>
          <w:kern w:val="2"/>
          <w:sz w:val="32"/>
          <w:szCs w:val="32"/>
          <w:lang w:val="en-US" w:eastAsia="zh-CN" w:bidi="ar-SA"/>
        </w:rPr>
      </w:pPr>
      <w:r>
        <w:rPr>
          <w:rFonts w:hint="eastAsia" w:ascii="仿宋" w:hAnsi="仿宋" w:eastAsia="仿宋" w:cs="仿宋"/>
          <w:b/>
          <w:bCs/>
          <w:kern w:val="2"/>
          <w:sz w:val="32"/>
          <w:szCs w:val="32"/>
          <w:lang w:val="en-US" w:eastAsia="zh-CN" w:bidi="ar-SA"/>
        </w:rPr>
        <w:t>4.沣西#2 330千伏输变电工程</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沣西#2 330千伏输变电工程主要是为满足沣西新城南部地区负荷发展需求；缓解330千伏沣西变供电压力（预计2020年沣西变负载率超过75%），解决沣西变重载问题；优化沣西新城网架结构，增强供电可靠性。该项目计划于2025年建成投产。</w:t>
      </w:r>
    </w:p>
    <w:p>
      <w:pPr>
        <w:pStyle w:val="150"/>
        <w:ind w:firstLine="0" w:firstLineChars="0"/>
        <w:jc w:val="center"/>
      </w:pPr>
      <w:r>
        <w:drawing>
          <wp:inline distT="0" distB="0" distL="0" distR="0">
            <wp:extent cx="5073650" cy="2590800"/>
            <wp:effectExtent l="0" t="0" r="6350" b="0"/>
            <wp:docPr id="16" name="图片 16" descr="C:\Users\HP\AppData\Roaming\ECM\screenshot\12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Users\HP\AppData\Roaming\ECM\screenshot\1263.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5073650" cy="2590800"/>
                    </a:xfrm>
                    <a:prstGeom prst="rect">
                      <a:avLst/>
                    </a:prstGeom>
                    <a:noFill/>
                    <a:ln>
                      <a:noFill/>
                    </a:ln>
                  </pic:spPr>
                </pic:pic>
              </a:graphicData>
            </a:graphic>
          </wp:inline>
        </w:drawing>
      </w:r>
    </w:p>
    <w:p>
      <w:pPr>
        <w:pStyle w:val="8"/>
        <w:numPr>
          <w:ilvl w:val="0"/>
          <w:numId w:val="0"/>
        </w:numPr>
        <w:jc w:val="center"/>
        <w:rPr>
          <w:rFonts w:hint="eastAsia" w:ascii="黑体" w:hAnsi="黑体" w:eastAsia="黑体" w:cs="黑体"/>
          <w:b w:val="0"/>
          <w:bCs w:val="0"/>
          <w:kern w:val="0"/>
          <w:sz w:val="24"/>
          <w:szCs w:val="24"/>
          <w:lang w:val="en-US" w:eastAsia="zh-CN" w:bidi="ar-SA"/>
        </w:rPr>
      </w:pPr>
      <w:r>
        <w:rPr>
          <w:rFonts w:hint="eastAsia" w:ascii="黑体" w:hAnsi="黑体" w:eastAsia="黑体" w:cs="黑体"/>
          <w:b w:val="0"/>
          <w:bCs w:val="0"/>
          <w:kern w:val="0"/>
          <w:sz w:val="24"/>
          <w:szCs w:val="24"/>
          <w:lang w:val="en-US" w:eastAsia="zh-CN" w:bidi="ar-SA"/>
        </w:rPr>
        <w:t>图7-4   沣西二330千伏输变电工程</w:t>
      </w:r>
    </w:p>
    <w:p>
      <w:pPr>
        <w:rPr>
          <w:rFonts w:hint="eastAsia"/>
          <w:lang w:val="en-US" w:eastAsia="zh-CN"/>
        </w:rPr>
      </w:pP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沣西#2 330千伏变电站主变容量2×360兆伏安，330千伏本期出线6回，新建线路长度55.6公里。建设方案为双π入庄头~沣渭双回330千伏线路上，同时新建沣西二~南山双回330千伏线路。</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 w:hAnsi="仿宋" w:eastAsia="仿宋" w:cs="仿宋"/>
          <w:b/>
          <w:bCs/>
          <w:kern w:val="2"/>
          <w:sz w:val="32"/>
          <w:szCs w:val="32"/>
          <w:lang w:val="en-US" w:eastAsia="zh-CN" w:bidi="ar-SA"/>
        </w:rPr>
      </w:pPr>
      <w:r>
        <w:rPr>
          <w:rFonts w:hint="eastAsia" w:ascii="仿宋" w:hAnsi="仿宋" w:eastAsia="仿宋" w:cs="仿宋"/>
          <w:b/>
          <w:bCs/>
          <w:kern w:val="2"/>
          <w:sz w:val="32"/>
          <w:szCs w:val="32"/>
          <w:lang w:val="en-US" w:eastAsia="zh-CN" w:bidi="ar-SA"/>
        </w:rPr>
        <w:t>5.空港330千伏输变电工程</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主要是为满足西咸新区空港新城地区新增负荷发展需要。330千伏主变容量为2×360兆伏安，330千伏本期出线4回，新建线路长度20公里。建设方案为双π入秦汉~池阳双回330千伏线路上。</w:t>
      </w:r>
    </w:p>
    <w:p>
      <w:pPr>
        <w:pStyle w:val="150"/>
        <w:ind w:firstLine="0" w:firstLineChars="0"/>
        <w:jc w:val="center"/>
      </w:pPr>
      <w:r>
        <w:drawing>
          <wp:inline distT="0" distB="0" distL="0" distR="0">
            <wp:extent cx="5527040" cy="3131820"/>
            <wp:effectExtent l="0" t="0" r="10160" b="5080"/>
            <wp:docPr id="5" name="图片 5" descr="C:\Users\HP\AppData\Roaming\ECM\screenshot\12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HP\AppData\Roaming\ECM\screenshot\1267.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573096" cy="3158303"/>
                    </a:xfrm>
                    <a:prstGeom prst="rect">
                      <a:avLst/>
                    </a:prstGeom>
                    <a:noFill/>
                    <a:ln>
                      <a:noFill/>
                    </a:ln>
                  </pic:spPr>
                </pic:pic>
              </a:graphicData>
            </a:graphic>
          </wp:inline>
        </w:drawing>
      </w:r>
    </w:p>
    <w:p>
      <w:pPr>
        <w:pStyle w:val="8"/>
        <w:numPr>
          <w:ilvl w:val="0"/>
          <w:numId w:val="0"/>
        </w:numPr>
        <w:jc w:val="center"/>
        <w:rPr>
          <w:b/>
        </w:rPr>
      </w:pPr>
      <w:r>
        <w:rPr>
          <w:rFonts w:hint="eastAsia" w:ascii="黑体" w:hAnsi="黑体" w:eastAsia="黑体" w:cs="黑体"/>
          <w:b w:val="0"/>
          <w:bCs w:val="0"/>
          <w:kern w:val="0"/>
          <w:sz w:val="24"/>
          <w:szCs w:val="24"/>
          <w:lang w:val="en-US" w:eastAsia="zh-CN" w:bidi="ar-SA"/>
        </w:rPr>
        <w:t>图7-5  空港330千伏输变电工程</w:t>
      </w:r>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807" w:name="_Toc74041220"/>
      <w:bookmarkStart w:id="808" w:name="_Toc59973957"/>
      <w:r>
        <w:rPr>
          <w:rFonts w:eastAsia="仿宋"/>
          <w:sz w:val="32"/>
          <w:szCs w:val="32"/>
        </w:rPr>
        <w:t>远景展望</w:t>
      </w:r>
      <w:bookmarkEnd w:id="807"/>
      <w:bookmarkEnd w:id="808"/>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2026至远景年，以750千伏电网为依托，为满足西咸新区负荷增长需求，优化330千伏电网结构，并为110千伏电网提供坚强电源点支撑，规划新建沣东330千伏变电站。</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沣东330千伏输变电工程：主要是为满足西咸新区沣东新城负荷发展需求，缓解周边变电站供电压力，增强供电可靠性。330千伏主变容量为2×360兆伏安，330千伏本期出线4回，新建线路长度6公里。建设方案为双π入沣河-草滩双回330千伏线路上。该项目计划于2026-2030年建成投产。</w:t>
      </w:r>
    </w:p>
    <w:p>
      <w:pPr>
        <w:pStyle w:val="150"/>
        <w:ind w:firstLine="0" w:firstLineChars="0"/>
        <w:jc w:val="center"/>
      </w:pPr>
      <w:r>
        <w:drawing>
          <wp:inline distT="0" distB="0" distL="0" distR="0">
            <wp:extent cx="5039995" cy="2244725"/>
            <wp:effectExtent l="0" t="0" r="1905" b="3175"/>
            <wp:docPr id="18" name="图片 18" descr="C:\Users\HP\AppData\Roaming\ECM\screenshot\12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Users\HP\AppData\Roaming\ECM\screenshot\1265.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039995" cy="2244725"/>
                    </a:xfrm>
                    <a:prstGeom prst="rect">
                      <a:avLst/>
                    </a:prstGeom>
                    <a:noFill/>
                    <a:ln>
                      <a:noFill/>
                    </a:ln>
                  </pic:spPr>
                </pic:pic>
              </a:graphicData>
            </a:graphic>
          </wp:inline>
        </w:drawing>
      </w:r>
    </w:p>
    <w:p>
      <w:pPr>
        <w:pStyle w:val="8"/>
        <w:numPr>
          <w:ilvl w:val="0"/>
          <w:numId w:val="0"/>
        </w:numPr>
        <w:jc w:val="center"/>
        <w:rPr>
          <w:rFonts w:hint="eastAsia" w:ascii="黑体" w:hAnsi="黑体" w:eastAsia="黑体" w:cs="黑体"/>
          <w:b w:val="0"/>
          <w:bCs w:val="0"/>
          <w:kern w:val="0"/>
          <w:sz w:val="24"/>
          <w:szCs w:val="24"/>
          <w:lang w:val="en-US" w:eastAsia="zh-CN" w:bidi="ar-SA"/>
        </w:rPr>
      </w:pPr>
      <w:r>
        <w:rPr>
          <w:rFonts w:hint="eastAsia" w:ascii="黑体" w:hAnsi="黑体" w:eastAsia="黑体" w:cs="黑体"/>
          <w:b w:val="0"/>
          <w:bCs w:val="0"/>
          <w:kern w:val="0"/>
          <w:sz w:val="24"/>
          <w:szCs w:val="24"/>
          <w:lang w:val="en-US" w:eastAsia="zh-CN" w:bidi="ar-SA"/>
        </w:rPr>
        <w:t>图7-6   沣东330千伏输变电工程</w:t>
      </w:r>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rPr>
      </w:pPr>
      <w:bookmarkStart w:id="809" w:name="_Toc7149"/>
      <w:bookmarkStart w:id="810" w:name="_Toc74041221"/>
      <w:r>
        <w:rPr>
          <w:rFonts w:hint="eastAsia" w:ascii="黑体" w:hAnsi="黑体" w:eastAsia="黑体" w:cs="黑体"/>
          <w:b w:val="0"/>
          <w:bCs w:val="0"/>
          <w:sz w:val="32"/>
          <w:szCs w:val="32"/>
          <w:lang w:val="en-US" w:eastAsia="zh-CN"/>
        </w:rPr>
        <w:t xml:space="preserve"> </w:t>
      </w:r>
      <w:r>
        <w:rPr>
          <w:rFonts w:hint="eastAsia" w:ascii="黑体" w:hAnsi="黑体" w:eastAsia="黑体" w:cs="黑体"/>
          <w:b w:val="0"/>
          <w:bCs w:val="0"/>
          <w:sz w:val="32"/>
          <w:szCs w:val="32"/>
        </w:rPr>
        <w:t>330千伏规划建设规模</w:t>
      </w:r>
      <w:bookmarkEnd w:id="809"/>
      <w:bookmarkEnd w:id="810"/>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“十四五”期间规划新建330千伏变电站5座，新增容量3600兆伏安，新建线路长度268.4公里。</w:t>
      </w:r>
    </w:p>
    <w:p>
      <w:pPr>
        <w:pStyle w:val="8"/>
        <w:keepNext/>
        <w:keepLines/>
        <w:pageBreakBefore w:val="0"/>
        <w:widowControl w:val="0"/>
        <w:numPr>
          <w:ilvl w:val="0"/>
          <w:numId w:val="0"/>
        </w:numPr>
        <w:kinsoku/>
        <w:wordWrap/>
        <w:overflowPunct/>
        <w:topLinePunct w:val="0"/>
        <w:autoSpaceDE/>
        <w:autoSpaceDN/>
        <w:bidi w:val="0"/>
        <w:adjustRightInd/>
        <w:snapToGrid/>
        <w:spacing w:line="640" w:lineRule="exact"/>
        <w:jc w:val="center"/>
        <w:textAlignment w:val="auto"/>
        <w:rPr>
          <w:rFonts w:hint="eastAsia" w:ascii="黑体" w:hAnsi="黑体" w:eastAsia="黑体" w:cs="黑体"/>
          <w:b w:val="0"/>
          <w:bCs w:val="0"/>
          <w:kern w:val="0"/>
          <w:sz w:val="28"/>
          <w:szCs w:val="28"/>
          <w:lang w:val="en-US" w:eastAsia="zh-CN" w:bidi="ar-SA"/>
        </w:rPr>
      </w:pPr>
      <w:r>
        <w:rPr>
          <w:rFonts w:hint="eastAsia" w:ascii="黑体" w:hAnsi="黑体" w:eastAsia="黑体" w:cs="黑体"/>
          <w:b w:val="0"/>
          <w:bCs w:val="0"/>
          <w:kern w:val="0"/>
          <w:sz w:val="28"/>
          <w:szCs w:val="28"/>
          <w:lang w:val="en-US" w:eastAsia="zh-CN" w:bidi="ar-SA"/>
        </w:rPr>
        <w:t>表7-2   2021～2025西咸新区330千伏变电站规划规模</w:t>
      </w:r>
    </w:p>
    <w:tbl>
      <w:tblPr>
        <w:tblStyle w:val="88"/>
        <w:tblW w:w="8600" w:type="dxa"/>
        <w:tblInd w:w="-5" w:type="dxa"/>
        <w:tblLayout w:type="fixed"/>
        <w:tblCellMar>
          <w:top w:w="0" w:type="dxa"/>
          <w:left w:w="108" w:type="dxa"/>
          <w:bottom w:w="0" w:type="dxa"/>
          <w:right w:w="108" w:type="dxa"/>
        </w:tblCellMar>
      </w:tblPr>
      <w:tblGrid>
        <w:gridCol w:w="1080"/>
        <w:gridCol w:w="3020"/>
        <w:gridCol w:w="1080"/>
        <w:gridCol w:w="1660"/>
        <w:gridCol w:w="1760"/>
      </w:tblGrid>
      <w:tr>
        <w:tblPrEx>
          <w:tblCellMar>
            <w:top w:w="0" w:type="dxa"/>
            <w:left w:w="108" w:type="dxa"/>
            <w:bottom w:w="0" w:type="dxa"/>
            <w:right w:w="108" w:type="dxa"/>
          </w:tblCellMar>
        </w:tblPrEx>
        <w:trPr>
          <w:trHeight w:val="285" w:hRule="atLeast"/>
        </w:trPr>
        <w:tc>
          <w:tcPr>
            <w:tcW w:w="108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序号</w:t>
            </w:r>
          </w:p>
        </w:tc>
        <w:tc>
          <w:tcPr>
            <w:tcW w:w="302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项目名称</w:t>
            </w:r>
          </w:p>
        </w:tc>
        <w:tc>
          <w:tcPr>
            <w:tcW w:w="108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新增线路长度(公里)</w:t>
            </w:r>
          </w:p>
        </w:tc>
        <w:tc>
          <w:tcPr>
            <w:tcW w:w="166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新增变电容量(兆伏安)</w:t>
            </w:r>
          </w:p>
        </w:tc>
        <w:tc>
          <w:tcPr>
            <w:tcW w:w="176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投运年</w:t>
            </w:r>
          </w:p>
        </w:tc>
      </w:tr>
      <w:tr>
        <w:tblPrEx>
          <w:tblCellMar>
            <w:top w:w="0" w:type="dxa"/>
            <w:left w:w="108" w:type="dxa"/>
            <w:bottom w:w="0" w:type="dxa"/>
            <w:right w:w="108" w:type="dxa"/>
          </w:tblCellMar>
        </w:tblPrEx>
        <w:trPr>
          <w:trHeight w:val="327" w:hRule="atLeast"/>
        </w:trPr>
        <w:tc>
          <w:tcPr>
            <w:tcW w:w="1080" w:type="dxa"/>
            <w:vMerge w:val="continue"/>
            <w:tcBorders>
              <w:top w:val="single" w:color="auto" w:sz="4" w:space="0"/>
              <w:left w:val="single" w:color="auto" w:sz="4" w:space="0"/>
              <w:bottom w:val="single" w:color="auto" w:sz="4" w:space="0"/>
              <w:right w:val="single" w:color="auto" w:sz="4" w:space="0"/>
            </w:tcBorders>
            <w:vAlign w:val="center"/>
          </w:tcPr>
          <w:p>
            <w:pPr>
              <w:rPr>
                <w:rFonts w:hint="eastAsia" w:ascii="方正仿宋_GB2312" w:hAnsi="方正仿宋_GB2312" w:eastAsia="方正仿宋_GB2312" w:cs="方正仿宋_GB2312"/>
                <w:sz w:val="21"/>
                <w:szCs w:val="21"/>
              </w:rPr>
            </w:pPr>
          </w:p>
        </w:tc>
        <w:tc>
          <w:tcPr>
            <w:tcW w:w="3020" w:type="dxa"/>
            <w:vMerge w:val="continue"/>
            <w:tcBorders>
              <w:top w:val="single" w:color="auto" w:sz="4" w:space="0"/>
              <w:left w:val="single" w:color="auto" w:sz="4" w:space="0"/>
              <w:bottom w:val="single" w:color="auto" w:sz="4" w:space="0"/>
              <w:right w:val="single" w:color="auto" w:sz="4" w:space="0"/>
            </w:tcBorders>
            <w:vAlign w:val="center"/>
          </w:tcPr>
          <w:p>
            <w:pPr>
              <w:rPr>
                <w:rFonts w:hint="eastAsia" w:ascii="方正仿宋_GB2312" w:hAnsi="方正仿宋_GB2312" w:eastAsia="方正仿宋_GB2312" w:cs="方正仿宋_GB2312"/>
                <w:sz w:val="21"/>
                <w:szCs w:val="21"/>
              </w:rPr>
            </w:pPr>
          </w:p>
        </w:tc>
        <w:tc>
          <w:tcPr>
            <w:tcW w:w="1080" w:type="dxa"/>
            <w:vMerge w:val="continue"/>
            <w:tcBorders>
              <w:top w:val="single" w:color="auto" w:sz="4" w:space="0"/>
              <w:left w:val="single" w:color="auto" w:sz="4" w:space="0"/>
              <w:bottom w:val="single" w:color="auto" w:sz="4" w:space="0"/>
              <w:right w:val="single" w:color="auto" w:sz="4" w:space="0"/>
            </w:tcBorders>
            <w:vAlign w:val="center"/>
          </w:tcPr>
          <w:p>
            <w:pPr>
              <w:rPr>
                <w:rFonts w:hint="eastAsia" w:ascii="方正仿宋_GB2312" w:hAnsi="方正仿宋_GB2312" w:eastAsia="方正仿宋_GB2312" w:cs="方正仿宋_GB2312"/>
                <w:sz w:val="21"/>
                <w:szCs w:val="21"/>
              </w:rPr>
            </w:pPr>
          </w:p>
        </w:tc>
        <w:tc>
          <w:tcPr>
            <w:tcW w:w="1660" w:type="dxa"/>
            <w:vMerge w:val="continue"/>
            <w:tcBorders>
              <w:top w:val="single" w:color="auto" w:sz="4" w:space="0"/>
              <w:left w:val="single" w:color="auto" w:sz="4" w:space="0"/>
              <w:bottom w:val="single" w:color="auto" w:sz="4" w:space="0"/>
              <w:right w:val="single" w:color="auto" w:sz="4" w:space="0"/>
            </w:tcBorders>
            <w:vAlign w:val="center"/>
          </w:tcPr>
          <w:p>
            <w:pPr>
              <w:rPr>
                <w:rFonts w:hint="eastAsia" w:ascii="方正仿宋_GB2312" w:hAnsi="方正仿宋_GB2312" w:eastAsia="方正仿宋_GB2312" w:cs="方正仿宋_GB2312"/>
                <w:sz w:val="21"/>
                <w:szCs w:val="21"/>
              </w:rPr>
            </w:pPr>
          </w:p>
        </w:tc>
        <w:tc>
          <w:tcPr>
            <w:tcW w:w="1760" w:type="dxa"/>
            <w:vMerge w:val="continue"/>
            <w:tcBorders>
              <w:top w:val="single" w:color="auto" w:sz="4" w:space="0"/>
              <w:left w:val="single" w:color="auto" w:sz="4" w:space="0"/>
              <w:bottom w:val="single" w:color="auto" w:sz="4" w:space="0"/>
              <w:right w:val="single" w:color="auto" w:sz="4" w:space="0"/>
            </w:tcBorders>
            <w:vAlign w:val="center"/>
          </w:tcPr>
          <w:p>
            <w:pPr>
              <w:rPr>
                <w:rFonts w:hint="eastAsia" w:ascii="方正仿宋_GB2312" w:hAnsi="方正仿宋_GB2312" w:eastAsia="方正仿宋_GB2312" w:cs="方正仿宋_GB2312"/>
                <w:sz w:val="21"/>
                <w:szCs w:val="21"/>
              </w:rPr>
            </w:pPr>
          </w:p>
        </w:tc>
      </w:tr>
      <w:tr>
        <w:tblPrEx>
          <w:tblCellMar>
            <w:top w:w="0" w:type="dxa"/>
            <w:left w:w="108" w:type="dxa"/>
            <w:bottom w:w="0" w:type="dxa"/>
            <w:right w:w="108" w:type="dxa"/>
          </w:tblCellMar>
        </w:tblPrEx>
        <w:trPr>
          <w:trHeight w:val="327" w:hRule="atLeast"/>
        </w:trPr>
        <w:tc>
          <w:tcPr>
            <w:tcW w:w="1080" w:type="dxa"/>
            <w:vMerge w:val="continue"/>
            <w:tcBorders>
              <w:top w:val="single" w:color="auto" w:sz="4" w:space="0"/>
              <w:left w:val="single" w:color="auto" w:sz="4" w:space="0"/>
              <w:bottom w:val="single" w:color="auto" w:sz="4" w:space="0"/>
              <w:right w:val="single" w:color="auto" w:sz="4" w:space="0"/>
            </w:tcBorders>
            <w:vAlign w:val="center"/>
          </w:tcPr>
          <w:p>
            <w:pPr>
              <w:rPr>
                <w:rFonts w:hint="eastAsia" w:ascii="方正仿宋_GB2312" w:hAnsi="方正仿宋_GB2312" w:eastAsia="方正仿宋_GB2312" w:cs="方正仿宋_GB2312"/>
                <w:sz w:val="21"/>
                <w:szCs w:val="21"/>
              </w:rPr>
            </w:pPr>
          </w:p>
        </w:tc>
        <w:tc>
          <w:tcPr>
            <w:tcW w:w="3020" w:type="dxa"/>
            <w:vMerge w:val="continue"/>
            <w:tcBorders>
              <w:top w:val="single" w:color="auto" w:sz="4" w:space="0"/>
              <w:left w:val="single" w:color="auto" w:sz="4" w:space="0"/>
              <w:bottom w:val="single" w:color="auto" w:sz="4" w:space="0"/>
              <w:right w:val="single" w:color="auto" w:sz="4" w:space="0"/>
            </w:tcBorders>
            <w:vAlign w:val="center"/>
          </w:tcPr>
          <w:p>
            <w:pPr>
              <w:rPr>
                <w:rFonts w:hint="eastAsia" w:ascii="方正仿宋_GB2312" w:hAnsi="方正仿宋_GB2312" w:eastAsia="方正仿宋_GB2312" w:cs="方正仿宋_GB2312"/>
                <w:sz w:val="21"/>
                <w:szCs w:val="21"/>
              </w:rPr>
            </w:pPr>
          </w:p>
        </w:tc>
        <w:tc>
          <w:tcPr>
            <w:tcW w:w="1080" w:type="dxa"/>
            <w:vMerge w:val="continue"/>
            <w:tcBorders>
              <w:top w:val="single" w:color="auto" w:sz="4" w:space="0"/>
              <w:left w:val="single" w:color="auto" w:sz="4" w:space="0"/>
              <w:bottom w:val="single" w:color="auto" w:sz="4" w:space="0"/>
              <w:right w:val="single" w:color="auto" w:sz="4" w:space="0"/>
            </w:tcBorders>
            <w:vAlign w:val="center"/>
          </w:tcPr>
          <w:p>
            <w:pPr>
              <w:rPr>
                <w:rFonts w:hint="eastAsia" w:ascii="方正仿宋_GB2312" w:hAnsi="方正仿宋_GB2312" w:eastAsia="方正仿宋_GB2312" w:cs="方正仿宋_GB2312"/>
                <w:sz w:val="21"/>
                <w:szCs w:val="21"/>
              </w:rPr>
            </w:pPr>
          </w:p>
        </w:tc>
        <w:tc>
          <w:tcPr>
            <w:tcW w:w="1660" w:type="dxa"/>
            <w:vMerge w:val="continue"/>
            <w:tcBorders>
              <w:top w:val="single" w:color="auto" w:sz="4" w:space="0"/>
              <w:left w:val="single" w:color="auto" w:sz="4" w:space="0"/>
              <w:bottom w:val="single" w:color="auto" w:sz="4" w:space="0"/>
              <w:right w:val="single" w:color="auto" w:sz="4" w:space="0"/>
            </w:tcBorders>
            <w:vAlign w:val="center"/>
          </w:tcPr>
          <w:p>
            <w:pPr>
              <w:rPr>
                <w:rFonts w:hint="eastAsia" w:ascii="方正仿宋_GB2312" w:hAnsi="方正仿宋_GB2312" w:eastAsia="方正仿宋_GB2312" w:cs="方正仿宋_GB2312"/>
                <w:sz w:val="21"/>
                <w:szCs w:val="21"/>
              </w:rPr>
            </w:pPr>
          </w:p>
        </w:tc>
        <w:tc>
          <w:tcPr>
            <w:tcW w:w="1760" w:type="dxa"/>
            <w:vMerge w:val="continue"/>
            <w:tcBorders>
              <w:top w:val="single" w:color="auto" w:sz="4" w:space="0"/>
              <w:left w:val="single" w:color="auto" w:sz="4" w:space="0"/>
              <w:bottom w:val="single" w:color="auto" w:sz="4" w:space="0"/>
              <w:right w:val="single" w:color="auto" w:sz="4" w:space="0"/>
            </w:tcBorders>
            <w:vAlign w:val="center"/>
          </w:tcPr>
          <w:p>
            <w:pPr>
              <w:rPr>
                <w:rFonts w:hint="eastAsia" w:ascii="方正仿宋_GB2312" w:hAnsi="方正仿宋_GB2312" w:eastAsia="方正仿宋_GB2312" w:cs="方正仿宋_GB2312"/>
                <w:sz w:val="21"/>
                <w:szCs w:val="21"/>
              </w:rPr>
            </w:pPr>
          </w:p>
        </w:tc>
      </w:tr>
      <w:tr>
        <w:tblPrEx>
          <w:tblCellMar>
            <w:top w:w="0" w:type="dxa"/>
            <w:left w:w="108" w:type="dxa"/>
            <w:bottom w:w="0" w:type="dxa"/>
            <w:right w:w="108" w:type="dxa"/>
          </w:tblCellMar>
        </w:tblPrEx>
        <w:trPr>
          <w:trHeight w:val="285" w:hRule="atLeast"/>
        </w:trPr>
        <w:tc>
          <w:tcPr>
            <w:tcW w:w="1080"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w:t>
            </w:r>
          </w:p>
        </w:tc>
        <w:tc>
          <w:tcPr>
            <w:tcW w:w="3020" w:type="dxa"/>
            <w:tcBorders>
              <w:top w:val="nil"/>
              <w:left w:val="nil"/>
              <w:bottom w:val="single" w:color="auto" w:sz="4" w:space="0"/>
              <w:right w:val="single" w:color="auto" w:sz="4" w:space="0"/>
            </w:tcBorders>
            <w:shd w:val="clear" w:color="auto" w:fill="auto"/>
            <w:vAlign w:val="center"/>
          </w:tcPr>
          <w:p>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秦汉330千伏输变电工程</w:t>
            </w:r>
          </w:p>
        </w:tc>
        <w:tc>
          <w:tcPr>
            <w:tcW w:w="1080" w:type="dxa"/>
            <w:tcBorders>
              <w:top w:val="nil"/>
              <w:left w:val="nil"/>
              <w:bottom w:val="single" w:color="auto" w:sz="4" w:space="0"/>
              <w:right w:val="single" w:color="auto" w:sz="4" w:space="0"/>
            </w:tcBorders>
            <w:shd w:val="clear" w:color="000000" w:fill="FFFFFF"/>
            <w:vAlign w:val="center"/>
          </w:tcPr>
          <w:p>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129.1</w:t>
            </w:r>
          </w:p>
        </w:tc>
        <w:tc>
          <w:tcPr>
            <w:tcW w:w="1660" w:type="dxa"/>
            <w:tcBorders>
              <w:top w:val="nil"/>
              <w:left w:val="nil"/>
              <w:bottom w:val="single" w:color="auto" w:sz="4" w:space="0"/>
              <w:right w:val="single" w:color="auto" w:sz="4" w:space="0"/>
            </w:tcBorders>
            <w:shd w:val="clear" w:color="000000" w:fill="FFFFFF"/>
            <w:vAlign w:val="center"/>
          </w:tcPr>
          <w:p>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720</w:t>
            </w:r>
          </w:p>
        </w:tc>
        <w:tc>
          <w:tcPr>
            <w:tcW w:w="1760" w:type="dxa"/>
            <w:tcBorders>
              <w:top w:val="nil"/>
              <w:left w:val="nil"/>
              <w:bottom w:val="single" w:color="auto" w:sz="4" w:space="0"/>
              <w:right w:val="single" w:color="auto" w:sz="4" w:space="0"/>
            </w:tcBorders>
            <w:shd w:val="clear" w:color="000000" w:fill="FFFFFF"/>
            <w:vAlign w:val="center"/>
          </w:tcPr>
          <w:p>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2021</w:t>
            </w:r>
          </w:p>
        </w:tc>
      </w:tr>
      <w:tr>
        <w:tblPrEx>
          <w:tblCellMar>
            <w:top w:w="0" w:type="dxa"/>
            <w:left w:w="108" w:type="dxa"/>
            <w:bottom w:w="0" w:type="dxa"/>
            <w:right w:w="108" w:type="dxa"/>
          </w:tblCellMar>
        </w:tblPrEx>
        <w:trPr>
          <w:trHeight w:val="285" w:hRule="atLeast"/>
        </w:trPr>
        <w:tc>
          <w:tcPr>
            <w:tcW w:w="1080"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w:t>
            </w:r>
          </w:p>
        </w:tc>
        <w:tc>
          <w:tcPr>
            <w:tcW w:w="3020" w:type="dxa"/>
            <w:tcBorders>
              <w:top w:val="nil"/>
              <w:left w:val="nil"/>
              <w:bottom w:val="single" w:color="auto" w:sz="4" w:space="0"/>
              <w:right w:val="single" w:color="auto" w:sz="4" w:space="0"/>
            </w:tcBorders>
            <w:shd w:val="clear" w:color="auto" w:fill="auto"/>
            <w:vAlign w:val="center"/>
          </w:tcPr>
          <w:p>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沣渭330千伏输变电工程</w:t>
            </w:r>
          </w:p>
        </w:tc>
        <w:tc>
          <w:tcPr>
            <w:tcW w:w="1080" w:type="dxa"/>
            <w:tcBorders>
              <w:top w:val="nil"/>
              <w:left w:val="nil"/>
              <w:bottom w:val="single" w:color="auto" w:sz="4" w:space="0"/>
              <w:right w:val="single" w:color="auto" w:sz="4" w:space="0"/>
            </w:tcBorders>
            <w:shd w:val="clear" w:color="000000" w:fill="FFFFFF"/>
            <w:vAlign w:val="center"/>
          </w:tcPr>
          <w:p>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57.1</w:t>
            </w:r>
          </w:p>
        </w:tc>
        <w:tc>
          <w:tcPr>
            <w:tcW w:w="1660" w:type="dxa"/>
            <w:tcBorders>
              <w:top w:val="nil"/>
              <w:left w:val="nil"/>
              <w:bottom w:val="single" w:color="auto" w:sz="4" w:space="0"/>
              <w:right w:val="single" w:color="auto" w:sz="4" w:space="0"/>
            </w:tcBorders>
            <w:shd w:val="clear" w:color="000000" w:fill="FFFFFF"/>
            <w:vAlign w:val="center"/>
          </w:tcPr>
          <w:p>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720</w:t>
            </w:r>
          </w:p>
        </w:tc>
        <w:tc>
          <w:tcPr>
            <w:tcW w:w="1760" w:type="dxa"/>
            <w:tcBorders>
              <w:top w:val="nil"/>
              <w:left w:val="nil"/>
              <w:bottom w:val="single" w:color="auto" w:sz="4" w:space="0"/>
              <w:right w:val="single" w:color="auto" w:sz="4" w:space="0"/>
            </w:tcBorders>
            <w:shd w:val="clear" w:color="000000" w:fill="FFFFFF"/>
            <w:vAlign w:val="center"/>
          </w:tcPr>
          <w:p>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2023</w:t>
            </w:r>
          </w:p>
        </w:tc>
      </w:tr>
      <w:tr>
        <w:tblPrEx>
          <w:tblCellMar>
            <w:top w:w="0" w:type="dxa"/>
            <w:left w:w="108" w:type="dxa"/>
            <w:bottom w:w="0" w:type="dxa"/>
            <w:right w:w="108" w:type="dxa"/>
          </w:tblCellMar>
        </w:tblPrEx>
        <w:trPr>
          <w:trHeight w:val="285" w:hRule="atLeast"/>
        </w:trPr>
        <w:tc>
          <w:tcPr>
            <w:tcW w:w="1080"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w:t>
            </w:r>
          </w:p>
        </w:tc>
        <w:tc>
          <w:tcPr>
            <w:tcW w:w="3020" w:type="dxa"/>
            <w:tcBorders>
              <w:top w:val="nil"/>
              <w:left w:val="nil"/>
              <w:bottom w:val="single" w:color="auto" w:sz="4" w:space="0"/>
              <w:right w:val="single" w:color="auto" w:sz="4" w:space="0"/>
            </w:tcBorders>
            <w:shd w:val="clear" w:color="auto" w:fill="auto"/>
            <w:vAlign w:val="center"/>
          </w:tcPr>
          <w:p>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泾河330千伏输变电工程</w:t>
            </w:r>
          </w:p>
        </w:tc>
        <w:tc>
          <w:tcPr>
            <w:tcW w:w="1080" w:type="dxa"/>
            <w:tcBorders>
              <w:top w:val="nil"/>
              <w:left w:val="nil"/>
              <w:bottom w:val="single" w:color="auto" w:sz="4" w:space="0"/>
              <w:right w:val="single" w:color="auto" w:sz="4" w:space="0"/>
            </w:tcBorders>
            <w:shd w:val="clear" w:color="000000" w:fill="FFFFFF"/>
            <w:vAlign w:val="center"/>
          </w:tcPr>
          <w:p>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6.6</w:t>
            </w:r>
          </w:p>
        </w:tc>
        <w:tc>
          <w:tcPr>
            <w:tcW w:w="1660" w:type="dxa"/>
            <w:tcBorders>
              <w:top w:val="nil"/>
              <w:left w:val="nil"/>
              <w:bottom w:val="single" w:color="auto" w:sz="4" w:space="0"/>
              <w:right w:val="single" w:color="auto" w:sz="4" w:space="0"/>
            </w:tcBorders>
            <w:shd w:val="clear" w:color="000000" w:fill="FFFFFF"/>
            <w:vAlign w:val="center"/>
          </w:tcPr>
          <w:p>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720</w:t>
            </w:r>
          </w:p>
        </w:tc>
        <w:tc>
          <w:tcPr>
            <w:tcW w:w="1760" w:type="dxa"/>
            <w:tcBorders>
              <w:top w:val="nil"/>
              <w:left w:val="nil"/>
              <w:bottom w:val="single" w:color="auto" w:sz="4" w:space="0"/>
              <w:right w:val="single" w:color="auto" w:sz="4" w:space="0"/>
            </w:tcBorders>
            <w:shd w:val="clear" w:color="000000" w:fill="FFFFFF"/>
            <w:vAlign w:val="center"/>
          </w:tcPr>
          <w:p>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2024</w:t>
            </w:r>
          </w:p>
        </w:tc>
      </w:tr>
      <w:tr>
        <w:tblPrEx>
          <w:tblCellMar>
            <w:top w:w="0" w:type="dxa"/>
            <w:left w:w="108" w:type="dxa"/>
            <w:bottom w:w="0" w:type="dxa"/>
            <w:right w:w="108" w:type="dxa"/>
          </w:tblCellMar>
        </w:tblPrEx>
        <w:trPr>
          <w:trHeight w:val="285" w:hRule="atLeast"/>
        </w:trPr>
        <w:tc>
          <w:tcPr>
            <w:tcW w:w="1080"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w:t>
            </w:r>
          </w:p>
        </w:tc>
        <w:tc>
          <w:tcPr>
            <w:tcW w:w="3020" w:type="dxa"/>
            <w:tcBorders>
              <w:top w:val="nil"/>
              <w:left w:val="nil"/>
              <w:bottom w:val="single" w:color="auto" w:sz="4" w:space="0"/>
              <w:right w:val="single" w:color="auto" w:sz="4" w:space="0"/>
            </w:tcBorders>
            <w:shd w:val="clear" w:color="auto" w:fill="auto"/>
            <w:vAlign w:val="center"/>
          </w:tcPr>
          <w:p>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沣西#2 330千伏输变电工程</w:t>
            </w:r>
          </w:p>
        </w:tc>
        <w:tc>
          <w:tcPr>
            <w:tcW w:w="1080" w:type="dxa"/>
            <w:tcBorders>
              <w:top w:val="nil"/>
              <w:left w:val="nil"/>
              <w:bottom w:val="single" w:color="auto" w:sz="4" w:space="0"/>
              <w:right w:val="single" w:color="auto" w:sz="4" w:space="0"/>
            </w:tcBorders>
            <w:shd w:val="clear" w:color="000000" w:fill="FFFFFF"/>
            <w:vAlign w:val="center"/>
          </w:tcPr>
          <w:p>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55.6</w:t>
            </w:r>
          </w:p>
        </w:tc>
        <w:tc>
          <w:tcPr>
            <w:tcW w:w="1660" w:type="dxa"/>
            <w:tcBorders>
              <w:top w:val="nil"/>
              <w:left w:val="nil"/>
              <w:bottom w:val="single" w:color="auto" w:sz="4" w:space="0"/>
              <w:right w:val="single" w:color="auto" w:sz="4" w:space="0"/>
            </w:tcBorders>
            <w:shd w:val="clear" w:color="000000" w:fill="FFFFFF"/>
            <w:vAlign w:val="center"/>
          </w:tcPr>
          <w:p>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720</w:t>
            </w:r>
          </w:p>
        </w:tc>
        <w:tc>
          <w:tcPr>
            <w:tcW w:w="1760" w:type="dxa"/>
            <w:tcBorders>
              <w:top w:val="nil"/>
              <w:left w:val="nil"/>
              <w:bottom w:val="single" w:color="auto" w:sz="4" w:space="0"/>
              <w:right w:val="single" w:color="auto" w:sz="4" w:space="0"/>
            </w:tcBorders>
            <w:shd w:val="clear" w:color="000000" w:fill="FFFFFF"/>
            <w:vAlign w:val="center"/>
          </w:tcPr>
          <w:p>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2025</w:t>
            </w:r>
          </w:p>
        </w:tc>
      </w:tr>
      <w:tr>
        <w:tblPrEx>
          <w:tblCellMar>
            <w:top w:w="0" w:type="dxa"/>
            <w:left w:w="108" w:type="dxa"/>
            <w:bottom w:w="0" w:type="dxa"/>
            <w:right w:w="108" w:type="dxa"/>
          </w:tblCellMar>
        </w:tblPrEx>
        <w:trPr>
          <w:trHeight w:val="285" w:hRule="atLeast"/>
        </w:trPr>
        <w:tc>
          <w:tcPr>
            <w:tcW w:w="1080" w:type="dxa"/>
            <w:tcBorders>
              <w:top w:val="nil"/>
              <w:left w:val="single" w:color="auto" w:sz="4" w:space="0"/>
              <w:bottom w:val="single" w:color="auto" w:sz="4" w:space="0"/>
              <w:right w:val="single" w:color="auto" w:sz="4" w:space="0"/>
            </w:tcBorders>
            <w:shd w:val="clear" w:color="auto" w:fill="auto"/>
            <w:vAlign w:val="center"/>
          </w:tcPr>
          <w:p>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5</w:t>
            </w:r>
          </w:p>
        </w:tc>
        <w:tc>
          <w:tcPr>
            <w:tcW w:w="3020" w:type="dxa"/>
            <w:tcBorders>
              <w:top w:val="nil"/>
              <w:left w:val="nil"/>
              <w:bottom w:val="single" w:color="auto" w:sz="4" w:space="0"/>
              <w:right w:val="single" w:color="auto" w:sz="4" w:space="0"/>
            </w:tcBorders>
            <w:shd w:val="clear" w:color="auto" w:fill="auto"/>
            <w:vAlign w:val="center"/>
          </w:tcPr>
          <w:p>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空港330千伏输变电工程</w:t>
            </w:r>
          </w:p>
        </w:tc>
        <w:tc>
          <w:tcPr>
            <w:tcW w:w="1080" w:type="dxa"/>
            <w:tcBorders>
              <w:top w:val="nil"/>
              <w:left w:val="nil"/>
              <w:bottom w:val="single" w:color="auto" w:sz="4" w:space="0"/>
              <w:right w:val="single" w:color="auto" w:sz="4" w:space="0"/>
            </w:tcBorders>
            <w:shd w:val="clear" w:color="000000" w:fill="FFFFFF"/>
            <w:vAlign w:val="center"/>
          </w:tcPr>
          <w:p>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20</w:t>
            </w:r>
          </w:p>
        </w:tc>
        <w:tc>
          <w:tcPr>
            <w:tcW w:w="1660" w:type="dxa"/>
            <w:tcBorders>
              <w:top w:val="nil"/>
              <w:left w:val="nil"/>
              <w:bottom w:val="single" w:color="auto" w:sz="4" w:space="0"/>
              <w:right w:val="single" w:color="auto" w:sz="4" w:space="0"/>
            </w:tcBorders>
            <w:shd w:val="clear" w:color="000000" w:fill="FFFFFF"/>
            <w:vAlign w:val="center"/>
          </w:tcPr>
          <w:p>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720</w:t>
            </w:r>
          </w:p>
        </w:tc>
        <w:tc>
          <w:tcPr>
            <w:tcW w:w="1760" w:type="dxa"/>
            <w:tcBorders>
              <w:top w:val="nil"/>
              <w:left w:val="nil"/>
              <w:bottom w:val="single" w:color="auto" w:sz="4" w:space="0"/>
              <w:right w:val="single" w:color="auto" w:sz="4" w:space="0"/>
            </w:tcBorders>
            <w:shd w:val="clear" w:color="000000" w:fill="FFFFFF"/>
            <w:vAlign w:val="center"/>
          </w:tcPr>
          <w:p>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2025</w:t>
            </w:r>
          </w:p>
        </w:tc>
      </w:tr>
      <w:tr>
        <w:tblPrEx>
          <w:tblCellMar>
            <w:top w:w="0" w:type="dxa"/>
            <w:left w:w="108" w:type="dxa"/>
            <w:bottom w:w="0" w:type="dxa"/>
            <w:right w:w="108" w:type="dxa"/>
          </w:tblCellMar>
        </w:tblPrEx>
        <w:trPr>
          <w:trHeight w:val="285" w:hRule="atLeast"/>
        </w:trPr>
        <w:tc>
          <w:tcPr>
            <w:tcW w:w="410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2021-2025年合计</w:t>
            </w:r>
          </w:p>
        </w:tc>
        <w:tc>
          <w:tcPr>
            <w:tcW w:w="1080" w:type="dxa"/>
            <w:tcBorders>
              <w:top w:val="nil"/>
              <w:left w:val="nil"/>
              <w:bottom w:val="single" w:color="auto" w:sz="4" w:space="0"/>
              <w:right w:val="single" w:color="auto" w:sz="4" w:space="0"/>
            </w:tcBorders>
            <w:shd w:val="clear" w:color="auto" w:fill="auto"/>
            <w:vAlign w:val="center"/>
          </w:tcPr>
          <w:p>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268.4</w:t>
            </w:r>
          </w:p>
        </w:tc>
        <w:tc>
          <w:tcPr>
            <w:tcW w:w="1660" w:type="dxa"/>
            <w:tcBorders>
              <w:top w:val="nil"/>
              <w:left w:val="nil"/>
              <w:bottom w:val="single" w:color="auto" w:sz="4" w:space="0"/>
              <w:right w:val="single" w:color="auto" w:sz="4" w:space="0"/>
            </w:tcBorders>
            <w:shd w:val="clear" w:color="000000" w:fill="FFFFFF"/>
            <w:vAlign w:val="center"/>
          </w:tcPr>
          <w:p>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3600</w:t>
            </w:r>
          </w:p>
        </w:tc>
        <w:tc>
          <w:tcPr>
            <w:tcW w:w="1760" w:type="dxa"/>
            <w:tcBorders>
              <w:top w:val="nil"/>
              <w:left w:val="nil"/>
              <w:bottom w:val="single" w:color="auto" w:sz="4" w:space="0"/>
              <w:right w:val="single" w:color="auto" w:sz="4" w:space="0"/>
            </w:tcBorders>
            <w:shd w:val="clear" w:color="auto" w:fill="auto"/>
            <w:vAlign w:val="center"/>
          </w:tcPr>
          <w:p>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　</w:t>
            </w:r>
          </w:p>
        </w:tc>
      </w:tr>
    </w:tbl>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2026～2035年规划新建330千伏变电站1座，新增容量720兆伏安，新建线路长度6公里。</w:t>
      </w:r>
    </w:p>
    <w:p>
      <w:pPr>
        <w:pStyle w:val="8"/>
        <w:keepNext/>
        <w:keepLines/>
        <w:pageBreakBefore w:val="0"/>
        <w:widowControl w:val="0"/>
        <w:numPr>
          <w:ilvl w:val="0"/>
          <w:numId w:val="0"/>
        </w:numPr>
        <w:kinsoku/>
        <w:wordWrap/>
        <w:overflowPunct/>
        <w:topLinePunct w:val="0"/>
        <w:autoSpaceDE/>
        <w:autoSpaceDN/>
        <w:bidi w:val="0"/>
        <w:adjustRightInd/>
        <w:snapToGrid/>
        <w:spacing w:line="640" w:lineRule="exact"/>
        <w:jc w:val="center"/>
        <w:textAlignment w:val="auto"/>
        <w:rPr>
          <w:rFonts w:hint="eastAsia" w:ascii="黑体" w:hAnsi="黑体" w:eastAsia="黑体" w:cs="黑体"/>
          <w:b w:val="0"/>
          <w:bCs w:val="0"/>
          <w:kern w:val="0"/>
          <w:sz w:val="28"/>
          <w:szCs w:val="28"/>
          <w:lang w:val="en-US" w:eastAsia="zh-CN" w:bidi="ar-SA"/>
        </w:rPr>
      </w:pPr>
      <w:r>
        <w:rPr>
          <w:rFonts w:hint="eastAsia" w:ascii="黑体" w:hAnsi="黑体" w:eastAsia="黑体" w:cs="黑体"/>
          <w:b w:val="0"/>
          <w:bCs w:val="0"/>
          <w:kern w:val="0"/>
          <w:sz w:val="28"/>
          <w:szCs w:val="28"/>
          <w:lang w:val="en-US" w:eastAsia="zh-CN" w:bidi="ar-SA"/>
        </w:rPr>
        <w:t>表7-3   2026~2035西咸新区330千伏变电站规划规模</w:t>
      </w:r>
    </w:p>
    <w:tbl>
      <w:tblPr>
        <w:tblStyle w:val="88"/>
        <w:tblW w:w="8535"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0" w:type="dxa"/>
          <w:bottom w:w="0" w:type="dxa"/>
          <w:right w:w="0" w:type="dxa"/>
        </w:tblCellMar>
      </w:tblPr>
      <w:tblGrid>
        <w:gridCol w:w="3508"/>
        <w:gridCol w:w="2354"/>
        <w:gridCol w:w="2673"/>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3" w:hRule="atLeast"/>
          <w:tblHeader/>
          <w:jc w:val="center"/>
        </w:trPr>
        <w:tc>
          <w:tcPr>
            <w:tcW w:w="3508" w:type="dxa"/>
            <w:vMerge w:val="restart"/>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项目名称</w:t>
            </w:r>
          </w:p>
        </w:tc>
        <w:tc>
          <w:tcPr>
            <w:tcW w:w="5027" w:type="dxa"/>
            <w:gridSpan w:val="2"/>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2026~2035</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3" w:hRule="atLeast"/>
          <w:tblHeader/>
          <w:jc w:val="center"/>
        </w:trPr>
        <w:tc>
          <w:tcPr>
            <w:tcW w:w="3508" w:type="dxa"/>
            <w:vMerge w:val="continue"/>
            <w:shd w:val="clear" w:color="auto" w:fill="FFFFFF"/>
            <w:vAlign w:val="center"/>
          </w:tcPr>
          <w:p>
            <w:pPr>
              <w:pStyle w:val="152"/>
              <w:rPr>
                <w:rFonts w:hint="eastAsia" w:ascii="方正仿宋_GB2312" w:hAnsi="方正仿宋_GB2312" w:eastAsia="方正仿宋_GB2312" w:cs="方正仿宋_GB2312"/>
                <w:sz w:val="21"/>
                <w:szCs w:val="21"/>
              </w:rPr>
            </w:pPr>
          </w:p>
        </w:tc>
        <w:tc>
          <w:tcPr>
            <w:tcW w:w="2354"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新增容量（兆伏安）</w:t>
            </w:r>
          </w:p>
        </w:tc>
        <w:tc>
          <w:tcPr>
            <w:tcW w:w="2673"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新增线路长度（公里）</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3" w:hRule="atLeast"/>
          <w:jc w:val="center"/>
        </w:trPr>
        <w:tc>
          <w:tcPr>
            <w:tcW w:w="3508"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沣东330千伏输变电工程</w:t>
            </w:r>
          </w:p>
        </w:tc>
        <w:tc>
          <w:tcPr>
            <w:tcW w:w="2354"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720</w:t>
            </w:r>
          </w:p>
        </w:tc>
        <w:tc>
          <w:tcPr>
            <w:tcW w:w="2673"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6</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3" w:hRule="atLeast"/>
          <w:jc w:val="center"/>
        </w:trPr>
        <w:tc>
          <w:tcPr>
            <w:tcW w:w="3508"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合计</w:t>
            </w:r>
          </w:p>
        </w:tc>
        <w:tc>
          <w:tcPr>
            <w:tcW w:w="2354"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720</w:t>
            </w:r>
          </w:p>
        </w:tc>
        <w:tc>
          <w:tcPr>
            <w:tcW w:w="2673"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6</w:t>
            </w:r>
          </w:p>
        </w:tc>
      </w:tr>
    </w:tbl>
    <w:p>
      <w:pPr>
        <w:pStyle w:val="4"/>
        <w:keepNext/>
        <w:keepLines/>
        <w:pageBreakBefore/>
        <w:widowControl w:val="0"/>
        <w:kinsoku/>
        <w:wordWrap/>
        <w:overflowPunct/>
        <w:topLinePunct w:val="0"/>
        <w:autoSpaceDE/>
        <w:autoSpaceDN/>
        <w:bidi w:val="0"/>
        <w:adjustRightInd/>
        <w:snapToGrid/>
        <w:spacing w:before="157" w:beforeLines="50" w:after="157" w:afterLines="50" w:line="560" w:lineRule="exact"/>
        <w:textAlignment w:val="auto"/>
        <w:rPr>
          <w:rFonts w:eastAsia="仿宋"/>
          <w:sz w:val="44"/>
          <w:szCs w:val="44"/>
        </w:rPr>
      </w:pPr>
      <w:bookmarkStart w:id="811" w:name="_Toc74041222"/>
      <w:bookmarkStart w:id="812" w:name="_Toc10329"/>
      <w:r>
        <w:rPr>
          <w:rFonts w:eastAsia="仿宋"/>
          <w:sz w:val="44"/>
          <w:szCs w:val="44"/>
        </w:rPr>
        <w:t>110千伏电网规划</w:t>
      </w:r>
      <w:bookmarkEnd w:id="794"/>
      <w:bookmarkEnd w:id="795"/>
      <w:bookmarkEnd w:id="796"/>
      <w:bookmarkEnd w:id="811"/>
      <w:bookmarkEnd w:id="812"/>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lang w:val="en-US" w:eastAsia="zh-CN"/>
        </w:rPr>
      </w:pPr>
      <w:bookmarkStart w:id="813" w:name="_Toc23294"/>
      <w:bookmarkStart w:id="814" w:name="_Toc74041223"/>
      <w:bookmarkStart w:id="815" w:name="_Toc352610597"/>
      <w:bookmarkStart w:id="816" w:name="_Toc307054093"/>
      <w:bookmarkStart w:id="817" w:name="_Toc306956278"/>
      <w:r>
        <w:rPr>
          <w:rFonts w:hint="eastAsia" w:ascii="黑体" w:hAnsi="黑体" w:eastAsia="黑体" w:cs="黑体"/>
          <w:b w:val="0"/>
          <w:bCs w:val="0"/>
          <w:sz w:val="32"/>
          <w:szCs w:val="32"/>
          <w:lang w:val="en-US" w:eastAsia="zh-CN"/>
        </w:rPr>
        <w:t>边界条件</w:t>
      </w:r>
      <w:bookmarkEnd w:id="813"/>
      <w:bookmarkEnd w:id="814"/>
      <w:bookmarkEnd w:id="815"/>
      <w:bookmarkEnd w:id="816"/>
      <w:bookmarkEnd w:id="817"/>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截至2020年底，为西咸新区供电的330千伏变电站共6座。其中，位于西咸新区内的330千伏变电站3座，主变8台，总容量2520兆伏安。</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“十四五”期间，西咸新区规划新建330千伏变电站5座，本次110千伏布点规划将紧密围绕330千伏变电站，合理组织网架结构。</w:t>
      </w:r>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lang w:val="en-US" w:eastAsia="zh-CN"/>
        </w:rPr>
      </w:pPr>
      <w:bookmarkStart w:id="818" w:name="_Toc74041224"/>
      <w:bookmarkStart w:id="819" w:name="_Toc3"/>
      <w:r>
        <w:rPr>
          <w:rFonts w:hint="eastAsia" w:ascii="黑体" w:hAnsi="黑体" w:eastAsia="黑体" w:cs="黑体"/>
          <w:b w:val="0"/>
          <w:bCs w:val="0"/>
          <w:sz w:val="32"/>
          <w:szCs w:val="32"/>
          <w:lang w:val="en-US" w:eastAsia="zh-CN"/>
        </w:rPr>
        <w:t>“十四五”电源规划</w:t>
      </w:r>
      <w:bookmarkEnd w:id="818"/>
      <w:bookmarkEnd w:id="819"/>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截至2020年底，西咸新区电网共有330千伏发电站总计2座，分别为渭河二厂（2×320兆瓦+2×300兆瓦）和渭河热电厂（2×300兆瓦），总装机容量1840兆瓦。共有110千伏及以下发电站总计7座，有机组11台、光伏单元1个，总容量312.06兆瓦。其中：小火电厂1座，机组4台，容量175兆瓦；光伏发电站1座，容量4.5兆瓦；其它发电类型5座，机组7台，容量132.56兆瓦。</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 xml:space="preserve"> “十四五”期间，西咸新区电网无大型电源建设计划，仅有2座分布式电源的规划，分别为沣东新城1.56兆瓦和沣西新城1.5兆瓦的分布式电源，均以10千伏电压等级接入电网。</w:t>
      </w:r>
    </w:p>
    <w:bookmarkEnd w:id="641"/>
    <w:bookmarkEnd w:id="797"/>
    <w:bookmarkEnd w:id="798"/>
    <w:bookmarkEnd w:id="799"/>
    <w:bookmarkEnd w:id="800"/>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lang w:val="en-US" w:eastAsia="zh-CN"/>
        </w:rPr>
      </w:pPr>
      <w:bookmarkStart w:id="820" w:name="_Toc74041225"/>
      <w:bookmarkStart w:id="821" w:name="_Toc19464"/>
      <w:bookmarkStart w:id="822" w:name="_Toc307383604"/>
      <w:bookmarkStart w:id="823" w:name="_Toc352610601"/>
      <w:bookmarkStart w:id="824" w:name="_Toc255287448"/>
      <w:bookmarkStart w:id="825" w:name="_Toc253744217"/>
      <w:bookmarkStart w:id="826" w:name="_Toc306766331"/>
      <w:bookmarkStart w:id="827" w:name="_Toc306780123"/>
      <w:bookmarkStart w:id="828" w:name="_Toc253594808"/>
      <w:bookmarkStart w:id="829" w:name="_Toc253585238"/>
      <w:r>
        <w:rPr>
          <w:rFonts w:hint="eastAsia" w:ascii="黑体" w:hAnsi="黑体" w:eastAsia="黑体" w:cs="黑体"/>
          <w:b w:val="0"/>
          <w:bCs w:val="0"/>
          <w:sz w:val="32"/>
          <w:szCs w:val="32"/>
          <w:lang w:val="en-US" w:eastAsia="zh-CN"/>
        </w:rPr>
        <w:t>“十四五”电网规划</w:t>
      </w:r>
      <w:bookmarkEnd w:id="820"/>
      <w:bookmarkEnd w:id="821"/>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830" w:name="_Toc59973962"/>
      <w:bookmarkStart w:id="831" w:name="_Toc306956280"/>
      <w:bookmarkStart w:id="832" w:name="_Toc74041226"/>
      <w:bookmarkStart w:id="833" w:name="_Toc307054095"/>
      <w:r>
        <w:rPr>
          <w:rFonts w:eastAsia="仿宋"/>
          <w:sz w:val="32"/>
          <w:szCs w:val="32"/>
        </w:rPr>
        <w:t>变电容量需求分析</w:t>
      </w:r>
      <w:bookmarkEnd w:id="830"/>
      <w:bookmarkEnd w:id="831"/>
      <w:bookmarkEnd w:id="832"/>
      <w:bookmarkEnd w:id="833"/>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bookmarkStart w:id="834" w:name="_Toc307054096"/>
      <w:bookmarkStart w:id="835" w:name="_Toc306956281"/>
      <w:r>
        <w:rPr>
          <w:rFonts w:hint="eastAsia" w:ascii="仿宋" w:hAnsi="仿宋" w:eastAsia="仿宋" w:cs="仿宋"/>
          <w:kern w:val="2"/>
          <w:sz w:val="32"/>
          <w:szCs w:val="32"/>
          <w:lang w:val="en-US" w:eastAsia="zh-CN" w:bidi="ar-SA"/>
        </w:rPr>
        <w:t xml:space="preserve"> </w:t>
      </w:r>
      <w:r>
        <w:rPr>
          <w:rFonts w:hint="eastAsia" w:ascii="仿宋_GB2312" w:hAnsi="仿宋_GB2312" w:eastAsia="仿宋_GB2312" w:cs="仿宋_GB2312"/>
          <w:kern w:val="2"/>
          <w:sz w:val="32"/>
          <w:szCs w:val="32"/>
          <w:lang w:val="en-US" w:eastAsia="zh-CN" w:bidi="ar-SA"/>
        </w:rPr>
        <w:t>“十四五”期间，西咸新区负荷年均增长率为22.3%，属于负荷发展快速地区，因此容载比最高取值取2.4，计算得需新增变电容量2718兆伏安。</w:t>
      </w:r>
    </w:p>
    <w:p>
      <w:pPr>
        <w:pStyle w:val="8"/>
        <w:keepNext/>
        <w:keepLines/>
        <w:pageBreakBefore w:val="0"/>
        <w:widowControl w:val="0"/>
        <w:numPr>
          <w:ilvl w:val="0"/>
          <w:numId w:val="0"/>
        </w:numPr>
        <w:kinsoku/>
        <w:wordWrap/>
        <w:overflowPunct/>
        <w:topLinePunct w:val="0"/>
        <w:autoSpaceDE/>
        <w:autoSpaceDN/>
        <w:bidi w:val="0"/>
        <w:adjustRightInd/>
        <w:snapToGrid/>
        <w:spacing w:line="560" w:lineRule="exact"/>
        <w:jc w:val="center"/>
        <w:textAlignment w:val="auto"/>
        <w:rPr>
          <w:rFonts w:hint="eastAsia" w:ascii="黑体" w:hAnsi="黑体" w:eastAsia="黑体" w:cs="黑体"/>
          <w:b w:val="0"/>
          <w:bCs w:val="0"/>
          <w:kern w:val="0"/>
          <w:sz w:val="28"/>
          <w:szCs w:val="28"/>
          <w:lang w:val="en-US" w:eastAsia="zh-CN" w:bidi="ar-SA"/>
        </w:rPr>
      </w:pPr>
      <w:r>
        <w:rPr>
          <w:rFonts w:hint="eastAsia" w:ascii="黑体" w:hAnsi="黑体" w:eastAsia="黑体" w:cs="黑体"/>
          <w:b w:val="0"/>
          <w:bCs w:val="0"/>
          <w:kern w:val="0"/>
          <w:sz w:val="28"/>
          <w:szCs w:val="28"/>
          <w:lang w:val="en-US" w:eastAsia="zh-CN" w:bidi="ar-SA"/>
        </w:rPr>
        <w:t>表8-1  110千伏变电站容量需求</w:t>
      </w:r>
    </w:p>
    <w:tbl>
      <w:tblPr>
        <w:tblStyle w:val="88"/>
        <w:tblW w:w="8721" w:type="dxa"/>
        <w:tblInd w:w="0" w:type="dxa"/>
        <w:tblLayout w:type="fixed"/>
        <w:tblCellMar>
          <w:top w:w="0" w:type="dxa"/>
          <w:left w:w="108" w:type="dxa"/>
          <w:bottom w:w="0" w:type="dxa"/>
          <w:right w:w="108" w:type="dxa"/>
        </w:tblCellMar>
      </w:tblPr>
      <w:tblGrid>
        <w:gridCol w:w="2190"/>
        <w:gridCol w:w="1078"/>
        <w:gridCol w:w="1078"/>
        <w:gridCol w:w="1096"/>
        <w:gridCol w:w="1096"/>
        <w:gridCol w:w="1096"/>
        <w:gridCol w:w="1087"/>
      </w:tblGrid>
      <w:tr>
        <w:tblPrEx>
          <w:tblCellMar>
            <w:top w:w="0" w:type="dxa"/>
            <w:left w:w="108" w:type="dxa"/>
            <w:bottom w:w="0" w:type="dxa"/>
            <w:right w:w="108" w:type="dxa"/>
          </w:tblCellMar>
        </w:tblPrEx>
        <w:trPr>
          <w:trHeight w:val="300" w:hRule="atLeast"/>
        </w:trPr>
        <w:tc>
          <w:tcPr>
            <w:tcW w:w="2190"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b/>
                <w:bCs/>
                <w:color w:val="000000"/>
                <w:kern w:val="0"/>
                <w:sz w:val="18"/>
                <w:szCs w:val="18"/>
              </w:rPr>
            </w:pPr>
            <w:r>
              <w:rPr>
                <w:rFonts w:hint="eastAsia" w:ascii="方正仿宋_GB2312" w:hAnsi="方正仿宋_GB2312" w:eastAsia="方正仿宋_GB2312" w:cs="方正仿宋_GB2312"/>
                <w:b/>
                <w:bCs/>
                <w:color w:val="000000"/>
                <w:kern w:val="0"/>
                <w:sz w:val="18"/>
                <w:szCs w:val="18"/>
              </w:rPr>
              <w:t>年份</w:t>
            </w:r>
          </w:p>
        </w:tc>
        <w:tc>
          <w:tcPr>
            <w:tcW w:w="1078" w:type="dxa"/>
            <w:tcBorders>
              <w:top w:val="single" w:color="000000" w:sz="8" w:space="0"/>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b/>
                <w:bCs/>
                <w:color w:val="000000"/>
                <w:kern w:val="0"/>
                <w:sz w:val="18"/>
                <w:szCs w:val="18"/>
              </w:rPr>
            </w:pPr>
            <w:r>
              <w:rPr>
                <w:rFonts w:hint="eastAsia" w:ascii="方正仿宋_GB2312" w:hAnsi="方正仿宋_GB2312" w:eastAsia="方正仿宋_GB2312" w:cs="方正仿宋_GB2312"/>
                <w:b/>
                <w:bCs/>
                <w:color w:val="000000"/>
                <w:kern w:val="0"/>
                <w:sz w:val="18"/>
                <w:szCs w:val="18"/>
              </w:rPr>
              <w:t>2020年</w:t>
            </w:r>
          </w:p>
        </w:tc>
        <w:tc>
          <w:tcPr>
            <w:tcW w:w="1078" w:type="dxa"/>
            <w:tcBorders>
              <w:top w:val="single" w:color="000000" w:sz="8" w:space="0"/>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b/>
                <w:bCs/>
                <w:color w:val="000000"/>
                <w:kern w:val="0"/>
                <w:sz w:val="18"/>
                <w:szCs w:val="18"/>
              </w:rPr>
            </w:pPr>
            <w:r>
              <w:rPr>
                <w:rFonts w:hint="eastAsia" w:ascii="方正仿宋_GB2312" w:hAnsi="方正仿宋_GB2312" w:eastAsia="方正仿宋_GB2312" w:cs="方正仿宋_GB2312"/>
                <w:b/>
                <w:bCs/>
                <w:color w:val="000000"/>
                <w:kern w:val="0"/>
                <w:sz w:val="18"/>
                <w:szCs w:val="18"/>
              </w:rPr>
              <w:t>2021年</w:t>
            </w:r>
          </w:p>
        </w:tc>
        <w:tc>
          <w:tcPr>
            <w:tcW w:w="1096" w:type="dxa"/>
            <w:tcBorders>
              <w:top w:val="single" w:color="000000" w:sz="8" w:space="0"/>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b/>
                <w:bCs/>
                <w:color w:val="000000"/>
                <w:kern w:val="0"/>
                <w:sz w:val="18"/>
                <w:szCs w:val="18"/>
              </w:rPr>
            </w:pPr>
            <w:r>
              <w:rPr>
                <w:rFonts w:hint="eastAsia" w:ascii="方正仿宋_GB2312" w:hAnsi="方正仿宋_GB2312" w:eastAsia="方正仿宋_GB2312" w:cs="方正仿宋_GB2312"/>
                <w:b/>
                <w:bCs/>
                <w:color w:val="000000"/>
                <w:kern w:val="0"/>
                <w:sz w:val="18"/>
                <w:szCs w:val="18"/>
              </w:rPr>
              <w:t>2022年</w:t>
            </w:r>
          </w:p>
        </w:tc>
        <w:tc>
          <w:tcPr>
            <w:tcW w:w="1096" w:type="dxa"/>
            <w:tcBorders>
              <w:top w:val="single" w:color="000000" w:sz="8" w:space="0"/>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b/>
                <w:bCs/>
                <w:color w:val="000000"/>
                <w:kern w:val="0"/>
                <w:sz w:val="18"/>
                <w:szCs w:val="18"/>
              </w:rPr>
            </w:pPr>
            <w:r>
              <w:rPr>
                <w:rFonts w:hint="eastAsia" w:ascii="方正仿宋_GB2312" w:hAnsi="方正仿宋_GB2312" w:eastAsia="方正仿宋_GB2312" w:cs="方正仿宋_GB2312"/>
                <w:b/>
                <w:bCs/>
                <w:color w:val="000000"/>
                <w:kern w:val="0"/>
                <w:sz w:val="18"/>
                <w:szCs w:val="18"/>
              </w:rPr>
              <w:t>2023年</w:t>
            </w:r>
          </w:p>
        </w:tc>
        <w:tc>
          <w:tcPr>
            <w:tcW w:w="1096" w:type="dxa"/>
            <w:tcBorders>
              <w:top w:val="single" w:color="000000" w:sz="8" w:space="0"/>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b/>
                <w:bCs/>
                <w:color w:val="000000"/>
                <w:kern w:val="0"/>
                <w:sz w:val="18"/>
                <w:szCs w:val="18"/>
              </w:rPr>
            </w:pPr>
            <w:r>
              <w:rPr>
                <w:rFonts w:hint="eastAsia" w:ascii="方正仿宋_GB2312" w:hAnsi="方正仿宋_GB2312" w:eastAsia="方正仿宋_GB2312" w:cs="方正仿宋_GB2312"/>
                <w:b/>
                <w:bCs/>
                <w:color w:val="000000"/>
                <w:kern w:val="0"/>
                <w:sz w:val="18"/>
                <w:szCs w:val="18"/>
              </w:rPr>
              <w:t>2024年</w:t>
            </w:r>
          </w:p>
        </w:tc>
        <w:tc>
          <w:tcPr>
            <w:tcW w:w="1087" w:type="dxa"/>
            <w:tcBorders>
              <w:top w:val="single" w:color="000000" w:sz="8" w:space="0"/>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b/>
                <w:bCs/>
                <w:color w:val="000000"/>
                <w:kern w:val="0"/>
                <w:sz w:val="18"/>
                <w:szCs w:val="18"/>
              </w:rPr>
            </w:pPr>
            <w:r>
              <w:rPr>
                <w:rFonts w:hint="eastAsia" w:ascii="方正仿宋_GB2312" w:hAnsi="方正仿宋_GB2312" w:eastAsia="方正仿宋_GB2312" w:cs="方正仿宋_GB2312"/>
                <w:b/>
                <w:bCs/>
                <w:color w:val="000000"/>
                <w:kern w:val="0"/>
                <w:sz w:val="18"/>
                <w:szCs w:val="18"/>
              </w:rPr>
              <w:t>2025年</w:t>
            </w:r>
          </w:p>
        </w:tc>
      </w:tr>
      <w:tr>
        <w:tblPrEx>
          <w:tblCellMar>
            <w:top w:w="0" w:type="dxa"/>
            <w:left w:w="108" w:type="dxa"/>
            <w:bottom w:w="0" w:type="dxa"/>
            <w:right w:w="108" w:type="dxa"/>
          </w:tblCellMar>
        </w:tblPrEx>
        <w:trPr>
          <w:trHeight w:val="300" w:hRule="atLeast"/>
        </w:trPr>
        <w:tc>
          <w:tcPr>
            <w:tcW w:w="2190" w:type="dxa"/>
            <w:tcBorders>
              <w:top w:val="nil"/>
              <w:left w:val="single" w:color="000000" w:sz="8" w:space="0"/>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总负荷</w:t>
            </w:r>
          </w:p>
        </w:tc>
        <w:tc>
          <w:tcPr>
            <w:tcW w:w="1078"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940</w:t>
            </w:r>
          </w:p>
        </w:tc>
        <w:tc>
          <w:tcPr>
            <w:tcW w:w="1078"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1157</w:t>
            </w:r>
          </w:p>
        </w:tc>
        <w:tc>
          <w:tcPr>
            <w:tcW w:w="1096"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1486</w:t>
            </w:r>
          </w:p>
        </w:tc>
        <w:tc>
          <w:tcPr>
            <w:tcW w:w="1096"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1772</w:t>
            </w:r>
          </w:p>
        </w:tc>
        <w:tc>
          <w:tcPr>
            <w:tcW w:w="1096"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2071</w:t>
            </w:r>
          </w:p>
        </w:tc>
        <w:tc>
          <w:tcPr>
            <w:tcW w:w="1087"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2444</w:t>
            </w:r>
          </w:p>
        </w:tc>
      </w:tr>
      <w:tr>
        <w:tblPrEx>
          <w:tblCellMar>
            <w:top w:w="0" w:type="dxa"/>
            <w:left w:w="108" w:type="dxa"/>
            <w:bottom w:w="0" w:type="dxa"/>
            <w:right w:w="108" w:type="dxa"/>
          </w:tblCellMar>
        </w:tblPrEx>
        <w:trPr>
          <w:trHeight w:val="348" w:hRule="atLeast"/>
        </w:trPr>
        <w:tc>
          <w:tcPr>
            <w:tcW w:w="2190" w:type="dxa"/>
            <w:tcBorders>
              <w:top w:val="nil"/>
              <w:left w:val="single" w:color="000000" w:sz="8" w:space="0"/>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110千伏用户负荷</w:t>
            </w:r>
          </w:p>
        </w:tc>
        <w:tc>
          <w:tcPr>
            <w:tcW w:w="1078"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115</w:t>
            </w:r>
          </w:p>
        </w:tc>
        <w:tc>
          <w:tcPr>
            <w:tcW w:w="1078"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127</w:t>
            </w:r>
          </w:p>
        </w:tc>
        <w:tc>
          <w:tcPr>
            <w:tcW w:w="1096"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139</w:t>
            </w:r>
          </w:p>
        </w:tc>
        <w:tc>
          <w:tcPr>
            <w:tcW w:w="1096"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153</w:t>
            </w:r>
          </w:p>
        </w:tc>
        <w:tc>
          <w:tcPr>
            <w:tcW w:w="1096"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168</w:t>
            </w:r>
          </w:p>
        </w:tc>
        <w:tc>
          <w:tcPr>
            <w:tcW w:w="1087"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185</w:t>
            </w:r>
          </w:p>
        </w:tc>
      </w:tr>
      <w:tr>
        <w:tblPrEx>
          <w:tblCellMar>
            <w:top w:w="0" w:type="dxa"/>
            <w:left w:w="108" w:type="dxa"/>
            <w:bottom w:w="0" w:type="dxa"/>
            <w:right w:w="108" w:type="dxa"/>
          </w:tblCellMar>
        </w:tblPrEx>
        <w:trPr>
          <w:trHeight w:val="300" w:hRule="atLeast"/>
        </w:trPr>
        <w:tc>
          <w:tcPr>
            <w:tcW w:w="2190" w:type="dxa"/>
            <w:tcBorders>
              <w:top w:val="nil"/>
              <w:left w:val="single" w:color="000000" w:sz="8" w:space="0"/>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公网负荷</w:t>
            </w:r>
          </w:p>
        </w:tc>
        <w:tc>
          <w:tcPr>
            <w:tcW w:w="1078"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825</w:t>
            </w:r>
          </w:p>
        </w:tc>
        <w:tc>
          <w:tcPr>
            <w:tcW w:w="1078"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1031</w:t>
            </w:r>
          </w:p>
        </w:tc>
        <w:tc>
          <w:tcPr>
            <w:tcW w:w="1096"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1347</w:t>
            </w:r>
          </w:p>
        </w:tc>
        <w:tc>
          <w:tcPr>
            <w:tcW w:w="1096"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1619</w:t>
            </w:r>
          </w:p>
        </w:tc>
        <w:tc>
          <w:tcPr>
            <w:tcW w:w="1096"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1902</w:t>
            </w:r>
          </w:p>
        </w:tc>
        <w:tc>
          <w:tcPr>
            <w:tcW w:w="1087"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2258</w:t>
            </w:r>
          </w:p>
        </w:tc>
      </w:tr>
      <w:tr>
        <w:tblPrEx>
          <w:tblCellMar>
            <w:top w:w="0" w:type="dxa"/>
            <w:left w:w="108" w:type="dxa"/>
            <w:bottom w:w="0" w:type="dxa"/>
            <w:right w:w="108" w:type="dxa"/>
          </w:tblCellMar>
        </w:tblPrEx>
        <w:trPr>
          <w:trHeight w:val="600" w:hRule="atLeast"/>
        </w:trPr>
        <w:tc>
          <w:tcPr>
            <w:tcW w:w="2190" w:type="dxa"/>
            <w:tcBorders>
              <w:top w:val="nil"/>
              <w:left w:val="single" w:color="000000" w:sz="8" w:space="0"/>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需要110千伏变电容量下限（容载比取1.8）</w:t>
            </w:r>
          </w:p>
        </w:tc>
        <w:tc>
          <w:tcPr>
            <w:tcW w:w="1078"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1485</w:t>
            </w:r>
          </w:p>
        </w:tc>
        <w:tc>
          <w:tcPr>
            <w:tcW w:w="1078"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1855</w:t>
            </w:r>
          </w:p>
        </w:tc>
        <w:tc>
          <w:tcPr>
            <w:tcW w:w="1096"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2425</w:t>
            </w:r>
          </w:p>
        </w:tc>
        <w:tc>
          <w:tcPr>
            <w:tcW w:w="1096"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2915</w:t>
            </w:r>
          </w:p>
        </w:tc>
        <w:tc>
          <w:tcPr>
            <w:tcW w:w="1096"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3424</w:t>
            </w:r>
          </w:p>
        </w:tc>
        <w:tc>
          <w:tcPr>
            <w:tcW w:w="1087"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4065</w:t>
            </w:r>
          </w:p>
        </w:tc>
      </w:tr>
      <w:tr>
        <w:tblPrEx>
          <w:tblCellMar>
            <w:top w:w="0" w:type="dxa"/>
            <w:left w:w="108" w:type="dxa"/>
            <w:bottom w:w="0" w:type="dxa"/>
            <w:right w:w="108" w:type="dxa"/>
          </w:tblCellMar>
        </w:tblPrEx>
        <w:trPr>
          <w:trHeight w:val="361" w:hRule="atLeast"/>
        </w:trPr>
        <w:tc>
          <w:tcPr>
            <w:tcW w:w="2190" w:type="dxa"/>
            <w:tcBorders>
              <w:top w:val="nil"/>
              <w:left w:val="single" w:color="000000" w:sz="8" w:space="0"/>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需要110千伏变电容量（容载比取2.2）</w:t>
            </w:r>
          </w:p>
        </w:tc>
        <w:tc>
          <w:tcPr>
            <w:tcW w:w="1078"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1815</w:t>
            </w:r>
          </w:p>
        </w:tc>
        <w:tc>
          <w:tcPr>
            <w:tcW w:w="1078"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2267</w:t>
            </w:r>
          </w:p>
        </w:tc>
        <w:tc>
          <w:tcPr>
            <w:tcW w:w="1096"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2964</w:t>
            </w:r>
          </w:p>
        </w:tc>
        <w:tc>
          <w:tcPr>
            <w:tcW w:w="1096"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3562</w:t>
            </w:r>
          </w:p>
        </w:tc>
        <w:tc>
          <w:tcPr>
            <w:tcW w:w="1096"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4185</w:t>
            </w:r>
          </w:p>
        </w:tc>
        <w:tc>
          <w:tcPr>
            <w:tcW w:w="1087"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4968</w:t>
            </w:r>
          </w:p>
        </w:tc>
      </w:tr>
      <w:tr>
        <w:tblPrEx>
          <w:tblCellMar>
            <w:top w:w="0" w:type="dxa"/>
            <w:left w:w="108" w:type="dxa"/>
            <w:bottom w:w="0" w:type="dxa"/>
            <w:right w:w="108" w:type="dxa"/>
          </w:tblCellMar>
        </w:tblPrEx>
        <w:trPr>
          <w:trHeight w:val="528" w:hRule="atLeast"/>
        </w:trPr>
        <w:tc>
          <w:tcPr>
            <w:tcW w:w="2190" w:type="dxa"/>
            <w:tcBorders>
              <w:top w:val="nil"/>
              <w:left w:val="single" w:color="000000" w:sz="8" w:space="0"/>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需要110千伏变电容量上限（容载比取2.4）</w:t>
            </w:r>
          </w:p>
        </w:tc>
        <w:tc>
          <w:tcPr>
            <w:tcW w:w="1078"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1980</w:t>
            </w:r>
          </w:p>
        </w:tc>
        <w:tc>
          <w:tcPr>
            <w:tcW w:w="1078"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2473</w:t>
            </w:r>
          </w:p>
        </w:tc>
        <w:tc>
          <w:tcPr>
            <w:tcW w:w="1096"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3233</w:t>
            </w:r>
          </w:p>
        </w:tc>
        <w:tc>
          <w:tcPr>
            <w:tcW w:w="1096"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3886</w:t>
            </w:r>
          </w:p>
        </w:tc>
        <w:tc>
          <w:tcPr>
            <w:tcW w:w="1096"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4566</w:t>
            </w:r>
          </w:p>
        </w:tc>
        <w:tc>
          <w:tcPr>
            <w:tcW w:w="1087"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5420</w:t>
            </w:r>
          </w:p>
        </w:tc>
      </w:tr>
      <w:tr>
        <w:tblPrEx>
          <w:tblCellMar>
            <w:top w:w="0" w:type="dxa"/>
            <w:left w:w="108" w:type="dxa"/>
            <w:bottom w:w="0" w:type="dxa"/>
            <w:right w:w="108" w:type="dxa"/>
          </w:tblCellMar>
        </w:tblPrEx>
        <w:trPr>
          <w:trHeight w:val="540" w:hRule="atLeast"/>
        </w:trPr>
        <w:tc>
          <w:tcPr>
            <w:tcW w:w="2190" w:type="dxa"/>
            <w:tcBorders>
              <w:top w:val="nil"/>
              <w:left w:val="single" w:color="000000" w:sz="8" w:space="0"/>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2020年110千伏变电容量</w:t>
            </w:r>
          </w:p>
        </w:tc>
        <w:tc>
          <w:tcPr>
            <w:tcW w:w="1078"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2702.5</w:t>
            </w:r>
          </w:p>
        </w:tc>
        <w:tc>
          <w:tcPr>
            <w:tcW w:w="1078"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2702.5</w:t>
            </w:r>
          </w:p>
        </w:tc>
        <w:tc>
          <w:tcPr>
            <w:tcW w:w="1096"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2702.5</w:t>
            </w:r>
          </w:p>
        </w:tc>
        <w:tc>
          <w:tcPr>
            <w:tcW w:w="1096"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2702.5</w:t>
            </w:r>
          </w:p>
        </w:tc>
        <w:tc>
          <w:tcPr>
            <w:tcW w:w="1096"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2702.5</w:t>
            </w:r>
          </w:p>
        </w:tc>
        <w:tc>
          <w:tcPr>
            <w:tcW w:w="1087"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2702.5</w:t>
            </w:r>
          </w:p>
        </w:tc>
      </w:tr>
      <w:tr>
        <w:tblPrEx>
          <w:tblCellMar>
            <w:top w:w="0" w:type="dxa"/>
            <w:left w:w="108" w:type="dxa"/>
            <w:bottom w:w="0" w:type="dxa"/>
            <w:right w:w="108" w:type="dxa"/>
          </w:tblCellMar>
        </w:tblPrEx>
        <w:trPr>
          <w:trHeight w:val="417" w:hRule="atLeast"/>
        </w:trPr>
        <w:tc>
          <w:tcPr>
            <w:tcW w:w="2190" w:type="dxa"/>
            <w:tcBorders>
              <w:top w:val="nil"/>
              <w:left w:val="single" w:color="000000" w:sz="8" w:space="0"/>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需新增110千伏变电容量下限（容载比取1.8）</w:t>
            </w:r>
          </w:p>
        </w:tc>
        <w:tc>
          <w:tcPr>
            <w:tcW w:w="1078"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-1218</w:t>
            </w:r>
          </w:p>
        </w:tc>
        <w:tc>
          <w:tcPr>
            <w:tcW w:w="1078"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-848</w:t>
            </w:r>
          </w:p>
        </w:tc>
        <w:tc>
          <w:tcPr>
            <w:tcW w:w="1096"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-277</w:t>
            </w:r>
          </w:p>
        </w:tc>
        <w:tc>
          <w:tcPr>
            <w:tcW w:w="1096"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212</w:t>
            </w:r>
          </w:p>
        </w:tc>
        <w:tc>
          <w:tcPr>
            <w:tcW w:w="1096"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722</w:t>
            </w:r>
          </w:p>
        </w:tc>
        <w:tc>
          <w:tcPr>
            <w:tcW w:w="1087"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1363</w:t>
            </w:r>
          </w:p>
        </w:tc>
      </w:tr>
      <w:tr>
        <w:tblPrEx>
          <w:tblCellMar>
            <w:top w:w="0" w:type="dxa"/>
            <w:left w:w="108" w:type="dxa"/>
            <w:bottom w:w="0" w:type="dxa"/>
            <w:right w:w="108" w:type="dxa"/>
          </w:tblCellMar>
        </w:tblPrEx>
        <w:trPr>
          <w:trHeight w:val="496" w:hRule="atLeast"/>
        </w:trPr>
        <w:tc>
          <w:tcPr>
            <w:tcW w:w="2190" w:type="dxa"/>
            <w:tcBorders>
              <w:top w:val="nil"/>
              <w:left w:val="single" w:color="000000" w:sz="8" w:space="0"/>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需新增110千伏变电容量（容载比取2.2）</w:t>
            </w:r>
          </w:p>
        </w:tc>
        <w:tc>
          <w:tcPr>
            <w:tcW w:w="1078"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-888</w:t>
            </w:r>
          </w:p>
        </w:tc>
        <w:tc>
          <w:tcPr>
            <w:tcW w:w="1078"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-435</w:t>
            </w:r>
          </w:p>
        </w:tc>
        <w:tc>
          <w:tcPr>
            <w:tcW w:w="1096"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261</w:t>
            </w:r>
          </w:p>
        </w:tc>
        <w:tc>
          <w:tcPr>
            <w:tcW w:w="1096"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860</w:t>
            </w:r>
          </w:p>
        </w:tc>
        <w:tc>
          <w:tcPr>
            <w:tcW w:w="1096"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1483</w:t>
            </w:r>
          </w:p>
        </w:tc>
        <w:tc>
          <w:tcPr>
            <w:tcW w:w="1087"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2266</w:t>
            </w:r>
          </w:p>
        </w:tc>
      </w:tr>
      <w:tr>
        <w:tblPrEx>
          <w:tblCellMar>
            <w:top w:w="0" w:type="dxa"/>
            <w:left w:w="108" w:type="dxa"/>
            <w:bottom w:w="0" w:type="dxa"/>
            <w:right w:w="108" w:type="dxa"/>
          </w:tblCellMar>
        </w:tblPrEx>
        <w:trPr>
          <w:trHeight w:val="558" w:hRule="atLeast"/>
        </w:trPr>
        <w:tc>
          <w:tcPr>
            <w:tcW w:w="2190" w:type="dxa"/>
            <w:tcBorders>
              <w:top w:val="nil"/>
              <w:left w:val="single" w:color="000000" w:sz="8" w:space="0"/>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需新增110千伏变电容量上限（容载比取2.4）</w:t>
            </w:r>
          </w:p>
        </w:tc>
        <w:tc>
          <w:tcPr>
            <w:tcW w:w="1078"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-723</w:t>
            </w:r>
          </w:p>
        </w:tc>
        <w:tc>
          <w:tcPr>
            <w:tcW w:w="1078"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2909</w:t>
            </w:r>
          </w:p>
        </w:tc>
        <w:tc>
          <w:tcPr>
            <w:tcW w:w="1096"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531</w:t>
            </w:r>
          </w:p>
        </w:tc>
        <w:tc>
          <w:tcPr>
            <w:tcW w:w="1096"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1184</w:t>
            </w:r>
          </w:p>
        </w:tc>
        <w:tc>
          <w:tcPr>
            <w:tcW w:w="1096"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1863</w:t>
            </w:r>
          </w:p>
        </w:tc>
        <w:tc>
          <w:tcPr>
            <w:tcW w:w="1087" w:type="dxa"/>
            <w:tcBorders>
              <w:top w:val="nil"/>
              <w:left w:val="nil"/>
              <w:bottom w:val="single" w:color="000000" w:sz="8" w:space="0"/>
              <w:right w:val="single" w:color="000000" w:sz="8"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2718</w:t>
            </w:r>
          </w:p>
        </w:tc>
      </w:tr>
    </w:tbl>
    <w:p>
      <w:pPr>
        <w:pStyle w:val="2"/>
        <w:ind w:left="0" w:leftChars="0" w:firstLine="0" w:firstLineChars="0"/>
        <w:rPr>
          <w:rFonts w:hint="eastAsia" w:ascii="方正仿宋_GB2312" w:hAnsi="方正仿宋_GB2312" w:eastAsia="方正仿宋_GB2312" w:cs="方正仿宋_GB2312"/>
          <w:sz w:val="18"/>
          <w:szCs w:val="18"/>
        </w:rPr>
      </w:pPr>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r>
        <w:rPr>
          <w:rFonts w:eastAsia="仿宋"/>
          <w:sz w:val="32"/>
          <w:szCs w:val="32"/>
        </w:rPr>
        <w:t>空港新城110千伏变电站布点规划</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 xml:space="preserve"> “十四五”期间空港新城新建变电站3座，新增变电容量300兆伏安，新建线路140.4公里。</w:t>
      </w:r>
    </w:p>
    <w:p>
      <w:pPr>
        <w:pStyle w:val="8"/>
        <w:keepNext/>
        <w:keepLines/>
        <w:pageBreakBefore w:val="0"/>
        <w:widowControl w:val="0"/>
        <w:numPr>
          <w:ilvl w:val="0"/>
          <w:numId w:val="0"/>
        </w:numPr>
        <w:kinsoku/>
        <w:wordWrap/>
        <w:overflowPunct/>
        <w:topLinePunct w:val="0"/>
        <w:autoSpaceDE/>
        <w:autoSpaceDN/>
        <w:bidi w:val="0"/>
        <w:adjustRightInd/>
        <w:snapToGrid/>
        <w:spacing w:line="560" w:lineRule="exact"/>
        <w:jc w:val="center"/>
        <w:textAlignment w:val="auto"/>
        <w:rPr>
          <w:rFonts w:hint="eastAsia" w:ascii="黑体" w:hAnsi="黑体" w:eastAsia="黑体" w:cs="黑体"/>
          <w:b w:val="0"/>
          <w:bCs w:val="0"/>
          <w:kern w:val="0"/>
          <w:sz w:val="28"/>
          <w:szCs w:val="28"/>
          <w:lang w:val="en-US" w:eastAsia="zh-CN" w:bidi="ar-SA"/>
        </w:rPr>
      </w:pPr>
      <w:r>
        <w:rPr>
          <w:rFonts w:hint="eastAsia" w:ascii="黑体" w:hAnsi="黑体" w:eastAsia="黑体" w:cs="黑体"/>
          <w:b w:val="0"/>
          <w:bCs w:val="0"/>
          <w:kern w:val="0"/>
          <w:sz w:val="28"/>
          <w:szCs w:val="28"/>
          <w:lang w:val="en-US" w:eastAsia="zh-CN" w:bidi="ar-SA"/>
        </w:rPr>
        <w:t>表8-2  空港新城“十四五”规划项目建设规模</w:t>
      </w:r>
    </w:p>
    <w:tbl>
      <w:tblPr>
        <w:tblStyle w:val="88"/>
        <w:tblW w:w="8721" w:type="dxa"/>
        <w:tblInd w:w="0" w:type="dxa"/>
        <w:tblLayout w:type="fixed"/>
        <w:tblCellMar>
          <w:top w:w="0" w:type="dxa"/>
          <w:left w:w="108" w:type="dxa"/>
          <w:bottom w:w="0" w:type="dxa"/>
          <w:right w:w="108" w:type="dxa"/>
        </w:tblCellMar>
      </w:tblPr>
      <w:tblGrid>
        <w:gridCol w:w="516"/>
        <w:gridCol w:w="816"/>
        <w:gridCol w:w="2859"/>
        <w:gridCol w:w="516"/>
        <w:gridCol w:w="816"/>
        <w:gridCol w:w="1266"/>
        <w:gridCol w:w="1116"/>
        <w:gridCol w:w="816"/>
      </w:tblGrid>
      <w:tr>
        <w:tblPrEx>
          <w:tblCellMar>
            <w:top w:w="0" w:type="dxa"/>
            <w:left w:w="108" w:type="dxa"/>
            <w:bottom w:w="0" w:type="dxa"/>
            <w:right w:w="108" w:type="dxa"/>
          </w:tblCellMar>
        </w:tblPrEx>
        <w:trPr>
          <w:trHeight w:val="285" w:hRule="atLeast"/>
        </w:trPr>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序号</w:t>
            </w:r>
          </w:p>
        </w:tc>
        <w:tc>
          <w:tcPr>
            <w:tcW w:w="816"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所属区域</w:t>
            </w:r>
          </w:p>
        </w:tc>
        <w:tc>
          <w:tcPr>
            <w:tcW w:w="2859"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项目名称</w:t>
            </w:r>
          </w:p>
        </w:tc>
        <w:tc>
          <w:tcPr>
            <w:tcW w:w="516"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性质</w:t>
            </w:r>
          </w:p>
        </w:tc>
        <w:tc>
          <w:tcPr>
            <w:tcW w:w="816"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投产时间</w:t>
            </w:r>
          </w:p>
        </w:tc>
        <w:tc>
          <w:tcPr>
            <w:tcW w:w="1266"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变电容量兆伏安</w:t>
            </w:r>
          </w:p>
        </w:tc>
        <w:tc>
          <w:tcPr>
            <w:tcW w:w="1116"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线路长度公里</w:t>
            </w:r>
          </w:p>
        </w:tc>
        <w:tc>
          <w:tcPr>
            <w:tcW w:w="816"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备注</w:t>
            </w:r>
          </w:p>
        </w:tc>
      </w:tr>
      <w:tr>
        <w:tblPrEx>
          <w:tblCellMar>
            <w:top w:w="0" w:type="dxa"/>
            <w:left w:w="108" w:type="dxa"/>
            <w:bottom w:w="0" w:type="dxa"/>
            <w:right w:w="108" w:type="dxa"/>
          </w:tblCellMar>
        </w:tblPrEx>
        <w:trPr>
          <w:trHeight w:val="285" w:hRule="atLeast"/>
        </w:trPr>
        <w:tc>
          <w:tcPr>
            <w:tcW w:w="516"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w:t>
            </w:r>
          </w:p>
        </w:tc>
        <w:tc>
          <w:tcPr>
            <w:tcW w:w="816" w:type="dxa"/>
            <w:vMerge w:val="restart"/>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空港新城</w:t>
            </w:r>
          </w:p>
        </w:tc>
        <w:tc>
          <w:tcPr>
            <w:tcW w:w="285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秦汉(韩湾)~机场2#变110千伏线路工程</w:t>
            </w:r>
          </w:p>
        </w:tc>
        <w:tc>
          <w:tcPr>
            <w:tcW w:w="516"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新建</w:t>
            </w:r>
          </w:p>
        </w:tc>
        <w:tc>
          <w:tcPr>
            <w:tcW w:w="816"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2022</w:t>
            </w:r>
          </w:p>
        </w:tc>
        <w:tc>
          <w:tcPr>
            <w:tcW w:w="1266"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0</w:t>
            </w:r>
          </w:p>
        </w:tc>
        <w:tc>
          <w:tcPr>
            <w:tcW w:w="1116"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12.6</w:t>
            </w:r>
          </w:p>
        </w:tc>
        <w:tc>
          <w:tcPr>
            <w:tcW w:w="816"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国网</w:t>
            </w:r>
          </w:p>
        </w:tc>
      </w:tr>
      <w:tr>
        <w:tblPrEx>
          <w:tblCellMar>
            <w:top w:w="0" w:type="dxa"/>
            <w:left w:w="108" w:type="dxa"/>
            <w:bottom w:w="0" w:type="dxa"/>
            <w:right w:w="108" w:type="dxa"/>
          </w:tblCellMar>
        </w:tblPrEx>
        <w:trPr>
          <w:trHeight w:val="285" w:hRule="atLeast"/>
        </w:trPr>
        <w:tc>
          <w:tcPr>
            <w:tcW w:w="516"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w:t>
            </w:r>
          </w:p>
        </w:tc>
        <w:tc>
          <w:tcPr>
            <w:tcW w:w="816" w:type="dxa"/>
            <w:vMerge w:val="continue"/>
            <w:tcBorders>
              <w:top w:val="nil"/>
              <w:left w:val="single" w:color="auto" w:sz="4" w:space="0"/>
              <w:bottom w:val="single" w:color="auto" w:sz="4" w:space="0"/>
              <w:right w:val="single" w:color="auto" w:sz="4" w:space="0"/>
            </w:tcBorders>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p>
        </w:tc>
        <w:tc>
          <w:tcPr>
            <w:tcW w:w="285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南朱刘110千伏输变电工程</w:t>
            </w:r>
          </w:p>
        </w:tc>
        <w:tc>
          <w:tcPr>
            <w:tcW w:w="516"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新建</w:t>
            </w:r>
          </w:p>
        </w:tc>
        <w:tc>
          <w:tcPr>
            <w:tcW w:w="816"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2022</w:t>
            </w:r>
          </w:p>
        </w:tc>
        <w:tc>
          <w:tcPr>
            <w:tcW w:w="1266"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100</w:t>
            </w:r>
          </w:p>
        </w:tc>
        <w:tc>
          <w:tcPr>
            <w:tcW w:w="1116"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21.4</w:t>
            </w:r>
          </w:p>
        </w:tc>
        <w:tc>
          <w:tcPr>
            <w:tcW w:w="816"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国网</w:t>
            </w:r>
          </w:p>
        </w:tc>
      </w:tr>
      <w:tr>
        <w:tblPrEx>
          <w:tblCellMar>
            <w:top w:w="0" w:type="dxa"/>
            <w:left w:w="108" w:type="dxa"/>
            <w:bottom w:w="0" w:type="dxa"/>
            <w:right w:w="108" w:type="dxa"/>
          </w:tblCellMar>
        </w:tblPrEx>
        <w:trPr>
          <w:trHeight w:val="285" w:hRule="atLeast"/>
        </w:trPr>
        <w:tc>
          <w:tcPr>
            <w:tcW w:w="516"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3</w:t>
            </w:r>
          </w:p>
        </w:tc>
        <w:tc>
          <w:tcPr>
            <w:tcW w:w="816" w:type="dxa"/>
            <w:vMerge w:val="continue"/>
            <w:tcBorders>
              <w:top w:val="nil"/>
              <w:left w:val="single" w:color="auto" w:sz="4" w:space="0"/>
              <w:bottom w:val="single" w:color="auto" w:sz="4" w:space="0"/>
              <w:right w:val="single" w:color="auto" w:sz="4" w:space="0"/>
            </w:tcBorders>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p>
        </w:tc>
        <w:tc>
          <w:tcPr>
            <w:tcW w:w="285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池阳~机场2#变110千伏线路工程</w:t>
            </w:r>
          </w:p>
        </w:tc>
        <w:tc>
          <w:tcPr>
            <w:tcW w:w="516"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新建</w:t>
            </w:r>
          </w:p>
        </w:tc>
        <w:tc>
          <w:tcPr>
            <w:tcW w:w="816"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2022</w:t>
            </w:r>
          </w:p>
        </w:tc>
        <w:tc>
          <w:tcPr>
            <w:tcW w:w="1266"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0</w:t>
            </w:r>
          </w:p>
        </w:tc>
        <w:tc>
          <w:tcPr>
            <w:tcW w:w="1116"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34</w:t>
            </w:r>
          </w:p>
        </w:tc>
        <w:tc>
          <w:tcPr>
            <w:tcW w:w="816"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国网</w:t>
            </w:r>
          </w:p>
        </w:tc>
      </w:tr>
      <w:tr>
        <w:tblPrEx>
          <w:tblCellMar>
            <w:top w:w="0" w:type="dxa"/>
            <w:left w:w="108" w:type="dxa"/>
            <w:bottom w:w="0" w:type="dxa"/>
            <w:right w:w="108" w:type="dxa"/>
          </w:tblCellMar>
        </w:tblPrEx>
        <w:trPr>
          <w:trHeight w:val="285" w:hRule="atLeast"/>
        </w:trPr>
        <w:tc>
          <w:tcPr>
            <w:tcW w:w="516"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4</w:t>
            </w:r>
          </w:p>
        </w:tc>
        <w:tc>
          <w:tcPr>
            <w:tcW w:w="816" w:type="dxa"/>
            <w:vMerge w:val="continue"/>
            <w:tcBorders>
              <w:top w:val="nil"/>
              <w:left w:val="single" w:color="auto" w:sz="4" w:space="0"/>
              <w:bottom w:val="single" w:color="auto" w:sz="4" w:space="0"/>
              <w:right w:val="single" w:color="auto" w:sz="4" w:space="0"/>
            </w:tcBorders>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p>
        </w:tc>
        <w:tc>
          <w:tcPr>
            <w:tcW w:w="285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朱家110千伏输变电工程</w:t>
            </w:r>
          </w:p>
        </w:tc>
        <w:tc>
          <w:tcPr>
            <w:tcW w:w="516"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新建</w:t>
            </w:r>
          </w:p>
        </w:tc>
        <w:tc>
          <w:tcPr>
            <w:tcW w:w="816"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2023</w:t>
            </w:r>
          </w:p>
        </w:tc>
        <w:tc>
          <w:tcPr>
            <w:tcW w:w="1266"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100</w:t>
            </w:r>
          </w:p>
        </w:tc>
        <w:tc>
          <w:tcPr>
            <w:tcW w:w="1116"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30</w:t>
            </w:r>
          </w:p>
        </w:tc>
        <w:tc>
          <w:tcPr>
            <w:tcW w:w="816"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国网</w:t>
            </w:r>
          </w:p>
        </w:tc>
      </w:tr>
      <w:tr>
        <w:tblPrEx>
          <w:tblCellMar>
            <w:top w:w="0" w:type="dxa"/>
            <w:left w:w="108" w:type="dxa"/>
            <w:bottom w:w="0" w:type="dxa"/>
            <w:right w:w="108" w:type="dxa"/>
          </w:tblCellMar>
        </w:tblPrEx>
        <w:trPr>
          <w:trHeight w:val="285" w:hRule="atLeast"/>
        </w:trPr>
        <w:tc>
          <w:tcPr>
            <w:tcW w:w="516"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5</w:t>
            </w:r>
          </w:p>
        </w:tc>
        <w:tc>
          <w:tcPr>
            <w:tcW w:w="816"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hint="eastAsia" w:ascii="方正仿宋_GB2312" w:hAnsi="方正仿宋_GB2312" w:eastAsia="方正仿宋_GB2312" w:cs="方正仿宋_GB2312"/>
                <w:color w:val="000000"/>
                <w:kern w:val="0"/>
                <w:sz w:val="18"/>
                <w:szCs w:val="18"/>
              </w:rPr>
            </w:pPr>
          </w:p>
        </w:tc>
        <w:tc>
          <w:tcPr>
            <w:tcW w:w="285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顺陵110千伏输变电工程</w:t>
            </w:r>
          </w:p>
        </w:tc>
        <w:tc>
          <w:tcPr>
            <w:tcW w:w="516"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新建</w:t>
            </w:r>
          </w:p>
        </w:tc>
        <w:tc>
          <w:tcPr>
            <w:tcW w:w="816"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2023</w:t>
            </w:r>
          </w:p>
        </w:tc>
        <w:tc>
          <w:tcPr>
            <w:tcW w:w="1266"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100</w:t>
            </w:r>
          </w:p>
        </w:tc>
        <w:tc>
          <w:tcPr>
            <w:tcW w:w="1116"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22.4</w:t>
            </w:r>
          </w:p>
        </w:tc>
        <w:tc>
          <w:tcPr>
            <w:tcW w:w="816"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空港增量</w:t>
            </w:r>
          </w:p>
        </w:tc>
      </w:tr>
      <w:tr>
        <w:tblPrEx>
          <w:tblCellMar>
            <w:top w:w="0" w:type="dxa"/>
            <w:left w:w="108" w:type="dxa"/>
            <w:bottom w:w="0" w:type="dxa"/>
            <w:right w:w="108" w:type="dxa"/>
          </w:tblCellMar>
        </w:tblPrEx>
        <w:trPr>
          <w:trHeight w:val="285" w:hRule="atLeast"/>
        </w:trPr>
        <w:tc>
          <w:tcPr>
            <w:tcW w:w="516"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6</w:t>
            </w:r>
          </w:p>
        </w:tc>
        <w:tc>
          <w:tcPr>
            <w:tcW w:w="816"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hint="eastAsia" w:ascii="方正仿宋_GB2312" w:hAnsi="方正仿宋_GB2312" w:eastAsia="方正仿宋_GB2312" w:cs="方正仿宋_GB2312"/>
                <w:color w:val="000000"/>
                <w:kern w:val="0"/>
                <w:sz w:val="18"/>
                <w:szCs w:val="18"/>
              </w:rPr>
            </w:pPr>
          </w:p>
        </w:tc>
        <w:tc>
          <w:tcPr>
            <w:tcW w:w="285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空港330千伏变电站110千伏送出工程</w:t>
            </w:r>
          </w:p>
        </w:tc>
        <w:tc>
          <w:tcPr>
            <w:tcW w:w="516"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新建</w:t>
            </w:r>
          </w:p>
        </w:tc>
        <w:tc>
          <w:tcPr>
            <w:tcW w:w="816"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2025</w:t>
            </w:r>
          </w:p>
        </w:tc>
        <w:tc>
          <w:tcPr>
            <w:tcW w:w="1266"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0</w:t>
            </w:r>
          </w:p>
        </w:tc>
        <w:tc>
          <w:tcPr>
            <w:tcW w:w="1116"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20</w:t>
            </w:r>
          </w:p>
        </w:tc>
        <w:tc>
          <w:tcPr>
            <w:tcW w:w="816"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国网</w:t>
            </w:r>
          </w:p>
        </w:tc>
      </w:tr>
      <w:tr>
        <w:tblPrEx>
          <w:tblCellMar>
            <w:top w:w="0" w:type="dxa"/>
            <w:left w:w="108" w:type="dxa"/>
            <w:bottom w:w="0" w:type="dxa"/>
            <w:right w:w="108" w:type="dxa"/>
          </w:tblCellMar>
        </w:tblPrEx>
        <w:trPr>
          <w:trHeight w:val="285" w:hRule="atLeast"/>
        </w:trPr>
        <w:tc>
          <w:tcPr>
            <w:tcW w:w="5523"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空港新城合计</w:t>
            </w:r>
          </w:p>
        </w:tc>
        <w:tc>
          <w:tcPr>
            <w:tcW w:w="1266"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300</w:t>
            </w:r>
          </w:p>
        </w:tc>
        <w:tc>
          <w:tcPr>
            <w:tcW w:w="1116"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140.4</w:t>
            </w:r>
          </w:p>
        </w:tc>
        <w:tc>
          <w:tcPr>
            <w:tcW w:w="816"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　</w:t>
            </w:r>
          </w:p>
        </w:tc>
      </w:tr>
    </w:tbl>
    <w:p>
      <w:pPr>
        <w:pStyle w:val="150"/>
        <w:ind w:left="0" w:leftChars="0" w:firstLine="0" w:firstLineChars="0"/>
      </w:pPr>
    </w:p>
    <w:p>
      <w:pPr>
        <w:pStyle w:val="150"/>
        <w:keepNext w:val="0"/>
        <w:keepLines w:val="0"/>
        <w:pageBreakBefore w:val="0"/>
        <w:widowControl w:val="0"/>
        <w:kinsoku/>
        <w:wordWrap/>
        <w:overflowPunct/>
        <w:topLinePunct w:val="0"/>
        <w:autoSpaceDE/>
        <w:autoSpaceDN/>
        <w:bidi w:val="0"/>
        <w:adjustRightInd w:val="0"/>
        <w:snapToGrid w:val="0"/>
        <w:spacing w:line="560" w:lineRule="exact"/>
        <w:ind w:leftChars="0" w:firstLine="643" w:firstLineChars="200"/>
        <w:textAlignment w:val="auto"/>
        <w:rPr>
          <w:rFonts w:hint="eastAsia" w:ascii="仿宋" w:hAnsi="仿宋" w:eastAsia="仿宋" w:cs="仿宋"/>
          <w:b/>
          <w:bCs/>
          <w:kern w:val="2"/>
          <w:sz w:val="32"/>
          <w:szCs w:val="32"/>
          <w:lang w:val="en-US" w:eastAsia="zh-CN" w:bidi="ar-SA"/>
        </w:rPr>
      </w:pPr>
      <w:r>
        <w:rPr>
          <w:rFonts w:hint="eastAsia" w:ascii="仿宋" w:hAnsi="仿宋" w:eastAsia="仿宋" w:cs="仿宋"/>
          <w:b/>
          <w:bCs/>
          <w:kern w:val="2"/>
          <w:sz w:val="32"/>
          <w:szCs w:val="32"/>
          <w:lang w:val="en-US" w:eastAsia="zh-CN" w:bidi="ar-SA"/>
        </w:rPr>
        <w:t>1.秦汉（韩湾）~机场2#变110千伏线路工程（2022年）</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系统方案：机场2#变1回接入韩湾变。</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建设规模：新建线路长度12.6公里。</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建设必要性：该项目投运后将满足机场三期扩建项目专用变电站供电需求。</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leftChars="0" w:firstLine="643" w:firstLineChars="200"/>
        <w:textAlignment w:val="auto"/>
        <w:rPr>
          <w:rFonts w:hint="eastAsia" w:ascii="仿宋" w:hAnsi="仿宋" w:eastAsia="仿宋" w:cs="仿宋"/>
          <w:b/>
          <w:bCs/>
          <w:kern w:val="2"/>
          <w:sz w:val="32"/>
          <w:szCs w:val="32"/>
          <w:lang w:val="en-US" w:eastAsia="zh-CN" w:bidi="ar-SA"/>
        </w:rPr>
      </w:pPr>
      <w:r>
        <w:rPr>
          <w:rFonts w:hint="eastAsia" w:ascii="仿宋" w:hAnsi="仿宋" w:eastAsia="仿宋" w:cs="仿宋"/>
          <w:b/>
          <w:bCs/>
          <w:kern w:val="2"/>
          <w:sz w:val="32"/>
          <w:szCs w:val="32"/>
          <w:lang w:val="en-US" w:eastAsia="zh-CN" w:bidi="ar-SA"/>
        </w:rPr>
        <w:t>2.南朱刘110千伏输变电工程（2022年）</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系统方案：双回接入古渡330千伏变。</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建设规模：新建变电容量2×50兆伏安，新建线路长度21.4公里。</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必要性：新建110千伏南朱刘变电站位于西安市西咸新区空港新城城建平大街和敦化路（规划路）交接处十字西北角的规划项目用地范围内。“十三五”末期，西咸新区空港新城西部地区负荷快速增长，根据提供的资料，预测周边新增负荷约为55.7兆瓦，周边110千伏变电站无法为新增负荷提供电源支撑。新建南朱刘110千伏变可以为周边新增负荷提供电源点，满足负荷增长的用电需求。新建南朱刘110千伏变能够转移马庄变和空港变部分负荷，缓解周边110千伏变电站的压力。此外，南朱刘110千伏变的建设加强了该地区10千伏的电网结构，提高了供电可靠性。</w:t>
      </w:r>
    </w:p>
    <w:p>
      <w:pPr>
        <w:pStyle w:val="7"/>
        <w:pageBreakBefore w:val="0"/>
        <w:widowControl w:val="0"/>
        <w:numPr>
          <w:ilvl w:val="3"/>
          <w:numId w:val="0"/>
        </w:numPr>
        <w:kinsoku/>
        <w:wordWrap/>
        <w:overflowPunct/>
        <w:topLinePunct w:val="0"/>
        <w:autoSpaceDE/>
        <w:autoSpaceDN/>
        <w:bidi w:val="0"/>
        <w:spacing w:beforeLines="0" w:afterLines="0" w:line="560" w:lineRule="exact"/>
        <w:ind w:leftChars="0" w:firstLine="643" w:firstLineChars="200"/>
        <w:textAlignment w:val="auto"/>
        <w:rPr>
          <w:rFonts w:hint="eastAsia" w:ascii="仿宋" w:hAnsi="仿宋" w:eastAsia="仿宋" w:cs="仿宋"/>
          <w:b/>
          <w:bCs/>
          <w:kern w:val="2"/>
          <w:sz w:val="32"/>
          <w:szCs w:val="32"/>
          <w:lang w:val="en-US" w:eastAsia="zh-CN" w:bidi="ar-SA"/>
        </w:rPr>
      </w:pPr>
      <w:r>
        <w:rPr>
          <w:rFonts w:hint="eastAsia" w:ascii="仿宋" w:hAnsi="仿宋" w:eastAsia="仿宋" w:cs="仿宋"/>
          <w:b/>
          <w:bCs/>
          <w:kern w:val="2"/>
          <w:sz w:val="32"/>
          <w:szCs w:val="32"/>
          <w:lang w:val="en-US" w:eastAsia="zh-CN" w:bidi="ar-SA"/>
        </w:rPr>
        <w:t>3.池阳~机场2#变110千伏线路工程（2022年）</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系统方案：机场2#变1回接入池阳变。</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建设规模：新建线路34公里。</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建设必要性：该项目投运后将满足机场三期扩建项目专用变电站供电需求。</w:t>
      </w:r>
    </w:p>
    <w:p>
      <w:pPr>
        <w:pStyle w:val="7"/>
        <w:pageBreakBefore w:val="0"/>
        <w:widowControl w:val="0"/>
        <w:numPr>
          <w:ilvl w:val="3"/>
          <w:numId w:val="0"/>
        </w:numPr>
        <w:kinsoku/>
        <w:wordWrap/>
        <w:overflowPunct/>
        <w:topLinePunct w:val="0"/>
        <w:autoSpaceDE/>
        <w:autoSpaceDN/>
        <w:bidi w:val="0"/>
        <w:spacing w:beforeLines="0" w:afterLines="0" w:line="560" w:lineRule="exact"/>
        <w:ind w:leftChars="0" w:firstLine="643" w:firstLineChars="200"/>
        <w:textAlignment w:val="auto"/>
        <w:rPr>
          <w:rFonts w:hint="eastAsia" w:ascii="仿宋" w:hAnsi="仿宋" w:eastAsia="仿宋" w:cs="仿宋"/>
          <w:sz w:val="32"/>
          <w:szCs w:val="32"/>
        </w:rPr>
      </w:pPr>
      <w:r>
        <w:rPr>
          <w:rFonts w:hint="eastAsia" w:ascii="仿宋" w:hAnsi="仿宋" w:eastAsia="仿宋" w:cs="仿宋"/>
          <w:sz w:val="32"/>
          <w:szCs w:val="32"/>
          <w:lang w:val="en-US" w:eastAsia="zh-CN"/>
        </w:rPr>
        <w:t>4.</w:t>
      </w:r>
      <w:r>
        <w:rPr>
          <w:rFonts w:hint="eastAsia" w:ascii="仿宋" w:hAnsi="仿宋" w:eastAsia="仿宋" w:cs="仿宋"/>
          <w:sz w:val="32"/>
          <w:szCs w:val="32"/>
        </w:rPr>
        <w:t>朱家110千伏输变电工程（2023年）</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系统方案：双回接入秦汉330千伏变，双回接入南朱刘变。</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建设规模：新建变电容量2×50兆伏安，新建线路长度30公里。</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必要性：新建110千伏朱家变位于底张大街和崇仁路交叉路口东北角。新建朱家110千伏变能够转移韩湾变和底张变部分负荷，改善了该地区10千伏的电网结构，提高了供电可靠性。目前，朱家变所在地为韩湾变、底张变两个110千伏供电区的交汇处，处于两个供电区的末端，随着负荷的增长，10千伏末端电网供电压力大，可靠性低。所以，为了改善10千伏电网结构，提高供电可靠性，需要建设朱家110千伏变。</w:t>
      </w:r>
    </w:p>
    <w:p>
      <w:pPr>
        <w:pStyle w:val="7"/>
        <w:pageBreakBefore w:val="0"/>
        <w:widowControl w:val="0"/>
        <w:numPr>
          <w:ilvl w:val="3"/>
          <w:numId w:val="0"/>
        </w:numPr>
        <w:kinsoku/>
        <w:wordWrap/>
        <w:overflowPunct/>
        <w:topLinePunct w:val="0"/>
        <w:autoSpaceDE/>
        <w:autoSpaceDN/>
        <w:bidi w:val="0"/>
        <w:spacing w:beforeLines="0" w:afterLines="0" w:line="560" w:lineRule="exact"/>
        <w:ind w:leftChars="0" w:firstLine="643" w:firstLineChars="200"/>
        <w:textAlignment w:val="auto"/>
        <w:rPr>
          <w:rFonts w:hint="eastAsia" w:ascii="仿宋" w:hAnsi="仿宋" w:eastAsia="仿宋" w:cs="仿宋"/>
          <w:sz w:val="32"/>
          <w:szCs w:val="32"/>
        </w:rPr>
      </w:pPr>
      <w:r>
        <w:rPr>
          <w:rFonts w:hint="eastAsia" w:ascii="仿宋" w:hAnsi="仿宋" w:eastAsia="仿宋" w:cs="仿宋"/>
          <w:sz w:val="32"/>
          <w:szCs w:val="32"/>
          <w:lang w:val="en-US" w:eastAsia="zh-CN"/>
        </w:rPr>
        <w:t>5.</w:t>
      </w:r>
      <w:r>
        <w:rPr>
          <w:rFonts w:hint="eastAsia" w:ascii="仿宋" w:hAnsi="仿宋" w:eastAsia="仿宋" w:cs="仿宋"/>
          <w:sz w:val="32"/>
          <w:szCs w:val="32"/>
        </w:rPr>
        <w:t>顺陵110千伏输变电工程（2023年）</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系统方案：拟以双回110千伏线路接入秦汉330千伏变110千伏侧。</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建设必要性：位于舜寿大街与国定路交叉口西南角。该片区为空港产业组团，至 2025年最大负荷将达到60兆瓦，主供机场站前区商业、尧舜大街以北区域，包括航投大厦、孵化器产业园区等。本期2×50兆伏安，远期3×50兆伏安,110千伏为单母分段接线，本期出线两回，远期出线4回；10千伏本期单母分段接线，远期单母三分段接线。规划2023年建成投运。</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建设规模：本期主变规模为2×50兆伏安，远期为3×50兆伏安，新建至秦汉330千伏变的110千伏线路长度为2×11.2公里，电缆导线截面800mm</w:t>
      </w:r>
      <w:r>
        <w:rPr>
          <w:rFonts w:hint="eastAsia" w:ascii="仿宋_GB2312" w:hAnsi="仿宋_GB2312" w:eastAsia="仿宋_GB2312" w:cs="仿宋_GB2312"/>
          <w:kern w:val="2"/>
          <w:sz w:val="32"/>
          <w:szCs w:val="32"/>
          <w:vertAlign w:val="superscript"/>
          <w:lang w:val="en-US" w:eastAsia="zh-CN" w:bidi="ar-SA"/>
        </w:rPr>
        <w:t>2</w:t>
      </w:r>
      <w:r>
        <w:rPr>
          <w:rFonts w:hint="eastAsia" w:ascii="仿宋_GB2312" w:hAnsi="仿宋_GB2312" w:eastAsia="仿宋_GB2312" w:cs="仿宋_GB2312"/>
          <w:kern w:val="2"/>
          <w:sz w:val="32"/>
          <w:szCs w:val="32"/>
          <w:lang w:val="en-US" w:eastAsia="zh-CN" w:bidi="ar-SA"/>
        </w:rPr>
        <w:t>。</w:t>
      </w:r>
    </w:p>
    <w:p>
      <w:pPr>
        <w:pStyle w:val="7"/>
        <w:pageBreakBefore w:val="0"/>
        <w:widowControl w:val="0"/>
        <w:numPr>
          <w:ilvl w:val="3"/>
          <w:numId w:val="0"/>
        </w:numPr>
        <w:kinsoku/>
        <w:wordWrap/>
        <w:overflowPunct/>
        <w:topLinePunct w:val="0"/>
        <w:autoSpaceDE/>
        <w:autoSpaceDN/>
        <w:bidi w:val="0"/>
        <w:spacing w:beforeLines="0" w:afterLines="0" w:line="560" w:lineRule="exact"/>
        <w:ind w:leftChars="0" w:firstLine="643" w:firstLineChars="200"/>
        <w:textAlignment w:val="auto"/>
        <w:rPr>
          <w:rFonts w:hint="eastAsia" w:ascii="仿宋" w:hAnsi="仿宋" w:eastAsia="仿宋" w:cs="仿宋"/>
          <w:sz w:val="32"/>
          <w:szCs w:val="32"/>
        </w:rPr>
      </w:pPr>
      <w:r>
        <w:rPr>
          <w:rFonts w:hint="eastAsia" w:ascii="仿宋" w:hAnsi="仿宋" w:eastAsia="仿宋" w:cs="仿宋"/>
          <w:sz w:val="32"/>
          <w:szCs w:val="32"/>
          <w:lang w:val="en-US" w:eastAsia="zh-CN"/>
        </w:rPr>
        <w:t>6.</w:t>
      </w:r>
      <w:r>
        <w:rPr>
          <w:rFonts w:hint="eastAsia" w:ascii="仿宋" w:hAnsi="仿宋" w:eastAsia="仿宋" w:cs="仿宋"/>
          <w:sz w:val="32"/>
          <w:szCs w:val="32"/>
        </w:rPr>
        <w:t>空港330千伏变电站110千伏送出工程（2025年）</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系统方案：双“π”北杜变-韩湾变双回线路，单“π”周阎线路。</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建设规模：新建线路长度20公里。</w:t>
      </w:r>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r>
        <w:rPr>
          <w:rFonts w:eastAsia="仿宋"/>
          <w:sz w:val="32"/>
          <w:szCs w:val="32"/>
        </w:rPr>
        <w:t>沣东新城110千伏变电站布点规划</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“十四五”期间沣东新城新建变电站5座，新增变电容量500兆伏安，新建线路84公里。</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黑体" w:hAnsi="黑体" w:eastAsia="黑体" w:cs="黑体"/>
          <w:b w:val="0"/>
          <w:bCs w:val="0"/>
          <w:kern w:val="0"/>
          <w:sz w:val="28"/>
          <w:szCs w:val="28"/>
          <w:lang w:val="en-US" w:eastAsia="zh-CN" w:bidi="ar-SA"/>
        </w:rPr>
      </w:pPr>
      <w:r>
        <w:rPr>
          <w:rFonts w:hint="eastAsia" w:ascii="黑体" w:hAnsi="黑体" w:eastAsia="黑体" w:cs="黑体"/>
          <w:b w:val="0"/>
          <w:bCs w:val="0"/>
          <w:kern w:val="0"/>
          <w:sz w:val="28"/>
          <w:szCs w:val="28"/>
          <w:lang w:val="en-US" w:eastAsia="zh-CN" w:bidi="ar-SA"/>
        </w:rPr>
        <w:t>表8-3   沣东新城“十四五”规划项目建设规模</w:t>
      </w:r>
    </w:p>
    <w:tbl>
      <w:tblPr>
        <w:tblStyle w:val="88"/>
        <w:tblW w:w="8721" w:type="dxa"/>
        <w:tblInd w:w="0" w:type="dxa"/>
        <w:tblLayout w:type="fixed"/>
        <w:tblCellMar>
          <w:top w:w="0" w:type="dxa"/>
          <w:left w:w="108" w:type="dxa"/>
          <w:bottom w:w="0" w:type="dxa"/>
          <w:right w:w="108" w:type="dxa"/>
        </w:tblCellMar>
      </w:tblPr>
      <w:tblGrid>
        <w:gridCol w:w="533"/>
        <w:gridCol w:w="851"/>
        <w:gridCol w:w="2918"/>
        <w:gridCol w:w="534"/>
        <w:gridCol w:w="852"/>
        <w:gridCol w:w="1329"/>
        <w:gridCol w:w="1170"/>
        <w:gridCol w:w="534"/>
      </w:tblGrid>
      <w:tr>
        <w:tblPrEx>
          <w:tblCellMar>
            <w:top w:w="0" w:type="dxa"/>
            <w:left w:w="108" w:type="dxa"/>
            <w:bottom w:w="0" w:type="dxa"/>
            <w:right w:w="108" w:type="dxa"/>
          </w:tblCellMar>
        </w:tblPrEx>
        <w:trPr>
          <w:trHeight w:val="285" w:hRule="atLeast"/>
        </w:trPr>
        <w:tc>
          <w:tcPr>
            <w:tcW w:w="53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序号</w:t>
            </w:r>
          </w:p>
        </w:tc>
        <w:tc>
          <w:tcPr>
            <w:tcW w:w="851"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所属区域</w:t>
            </w:r>
          </w:p>
        </w:tc>
        <w:tc>
          <w:tcPr>
            <w:tcW w:w="2918"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项目名称</w:t>
            </w:r>
          </w:p>
        </w:tc>
        <w:tc>
          <w:tcPr>
            <w:tcW w:w="534"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性质</w:t>
            </w:r>
          </w:p>
        </w:tc>
        <w:tc>
          <w:tcPr>
            <w:tcW w:w="852"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投产时间</w:t>
            </w:r>
          </w:p>
        </w:tc>
        <w:tc>
          <w:tcPr>
            <w:tcW w:w="1329"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变电容量兆伏安</w:t>
            </w:r>
          </w:p>
        </w:tc>
        <w:tc>
          <w:tcPr>
            <w:tcW w:w="1170"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线路长度公里</w:t>
            </w:r>
          </w:p>
        </w:tc>
        <w:tc>
          <w:tcPr>
            <w:tcW w:w="534"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备注</w:t>
            </w:r>
          </w:p>
        </w:tc>
      </w:tr>
      <w:tr>
        <w:tblPrEx>
          <w:tblCellMar>
            <w:top w:w="0" w:type="dxa"/>
            <w:left w:w="108" w:type="dxa"/>
            <w:bottom w:w="0" w:type="dxa"/>
            <w:right w:w="108" w:type="dxa"/>
          </w:tblCellMar>
        </w:tblPrEx>
        <w:trPr>
          <w:trHeight w:val="285" w:hRule="atLeast"/>
        </w:trPr>
        <w:tc>
          <w:tcPr>
            <w:tcW w:w="533"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w:t>
            </w:r>
          </w:p>
        </w:tc>
        <w:tc>
          <w:tcPr>
            <w:tcW w:w="851" w:type="dxa"/>
            <w:vMerge w:val="restart"/>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沣东新城</w:t>
            </w:r>
          </w:p>
        </w:tc>
        <w:tc>
          <w:tcPr>
            <w:tcW w:w="291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富裕110千伏输变电工程</w:t>
            </w:r>
          </w:p>
        </w:tc>
        <w:tc>
          <w:tcPr>
            <w:tcW w:w="53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新建</w:t>
            </w:r>
          </w:p>
        </w:tc>
        <w:tc>
          <w:tcPr>
            <w:tcW w:w="85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2022</w:t>
            </w:r>
          </w:p>
        </w:tc>
        <w:tc>
          <w:tcPr>
            <w:tcW w:w="13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100</w:t>
            </w:r>
          </w:p>
        </w:tc>
        <w:tc>
          <w:tcPr>
            <w:tcW w:w="117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11</w:t>
            </w:r>
          </w:p>
        </w:tc>
        <w:tc>
          <w:tcPr>
            <w:tcW w:w="53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国网</w:t>
            </w:r>
          </w:p>
        </w:tc>
      </w:tr>
      <w:tr>
        <w:tblPrEx>
          <w:tblCellMar>
            <w:top w:w="0" w:type="dxa"/>
            <w:left w:w="108" w:type="dxa"/>
            <w:bottom w:w="0" w:type="dxa"/>
            <w:right w:w="108" w:type="dxa"/>
          </w:tblCellMar>
        </w:tblPrEx>
        <w:trPr>
          <w:trHeight w:val="285" w:hRule="atLeast"/>
        </w:trPr>
        <w:tc>
          <w:tcPr>
            <w:tcW w:w="533"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w:t>
            </w:r>
          </w:p>
        </w:tc>
        <w:tc>
          <w:tcPr>
            <w:tcW w:w="851"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hint="eastAsia" w:ascii="方正仿宋_GB2312" w:hAnsi="方正仿宋_GB2312" w:eastAsia="方正仿宋_GB2312" w:cs="方正仿宋_GB2312"/>
                <w:color w:val="000000"/>
                <w:kern w:val="0"/>
                <w:sz w:val="18"/>
                <w:szCs w:val="18"/>
              </w:rPr>
            </w:pPr>
          </w:p>
        </w:tc>
        <w:tc>
          <w:tcPr>
            <w:tcW w:w="291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广场110千伏输变电工程</w:t>
            </w:r>
          </w:p>
        </w:tc>
        <w:tc>
          <w:tcPr>
            <w:tcW w:w="53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新建</w:t>
            </w:r>
          </w:p>
        </w:tc>
        <w:tc>
          <w:tcPr>
            <w:tcW w:w="85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2022</w:t>
            </w:r>
          </w:p>
        </w:tc>
        <w:tc>
          <w:tcPr>
            <w:tcW w:w="13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100</w:t>
            </w:r>
          </w:p>
        </w:tc>
        <w:tc>
          <w:tcPr>
            <w:tcW w:w="117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9</w:t>
            </w:r>
          </w:p>
        </w:tc>
        <w:tc>
          <w:tcPr>
            <w:tcW w:w="53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国网</w:t>
            </w:r>
          </w:p>
        </w:tc>
      </w:tr>
      <w:tr>
        <w:tblPrEx>
          <w:tblCellMar>
            <w:top w:w="0" w:type="dxa"/>
            <w:left w:w="108" w:type="dxa"/>
            <w:bottom w:w="0" w:type="dxa"/>
            <w:right w:w="108" w:type="dxa"/>
          </w:tblCellMar>
        </w:tblPrEx>
        <w:trPr>
          <w:trHeight w:val="285" w:hRule="atLeast"/>
        </w:trPr>
        <w:tc>
          <w:tcPr>
            <w:tcW w:w="533"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3</w:t>
            </w:r>
          </w:p>
        </w:tc>
        <w:tc>
          <w:tcPr>
            <w:tcW w:w="851"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hint="eastAsia" w:ascii="方正仿宋_GB2312" w:hAnsi="方正仿宋_GB2312" w:eastAsia="方正仿宋_GB2312" w:cs="方正仿宋_GB2312"/>
                <w:color w:val="000000"/>
                <w:kern w:val="0"/>
                <w:sz w:val="18"/>
                <w:szCs w:val="18"/>
              </w:rPr>
            </w:pPr>
          </w:p>
        </w:tc>
        <w:tc>
          <w:tcPr>
            <w:tcW w:w="291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细柳110千伏输变电工程</w:t>
            </w:r>
          </w:p>
        </w:tc>
        <w:tc>
          <w:tcPr>
            <w:tcW w:w="53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新建</w:t>
            </w:r>
          </w:p>
        </w:tc>
        <w:tc>
          <w:tcPr>
            <w:tcW w:w="85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2023</w:t>
            </w:r>
          </w:p>
        </w:tc>
        <w:tc>
          <w:tcPr>
            <w:tcW w:w="13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100</w:t>
            </w:r>
          </w:p>
        </w:tc>
        <w:tc>
          <w:tcPr>
            <w:tcW w:w="117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8</w:t>
            </w:r>
          </w:p>
        </w:tc>
        <w:tc>
          <w:tcPr>
            <w:tcW w:w="53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国网</w:t>
            </w:r>
          </w:p>
        </w:tc>
      </w:tr>
      <w:tr>
        <w:tblPrEx>
          <w:tblCellMar>
            <w:top w:w="0" w:type="dxa"/>
            <w:left w:w="108" w:type="dxa"/>
            <w:bottom w:w="0" w:type="dxa"/>
            <w:right w:w="108" w:type="dxa"/>
          </w:tblCellMar>
        </w:tblPrEx>
        <w:trPr>
          <w:trHeight w:val="285" w:hRule="atLeast"/>
        </w:trPr>
        <w:tc>
          <w:tcPr>
            <w:tcW w:w="533"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4</w:t>
            </w:r>
          </w:p>
        </w:tc>
        <w:tc>
          <w:tcPr>
            <w:tcW w:w="851"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hint="eastAsia" w:ascii="方正仿宋_GB2312" w:hAnsi="方正仿宋_GB2312" w:eastAsia="方正仿宋_GB2312" w:cs="方正仿宋_GB2312"/>
                <w:color w:val="000000"/>
                <w:kern w:val="0"/>
                <w:sz w:val="18"/>
                <w:szCs w:val="18"/>
              </w:rPr>
            </w:pPr>
          </w:p>
        </w:tc>
        <w:tc>
          <w:tcPr>
            <w:tcW w:w="291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沣渭330千伏变电站110千伏送出工程</w:t>
            </w:r>
          </w:p>
        </w:tc>
        <w:tc>
          <w:tcPr>
            <w:tcW w:w="53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新建</w:t>
            </w:r>
          </w:p>
        </w:tc>
        <w:tc>
          <w:tcPr>
            <w:tcW w:w="85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2023</w:t>
            </w:r>
          </w:p>
        </w:tc>
        <w:tc>
          <w:tcPr>
            <w:tcW w:w="13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0</w:t>
            </w:r>
          </w:p>
        </w:tc>
        <w:tc>
          <w:tcPr>
            <w:tcW w:w="117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28</w:t>
            </w:r>
          </w:p>
        </w:tc>
        <w:tc>
          <w:tcPr>
            <w:tcW w:w="53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国网</w:t>
            </w:r>
          </w:p>
        </w:tc>
      </w:tr>
      <w:tr>
        <w:tblPrEx>
          <w:tblCellMar>
            <w:top w:w="0" w:type="dxa"/>
            <w:left w:w="108" w:type="dxa"/>
            <w:bottom w:w="0" w:type="dxa"/>
            <w:right w:w="108" w:type="dxa"/>
          </w:tblCellMar>
        </w:tblPrEx>
        <w:trPr>
          <w:trHeight w:val="285" w:hRule="atLeast"/>
        </w:trPr>
        <w:tc>
          <w:tcPr>
            <w:tcW w:w="533"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5</w:t>
            </w:r>
          </w:p>
        </w:tc>
        <w:tc>
          <w:tcPr>
            <w:tcW w:w="851"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hint="eastAsia" w:ascii="方正仿宋_GB2312" w:hAnsi="方正仿宋_GB2312" w:eastAsia="方正仿宋_GB2312" w:cs="方正仿宋_GB2312"/>
                <w:color w:val="000000"/>
                <w:kern w:val="0"/>
                <w:sz w:val="18"/>
                <w:szCs w:val="18"/>
              </w:rPr>
            </w:pPr>
          </w:p>
        </w:tc>
        <w:tc>
          <w:tcPr>
            <w:tcW w:w="291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泾明110千伏输变电工程</w:t>
            </w:r>
          </w:p>
        </w:tc>
        <w:tc>
          <w:tcPr>
            <w:tcW w:w="53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新建</w:t>
            </w:r>
          </w:p>
        </w:tc>
        <w:tc>
          <w:tcPr>
            <w:tcW w:w="85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2023</w:t>
            </w:r>
          </w:p>
        </w:tc>
        <w:tc>
          <w:tcPr>
            <w:tcW w:w="13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100</w:t>
            </w:r>
          </w:p>
        </w:tc>
        <w:tc>
          <w:tcPr>
            <w:tcW w:w="117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24</w:t>
            </w:r>
          </w:p>
        </w:tc>
        <w:tc>
          <w:tcPr>
            <w:tcW w:w="53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国网</w:t>
            </w:r>
          </w:p>
        </w:tc>
      </w:tr>
      <w:tr>
        <w:tblPrEx>
          <w:tblCellMar>
            <w:top w:w="0" w:type="dxa"/>
            <w:left w:w="108" w:type="dxa"/>
            <w:bottom w:w="0" w:type="dxa"/>
            <w:right w:w="108" w:type="dxa"/>
          </w:tblCellMar>
        </w:tblPrEx>
        <w:trPr>
          <w:trHeight w:val="285" w:hRule="atLeast"/>
        </w:trPr>
        <w:tc>
          <w:tcPr>
            <w:tcW w:w="533"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6</w:t>
            </w:r>
          </w:p>
        </w:tc>
        <w:tc>
          <w:tcPr>
            <w:tcW w:w="851"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hint="eastAsia" w:ascii="方正仿宋_GB2312" w:hAnsi="方正仿宋_GB2312" w:eastAsia="方正仿宋_GB2312" w:cs="方正仿宋_GB2312"/>
                <w:color w:val="000000"/>
                <w:kern w:val="0"/>
                <w:sz w:val="18"/>
                <w:szCs w:val="18"/>
              </w:rPr>
            </w:pPr>
          </w:p>
        </w:tc>
        <w:tc>
          <w:tcPr>
            <w:tcW w:w="291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陇海110千伏输变电工程</w:t>
            </w:r>
          </w:p>
        </w:tc>
        <w:tc>
          <w:tcPr>
            <w:tcW w:w="53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新建</w:t>
            </w:r>
          </w:p>
        </w:tc>
        <w:tc>
          <w:tcPr>
            <w:tcW w:w="85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2025</w:t>
            </w:r>
          </w:p>
        </w:tc>
        <w:tc>
          <w:tcPr>
            <w:tcW w:w="13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100</w:t>
            </w:r>
          </w:p>
        </w:tc>
        <w:tc>
          <w:tcPr>
            <w:tcW w:w="117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4</w:t>
            </w:r>
          </w:p>
        </w:tc>
        <w:tc>
          <w:tcPr>
            <w:tcW w:w="53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国网</w:t>
            </w:r>
          </w:p>
        </w:tc>
      </w:tr>
      <w:tr>
        <w:tblPrEx>
          <w:tblCellMar>
            <w:top w:w="0" w:type="dxa"/>
            <w:left w:w="108" w:type="dxa"/>
            <w:bottom w:w="0" w:type="dxa"/>
            <w:right w:w="108" w:type="dxa"/>
          </w:tblCellMar>
        </w:tblPrEx>
        <w:trPr>
          <w:trHeight w:val="285" w:hRule="atLeast"/>
        </w:trPr>
        <w:tc>
          <w:tcPr>
            <w:tcW w:w="5688"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沣东新城合计</w:t>
            </w:r>
          </w:p>
        </w:tc>
        <w:tc>
          <w:tcPr>
            <w:tcW w:w="13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500</w:t>
            </w:r>
          </w:p>
        </w:tc>
        <w:tc>
          <w:tcPr>
            <w:tcW w:w="117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84</w:t>
            </w:r>
          </w:p>
        </w:tc>
        <w:tc>
          <w:tcPr>
            <w:tcW w:w="53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　</w:t>
            </w:r>
          </w:p>
        </w:tc>
      </w:tr>
    </w:tbl>
    <w:p>
      <w:pPr>
        <w:pStyle w:val="7"/>
        <w:pageBreakBefore w:val="0"/>
        <w:widowControl w:val="0"/>
        <w:numPr>
          <w:ilvl w:val="3"/>
          <w:numId w:val="0"/>
        </w:numPr>
        <w:kinsoku/>
        <w:wordWrap/>
        <w:overflowPunct/>
        <w:topLinePunct w:val="0"/>
        <w:autoSpaceDE/>
        <w:autoSpaceDN/>
        <w:bidi w:val="0"/>
        <w:spacing w:beforeLines="0" w:afterLines="0" w:line="560" w:lineRule="exact"/>
        <w:textAlignment w:val="auto"/>
        <w:rPr>
          <w:rFonts w:hint="eastAsia" w:ascii="仿宋" w:hAnsi="仿宋" w:eastAsia="仿宋" w:cs="仿宋"/>
          <w:sz w:val="32"/>
          <w:szCs w:val="32"/>
          <w:lang w:val="en-US" w:eastAsia="zh-CN"/>
        </w:rPr>
      </w:pPr>
    </w:p>
    <w:p>
      <w:pPr>
        <w:pStyle w:val="7"/>
        <w:pageBreakBefore w:val="0"/>
        <w:widowControl w:val="0"/>
        <w:numPr>
          <w:ilvl w:val="3"/>
          <w:numId w:val="0"/>
        </w:numPr>
        <w:kinsoku/>
        <w:wordWrap/>
        <w:overflowPunct/>
        <w:topLinePunct w:val="0"/>
        <w:autoSpaceDE/>
        <w:autoSpaceDN/>
        <w:bidi w:val="0"/>
        <w:spacing w:beforeLines="0" w:afterLines="0" w:line="560" w:lineRule="exact"/>
        <w:ind w:leftChars="0" w:firstLine="643" w:firstLineChars="200"/>
        <w:textAlignment w:val="auto"/>
        <w:rPr>
          <w:rFonts w:hint="eastAsia" w:ascii="仿宋" w:hAnsi="仿宋" w:eastAsia="仿宋" w:cs="仿宋"/>
          <w:sz w:val="32"/>
          <w:szCs w:val="32"/>
        </w:rPr>
      </w:pPr>
      <w:r>
        <w:rPr>
          <w:rFonts w:hint="eastAsia" w:ascii="仿宋" w:hAnsi="仿宋" w:eastAsia="仿宋" w:cs="仿宋"/>
          <w:sz w:val="32"/>
          <w:szCs w:val="32"/>
          <w:lang w:val="en-US" w:eastAsia="zh-CN"/>
        </w:rPr>
        <w:t>1.</w:t>
      </w:r>
      <w:r>
        <w:rPr>
          <w:rFonts w:hint="eastAsia" w:ascii="仿宋" w:hAnsi="仿宋" w:eastAsia="仿宋" w:cs="仿宋"/>
          <w:sz w:val="32"/>
          <w:szCs w:val="32"/>
        </w:rPr>
        <w:t>富裕110千伏输变电工程（2022年）</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系统方案：单“π”斗门变-镐京变线路，同时分别建设至斗门变和镐京变的1回线路。</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建设规模：新建变电容量2×50兆伏安，新建线路长度11公里。</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建设必要性：新建110千伏富裕变位于位于昆明三路与丰镐大道十字西北角，主供沣东新城镐京优美小镇板块区域负荷。目前沣东新城镐京优美小镇板块区域现状主要由110千伏镐京变电站的181 间隔供电。镐京变距镐京优美小镇负荷中心约11公里。2019 年镐京变最大负荷达到40.38兆瓦。110千伏 统源变至镐京优美小镇板块负荷中心约7公里，2018 年最大负荷为21.18兆瓦。统源变在沣东新城规划中主要向科技统筹示范板块供电。预测到新增大负荷将达到50.87兆瓦。镐京变与统源变距离负荷中心都超过了3公里，如果继续由这两个变电站进行供电，供电半径过大，供电质量差。不能满足规划的需求。因此需要在镐京优美小镇板块区域内进行布点建设富裕110千伏变电站。</w:t>
      </w:r>
    </w:p>
    <w:p>
      <w:pPr>
        <w:pStyle w:val="7"/>
        <w:pageBreakBefore w:val="0"/>
        <w:widowControl w:val="0"/>
        <w:numPr>
          <w:ilvl w:val="3"/>
          <w:numId w:val="0"/>
        </w:numPr>
        <w:kinsoku/>
        <w:wordWrap/>
        <w:overflowPunct/>
        <w:topLinePunct w:val="0"/>
        <w:autoSpaceDE/>
        <w:autoSpaceDN/>
        <w:bidi w:val="0"/>
        <w:spacing w:beforeLines="0" w:afterLines="0" w:line="560" w:lineRule="exact"/>
        <w:ind w:leftChars="0" w:firstLine="643" w:firstLineChars="200"/>
        <w:textAlignment w:val="auto"/>
        <w:rPr>
          <w:rFonts w:hint="eastAsia" w:ascii="仿宋" w:hAnsi="仿宋" w:eastAsia="仿宋" w:cs="仿宋"/>
          <w:sz w:val="32"/>
          <w:szCs w:val="32"/>
        </w:rPr>
      </w:pPr>
      <w:r>
        <w:rPr>
          <w:rFonts w:hint="eastAsia" w:ascii="仿宋" w:hAnsi="仿宋" w:eastAsia="仿宋" w:cs="仿宋"/>
          <w:sz w:val="32"/>
          <w:szCs w:val="32"/>
          <w:lang w:val="en-US" w:eastAsia="zh-CN"/>
        </w:rPr>
        <w:t>2.</w:t>
      </w:r>
      <w:r>
        <w:rPr>
          <w:rFonts w:hint="eastAsia" w:ascii="仿宋" w:hAnsi="仿宋" w:eastAsia="仿宋" w:cs="仿宋"/>
          <w:sz w:val="32"/>
          <w:szCs w:val="32"/>
        </w:rPr>
        <w:t>广场110千伏输变电工程（2022年）</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系统方案：本期广场110千伏变以4回110千伏线路双“π”接入统源（沣渭）变-阿房变双回110千伏线路。</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建设规模：新建变电容量2×50兆伏安，新建线路长度9公里。</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必要性：新建110千伏广场变位于阿房宫遗址旅游区西部。该变电站供电区域由商业金融、文化娱乐、居住用地组成，近期周边入驻项目有陕西文化博物院一期、和平春天、陕西沣东（国际）医院、航天实业、沣东影视基地项目项目等，随着经济的不断发展，负荷的用电需求日益增长，故规划新建110千伏广场变，为周围的发展建设提供充足的电力供应。</w:t>
      </w:r>
    </w:p>
    <w:p>
      <w:pPr>
        <w:pStyle w:val="7"/>
        <w:pageBreakBefore w:val="0"/>
        <w:widowControl w:val="0"/>
        <w:numPr>
          <w:ilvl w:val="3"/>
          <w:numId w:val="0"/>
        </w:numPr>
        <w:kinsoku/>
        <w:wordWrap/>
        <w:overflowPunct/>
        <w:topLinePunct w:val="0"/>
        <w:autoSpaceDE/>
        <w:autoSpaceDN/>
        <w:bidi w:val="0"/>
        <w:spacing w:beforeLines="0" w:afterLines="0" w:line="560" w:lineRule="exact"/>
        <w:ind w:leftChars="0" w:firstLine="643" w:firstLineChars="200"/>
        <w:textAlignment w:val="auto"/>
        <w:rPr>
          <w:rFonts w:hint="eastAsia" w:ascii="仿宋" w:hAnsi="仿宋" w:eastAsia="仿宋" w:cs="仿宋"/>
          <w:sz w:val="32"/>
          <w:szCs w:val="32"/>
        </w:rPr>
      </w:pPr>
      <w:r>
        <w:rPr>
          <w:rFonts w:hint="eastAsia" w:ascii="仿宋" w:hAnsi="仿宋" w:eastAsia="仿宋" w:cs="仿宋"/>
          <w:sz w:val="32"/>
          <w:szCs w:val="32"/>
          <w:lang w:val="en-US" w:eastAsia="zh-CN"/>
        </w:rPr>
        <w:t>3.</w:t>
      </w:r>
      <w:r>
        <w:rPr>
          <w:rFonts w:hint="eastAsia" w:ascii="仿宋" w:hAnsi="仿宋" w:eastAsia="仿宋" w:cs="仿宋"/>
          <w:sz w:val="32"/>
          <w:szCs w:val="32"/>
        </w:rPr>
        <w:t>细柳110千伏输变电工程（2023年）</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系统方案：双“π”接入沣河-文景双回线路。</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建设规模：新建变电容量2×50兆伏安，新建线路长度8公里。</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必要性：新建110千伏细柳变位于科统四路与沣泾大道交叉路口西北角。规划新建110千伏细柳变主要保障科技统筹示范区域未来用电需求。西苏该站主要定位是为能源金融贸易区供电，故需新建细柳变以满足科统区板块北部区的用电需求。考虑西咸新区 “建设现代化大西安新中心”的发展定位和“追赶超越”的发展要求，需要提高空港、沣东、秦汉、能源金贸区4个自贸区板块的可靠供电性。新建细柳变解决了配网线路由于缺少必要的电源点支撑而网架结构薄弱，10千伏供电半径大、末端电压低及电能质量差的问题，提高了供电可靠性。综上所述，为满足沣东自贸区板块区域的开发建设及负荷增长需求，缓解地区供电压力，提高供电可靠性，建设细柳 110千伏 输变电工程是十分必要的。</w:t>
      </w:r>
    </w:p>
    <w:p>
      <w:pPr>
        <w:pStyle w:val="7"/>
        <w:pageBreakBefore w:val="0"/>
        <w:widowControl w:val="0"/>
        <w:numPr>
          <w:ilvl w:val="3"/>
          <w:numId w:val="0"/>
        </w:numPr>
        <w:kinsoku/>
        <w:wordWrap/>
        <w:overflowPunct/>
        <w:topLinePunct w:val="0"/>
        <w:autoSpaceDE/>
        <w:autoSpaceDN/>
        <w:bidi w:val="0"/>
        <w:spacing w:beforeLines="0" w:afterLines="0" w:line="560" w:lineRule="exact"/>
        <w:ind w:leftChars="0" w:firstLine="643" w:firstLineChars="200"/>
        <w:textAlignment w:val="auto"/>
        <w:rPr>
          <w:rFonts w:hint="eastAsia" w:ascii="仿宋" w:hAnsi="仿宋" w:eastAsia="仿宋" w:cs="仿宋"/>
          <w:sz w:val="32"/>
          <w:szCs w:val="32"/>
        </w:rPr>
      </w:pPr>
      <w:r>
        <w:rPr>
          <w:rFonts w:hint="eastAsia" w:ascii="仿宋" w:hAnsi="仿宋" w:eastAsia="仿宋" w:cs="仿宋"/>
          <w:sz w:val="32"/>
          <w:szCs w:val="32"/>
          <w:lang w:val="en-US" w:eastAsia="zh-CN"/>
        </w:rPr>
        <w:t>4.</w:t>
      </w:r>
      <w:r>
        <w:rPr>
          <w:rFonts w:hint="eastAsia" w:ascii="仿宋" w:hAnsi="仿宋" w:eastAsia="仿宋" w:cs="仿宋"/>
          <w:sz w:val="32"/>
          <w:szCs w:val="32"/>
        </w:rPr>
        <w:t>沣渭330千伏变电站110千伏送出工程（2023年）</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系统方案：沣渭变双π入统源—广场双回线路；富裕双T线路改接入沣渭变，镐京变双回接入沣渭变，昆明池变单π入鱼化—镐京另一回线。</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建设规模：新建线路28公里</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建设必要性：优化沣东新城南部区域网架结构，缓解沣河变供电压力，提升大轴线中心供电可靠性。</w:t>
      </w:r>
    </w:p>
    <w:p>
      <w:pPr>
        <w:pStyle w:val="7"/>
        <w:pageBreakBefore w:val="0"/>
        <w:widowControl w:val="0"/>
        <w:numPr>
          <w:ilvl w:val="3"/>
          <w:numId w:val="0"/>
        </w:numPr>
        <w:kinsoku/>
        <w:wordWrap/>
        <w:overflowPunct/>
        <w:topLinePunct w:val="0"/>
        <w:autoSpaceDE/>
        <w:autoSpaceDN/>
        <w:bidi w:val="0"/>
        <w:spacing w:beforeLines="0" w:afterLines="0" w:line="560" w:lineRule="exact"/>
        <w:ind w:leftChars="0" w:firstLine="643" w:firstLineChars="200"/>
        <w:textAlignment w:val="auto"/>
        <w:rPr>
          <w:rFonts w:hint="eastAsia" w:ascii="仿宋" w:hAnsi="仿宋" w:eastAsia="仿宋" w:cs="仿宋"/>
          <w:sz w:val="32"/>
          <w:szCs w:val="32"/>
        </w:rPr>
      </w:pPr>
      <w:r>
        <w:rPr>
          <w:rFonts w:hint="eastAsia" w:ascii="仿宋" w:hAnsi="仿宋" w:eastAsia="仿宋" w:cs="仿宋"/>
          <w:sz w:val="32"/>
          <w:szCs w:val="32"/>
          <w:lang w:val="en-US" w:eastAsia="zh-CN"/>
        </w:rPr>
        <w:t>5.</w:t>
      </w:r>
      <w:r>
        <w:rPr>
          <w:rFonts w:hint="eastAsia" w:ascii="仿宋" w:hAnsi="仿宋" w:eastAsia="仿宋" w:cs="仿宋"/>
          <w:sz w:val="32"/>
          <w:szCs w:val="32"/>
        </w:rPr>
        <w:t>泾明110千伏输变电工程（202</w:t>
      </w:r>
      <w:r>
        <w:rPr>
          <w:rFonts w:hint="eastAsia" w:ascii="仿宋" w:hAnsi="仿宋" w:eastAsia="仿宋" w:cs="仿宋"/>
          <w:sz w:val="32"/>
          <w:szCs w:val="32"/>
          <w:lang w:val="en-US" w:eastAsia="zh-CN"/>
        </w:rPr>
        <w:t>3</w:t>
      </w:r>
      <w:r>
        <w:rPr>
          <w:rFonts w:hint="eastAsia" w:ascii="仿宋" w:hAnsi="仿宋" w:eastAsia="仿宋" w:cs="仿宋"/>
          <w:sz w:val="32"/>
          <w:szCs w:val="32"/>
        </w:rPr>
        <w:t>年）</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系统方案：双回接入沣渭330千伏变，双回接入训善330千伏变。</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建设规模：新建变电容量2×50兆伏安，新建线路长度24公里。</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建设必要性：规划新建110千伏泾明变位于丰镐大道与京昆高速交叉路口东北角。主要保障昆明池西南区域未来用电需求。</w:t>
      </w:r>
    </w:p>
    <w:p>
      <w:pPr>
        <w:pStyle w:val="7"/>
        <w:pageBreakBefore w:val="0"/>
        <w:widowControl w:val="0"/>
        <w:numPr>
          <w:ilvl w:val="3"/>
          <w:numId w:val="0"/>
        </w:numPr>
        <w:kinsoku/>
        <w:wordWrap/>
        <w:overflowPunct/>
        <w:topLinePunct w:val="0"/>
        <w:autoSpaceDE/>
        <w:autoSpaceDN/>
        <w:bidi w:val="0"/>
        <w:spacing w:beforeLines="0" w:afterLines="0" w:line="560" w:lineRule="exact"/>
        <w:ind w:leftChars="0" w:firstLine="643" w:firstLineChars="200"/>
        <w:textAlignment w:val="auto"/>
        <w:rPr>
          <w:rFonts w:hint="eastAsia" w:ascii="仿宋" w:hAnsi="仿宋" w:eastAsia="仿宋" w:cs="仿宋"/>
          <w:sz w:val="32"/>
          <w:szCs w:val="32"/>
        </w:rPr>
      </w:pPr>
      <w:r>
        <w:rPr>
          <w:rFonts w:hint="eastAsia" w:ascii="仿宋" w:hAnsi="仿宋" w:eastAsia="仿宋" w:cs="仿宋"/>
          <w:sz w:val="32"/>
          <w:szCs w:val="32"/>
          <w:lang w:val="en-US" w:eastAsia="zh-CN"/>
        </w:rPr>
        <w:t>6.</w:t>
      </w:r>
      <w:r>
        <w:rPr>
          <w:rFonts w:hint="eastAsia" w:ascii="仿宋" w:hAnsi="仿宋" w:eastAsia="仿宋" w:cs="仿宋"/>
          <w:sz w:val="32"/>
          <w:szCs w:val="32"/>
        </w:rPr>
        <w:t>陇海110千伏输变电工程（2025年）</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系统方案：双π接入沣河变-上林变。双T改为直接进入沣河。</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建设规模：新建变电容量2×50兆伏安，新建线路长度4公里。</w:t>
      </w:r>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r>
        <w:rPr>
          <w:rFonts w:eastAsia="仿宋"/>
          <w:sz w:val="32"/>
          <w:szCs w:val="32"/>
        </w:rPr>
        <w:t>秦汉新城110千伏变电站布点规划</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“十四五”期间秦汉新城新建变电站3座，新增变电容量300兆伏安，新建线路68公里。</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黑体" w:hAnsi="黑体" w:eastAsia="黑体" w:cs="黑体"/>
          <w:b w:val="0"/>
          <w:bCs w:val="0"/>
          <w:kern w:val="0"/>
          <w:sz w:val="28"/>
          <w:szCs w:val="28"/>
          <w:lang w:val="en-US" w:eastAsia="zh-CN" w:bidi="ar-SA"/>
        </w:rPr>
      </w:pPr>
      <w:r>
        <w:rPr>
          <w:rFonts w:hint="eastAsia" w:ascii="黑体" w:hAnsi="黑体" w:eastAsia="黑体" w:cs="黑体"/>
          <w:b w:val="0"/>
          <w:bCs w:val="0"/>
          <w:kern w:val="0"/>
          <w:sz w:val="28"/>
          <w:szCs w:val="28"/>
          <w:lang w:val="en-US" w:eastAsia="zh-CN" w:bidi="ar-SA"/>
        </w:rPr>
        <w:t>表8-4   秦汉新城“十四五”规划项目建设规模</w:t>
      </w:r>
    </w:p>
    <w:tbl>
      <w:tblPr>
        <w:tblStyle w:val="88"/>
        <w:tblW w:w="8721" w:type="dxa"/>
        <w:tblInd w:w="0" w:type="dxa"/>
        <w:tblLayout w:type="fixed"/>
        <w:tblCellMar>
          <w:top w:w="0" w:type="dxa"/>
          <w:left w:w="108" w:type="dxa"/>
          <w:bottom w:w="0" w:type="dxa"/>
          <w:right w:w="108" w:type="dxa"/>
        </w:tblCellMar>
      </w:tblPr>
      <w:tblGrid>
        <w:gridCol w:w="533"/>
        <w:gridCol w:w="851"/>
        <w:gridCol w:w="2918"/>
        <w:gridCol w:w="534"/>
        <w:gridCol w:w="852"/>
        <w:gridCol w:w="1329"/>
        <w:gridCol w:w="1170"/>
        <w:gridCol w:w="534"/>
      </w:tblGrid>
      <w:tr>
        <w:tblPrEx>
          <w:tblCellMar>
            <w:top w:w="0" w:type="dxa"/>
            <w:left w:w="108" w:type="dxa"/>
            <w:bottom w:w="0" w:type="dxa"/>
            <w:right w:w="108" w:type="dxa"/>
          </w:tblCellMar>
        </w:tblPrEx>
        <w:trPr>
          <w:trHeight w:val="285" w:hRule="atLeast"/>
        </w:trPr>
        <w:tc>
          <w:tcPr>
            <w:tcW w:w="53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序号</w:t>
            </w:r>
          </w:p>
        </w:tc>
        <w:tc>
          <w:tcPr>
            <w:tcW w:w="851"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所属区域</w:t>
            </w:r>
          </w:p>
        </w:tc>
        <w:tc>
          <w:tcPr>
            <w:tcW w:w="2918"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项目名称</w:t>
            </w:r>
          </w:p>
        </w:tc>
        <w:tc>
          <w:tcPr>
            <w:tcW w:w="534"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性质</w:t>
            </w:r>
          </w:p>
        </w:tc>
        <w:tc>
          <w:tcPr>
            <w:tcW w:w="852"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投产时间</w:t>
            </w:r>
          </w:p>
        </w:tc>
        <w:tc>
          <w:tcPr>
            <w:tcW w:w="1329"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变电容量兆伏安</w:t>
            </w:r>
          </w:p>
        </w:tc>
        <w:tc>
          <w:tcPr>
            <w:tcW w:w="1170"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线路长度公里</w:t>
            </w:r>
          </w:p>
        </w:tc>
        <w:tc>
          <w:tcPr>
            <w:tcW w:w="534"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备注</w:t>
            </w:r>
          </w:p>
        </w:tc>
      </w:tr>
      <w:tr>
        <w:tblPrEx>
          <w:tblCellMar>
            <w:top w:w="0" w:type="dxa"/>
            <w:left w:w="108" w:type="dxa"/>
            <w:bottom w:w="0" w:type="dxa"/>
            <w:right w:w="108" w:type="dxa"/>
          </w:tblCellMar>
        </w:tblPrEx>
        <w:trPr>
          <w:trHeight w:val="285" w:hRule="atLeast"/>
        </w:trPr>
        <w:tc>
          <w:tcPr>
            <w:tcW w:w="533"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w:t>
            </w:r>
          </w:p>
        </w:tc>
        <w:tc>
          <w:tcPr>
            <w:tcW w:w="851" w:type="dxa"/>
            <w:vMerge w:val="restart"/>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秦汉新城</w:t>
            </w:r>
          </w:p>
        </w:tc>
        <w:tc>
          <w:tcPr>
            <w:tcW w:w="291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秦汉330千伏变电站110千伏送出工程</w:t>
            </w:r>
          </w:p>
        </w:tc>
        <w:tc>
          <w:tcPr>
            <w:tcW w:w="53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新建</w:t>
            </w:r>
          </w:p>
        </w:tc>
        <w:tc>
          <w:tcPr>
            <w:tcW w:w="85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2022</w:t>
            </w:r>
          </w:p>
        </w:tc>
        <w:tc>
          <w:tcPr>
            <w:tcW w:w="13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0</w:t>
            </w:r>
          </w:p>
        </w:tc>
        <w:tc>
          <w:tcPr>
            <w:tcW w:w="117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50</w:t>
            </w:r>
          </w:p>
        </w:tc>
        <w:tc>
          <w:tcPr>
            <w:tcW w:w="53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国网</w:t>
            </w:r>
          </w:p>
        </w:tc>
      </w:tr>
      <w:tr>
        <w:tblPrEx>
          <w:tblCellMar>
            <w:top w:w="0" w:type="dxa"/>
            <w:left w:w="108" w:type="dxa"/>
            <w:bottom w:w="0" w:type="dxa"/>
            <w:right w:w="108" w:type="dxa"/>
          </w:tblCellMar>
        </w:tblPrEx>
        <w:trPr>
          <w:trHeight w:val="285" w:hRule="atLeast"/>
        </w:trPr>
        <w:tc>
          <w:tcPr>
            <w:tcW w:w="533"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w:t>
            </w:r>
          </w:p>
        </w:tc>
        <w:tc>
          <w:tcPr>
            <w:tcW w:w="851"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hint="eastAsia" w:ascii="方正仿宋_GB2312" w:hAnsi="方正仿宋_GB2312" w:eastAsia="方正仿宋_GB2312" w:cs="方正仿宋_GB2312"/>
                <w:color w:val="000000"/>
                <w:kern w:val="0"/>
                <w:sz w:val="18"/>
                <w:szCs w:val="18"/>
              </w:rPr>
            </w:pPr>
          </w:p>
        </w:tc>
        <w:tc>
          <w:tcPr>
            <w:tcW w:w="291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秦苑110千伏输变电工程</w:t>
            </w:r>
          </w:p>
        </w:tc>
        <w:tc>
          <w:tcPr>
            <w:tcW w:w="53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新建</w:t>
            </w:r>
          </w:p>
        </w:tc>
        <w:tc>
          <w:tcPr>
            <w:tcW w:w="85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2023</w:t>
            </w:r>
          </w:p>
        </w:tc>
        <w:tc>
          <w:tcPr>
            <w:tcW w:w="13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100</w:t>
            </w:r>
          </w:p>
        </w:tc>
        <w:tc>
          <w:tcPr>
            <w:tcW w:w="117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8</w:t>
            </w:r>
          </w:p>
        </w:tc>
        <w:tc>
          <w:tcPr>
            <w:tcW w:w="53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国网</w:t>
            </w:r>
          </w:p>
        </w:tc>
      </w:tr>
      <w:tr>
        <w:tblPrEx>
          <w:tblCellMar>
            <w:top w:w="0" w:type="dxa"/>
            <w:left w:w="108" w:type="dxa"/>
            <w:bottom w:w="0" w:type="dxa"/>
            <w:right w:w="108" w:type="dxa"/>
          </w:tblCellMar>
        </w:tblPrEx>
        <w:trPr>
          <w:trHeight w:val="285" w:hRule="atLeast"/>
        </w:trPr>
        <w:tc>
          <w:tcPr>
            <w:tcW w:w="533"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3</w:t>
            </w:r>
          </w:p>
        </w:tc>
        <w:tc>
          <w:tcPr>
            <w:tcW w:w="851"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hint="eastAsia" w:ascii="方正仿宋_GB2312" w:hAnsi="方正仿宋_GB2312" w:eastAsia="方正仿宋_GB2312" w:cs="方正仿宋_GB2312"/>
                <w:color w:val="000000"/>
                <w:kern w:val="0"/>
                <w:sz w:val="18"/>
                <w:szCs w:val="18"/>
              </w:rPr>
            </w:pPr>
          </w:p>
        </w:tc>
        <w:tc>
          <w:tcPr>
            <w:tcW w:w="291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迎宾110千伏输变电工程</w:t>
            </w:r>
          </w:p>
        </w:tc>
        <w:tc>
          <w:tcPr>
            <w:tcW w:w="53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新建</w:t>
            </w:r>
          </w:p>
        </w:tc>
        <w:tc>
          <w:tcPr>
            <w:tcW w:w="85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2025</w:t>
            </w:r>
          </w:p>
        </w:tc>
        <w:tc>
          <w:tcPr>
            <w:tcW w:w="13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100</w:t>
            </w:r>
          </w:p>
        </w:tc>
        <w:tc>
          <w:tcPr>
            <w:tcW w:w="117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w:t>
            </w:r>
          </w:p>
        </w:tc>
        <w:tc>
          <w:tcPr>
            <w:tcW w:w="53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国网</w:t>
            </w:r>
          </w:p>
        </w:tc>
      </w:tr>
      <w:tr>
        <w:tblPrEx>
          <w:tblCellMar>
            <w:top w:w="0" w:type="dxa"/>
            <w:left w:w="108" w:type="dxa"/>
            <w:bottom w:w="0" w:type="dxa"/>
            <w:right w:w="108" w:type="dxa"/>
          </w:tblCellMar>
        </w:tblPrEx>
        <w:trPr>
          <w:trHeight w:val="285" w:hRule="atLeast"/>
        </w:trPr>
        <w:tc>
          <w:tcPr>
            <w:tcW w:w="533"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4</w:t>
            </w:r>
          </w:p>
        </w:tc>
        <w:tc>
          <w:tcPr>
            <w:tcW w:w="851"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hint="eastAsia" w:ascii="方正仿宋_GB2312" w:hAnsi="方正仿宋_GB2312" w:eastAsia="方正仿宋_GB2312" w:cs="方正仿宋_GB2312"/>
                <w:color w:val="000000"/>
                <w:kern w:val="0"/>
                <w:sz w:val="18"/>
                <w:szCs w:val="18"/>
              </w:rPr>
            </w:pPr>
          </w:p>
        </w:tc>
        <w:tc>
          <w:tcPr>
            <w:tcW w:w="291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南位110千伏输变电工程</w:t>
            </w:r>
          </w:p>
        </w:tc>
        <w:tc>
          <w:tcPr>
            <w:tcW w:w="53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新建</w:t>
            </w:r>
          </w:p>
        </w:tc>
        <w:tc>
          <w:tcPr>
            <w:tcW w:w="85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2025</w:t>
            </w:r>
          </w:p>
        </w:tc>
        <w:tc>
          <w:tcPr>
            <w:tcW w:w="13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100</w:t>
            </w:r>
          </w:p>
        </w:tc>
        <w:tc>
          <w:tcPr>
            <w:tcW w:w="117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8</w:t>
            </w:r>
          </w:p>
        </w:tc>
        <w:tc>
          <w:tcPr>
            <w:tcW w:w="53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国网</w:t>
            </w:r>
          </w:p>
        </w:tc>
      </w:tr>
      <w:tr>
        <w:tblPrEx>
          <w:tblCellMar>
            <w:top w:w="0" w:type="dxa"/>
            <w:left w:w="108" w:type="dxa"/>
            <w:bottom w:w="0" w:type="dxa"/>
            <w:right w:w="108" w:type="dxa"/>
          </w:tblCellMar>
        </w:tblPrEx>
        <w:trPr>
          <w:trHeight w:val="285" w:hRule="atLeast"/>
        </w:trPr>
        <w:tc>
          <w:tcPr>
            <w:tcW w:w="5688"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秦汉新城合计</w:t>
            </w:r>
          </w:p>
        </w:tc>
        <w:tc>
          <w:tcPr>
            <w:tcW w:w="13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300</w:t>
            </w:r>
          </w:p>
        </w:tc>
        <w:tc>
          <w:tcPr>
            <w:tcW w:w="117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68</w:t>
            </w:r>
          </w:p>
        </w:tc>
        <w:tc>
          <w:tcPr>
            <w:tcW w:w="53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18"/>
                <w:szCs w:val="18"/>
              </w:rPr>
            </w:pPr>
            <w:r>
              <w:rPr>
                <w:rFonts w:hint="eastAsia" w:ascii="方正仿宋_GB2312" w:hAnsi="方正仿宋_GB2312" w:eastAsia="方正仿宋_GB2312" w:cs="方正仿宋_GB2312"/>
                <w:color w:val="000000"/>
                <w:kern w:val="0"/>
                <w:sz w:val="18"/>
                <w:szCs w:val="18"/>
              </w:rPr>
              <w:t>　</w:t>
            </w:r>
          </w:p>
        </w:tc>
      </w:tr>
    </w:tbl>
    <w:p>
      <w:pPr>
        <w:pStyle w:val="150"/>
        <w:keepNext w:val="0"/>
        <w:keepLines w:val="0"/>
        <w:pageBreakBefore w:val="0"/>
        <w:widowControl w:val="0"/>
        <w:kinsoku/>
        <w:wordWrap/>
        <w:overflowPunct/>
        <w:topLinePunct w:val="0"/>
        <w:autoSpaceDE/>
        <w:autoSpaceDN/>
        <w:bidi w:val="0"/>
        <w:adjustRightInd w:val="0"/>
        <w:snapToGrid w:val="0"/>
        <w:spacing w:line="560" w:lineRule="exact"/>
        <w:ind w:leftChars="0" w:firstLine="643" w:firstLineChars="200"/>
        <w:textAlignment w:val="auto"/>
        <w:rPr>
          <w:rFonts w:hint="eastAsia" w:ascii="仿宋" w:hAnsi="仿宋" w:eastAsia="仿宋" w:cs="仿宋"/>
          <w:b/>
          <w:bCs/>
          <w:sz w:val="32"/>
          <w:szCs w:val="32"/>
        </w:rPr>
      </w:pPr>
      <w:r>
        <w:rPr>
          <w:rFonts w:hint="eastAsia" w:ascii="仿宋" w:hAnsi="仿宋" w:cs="仿宋"/>
          <w:b/>
          <w:bCs/>
          <w:sz w:val="32"/>
          <w:szCs w:val="32"/>
          <w:lang w:val="en-US" w:eastAsia="zh-CN"/>
        </w:rPr>
        <w:t>1.</w:t>
      </w:r>
      <w:r>
        <w:rPr>
          <w:rFonts w:hint="eastAsia" w:ascii="仿宋" w:hAnsi="仿宋" w:eastAsia="仿宋" w:cs="仿宋"/>
          <w:b/>
          <w:bCs/>
          <w:sz w:val="32"/>
          <w:szCs w:val="32"/>
        </w:rPr>
        <w:t>秦汉330千伏变电站110千伏送出工程（2022年）</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系统方案：秦汉变分别单π入沣肖线、底肖线；秦汉变双π兰韩ⅠⅡ线；机场2#变至韩湾线路改接入秦汉变；三渭线延伸至秦汉变，将永渭T北侧断开；底张变单π入沣肖线；建设韩湾变-北杜变双回线路。</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建设规模：新建线路50公里。</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建设必要性：优化渭河北岸腹地电网结构，增强与沣河变、古渡变、池阳变110千伏电网负荷转移能力，提高供电可靠性。</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leftChars="0" w:firstLine="643" w:firstLineChars="200"/>
        <w:textAlignment w:val="auto"/>
        <w:rPr>
          <w:rFonts w:hint="eastAsia" w:ascii="仿宋" w:hAnsi="仿宋" w:eastAsia="仿宋" w:cs="仿宋"/>
          <w:b/>
          <w:bCs/>
          <w:sz w:val="32"/>
          <w:szCs w:val="32"/>
        </w:rPr>
      </w:pPr>
      <w:r>
        <w:rPr>
          <w:rFonts w:hint="eastAsia" w:ascii="仿宋" w:hAnsi="仿宋" w:cs="仿宋"/>
          <w:b/>
          <w:bCs/>
          <w:sz w:val="32"/>
          <w:szCs w:val="32"/>
          <w:lang w:val="en-US" w:eastAsia="zh-CN"/>
        </w:rPr>
        <w:t>2.</w:t>
      </w:r>
      <w:r>
        <w:rPr>
          <w:rFonts w:hint="eastAsia" w:ascii="仿宋" w:hAnsi="仿宋" w:eastAsia="仿宋" w:cs="仿宋"/>
          <w:b/>
          <w:bCs/>
          <w:sz w:val="32"/>
          <w:szCs w:val="32"/>
        </w:rPr>
        <w:t>秦苑110千伏输变电工程（2023年）</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系统方案：π接入兰池-沣都T接线，并新建一回至兰池变，秦苑T接至底张-沣渭线路，并在T接点北侧打开。</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建设规模：新建变电容量2×50兆伏安，新建线路长度8公里。</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必要性：新建110千伏秦苑变位于兰池大道中段，主供渭北综合商务组团负荷，该区域近期入驻项目有中国青少年国际营地、张裕酒庄、际华世界等，随着该区域职能的不断完善，电力需求将越来越大，故规划新建110千伏秦苑变，为周围的发展建设提供充足的电力供应。</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leftChars="0" w:firstLine="643" w:firstLineChars="200"/>
        <w:textAlignment w:val="auto"/>
        <w:rPr>
          <w:rFonts w:hint="eastAsia" w:ascii="仿宋" w:hAnsi="仿宋" w:eastAsia="仿宋" w:cs="仿宋"/>
          <w:b/>
          <w:bCs/>
          <w:sz w:val="32"/>
          <w:szCs w:val="32"/>
        </w:rPr>
      </w:pPr>
      <w:r>
        <w:rPr>
          <w:rFonts w:hint="eastAsia" w:ascii="仿宋" w:hAnsi="仿宋" w:cs="仿宋"/>
          <w:b/>
          <w:bCs/>
          <w:sz w:val="32"/>
          <w:szCs w:val="32"/>
          <w:lang w:val="en-US" w:eastAsia="zh-CN"/>
        </w:rPr>
        <w:t>3.</w:t>
      </w:r>
      <w:r>
        <w:rPr>
          <w:rFonts w:hint="eastAsia" w:ascii="仿宋" w:hAnsi="仿宋" w:eastAsia="仿宋" w:cs="仿宋"/>
          <w:b/>
          <w:bCs/>
          <w:sz w:val="32"/>
          <w:szCs w:val="32"/>
        </w:rPr>
        <w:t>迎宾110千伏输变电工程（2025年）</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系统方案:双“π”接入古渡至南朱刘变双回线路。</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建设规模：新建变电容量2×50兆伏安，新建线路长度2公里。</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必要性：2021年规划新建迎宾110千伏变位于周鼎四路以东、周礼四路以西、天马大道路南侧。迎宾变规划供电负荷主要考虑两个产业园项目，一个是西安宝能新能源汽车产业园项目，另一个为恒大国能新能源智能汽车全产业链基地-XA项目。根据现有负荷资料，2021年宝能一期及国能投产，预计负荷达到68594 千瓦，2025年宝能二期投产后达到规划总负荷，预计为91459 千瓦。目前，迎宾变所在地为空港变较近，空港变已无10千伏间隔，无法为新增负荷提供充足的电源接入点。所以，为了改善10千伏电网结构，提高供电可靠性，需要建设迎宾110千伏变。</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leftChars="0" w:firstLine="643" w:firstLineChars="200"/>
        <w:textAlignment w:val="auto"/>
        <w:rPr>
          <w:rFonts w:hint="eastAsia" w:ascii="仿宋" w:hAnsi="仿宋" w:eastAsia="仿宋" w:cs="仿宋"/>
          <w:b/>
          <w:bCs/>
          <w:sz w:val="32"/>
          <w:szCs w:val="32"/>
        </w:rPr>
      </w:pPr>
      <w:r>
        <w:rPr>
          <w:rFonts w:hint="eastAsia" w:ascii="仿宋" w:hAnsi="仿宋" w:cs="仿宋"/>
          <w:b/>
          <w:bCs/>
          <w:sz w:val="32"/>
          <w:szCs w:val="32"/>
          <w:lang w:val="en-US" w:eastAsia="zh-CN"/>
        </w:rPr>
        <w:t>4.</w:t>
      </w:r>
      <w:r>
        <w:rPr>
          <w:rFonts w:hint="eastAsia" w:ascii="仿宋" w:hAnsi="仿宋" w:eastAsia="仿宋" w:cs="仿宋"/>
          <w:b/>
          <w:bCs/>
          <w:sz w:val="32"/>
          <w:szCs w:val="32"/>
        </w:rPr>
        <w:t>南位110千伏输变电工程（2025年）</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系统方案：π入周阎线。</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建设规模：新建变电容量2×50兆伏安，新建线路长度8公里。</w:t>
      </w:r>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r>
        <w:rPr>
          <w:rFonts w:eastAsia="仿宋"/>
          <w:sz w:val="32"/>
          <w:szCs w:val="32"/>
        </w:rPr>
        <w:t>沣西新城110千伏变电站布点规划</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“十四五”期间沣西新城新建变电站8座，增容1座，新增变电容量837兆伏安，新建线路107.2公里。</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黑体" w:hAnsi="黑体" w:eastAsia="黑体" w:cs="黑体"/>
          <w:b w:val="0"/>
          <w:bCs w:val="0"/>
          <w:kern w:val="0"/>
          <w:sz w:val="28"/>
          <w:szCs w:val="28"/>
          <w:lang w:val="en-US" w:eastAsia="zh-CN" w:bidi="ar-SA"/>
        </w:rPr>
      </w:pPr>
      <w:r>
        <w:rPr>
          <w:rFonts w:hint="eastAsia" w:ascii="黑体" w:hAnsi="黑体" w:eastAsia="黑体" w:cs="黑体"/>
          <w:b w:val="0"/>
          <w:bCs w:val="0"/>
          <w:kern w:val="0"/>
          <w:sz w:val="28"/>
          <w:szCs w:val="28"/>
          <w:lang w:val="en-US" w:eastAsia="zh-CN" w:bidi="ar-SA"/>
        </w:rPr>
        <w:t>表8-5  沣西新城“十四五”规划项目建设规模</w:t>
      </w:r>
    </w:p>
    <w:tbl>
      <w:tblPr>
        <w:tblStyle w:val="88"/>
        <w:tblW w:w="8698" w:type="dxa"/>
        <w:tblInd w:w="0" w:type="dxa"/>
        <w:tblLayout w:type="fixed"/>
        <w:tblCellMar>
          <w:top w:w="0" w:type="dxa"/>
          <w:left w:w="108" w:type="dxa"/>
          <w:bottom w:w="0" w:type="dxa"/>
          <w:right w:w="108" w:type="dxa"/>
        </w:tblCellMar>
      </w:tblPr>
      <w:tblGrid>
        <w:gridCol w:w="1108"/>
        <w:gridCol w:w="808"/>
        <w:gridCol w:w="2350"/>
        <w:gridCol w:w="748"/>
        <w:gridCol w:w="815"/>
        <w:gridCol w:w="1068"/>
        <w:gridCol w:w="993"/>
        <w:gridCol w:w="808"/>
      </w:tblGrid>
      <w:tr>
        <w:tblPrEx>
          <w:tblCellMar>
            <w:top w:w="0" w:type="dxa"/>
            <w:left w:w="108" w:type="dxa"/>
            <w:bottom w:w="0" w:type="dxa"/>
            <w:right w:w="108" w:type="dxa"/>
          </w:tblCellMar>
        </w:tblPrEx>
        <w:trPr>
          <w:trHeight w:val="597" w:hRule="atLeast"/>
        </w:trPr>
        <w:tc>
          <w:tcPr>
            <w:tcW w:w="1108"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序号</w:t>
            </w:r>
          </w:p>
        </w:tc>
        <w:tc>
          <w:tcPr>
            <w:tcW w:w="808"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所属区域</w:t>
            </w:r>
          </w:p>
        </w:tc>
        <w:tc>
          <w:tcPr>
            <w:tcW w:w="2350"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项目名称</w:t>
            </w:r>
          </w:p>
        </w:tc>
        <w:tc>
          <w:tcPr>
            <w:tcW w:w="748"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性质</w:t>
            </w:r>
          </w:p>
        </w:tc>
        <w:tc>
          <w:tcPr>
            <w:tcW w:w="815"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投产时间</w:t>
            </w:r>
          </w:p>
        </w:tc>
        <w:tc>
          <w:tcPr>
            <w:tcW w:w="1068"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变电容量MVA</w:t>
            </w:r>
          </w:p>
        </w:tc>
        <w:tc>
          <w:tcPr>
            <w:tcW w:w="993"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线路长度km</w:t>
            </w:r>
          </w:p>
        </w:tc>
        <w:tc>
          <w:tcPr>
            <w:tcW w:w="808"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备注</w:t>
            </w:r>
          </w:p>
        </w:tc>
      </w:tr>
      <w:tr>
        <w:tblPrEx>
          <w:tblCellMar>
            <w:top w:w="0" w:type="dxa"/>
            <w:left w:w="108" w:type="dxa"/>
            <w:bottom w:w="0" w:type="dxa"/>
            <w:right w:w="108" w:type="dxa"/>
          </w:tblCellMar>
        </w:tblPrEx>
        <w:trPr>
          <w:trHeight w:val="597" w:hRule="atLeast"/>
        </w:trPr>
        <w:tc>
          <w:tcPr>
            <w:tcW w:w="1108"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1</w:t>
            </w:r>
          </w:p>
        </w:tc>
        <w:tc>
          <w:tcPr>
            <w:tcW w:w="808" w:type="dxa"/>
            <w:vMerge w:val="restart"/>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沣西新城</w:t>
            </w:r>
          </w:p>
        </w:tc>
        <w:tc>
          <w:tcPr>
            <w:tcW w:w="235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110kV咏佳变增容改造工程</w:t>
            </w:r>
          </w:p>
        </w:tc>
        <w:tc>
          <w:tcPr>
            <w:tcW w:w="74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改造</w:t>
            </w:r>
          </w:p>
        </w:tc>
        <w:tc>
          <w:tcPr>
            <w:tcW w:w="81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202</w:t>
            </w:r>
            <w:r>
              <w:rPr>
                <w:rFonts w:ascii="仿宋" w:hAnsi="仿宋" w:eastAsia="仿宋" w:cs="宋体"/>
                <w:color w:val="000000"/>
                <w:kern w:val="0"/>
                <w:sz w:val="22"/>
                <w:szCs w:val="22"/>
              </w:rPr>
              <w:t>1</w:t>
            </w:r>
          </w:p>
        </w:tc>
        <w:tc>
          <w:tcPr>
            <w:tcW w:w="106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37</w:t>
            </w:r>
          </w:p>
        </w:tc>
        <w:tc>
          <w:tcPr>
            <w:tcW w:w="99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0</w:t>
            </w:r>
          </w:p>
        </w:tc>
        <w:tc>
          <w:tcPr>
            <w:tcW w:w="80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国网</w:t>
            </w:r>
          </w:p>
        </w:tc>
      </w:tr>
      <w:tr>
        <w:tblPrEx>
          <w:tblCellMar>
            <w:top w:w="0" w:type="dxa"/>
            <w:left w:w="108" w:type="dxa"/>
            <w:bottom w:w="0" w:type="dxa"/>
            <w:right w:w="108" w:type="dxa"/>
          </w:tblCellMar>
        </w:tblPrEx>
        <w:trPr>
          <w:trHeight w:val="597" w:hRule="atLeast"/>
        </w:trPr>
        <w:tc>
          <w:tcPr>
            <w:tcW w:w="1108"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仿宋" w:hAnsi="仿宋" w:eastAsia="仿宋" w:cs="宋体"/>
                <w:color w:val="000000"/>
                <w:kern w:val="0"/>
                <w:sz w:val="22"/>
                <w:szCs w:val="22"/>
              </w:rPr>
            </w:pPr>
            <w:r>
              <w:rPr>
                <w:rFonts w:hint="eastAsia" w:ascii="仿宋" w:hAnsi="仿宋" w:eastAsia="仿宋" w:cs="宋体"/>
                <w:color w:val="000000"/>
                <w:kern w:val="0"/>
                <w:sz w:val="22"/>
                <w:szCs w:val="22"/>
              </w:rPr>
              <w:t>2</w:t>
            </w:r>
          </w:p>
        </w:tc>
        <w:tc>
          <w:tcPr>
            <w:tcW w:w="808" w:type="dxa"/>
            <w:vMerge w:val="continue"/>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仿宋" w:hAnsi="仿宋" w:eastAsia="仿宋" w:cs="宋体"/>
                <w:color w:val="000000"/>
                <w:kern w:val="0"/>
                <w:sz w:val="22"/>
                <w:szCs w:val="22"/>
              </w:rPr>
            </w:pPr>
          </w:p>
        </w:tc>
        <w:tc>
          <w:tcPr>
            <w:tcW w:w="235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科创1号110kV输变电工程</w:t>
            </w:r>
          </w:p>
        </w:tc>
        <w:tc>
          <w:tcPr>
            <w:tcW w:w="74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新建</w:t>
            </w:r>
          </w:p>
        </w:tc>
        <w:tc>
          <w:tcPr>
            <w:tcW w:w="81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2021</w:t>
            </w:r>
          </w:p>
        </w:tc>
        <w:tc>
          <w:tcPr>
            <w:tcW w:w="106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100</w:t>
            </w:r>
          </w:p>
        </w:tc>
        <w:tc>
          <w:tcPr>
            <w:tcW w:w="99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13.2</w:t>
            </w:r>
          </w:p>
        </w:tc>
        <w:tc>
          <w:tcPr>
            <w:tcW w:w="80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沣西增量</w:t>
            </w:r>
          </w:p>
        </w:tc>
      </w:tr>
      <w:tr>
        <w:tblPrEx>
          <w:tblCellMar>
            <w:top w:w="0" w:type="dxa"/>
            <w:left w:w="108" w:type="dxa"/>
            <w:bottom w:w="0" w:type="dxa"/>
            <w:right w:w="108" w:type="dxa"/>
          </w:tblCellMar>
        </w:tblPrEx>
        <w:trPr>
          <w:trHeight w:val="597" w:hRule="atLeast"/>
        </w:trPr>
        <w:tc>
          <w:tcPr>
            <w:tcW w:w="1108"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ascii="仿宋" w:hAnsi="仿宋" w:eastAsia="仿宋" w:cs="宋体"/>
                <w:color w:val="000000"/>
                <w:kern w:val="0"/>
                <w:sz w:val="22"/>
                <w:szCs w:val="22"/>
              </w:rPr>
              <w:t>3</w:t>
            </w:r>
          </w:p>
        </w:tc>
        <w:tc>
          <w:tcPr>
            <w:tcW w:w="80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ascii="仿宋" w:hAnsi="仿宋" w:eastAsia="仿宋" w:cs="宋体"/>
                <w:color w:val="000000"/>
                <w:kern w:val="0"/>
                <w:sz w:val="22"/>
                <w:szCs w:val="22"/>
              </w:rPr>
            </w:pPr>
          </w:p>
        </w:tc>
        <w:tc>
          <w:tcPr>
            <w:tcW w:w="235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宋东110kV输变电工程</w:t>
            </w:r>
          </w:p>
        </w:tc>
        <w:tc>
          <w:tcPr>
            <w:tcW w:w="74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新建</w:t>
            </w:r>
          </w:p>
        </w:tc>
        <w:tc>
          <w:tcPr>
            <w:tcW w:w="81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2022</w:t>
            </w:r>
          </w:p>
        </w:tc>
        <w:tc>
          <w:tcPr>
            <w:tcW w:w="106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100</w:t>
            </w:r>
          </w:p>
        </w:tc>
        <w:tc>
          <w:tcPr>
            <w:tcW w:w="99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1</w:t>
            </w:r>
          </w:p>
        </w:tc>
        <w:tc>
          <w:tcPr>
            <w:tcW w:w="80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沣西增量</w:t>
            </w:r>
          </w:p>
        </w:tc>
      </w:tr>
      <w:tr>
        <w:tblPrEx>
          <w:tblCellMar>
            <w:top w:w="0" w:type="dxa"/>
            <w:left w:w="108" w:type="dxa"/>
            <w:bottom w:w="0" w:type="dxa"/>
            <w:right w:w="108" w:type="dxa"/>
          </w:tblCellMar>
        </w:tblPrEx>
        <w:trPr>
          <w:trHeight w:val="597" w:hRule="atLeast"/>
        </w:trPr>
        <w:tc>
          <w:tcPr>
            <w:tcW w:w="1108"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ascii="仿宋" w:hAnsi="仿宋" w:eastAsia="仿宋" w:cs="宋体"/>
                <w:color w:val="000000"/>
                <w:kern w:val="0"/>
                <w:sz w:val="22"/>
                <w:szCs w:val="22"/>
              </w:rPr>
              <w:t>4</w:t>
            </w:r>
          </w:p>
        </w:tc>
        <w:tc>
          <w:tcPr>
            <w:tcW w:w="80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ascii="仿宋" w:hAnsi="仿宋" w:eastAsia="仿宋" w:cs="宋体"/>
                <w:color w:val="000000"/>
                <w:kern w:val="0"/>
                <w:sz w:val="22"/>
                <w:szCs w:val="22"/>
              </w:rPr>
            </w:pPr>
          </w:p>
        </w:tc>
        <w:tc>
          <w:tcPr>
            <w:tcW w:w="235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斗门110kV输变电工程</w:t>
            </w:r>
          </w:p>
        </w:tc>
        <w:tc>
          <w:tcPr>
            <w:tcW w:w="74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新建</w:t>
            </w:r>
          </w:p>
        </w:tc>
        <w:tc>
          <w:tcPr>
            <w:tcW w:w="81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202</w:t>
            </w:r>
            <w:r>
              <w:rPr>
                <w:rFonts w:ascii="仿宋" w:hAnsi="仿宋" w:eastAsia="仿宋" w:cs="宋体"/>
                <w:color w:val="000000"/>
                <w:kern w:val="0"/>
                <w:sz w:val="22"/>
                <w:szCs w:val="22"/>
              </w:rPr>
              <w:t>2</w:t>
            </w:r>
          </w:p>
        </w:tc>
        <w:tc>
          <w:tcPr>
            <w:tcW w:w="106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100</w:t>
            </w:r>
          </w:p>
        </w:tc>
        <w:tc>
          <w:tcPr>
            <w:tcW w:w="99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21.6</w:t>
            </w:r>
          </w:p>
        </w:tc>
        <w:tc>
          <w:tcPr>
            <w:tcW w:w="80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国网</w:t>
            </w:r>
          </w:p>
        </w:tc>
      </w:tr>
      <w:tr>
        <w:tblPrEx>
          <w:tblCellMar>
            <w:top w:w="0" w:type="dxa"/>
            <w:left w:w="108" w:type="dxa"/>
            <w:bottom w:w="0" w:type="dxa"/>
            <w:right w:w="108" w:type="dxa"/>
          </w:tblCellMar>
        </w:tblPrEx>
        <w:trPr>
          <w:trHeight w:val="303" w:hRule="atLeast"/>
        </w:trPr>
        <w:tc>
          <w:tcPr>
            <w:tcW w:w="1108"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ascii="仿宋" w:hAnsi="仿宋" w:eastAsia="仿宋" w:cs="宋体"/>
                <w:color w:val="000000"/>
                <w:kern w:val="0"/>
                <w:sz w:val="22"/>
                <w:szCs w:val="22"/>
              </w:rPr>
              <w:t>5</w:t>
            </w:r>
          </w:p>
        </w:tc>
        <w:tc>
          <w:tcPr>
            <w:tcW w:w="80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ascii="仿宋" w:hAnsi="仿宋" w:eastAsia="仿宋" w:cs="宋体"/>
                <w:color w:val="000000"/>
                <w:kern w:val="0"/>
                <w:sz w:val="22"/>
                <w:szCs w:val="22"/>
              </w:rPr>
            </w:pPr>
          </w:p>
        </w:tc>
        <w:tc>
          <w:tcPr>
            <w:tcW w:w="235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110kV陈阳变改造工程</w:t>
            </w:r>
          </w:p>
        </w:tc>
        <w:tc>
          <w:tcPr>
            <w:tcW w:w="74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改造</w:t>
            </w:r>
          </w:p>
        </w:tc>
        <w:tc>
          <w:tcPr>
            <w:tcW w:w="81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202</w:t>
            </w:r>
            <w:r>
              <w:rPr>
                <w:rFonts w:ascii="仿宋" w:hAnsi="仿宋" w:eastAsia="仿宋" w:cs="宋体"/>
                <w:color w:val="000000"/>
                <w:kern w:val="0"/>
                <w:sz w:val="22"/>
                <w:szCs w:val="22"/>
              </w:rPr>
              <w:t>2</w:t>
            </w:r>
          </w:p>
        </w:tc>
        <w:tc>
          <w:tcPr>
            <w:tcW w:w="106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0</w:t>
            </w:r>
          </w:p>
        </w:tc>
        <w:tc>
          <w:tcPr>
            <w:tcW w:w="99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0</w:t>
            </w:r>
          </w:p>
        </w:tc>
        <w:tc>
          <w:tcPr>
            <w:tcW w:w="80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国网</w:t>
            </w:r>
          </w:p>
        </w:tc>
      </w:tr>
      <w:tr>
        <w:tblPrEx>
          <w:tblCellMar>
            <w:top w:w="0" w:type="dxa"/>
            <w:left w:w="108" w:type="dxa"/>
            <w:bottom w:w="0" w:type="dxa"/>
            <w:right w:w="108" w:type="dxa"/>
          </w:tblCellMar>
        </w:tblPrEx>
        <w:trPr>
          <w:trHeight w:val="597" w:hRule="atLeast"/>
        </w:trPr>
        <w:tc>
          <w:tcPr>
            <w:tcW w:w="1108"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6</w:t>
            </w:r>
          </w:p>
        </w:tc>
        <w:tc>
          <w:tcPr>
            <w:tcW w:w="80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ascii="仿宋" w:hAnsi="仿宋" w:eastAsia="仿宋" w:cs="宋体"/>
                <w:color w:val="000000"/>
                <w:kern w:val="0"/>
                <w:sz w:val="22"/>
                <w:szCs w:val="22"/>
              </w:rPr>
            </w:pPr>
          </w:p>
        </w:tc>
        <w:tc>
          <w:tcPr>
            <w:tcW w:w="235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同仁110kV输变电工程</w:t>
            </w:r>
          </w:p>
        </w:tc>
        <w:tc>
          <w:tcPr>
            <w:tcW w:w="74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新建</w:t>
            </w:r>
          </w:p>
        </w:tc>
        <w:tc>
          <w:tcPr>
            <w:tcW w:w="81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2024</w:t>
            </w:r>
          </w:p>
        </w:tc>
        <w:tc>
          <w:tcPr>
            <w:tcW w:w="106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100</w:t>
            </w:r>
          </w:p>
        </w:tc>
        <w:tc>
          <w:tcPr>
            <w:tcW w:w="99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3</w:t>
            </w:r>
          </w:p>
        </w:tc>
        <w:tc>
          <w:tcPr>
            <w:tcW w:w="80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国网</w:t>
            </w:r>
          </w:p>
        </w:tc>
      </w:tr>
      <w:tr>
        <w:tblPrEx>
          <w:tblCellMar>
            <w:top w:w="0" w:type="dxa"/>
            <w:left w:w="108" w:type="dxa"/>
            <w:bottom w:w="0" w:type="dxa"/>
            <w:right w:w="108" w:type="dxa"/>
          </w:tblCellMar>
        </w:tblPrEx>
        <w:trPr>
          <w:trHeight w:val="597" w:hRule="atLeast"/>
        </w:trPr>
        <w:tc>
          <w:tcPr>
            <w:tcW w:w="1108"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7</w:t>
            </w:r>
          </w:p>
        </w:tc>
        <w:tc>
          <w:tcPr>
            <w:tcW w:w="80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ascii="仿宋" w:hAnsi="仿宋" w:eastAsia="仿宋" w:cs="宋体"/>
                <w:color w:val="000000"/>
                <w:kern w:val="0"/>
                <w:sz w:val="22"/>
                <w:szCs w:val="22"/>
              </w:rPr>
            </w:pPr>
          </w:p>
        </w:tc>
        <w:tc>
          <w:tcPr>
            <w:tcW w:w="235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河南街110kV输变电工程</w:t>
            </w:r>
          </w:p>
        </w:tc>
        <w:tc>
          <w:tcPr>
            <w:tcW w:w="74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新建</w:t>
            </w:r>
          </w:p>
        </w:tc>
        <w:tc>
          <w:tcPr>
            <w:tcW w:w="81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2024</w:t>
            </w:r>
          </w:p>
        </w:tc>
        <w:tc>
          <w:tcPr>
            <w:tcW w:w="106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100</w:t>
            </w:r>
          </w:p>
        </w:tc>
        <w:tc>
          <w:tcPr>
            <w:tcW w:w="99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20</w:t>
            </w:r>
          </w:p>
        </w:tc>
        <w:tc>
          <w:tcPr>
            <w:tcW w:w="80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国网</w:t>
            </w:r>
          </w:p>
        </w:tc>
      </w:tr>
      <w:tr>
        <w:tblPrEx>
          <w:tblCellMar>
            <w:top w:w="0" w:type="dxa"/>
            <w:left w:w="108" w:type="dxa"/>
            <w:bottom w:w="0" w:type="dxa"/>
            <w:right w:w="108" w:type="dxa"/>
          </w:tblCellMar>
        </w:tblPrEx>
        <w:trPr>
          <w:trHeight w:val="597" w:hRule="atLeast"/>
        </w:trPr>
        <w:tc>
          <w:tcPr>
            <w:tcW w:w="1108"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8</w:t>
            </w:r>
          </w:p>
        </w:tc>
        <w:tc>
          <w:tcPr>
            <w:tcW w:w="80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ascii="仿宋" w:hAnsi="仿宋" w:eastAsia="仿宋" w:cs="宋体"/>
                <w:color w:val="000000"/>
                <w:kern w:val="0"/>
                <w:sz w:val="22"/>
                <w:szCs w:val="22"/>
              </w:rPr>
            </w:pPr>
          </w:p>
        </w:tc>
        <w:tc>
          <w:tcPr>
            <w:tcW w:w="235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沣西2#330kV变电站110kV送出工程</w:t>
            </w:r>
          </w:p>
        </w:tc>
        <w:tc>
          <w:tcPr>
            <w:tcW w:w="74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新建</w:t>
            </w:r>
          </w:p>
        </w:tc>
        <w:tc>
          <w:tcPr>
            <w:tcW w:w="81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2025</w:t>
            </w:r>
          </w:p>
        </w:tc>
        <w:tc>
          <w:tcPr>
            <w:tcW w:w="106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0</w:t>
            </w:r>
          </w:p>
        </w:tc>
        <w:tc>
          <w:tcPr>
            <w:tcW w:w="99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23</w:t>
            </w:r>
          </w:p>
        </w:tc>
        <w:tc>
          <w:tcPr>
            <w:tcW w:w="80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国网</w:t>
            </w:r>
          </w:p>
        </w:tc>
      </w:tr>
      <w:tr>
        <w:tblPrEx>
          <w:tblCellMar>
            <w:top w:w="0" w:type="dxa"/>
            <w:left w:w="108" w:type="dxa"/>
            <w:bottom w:w="0" w:type="dxa"/>
            <w:right w:w="108" w:type="dxa"/>
          </w:tblCellMar>
        </w:tblPrEx>
        <w:trPr>
          <w:trHeight w:val="597" w:hRule="atLeast"/>
        </w:trPr>
        <w:tc>
          <w:tcPr>
            <w:tcW w:w="1108"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9</w:t>
            </w:r>
          </w:p>
        </w:tc>
        <w:tc>
          <w:tcPr>
            <w:tcW w:w="80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ascii="仿宋" w:hAnsi="仿宋" w:eastAsia="仿宋" w:cs="宋体"/>
                <w:color w:val="000000"/>
                <w:kern w:val="0"/>
                <w:sz w:val="22"/>
                <w:szCs w:val="22"/>
              </w:rPr>
            </w:pPr>
          </w:p>
        </w:tc>
        <w:tc>
          <w:tcPr>
            <w:tcW w:w="235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材料110kV输变电工程</w:t>
            </w:r>
          </w:p>
        </w:tc>
        <w:tc>
          <w:tcPr>
            <w:tcW w:w="74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新建</w:t>
            </w:r>
          </w:p>
        </w:tc>
        <w:tc>
          <w:tcPr>
            <w:tcW w:w="81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2025</w:t>
            </w:r>
          </w:p>
        </w:tc>
        <w:tc>
          <w:tcPr>
            <w:tcW w:w="106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100</w:t>
            </w:r>
          </w:p>
        </w:tc>
        <w:tc>
          <w:tcPr>
            <w:tcW w:w="99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4</w:t>
            </w:r>
          </w:p>
        </w:tc>
        <w:tc>
          <w:tcPr>
            <w:tcW w:w="80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国网</w:t>
            </w:r>
          </w:p>
        </w:tc>
      </w:tr>
      <w:tr>
        <w:tblPrEx>
          <w:tblCellMar>
            <w:top w:w="0" w:type="dxa"/>
            <w:left w:w="108" w:type="dxa"/>
            <w:bottom w:w="0" w:type="dxa"/>
            <w:right w:w="108" w:type="dxa"/>
          </w:tblCellMar>
        </w:tblPrEx>
        <w:trPr>
          <w:trHeight w:val="597" w:hRule="atLeast"/>
        </w:trPr>
        <w:tc>
          <w:tcPr>
            <w:tcW w:w="1108"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10</w:t>
            </w:r>
          </w:p>
        </w:tc>
        <w:tc>
          <w:tcPr>
            <w:tcW w:w="80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ascii="仿宋" w:hAnsi="仿宋" w:eastAsia="仿宋" w:cs="宋体"/>
                <w:color w:val="000000"/>
                <w:kern w:val="0"/>
                <w:sz w:val="22"/>
                <w:szCs w:val="22"/>
              </w:rPr>
            </w:pPr>
          </w:p>
        </w:tc>
        <w:tc>
          <w:tcPr>
            <w:tcW w:w="235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天元110kV输变电工程</w:t>
            </w:r>
          </w:p>
        </w:tc>
        <w:tc>
          <w:tcPr>
            <w:tcW w:w="74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新建</w:t>
            </w:r>
          </w:p>
        </w:tc>
        <w:tc>
          <w:tcPr>
            <w:tcW w:w="81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2025</w:t>
            </w:r>
          </w:p>
        </w:tc>
        <w:tc>
          <w:tcPr>
            <w:tcW w:w="106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100</w:t>
            </w:r>
          </w:p>
        </w:tc>
        <w:tc>
          <w:tcPr>
            <w:tcW w:w="99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4</w:t>
            </w:r>
          </w:p>
        </w:tc>
        <w:tc>
          <w:tcPr>
            <w:tcW w:w="80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国网</w:t>
            </w:r>
          </w:p>
        </w:tc>
      </w:tr>
      <w:tr>
        <w:tblPrEx>
          <w:tblCellMar>
            <w:top w:w="0" w:type="dxa"/>
            <w:left w:w="108" w:type="dxa"/>
            <w:bottom w:w="0" w:type="dxa"/>
            <w:right w:w="108" w:type="dxa"/>
          </w:tblCellMar>
        </w:tblPrEx>
        <w:trPr>
          <w:trHeight w:val="597" w:hRule="atLeast"/>
        </w:trPr>
        <w:tc>
          <w:tcPr>
            <w:tcW w:w="1108"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11</w:t>
            </w:r>
          </w:p>
        </w:tc>
        <w:tc>
          <w:tcPr>
            <w:tcW w:w="80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ascii="仿宋" w:hAnsi="仿宋" w:eastAsia="仿宋" w:cs="宋体"/>
                <w:color w:val="000000"/>
                <w:kern w:val="0"/>
                <w:sz w:val="22"/>
                <w:szCs w:val="22"/>
              </w:rPr>
            </w:pPr>
          </w:p>
        </w:tc>
        <w:tc>
          <w:tcPr>
            <w:tcW w:w="235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商务110kV输变电工程</w:t>
            </w:r>
          </w:p>
        </w:tc>
        <w:tc>
          <w:tcPr>
            <w:tcW w:w="74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新建</w:t>
            </w:r>
          </w:p>
        </w:tc>
        <w:tc>
          <w:tcPr>
            <w:tcW w:w="81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2025</w:t>
            </w:r>
          </w:p>
        </w:tc>
        <w:tc>
          <w:tcPr>
            <w:tcW w:w="106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100</w:t>
            </w:r>
          </w:p>
        </w:tc>
        <w:tc>
          <w:tcPr>
            <w:tcW w:w="99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17.4</w:t>
            </w:r>
          </w:p>
        </w:tc>
        <w:tc>
          <w:tcPr>
            <w:tcW w:w="80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rPr>
            </w:pPr>
            <w:r>
              <w:rPr>
                <w:rFonts w:hint="eastAsia" w:ascii="仿宋" w:hAnsi="仿宋" w:eastAsia="仿宋" w:cs="宋体"/>
                <w:color w:val="000000"/>
                <w:kern w:val="0"/>
                <w:sz w:val="22"/>
                <w:szCs w:val="22"/>
              </w:rPr>
              <w:t>沣西增量</w:t>
            </w:r>
          </w:p>
        </w:tc>
      </w:tr>
      <w:tr>
        <w:tblPrEx>
          <w:tblCellMar>
            <w:top w:w="0" w:type="dxa"/>
            <w:left w:w="108" w:type="dxa"/>
            <w:bottom w:w="0" w:type="dxa"/>
            <w:right w:w="108" w:type="dxa"/>
          </w:tblCellMar>
        </w:tblPrEx>
        <w:trPr>
          <w:trHeight w:val="496" w:hRule="atLeast"/>
        </w:trPr>
        <w:tc>
          <w:tcPr>
            <w:tcW w:w="5829"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22"/>
                <w:szCs w:val="22"/>
                <w:lang w:val="en-US" w:eastAsia="zh-CN" w:bidi="ar-SA"/>
              </w:rPr>
            </w:pPr>
            <w:r>
              <w:rPr>
                <w:rFonts w:hint="eastAsia" w:ascii="仿宋" w:hAnsi="仿宋" w:eastAsia="仿宋" w:cs="宋体"/>
                <w:b/>
                <w:bCs/>
                <w:color w:val="000000"/>
                <w:kern w:val="0"/>
                <w:sz w:val="22"/>
                <w:szCs w:val="22"/>
              </w:rPr>
              <w:t>沣西新城合计</w:t>
            </w:r>
          </w:p>
        </w:tc>
        <w:tc>
          <w:tcPr>
            <w:tcW w:w="106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default" w:ascii="仿宋" w:hAnsi="仿宋" w:eastAsia="仿宋" w:cs="宋体"/>
                <w:b/>
                <w:bCs/>
                <w:color w:val="000000"/>
                <w:kern w:val="0"/>
                <w:sz w:val="22"/>
                <w:szCs w:val="22"/>
                <w:lang w:val="en-US" w:eastAsia="zh-CN"/>
              </w:rPr>
            </w:pPr>
            <w:r>
              <w:rPr>
                <w:rFonts w:hint="eastAsia" w:ascii="仿宋" w:hAnsi="仿宋" w:eastAsia="仿宋" w:cs="宋体"/>
                <w:b/>
                <w:bCs/>
                <w:color w:val="000000"/>
                <w:kern w:val="0"/>
                <w:sz w:val="22"/>
                <w:szCs w:val="22"/>
                <w:lang w:val="en-US" w:eastAsia="zh-CN"/>
              </w:rPr>
              <w:t>837</w:t>
            </w:r>
          </w:p>
        </w:tc>
        <w:tc>
          <w:tcPr>
            <w:tcW w:w="99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b/>
                <w:bCs/>
                <w:color w:val="000000"/>
                <w:kern w:val="0"/>
                <w:sz w:val="22"/>
                <w:szCs w:val="22"/>
              </w:rPr>
            </w:pPr>
            <w:r>
              <w:rPr>
                <w:rFonts w:hint="eastAsia" w:ascii="仿宋" w:hAnsi="仿宋" w:eastAsia="仿宋" w:cs="宋体"/>
                <w:b/>
                <w:bCs/>
                <w:color w:val="000000"/>
                <w:kern w:val="0"/>
                <w:sz w:val="22"/>
                <w:szCs w:val="22"/>
              </w:rPr>
              <w:t>107.2</w:t>
            </w:r>
          </w:p>
        </w:tc>
        <w:tc>
          <w:tcPr>
            <w:tcW w:w="808"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b/>
                <w:bCs/>
                <w:color w:val="000000"/>
                <w:kern w:val="0"/>
                <w:sz w:val="22"/>
                <w:szCs w:val="22"/>
              </w:rPr>
            </w:pPr>
          </w:p>
        </w:tc>
      </w:tr>
    </w:tbl>
    <w:p>
      <w:pPr>
        <w:pStyle w:val="150"/>
        <w:ind w:firstLine="0" w:firstLineChars="0"/>
        <w:jc w:val="center"/>
      </w:pPr>
    </w:p>
    <w:p>
      <w:pPr>
        <w:pStyle w:val="150"/>
        <w:keepNext w:val="0"/>
        <w:keepLines w:val="0"/>
        <w:pageBreakBefore w:val="0"/>
        <w:widowControl w:val="0"/>
        <w:kinsoku/>
        <w:wordWrap/>
        <w:overflowPunct/>
        <w:topLinePunct w:val="0"/>
        <w:autoSpaceDE/>
        <w:autoSpaceDN/>
        <w:bidi w:val="0"/>
        <w:adjustRightInd w:val="0"/>
        <w:snapToGrid w:val="0"/>
        <w:spacing w:line="560" w:lineRule="exact"/>
        <w:ind w:leftChars="0" w:firstLine="643" w:firstLineChars="200"/>
        <w:textAlignment w:val="auto"/>
        <w:rPr>
          <w:rFonts w:hint="eastAsia" w:ascii="仿宋" w:hAnsi="仿宋" w:cs="仿宋"/>
          <w:b/>
          <w:bCs/>
          <w:sz w:val="32"/>
          <w:szCs w:val="32"/>
          <w:lang w:val="en-US" w:eastAsia="zh-CN"/>
        </w:rPr>
      </w:pPr>
    </w:p>
    <w:p>
      <w:pPr>
        <w:pStyle w:val="150"/>
        <w:keepNext w:val="0"/>
        <w:keepLines w:val="0"/>
        <w:pageBreakBefore w:val="0"/>
        <w:widowControl w:val="0"/>
        <w:kinsoku/>
        <w:wordWrap/>
        <w:overflowPunct/>
        <w:topLinePunct w:val="0"/>
        <w:autoSpaceDE/>
        <w:autoSpaceDN/>
        <w:bidi w:val="0"/>
        <w:adjustRightInd w:val="0"/>
        <w:snapToGrid w:val="0"/>
        <w:spacing w:line="560" w:lineRule="exact"/>
        <w:ind w:leftChars="0" w:firstLine="643" w:firstLineChars="200"/>
        <w:textAlignment w:val="auto"/>
        <w:rPr>
          <w:rFonts w:hint="eastAsia" w:ascii="仿宋" w:hAnsi="仿宋" w:eastAsia="仿宋" w:cs="仿宋"/>
          <w:b/>
          <w:bCs/>
          <w:sz w:val="32"/>
          <w:szCs w:val="32"/>
        </w:rPr>
      </w:pPr>
      <w:r>
        <w:rPr>
          <w:rFonts w:hint="eastAsia" w:ascii="仿宋" w:hAnsi="仿宋" w:cs="仿宋"/>
          <w:b/>
          <w:bCs/>
          <w:sz w:val="32"/>
          <w:szCs w:val="32"/>
          <w:lang w:val="en-US" w:eastAsia="zh-CN"/>
        </w:rPr>
        <w:t>1.</w:t>
      </w:r>
      <w:r>
        <w:rPr>
          <w:rFonts w:hint="eastAsia" w:ascii="仿宋" w:hAnsi="仿宋" w:eastAsia="仿宋" w:cs="仿宋"/>
          <w:b/>
          <w:bCs/>
          <w:sz w:val="32"/>
          <w:szCs w:val="32"/>
        </w:rPr>
        <w:t>咏佳变增容改造工程（2021年）</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系统方案：接入系统方案不变，主变容量变为2×50兆伏安。</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规模：改造主变2台，新增变电容量37兆伏安。</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建设必要性：该项目投运后将解决咏佳变重载问题，提升设备本质安全，满足大王镇负荷发展需求。</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leftChars="0" w:firstLine="643" w:firstLineChars="200"/>
        <w:textAlignment w:val="auto"/>
        <w:rPr>
          <w:rFonts w:hint="eastAsia" w:ascii="仿宋" w:hAnsi="仿宋" w:cs="仿宋"/>
          <w:b/>
          <w:bCs/>
          <w:sz w:val="32"/>
          <w:szCs w:val="32"/>
          <w:lang w:val="en-US" w:eastAsia="zh-CN"/>
        </w:rPr>
      </w:pPr>
      <w:r>
        <w:rPr>
          <w:rFonts w:hint="eastAsia" w:ascii="仿宋" w:hAnsi="仿宋" w:cs="仿宋"/>
          <w:b/>
          <w:bCs/>
          <w:sz w:val="32"/>
          <w:szCs w:val="32"/>
          <w:lang w:val="en-US" w:eastAsia="zh-CN"/>
        </w:rPr>
        <w:t>2.科创1号110千伏输变电工程（2021年）</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系统方案：科创1号变双回接入西宝变。</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建设规模：新建变电容量2×50兆伏安，新建线路长度13.2公里。</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建设必要性：该变电站投运后将满足思路科创谷负荷增长需求。</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leftChars="0" w:firstLine="643" w:firstLineChars="200"/>
        <w:textAlignment w:val="auto"/>
        <w:rPr>
          <w:rFonts w:hint="eastAsia" w:ascii="仿宋" w:hAnsi="仿宋" w:eastAsia="仿宋" w:cs="仿宋"/>
          <w:b/>
          <w:bCs/>
          <w:sz w:val="32"/>
          <w:szCs w:val="32"/>
        </w:rPr>
      </w:pPr>
      <w:r>
        <w:rPr>
          <w:rFonts w:hint="eastAsia" w:ascii="仿宋" w:hAnsi="仿宋" w:cs="仿宋"/>
          <w:b/>
          <w:bCs/>
          <w:sz w:val="32"/>
          <w:szCs w:val="32"/>
          <w:lang w:val="en-US" w:eastAsia="zh-CN"/>
        </w:rPr>
        <w:t>3.</w:t>
      </w:r>
      <w:r>
        <w:rPr>
          <w:rFonts w:hint="eastAsia" w:ascii="仿宋" w:hAnsi="仿宋" w:eastAsia="仿宋" w:cs="仿宋"/>
          <w:b/>
          <w:bCs/>
          <w:sz w:val="32"/>
          <w:szCs w:val="32"/>
        </w:rPr>
        <w:t>宋东110千伏输变电工程（2022年）</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系统方案：宋东变双回接入科创1号变。</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建设规模：新建变电容量2×50兆伏安，新建线路长度1公里。</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建设必要性：该变电站投运后将满足思路科创谷负荷增长需求。</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leftChars="0" w:firstLine="643" w:firstLineChars="200"/>
        <w:textAlignment w:val="auto"/>
        <w:rPr>
          <w:rFonts w:hint="eastAsia" w:ascii="仿宋" w:hAnsi="仿宋" w:eastAsia="仿宋" w:cs="仿宋"/>
          <w:b/>
          <w:bCs/>
          <w:sz w:val="32"/>
          <w:szCs w:val="32"/>
        </w:rPr>
      </w:pPr>
      <w:r>
        <w:rPr>
          <w:rFonts w:hint="eastAsia" w:ascii="仿宋" w:hAnsi="仿宋" w:cs="仿宋"/>
          <w:b/>
          <w:bCs/>
          <w:sz w:val="32"/>
          <w:szCs w:val="32"/>
          <w:lang w:val="en-US" w:eastAsia="zh-CN"/>
        </w:rPr>
        <w:t>4.</w:t>
      </w:r>
      <w:r>
        <w:rPr>
          <w:rFonts w:hint="eastAsia" w:ascii="仿宋" w:hAnsi="仿宋" w:eastAsia="仿宋" w:cs="仿宋"/>
          <w:b/>
          <w:bCs/>
          <w:sz w:val="32"/>
          <w:szCs w:val="32"/>
        </w:rPr>
        <w:t>斗门110千伏输变电工程（2022年）</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系统方案：斗门变双回接入云谷330千伏变电站，同时建设至镐京变的1回线路。</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建设规模：新建变电容量2×50兆伏安，新建线路长度21.6公里。</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建设必要性：该变电站投运后将满足文教园北部板块负荷需求，目前此区域入驻项目有招商雍景湾、西北妇幼等项目。</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leftChars="0" w:firstLine="643" w:firstLineChars="200"/>
        <w:textAlignment w:val="auto"/>
        <w:rPr>
          <w:rFonts w:hint="eastAsia" w:ascii="仿宋" w:hAnsi="仿宋" w:eastAsia="仿宋" w:cs="仿宋"/>
          <w:b/>
          <w:bCs/>
          <w:sz w:val="32"/>
          <w:szCs w:val="32"/>
        </w:rPr>
      </w:pPr>
      <w:r>
        <w:rPr>
          <w:rFonts w:hint="eastAsia" w:ascii="仿宋" w:hAnsi="仿宋" w:cs="仿宋"/>
          <w:b/>
          <w:bCs/>
          <w:sz w:val="32"/>
          <w:szCs w:val="32"/>
          <w:lang w:val="en-US" w:eastAsia="zh-CN"/>
        </w:rPr>
        <w:t>5.</w:t>
      </w:r>
      <w:r>
        <w:rPr>
          <w:rFonts w:hint="eastAsia" w:ascii="仿宋" w:hAnsi="仿宋" w:eastAsia="仿宋" w:cs="仿宋"/>
          <w:b/>
          <w:bCs/>
          <w:sz w:val="32"/>
          <w:szCs w:val="32"/>
        </w:rPr>
        <w:t>陈阳110千伏改造工程（2022年）</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系统方案：接入方案不变，内桥改造为双母线</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建设规模：将110千伏侧内桥改为双母线接线</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建设必要性：该项目投运后将满足地铁一号线三期秦皇牵引站供电需求，同时此次改造将陈阳变110千伏主接线由内桥改造为单母分段，将大大提高陈阳变运行方式灵活性和供电可靠性。</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leftChars="0" w:firstLine="643" w:firstLineChars="200"/>
        <w:textAlignment w:val="auto"/>
        <w:rPr>
          <w:rFonts w:hint="eastAsia" w:ascii="仿宋" w:hAnsi="仿宋" w:eastAsia="仿宋" w:cs="仿宋"/>
          <w:sz w:val="32"/>
          <w:szCs w:val="32"/>
        </w:rPr>
      </w:pPr>
      <w:r>
        <w:rPr>
          <w:rFonts w:hint="eastAsia" w:ascii="仿宋" w:hAnsi="仿宋" w:cs="仿宋"/>
          <w:b/>
          <w:bCs/>
          <w:sz w:val="32"/>
          <w:szCs w:val="32"/>
          <w:lang w:val="en-US" w:eastAsia="zh-CN"/>
        </w:rPr>
        <w:t>6.</w:t>
      </w:r>
      <w:r>
        <w:rPr>
          <w:rFonts w:hint="eastAsia" w:ascii="仿宋" w:hAnsi="仿宋" w:eastAsia="仿宋" w:cs="仿宋"/>
          <w:b/>
          <w:bCs/>
          <w:sz w:val="32"/>
          <w:szCs w:val="32"/>
        </w:rPr>
        <w:t>同仁110千伏输变电工程（2024年）</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系统方案：双“π”接入纺织-沣河双回线路。</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建设规模：新建变电容量2×50兆伏安，新建线路长度3公里。</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必要性：2022年规划新建同仁110千伏变位于西咸新区沣西新城白马河路以西，统一路以北，周边的大用户有陕西中医药大学第二附属医院、陕西科技大学镐京学院、吾悦广场等商业用户，同仁变可为周边新增负荷提供电源点，满足负荷增长的用电需求。</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leftChars="0" w:firstLine="643" w:firstLineChars="200"/>
        <w:textAlignment w:val="auto"/>
        <w:rPr>
          <w:rFonts w:hint="eastAsia" w:ascii="仿宋" w:hAnsi="仿宋" w:eastAsia="仿宋" w:cs="仿宋"/>
          <w:b/>
          <w:bCs/>
          <w:sz w:val="32"/>
          <w:szCs w:val="32"/>
        </w:rPr>
      </w:pPr>
      <w:r>
        <w:rPr>
          <w:rFonts w:hint="eastAsia" w:ascii="仿宋" w:hAnsi="仿宋" w:cs="仿宋"/>
          <w:b/>
          <w:bCs/>
          <w:sz w:val="32"/>
          <w:szCs w:val="32"/>
          <w:lang w:val="en-US" w:eastAsia="zh-CN"/>
        </w:rPr>
        <w:t>7.</w:t>
      </w:r>
      <w:r>
        <w:rPr>
          <w:rFonts w:hint="eastAsia" w:ascii="仿宋" w:hAnsi="仿宋" w:eastAsia="仿宋" w:cs="仿宋"/>
          <w:b/>
          <w:bCs/>
          <w:sz w:val="32"/>
          <w:szCs w:val="32"/>
        </w:rPr>
        <w:t>河南街110千伏输变电工程（2024年）</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系统方案：双回接入陈阳变，双回接入沣河变。</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建设规模：新建变电容量2×50兆伏安，新建线路长度20公里。</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leftChars="0" w:firstLine="643" w:firstLineChars="200"/>
        <w:textAlignment w:val="auto"/>
        <w:rPr>
          <w:rFonts w:hint="eastAsia" w:ascii="仿宋" w:hAnsi="仿宋" w:eastAsia="仿宋" w:cs="仿宋"/>
          <w:b/>
          <w:bCs/>
          <w:sz w:val="32"/>
          <w:szCs w:val="32"/>
        </w:rPr>
      </w:pPr>
      <w:r>
        <w:rPr>
          <w:rFonts w:hint="eastAsia" w:ascii="仿宋" w:hAnsi="仿宋" w:cs="仿宋"/>
          <w:b/>
          <w:bCs/>
          <w:sz w:val="32"/>
          <w:szCs w:val="32"/>
          <w:lang w:val="en-US" w:eastAsia="zh-CN"/>
        </w:rPr>
        <w:t>8.</w:t>
      </w:r>
      <w:r>
        <w:rPr>
          <w:rFonts w:hint="eastAsia" w:ascii="仿宋" w:hAnsi="仿宋" w:eastAsia="仿宋" w:cs="仿宋"/>
          <w:b/>
          <w:bCs/>
          <w:sz w:val="32"/>
          <w:szCs w:val="32"/>
        </w:rPr>
        <w:t>沣西二330千伏变电站110千伏送出工程（2025年）</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系统方案：单π西宝-材料线路、咏佳-材料线路、咏佳-交大创新港线路。西宝变新增2回出线至沣西二变，兴咸变新增2回出线至沣西二变。</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建设规模：新建线路长度23公里。</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leftChars="0" w:firstLine="643" w:firstLineChars="200"/>
        <w:textAlignment w:val="auto"/>
        <w:rPr>
          <w:rFonts w:hint="eastAsia" w:ascii="仿宋" w:hAnsi="仿宋" w:eastAsia="仿宋" w:cs="仿宋"/>
          <w:b/>
          <w:bCs/>
          <w:sz w:val="32"/>
          <w:szCs w:val="32"/>
        </w:rPr>
      </w:pPr>
      <w:r>
        <w:rPr>
          <w:rFonts w:hint="eastAsia" w:ascii="仿宋" w:hAnsi="仿宋" w:cs="仿宋"/>
          <w:b/>
          <w:bCs/>
          <w:sz w:val="32"/>
          <w:szCs w:val="32"/>
          <w:lang w:val="en-US" w:eastAsia="zh-CN"/>
        </w:rPr>
        <w:t>9.</w:t>
      </w:r>
      <w:r>
        <w:rPr>
          <w:rFonts w:hint="eastAsia" w:ascii="仿宋" w:hAnsi="仿宋" w:eastAsia="仿宋" w:cs="仿宋"/>
          <w:b/>
          <w:bCs/>
          <w:sz w:val="32"/>
          <w:szCs w:val="32"/>
        </w:rPr>
        <w:t>材料110千伏输变电工程（2025年）</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系统方案：双“π”接入沣西二-西宝双回线路。</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建设规模：新建变电容量2×50兆伏安，新建线路长度4公里。</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必要性：满足沣西新城南部负荷增长需求，将35千伏马王变负荷转至材料变，满足马王、斗门、灵沼地区负荷发展需求。</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leftChars="0" w:firstLine="643" w:firstLineChars="200"/>
        <w:textAlignment w:val="auto"/>
        <w:rPr>
          <w:rFonts w:hint="eastAsia" w:ascii="仿宋" w:hAnsi="仿宋" w:eastAsia="仿宋" w:cs="仿宋"/>
          <w:b/>
          <w:bCs/>
          <w:sz w:val="32"/>
          <w:szCs w:val="32"/>
        </w:rPr>
      </w:pPr>
      <w:r>
        <w:rPr>
          <w:rFonts w:hint="eastAsia" w:ascii="仿宋" w:hAnsi="仿宋" w:cs="仿宋"/>
          <w:b/>
          <w:bCs/>
          <w:sz w:val="32"/>
          <w:szCs w:val="32"/>
          <w:lang w:val="en-US" w:eastAsia="zh-CN"/>
        </w:rPr>
        <w:t>10.</w:t>
      </w:r>
      <w:r>
        <w:rPr>
          <w:rFonts w:hint="eastAsia" w:ascii="仿宋" w:hAnsi="仿宋" w:eastAsia="仿宋" w:cs="仿宋"/>
          <w:b/>
          <w:bCs/>
          <w:sz w:val="32"/>
          <w:szCs w:val="32"/>
        </w:rPr>
        <w:t>天元110千伏输变电工程（2025年）</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系统方案：双“π”接入云谷-西宝双回线路。</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建设规模：新建变电容量2×50兆伏安，新建线路长度4公里。</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必要性：2025年规划新建110千伏天元变位于兴咸路与横十四路交叉路口的西北角。近期周边入驻项目有武警陕西总队快反中心及丝路风情城总计五期工程项目等。随着“十三五”的指导方针，为满足未来该片区的电力负荷增长，故规划新建110千伏天元变。</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leftChars="0" w:firstLine="643" w:firstLineChars="200"/>
        <w:textAlignment w:val="auto"/>
        <w:rPr>
          <w:rFonts w:hint="eastAsia" w:ascii="仿宋" w:hAnsi="仿宋" w:eastAsia="仿宋" w:cs="仿宋"/>
          <w:b/>
          <w:bCs/>
          <w:sz w:val="32"/>
          <w:szCs w:val="32"/>
        </w:rPr>
      </w:pPr>
      <w:r>
        <w:rPr>
          <w:rFonts w:hint="eastAsia" w:ascii="仿宋" w:hAnsi="仿宋" w:cs="仿宋"/>
          <w:b/>
          <w:bCs/>
          <w:sz w:val="32"/>
          <w:szCs w:val="32"/>
          <w:lang w:val="en-US" w:eastAsia="zh-CN"/>
        </w:rPr>
        <w:t>11.</w:t>
      </w:r>
      <w:r>
        <w:rPr>
          <w:rFonts w:hint="eastAsia" w:ascii="仿宋" w:hAnsi="仿宋" w:eastAsia="仿宋" w:cs="仿宋"/>
          <w:b/>
          <w:bCs/>
          <w:sz w:val="32"/>
          <w:szCs w:val="32"/>
        </w:rPr>
        <w:t>商务110千伏输变电工程（2025年）</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系统方案：商务变双回接入云谷330千伏变电站。</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建设规模：新建变电容量2×50兆伏安，新建线路长度17.4公里。</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建设必要性：该变电站投运后将满足现代综合商务区负荷增长的需求。</w:t>
      </w:r>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r>
        <w:rPr>
          <w:rFonts w:eastAsia="仿宋"/>
          <w:sz w:val="32"/>
          <w:szCs w:val="32"/>
        </w:rPr>
        <w:t>泾河新城110千伏变电站布点规划</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“十四五”期间泾河新城新建变电站6座，新增变电容量902兆伏安，新建线路123公里。</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黑体" w:hAnsi="黑体" w:eastAsia="黑体" w:cs="黑体"/>
          <w:b w:val="0"/>
          <w:bCs w:val="0"/>
          <w:kern w:val="0"/>
          <w:sz w:val="28"/>
          <w:szCs w:val="28"/>
          <w:lang w:val="en-US" w:eastAsia="zh-CN" w:bidi="ar-SA"/>
        </w:rPr>
      </w:pPr>
      <w:r>
        <w:rPr>
          <w:rFonts w:hint="eastAsia" w:ascii="黑体" w:hAnsi="黑体" w:eastAsia="黑体" w:cs="黑体"/>
          <w:b w:val="0"/>
          <w:bCs w:val="0"/>
          <w:kern w:val="0"/>
          <w:sz w:val="28"/>
          <w:szCs w:val="28"/>
          <w:lang w:val="en-US" w:eastAsia="zh-CN" w:bidi="ar-SA"/>
        </w:rPr>
        <w:t>表8-6  泾河新城“十四五”规划项目建设规模</w:t>
      </w:r>
    </w:p>
    <w:tbl>
      <w:tblPr>
        <w:tblStyle w:val="88"/>
        <w:tblW w:w="8721" w:type="dxa"/>
        <w:tblInd w:w="0" w:type="dxa"/>
        <w:tblLayout w:type="fixed"/>
        <w:tblCellMar>
          <w:top w:w="0" w:type="dxa"/>
          <w:left w:w="108" w:type="dxa"/>
          <w:bottom w:w="0" w:type="dxa"/>
          <w:right w:w="108" w:type="dxa"/>
        </w:tblCellMar>
      </w:tblPr>
      <w:tblGrid>
        <w:gridCol w:w="496"/>
        <w:gridCol w:w="778"/>
        <w:gridCol w:w="3109"/>
        <w:gridCol w:w="803"/>
        <w:gridCol w:w="780"/>
        <w:gridCol w:w="1199"/>
        <w:gridCol w:w="809"/>
        <w:gridCol w:w="747"/>
      </w:tblGrid>
      <w:tr>
        <w:tblPrEx>
          <w:tblCellMar>
            <w:top w:w="0" w:type="dxa"/>
            <w:left w:w="108" w:type="dxa"/>
            <w:bottom w:w="0" w:type="dxa"/>
            <w:right w:w="108" w:type="dxa"/>
          </w:tblCellMar>
        </w:tblPrEx>
        <w:trPr>
          <w:trHeight w:val="270" w:hRule="atLeast"/>
        </w:trPr>
        <w:tc>
          <w:tcPr>
            <w:tcW w:w="496"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序号</w:t>
            </w:r>
          </w:p>
        </w:tc>
        <w:tc>
          <w:tcPr>
            <w:tcW w:w="778"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所属区域</w:t>
            </w:r>
          </w:p>
        </w:tc>
        <w:tc>
          <w:tcPr>
            <w:tcW w:w="3109"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项目名称</w:t>
            </w:r>
          </w:p>
        </w:tc>
        <w:tc>
          <w:tcPr>
            <w:tcW w:w="803"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性质</w:t>
            </w:r>
          </w:p>
        </w:tc>
        <w:tc>
          <w:tcPr>
            <w:tcW w:w="780"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投产时间</w:t>
            </w:r>
          </w:p>
        </w:tc>
        <w:tc>
          <w:tcPr>
            <w:tcW w:w="1199"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变电容量兆伏安</w:t>
            </w:r>
          </w:p>
        </w:tc>
        <w:tc>
          <w:tcPr>
            <w:tcW w:w="809"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线路长度公里</w:t>
            </w:r>
          </w:p>
        </w:tc>
        <w:tc>
          <w:tcPr>
            <w:tcW w:w="747"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备注</w:t>
            </w:r>
          </w:p>
        </w:tc>
      </w:tr>
      <w:tr>
        <w:tblPrEx>
          <w:tblCellMar>
            <w:top w:w="0" w:type="dxa"/>
            <w:left w:w="108" w:type="dxa"/>
            <w:bottom w:w="0" w:type="dxa"/>
            <w:right w:w="108" w:type="dxa"/>
          </w:tblCellMar>
        </w:tblPrEx>
        <w:trPr>
          <w:trHeight w:val="270" w:hRule="atLeast"/>
        </w:trPr>
        <w:tc>
          <w:tcPr>
            <w:tcW w:w="496"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1</w:t>
            </w:r>
          </w:p>
        </w:tc>
        <w:tc>
          <w:tcPr>
            <w:tcW w:w="778" w:type="dxa"/>
            <w:vMerge w:val="restart"/>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泾河新城</w:t>
            </w:r>
          </w:p>
        </w:tc>
        <w:tc>
          <w:tcPr>
            <w:tcW w:w="310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110千伏符瑞输变电工程</w:t>
            </w:r>
          </w:p>
        </w:tc>
        <w:tc>
          <w:tcPr>
            <w:tcW w:w="80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新建</w:t>
            </w:r>
          </w:p>
        </w:tc>
        <w:tc>
          <w:tcPr>
            <w:tcW w:w="78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2021</w:t>
            </w:r>
          </w:p>
        </w:tc>
        <w:tc>
          <w:tcPr>
            <w:tcW w:w="119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252</w:t>
            </w:r>
          </w:p>
        </w:tc>
        <w:tc>
          <w:tcPr>
            <w:tcW w:w="80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36</w:t>
            </w:r>
          </w:p>
        </w:tc>
        <w:tc>
          <w:tcPr>
            <w:tcW w:w="74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地电</w:t>
            </w:r>
          </w:p>
        </w:tc>
      </w:tr>
      <w:tr>
        <w:tblPrEx>
          <w:tblCellMar>
            <w:top w:w="0" w:type="dxa"/>
            <w:left w:w="108" w:type="dxa"/>
            <w:bottom w:w="0" w:type="dxa"/>
            <w:right w:w="108" w:type="dxa"/>
          </w:tblCellMar>
        </w:tblPrEx>
        <w:trPr>
          <w:trHeight w:val="270" w:hRule="atLeast"/>
        </w:trPr>
        <w:tc>
          <w:tcPr>
            <w:tcW w:w="496"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2</w:t>
            </w:r>
          </w:p>
        </w:tc>
        <w:tc>
          <w:tcPr>
            <w:tcW w:w="77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hint="eastAsia" w:ascii="方正仿宋_GB2312" w:hAnsi="方正仿宋_GB2312" w:eastAsia="方正仿宋_GB2312" w:cs="方正仿宋_GB2312"/>
                <w:color w:val="000000"/>
                <w:kern w:val="0"/>
                <w:sz w:val="21"/>
                <w:szCs w:val="21"/>
              </w:rPr>
            </w:pPr>
          </w:p>
        </w:tc>
        <w:tc>
          <w:tcPr>
            <w:tcW w:w="310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330千伏秦汉变至110千伏高庄变110千伏线路工程</w:t>
            </w:r>
          </w:p>
        </w:tc>
        <w:tc>
          <w:tcPr>
            <w:tcW w:w="80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新建</w:t>
            </w:r>
          </w:p>
        </w:tc>
        <w:tc>
          <w:tcPr>
            <w:tcW w:w="78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2022</w:t>
            </w:r>
          </w:p>
        </w:tc>
        <w:tc>
          <w:tcPr>
            <w:tcW w:w="119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0</w:t>
            </w:r>
          </w:p>
        </w:tc>
        <w:tc>
          <w:tcPr>
            <w:tcW w:w="80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13.1</w:t>
            </w:r>
          </w:p>
        </w:tc>
        <w:tc>
          <w:tcPr>
            <w:tcW w:w="74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国网</w:t>
            </w:r>
          </w:p>
        </w:tc>
      </w:tr>
      <w:tr>
        <w:tblPrEx>
          <w:tblCellMar>
            <w:top w:w="0" w:type="dxa"/>
            <w:left w:w="108" w:type="dxa"/>
            <w:bottom w:w="0" w:type="dxa"/>
            <w:right w:w="108" w:type="dxa"/>
          </w:tblCellMar>
        </w:tblPrEx>
        <w:trPr>
          <w:trHeight w:val="494" w:hRule="atLeast"/>
        </w:trPr>
        <w:tc>
          <w:tcPr>
            <w:tcW w:w="496"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3</w:t>
            </w:r>
          </w:p>
        </w:tc>
        <w:tc>
          <w:tcPr>
            <w:tcW w:w="77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hint="eastAsia" w:ascii="方正仿宋_GB2312" w:hAnsi="方正仿宋_GB2312" w:eastAsia="方正仿宋_GB2312" w:cs="方正仿宋_GB2312"/>
                <w:color w:val="000000"/>
                <w:kern w:val="0"/>
                <w:sz w:val="21"/>
                <w:szCs w:val="21"/>
              </w:rPr>
            </w:pPr>
          </w:p>
        </w:tc>
        <w:tc>
          <w:tcPr>
            <w:tcW w:w="310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110千伏东风输变电工程</w:t>
            </w:r>
          </w:p>
        </w:tc>
        <w:tc>
          <w:tcPr>
            <w:tcW w:w="80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新建</w:t>
            </w:r>
          </w:p>
        </w:tc>
        <w:tc>
          <w:tcPr>
            <w:tcW w:w="78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2022</w:t>
            </w:r>
          </w:p>
        </w:tc>
        <w:tc>
          <w:tcPr>
            <w:tcW w:w="119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150</w:t>
            </w:r>
          </w:p>
        </w:tc>
        <w:tc>
          <w:tcPr>
            <w:tcW w:w="80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16.6</w:t>
            </w:r>
          </w:p>
        </w:tc>
        <w:tc>
          <w:tcPr>
            <w:tcW w:w="74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地电</w:t>
            </w:r>
          </w:p>
        </w:tc>
      </w:tr>
      <w:tr>
        <w:tblPrEx>
          <w:tblCellMar>
            <w:top w:w="0" w:type="dxa"/>
            <w:left w:w="108" w:type="dxa"/>
            <w:bottom w:w="0" w:type="dxa"/>
            <w:right w:w="108" w:type="dxa"/>
          </w:tblCellMar>
        </w:tblPrEx>
        <w:trPr>
          <w:trHeight w:val="479" w:hRule="atLeast"/>
        </w:trPr>
        <w:tc>
          <w:tcPr>
            <w:tcW w:w="496"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4</w:t>
            </w:r>
          </w:p>
        </w:tc>
        <w:tc>
          <w:tcPr>
            <w:tcW w:w="77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hint="eastAsia" w:ascii="方正仿宋_GB2312" w:hAnsi="方正仿宋_GB2312" w:eastAsia="方正仿宋_GB2312" w:cs="方正仿宋_GB2312"/>
                <w:color w:val="000000"/>
                <w:kern w:val="0"/>
                <w:sz w:val="21"/>
                <w:szCs w:val="21"/>
              </w:rPr>
            </w:pPr>
          </w:p>
        </w:tc>
        <w:tc>
          <w:tcPr>
            <w:tcW w:w="310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110千伏院士谷输变电工程</w:t>
            </w:r>
          </w:p>
        </w:tc>
        <w:tc>
          <w:tcPr>
            <w:tcW w:w="80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新建</w:t>
            </w:r>
          </w:p>
        </w:tc>
        <w:tc>
          <w:tcPr>
            <w:tcW w:w="78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2022</w:t>
            </w:r>
          </w:p>
        </w:tc>
        <w:tc>
          <w:tcPr>
            <w:tcW w:w="119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150</w:t>
            </w:r>
          </w:p>
        </w:tc>
        <w:tc>
          <w:tcPr>
            <w:tcW w:w="80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6</w:t>
            </w:r>
          </w:p>
        </w:tc>
        <w:tc>
          <w:tcPr>
            <w:tcW w:w="74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地电</w:t>
            </w:r>
          </w:p>
        </w:tc>
      </w:tr>
      <w:tr>
        <w:tblPrEx>
          <w:tblCellMar>
            <w:top w:w="0" w:type="dxa"/>
            <w:left w:w="108" w:type="dxa"/>
            <w:bottom w:w="0" w:type="dxa"/>
            <w:right w:w="108" w:type="dxa"/>
          </w:tblCellMar>
        </w:tblPrEx>
        <w:trPr>
          <w:trHeight w:val="270" w:hRule="atLeast"/>
        </w:trPr>
        <w:tc>
          <w:tcPr>
            <w:tcW w:w="496"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5</w:t>
            </w:r>
          </w:p>
        </w:tc>
        <w:tc>
          <w:tcPr>
            <w:tcW w:w="77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hint="eastAsia" w:ascii="方正仿宋_GB2312" w:hAnsi="方正仿宋_GB2312" w:eastAsia="方正仿宋_GB2312" w:cs="方正仿宋_GB2312"/>
                <w:color w:val="000000"/>
                <w:kern w:val="0"/>
                <w:sz w:val="21"/>
                <w:szCs w:val="21"/>
              </w:rPr>
            </w:pPr>
          </w:p>
        </w:tc>
        <w:tc>
          <w:tcPr>
            <w:tcW w:w="310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110千伏金田玉输变电工程</w:t>
            </w:r>
          </w:p>
        </w:tc>
        <w:tc>
          <w:tcPr>
            <w:tcW w:w="80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新建</w:t>
            </w:r>
          </w:p>
        </w:tc>
        <w:tc>
          <w:tcPr>
            <w:tcW w:w="78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2022</w:t>
            </w:r>
          </w:p>
        </w:tc>
        <w:tc>
          <w:tcPr>
            <w:tcW w:w="119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100</w:t>
            </w:r>
          </w:p>
        </w:tc>
        <w:tc>
          <w:tcPr>
            <w:tcW w:w="80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10</w:t>
            </w:r>
          </w:p>
        </w:tc>
        <w:tc>
          <w:tcPr>
            <w:tcW w:w="74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地电</w:t>
            </w:r>
          </w:p>
        </w:tc>
      </w:tr>
      <w:tr>
        <w:tblPrEx>
          <w:tblCellMar>
            <w:top w:w="0" w:type="dxa"/>
            <w:left w:w="108" w:type="dxa"/>
            <w:bottom w:w="0" w:type="dxa"/>
            <w:right w:w="108" w:type="dxa"/>
          </w:tblCellMar>
        </w:tblPrEx>
        <w:trPr>
          <w:trHeight w:val="270" w:hRule="atLeast"/>
        </w:trPr>
        <w:tc>
          <w:tcPr>
            <w:tcW w:w="496"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6</w:t>
            </w:r>
          </w:p>
        </w:tc>
        <w:tc>
          <w:tcPr>
            <w:tcW w:w="77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hint="eastAsia" w:ascii="方正仿宋_GB2312" w:hAnsi="方正仿宋_GB2312" w:eastAsia="方正仿宋_GB2312" w:cs="方正仿宋_GB2312"/>
                <w:color w:val="000000"/>
                <w:kern w:val="0"/>
                <w:sz w:val="21"/>
                <w:szCs w:val="21"/>
              </w:rPr>
            </w:pPr>
          </w:p>
        </w:tc>
        <w:tc>
          <w:tcPr>
            <w:tcW w:w="310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泾河330千伏变电站110千伏送出工程</w:t>
            </w:r>
          </w:p>
        </w:tc>
        <w:tc>
          <w:tcPr>
            <w:tcW w:w="80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新建</w:t>
            </w:r>
          </w:p>
        </w:tc>
        <w:tc>
          <w:tcPr>
            <w:tcW w:w="78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2023</w:t>
            </w:r>
          </w:p>
        </w:tc>
        <w:tc>
          <w:tcPr>
            <w:tcW w:w="119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0</w:t>
            </w:r>
          </w:p>
        </w:tc>
        <w:tc>
          <w:tcPr>
            <w:tcW w:w="80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3.6</w:t>
            </w:r>
          </w:p>
        </w:tc>
        <w:tc>
          <w:tcPr>
            <w:tcW w:w="74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地电</w:t>
            </w:r>
          </w:p>
        </w:tc>
      </w:tr>
      <w:tr>
        <w:tblPrEx>
          <w:tblCellMar>
            <w:top w:w="0" w:type="dxa"/>
            <w:left w:w="108" w:type="dxa"/>
            <w:bottom w:w="0" w:type="dxa"/>
            <w:right w:w="108" w:type="dxa"/>
          </w:tblCellMar>
        </w:tblPrEx>
        <w:trPr>
          <w:trHeight w:val="270" w:hRule="atLeast"/>
        </w:trPr>
        <w:tc>
          <w:tcPr>
            <w:tcW w:w="496"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7</w:t>
            </w:r>
          </w:p>
        </w:tc>
        <w:tc>
          <w:tcPr>
            <w:tcW w:w="77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hint="eastAsia" w:ascii="方正仿宋_GB2312" w:hAnsi="方正仿宋_GB2312" w:eastAsia="方正仿宋_GB2312" w:cs="方正仿宋_GB2312"/>
                <w:color w:val="000000"/>
                <w:kern w:val="0"/>
                <w:sz w:val="21"/>
                <w:szCs w:val="21"/>
              </w:rPr>
            </w:pPr>
          </w:p>
        </w:tc>
        <w:tc>
          <w:tcPr>
            <w:tcW w:w="310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110千伏茯茶输变电工程</w:t>
            </w:r>
          </w:p>
        </w:tc>
        <w:tc>
          <w:tcPr>
            <w:tcW w:w="80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新建</w:t>
            </w:r>
          </w:p>
        </w:tc>
        <w:tc>
          <w:tcPr>
            <w:tcW w:w="78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2023</w:t>
            </w:r>
          </w:p>
        </w:tc>
        <w:tc>
          <w:tcPr>
            <w:tcW w:w="119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100</w:t>
            </w:r>
          </w:p>
        </w:tc>
        <w:tc>
          <w:tcPr>
            <w:tcW w:w="80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10</w:t>
            </w:r>
          </w:p>
        </w:tc>
        <w:tc>
          <w:tcPr>
            <w:tcW w:w="74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地电</w:t>
            </w:r>
          </w:p>
        </w:tc>
      </w:tr>
      <w:tr>
        <w:tblPrEx>
          <w:tblCellMar>
            <w:top w:w="0" w:type="dxa"/>
            <w:left w:w="108" w:type="dxa"/>
            <w:bottom w:w="0" w:type="dxa"/>
            <w:right w:w="108" w:type="dxa"/>
          </w:tblCellMar>
        </w:tblPrEx>
        <w:trPr>
          <w:trHeight w:val="270" w:hRule="atLeast"/>
        </w:trPr>
        <w:tc>
          <w:tcPr>
            <w:tcW w:w="496"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8</w:t>
            </w:r>
          </w:p>
        </w:tc>
        <w:tc>
          <w:tcPr>
            <w:tcW w:w="77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hint="eastAsia" w:ascii="方正仿宋_GB2312" w:hAnsi="方正仿宋_GB2312" w:eastAsia="方正仿宋_GB2312" w:cs="方正仿宋_GB2312"/>
                <w:color w:val="000000"/>
                <w:kern w:val="0"/>
                <w:sz w:val="21"/>
                <w:szCs w:val="21"/>
              </w:rPr>
            </w:pPr>
          </w:p>
        </w:tc>
        <w:tc>
          <w:tcPr>
            <w:tcW w:w="310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110千伏花池渡输变电工程</w:t>
            </w:r>
          </w:p>
        </w:tc>
        <w:tc>
          <w:tcPr>
            <w:tcW w:w="80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新建</w:t>
            </w:r>
          </w:p>
        </w:tc>
        <w:tc>
          <w:tcPr>
            <w:tcW w:w="78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2024</w:t>
            </w:r>
          </w:p>
        </w:tc>
        <w:tc>
          <w:tcPr>
            <w:tcW w:w="119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150</w:t>
            </w:r>
          </w:p>
        </w:tc>
        <w:tc>
          <w:tcPr>
            <w:tcW w:w="80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27.7</w:t>
            </w:r>
          </w:p>
        </w:tc>
        <w:tc>
          <w:tcPr>
            <w:tcW w:w="74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地电</w:t>
            </w:r>
          </w:p>
        </w:tc>
      </w:tr>
      <w:tr>
        <w:tblPrEx>
          <w:tblCellMar>
            <w:top w:w="0" w:type="dxa"/>
            <w:left w:w="108" w:type="dxa"/>
            <w:bottom w:w="0" w:type="dxa"/>
            <w:right w:w="108" w:type="dxa"/>
          </w:tblCellMar>
        </w:tblPrEx>
        <w:trPr>
          <w:trHeight w:val="477" w:hRule="atLeast"/>
        </w:trPr>
        <w:tc>
          <w:tcPr>
            <w:tcW w:w="5966"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b/>
                <w:bCs/>
                <w:color w:val="000000"/>
                <w:kern w:val="0"/>
                <w:sz w:val="21"/>
                <w:szCs w:val="21"/>
              </w:rPr>
            </w:pPr>
            <w:r>
              <w:rPr>
                <w:rFonts w:hint="eastAsia" w:ascii="方正仿宋_GB2312" w:hAnsi="方正仿宋_GB2312" w:eastAsia="方正仿宋_GB2312" w:cs="方正仿宋_GB2312"/>
                <w:b/>
                <w:bCs/>
                <w:color w:val="000000"/>
                <w:kern w:val="0"/>
                <w:sz w:val="21"/>
                <w:szCs w:val="21"/>
              </w:rPr>
              <w:t>泾河新城合计</w:t>
            </w:r>
          </w:p>
        </w:tc>
        <w:tc>
          <w:tcPr>
            <w:tcW w:w="119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b/>
                <w:bCs/>
                <w:color w:val="000000"/>
                <w:kern w:val="0"/>
                <w:sz w:val="21"/>
                <w:szCs w:val="21"/>
              </w:rPr>
            </w:pPr>
            <w:r>
              <w:rPr>
                <w:rFonts w:hint="eastAsia" w:ascii="方正仿宋_GB2312" w:hAnsi="方正仿宋_GB2312" w:eastAsia="方正仿宋_GB2312" w:cs="方正仿宋_GB2312"/>
                <w:b/>
                <w:bCs/>
                <w:color w:val="000000"/>
                <w:kern w:val="0"/>
                <w:sz w:val="21"/>
                <w:szCs w:val="21"/>
              </w:rPr>
              <w:t>902</w:t>
            </w:r>
          </w:p>
        </w:tc>
        <w:tc>
          <w:tcPr>
            <w:tcW w:w="80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方正仿宋_GB2312" w:hAnsi="方正仿宋_GB2312" w:eastAsia="方正仿宋_GB2312" w:cs="方正仿宋_GB2312"/>
                <w:b/>
                <w:bCs/>
                <w:color w:val="000000"/>
                <w:kern w:val="0"/>
                <w:sz w:val="21"/>
                <w:szCs w:val="21"/>
              </w:rPr>
            </w:pPr>
            <w:r>
              <w:rPr>
                <w:rFonts w:hint="eastAsia" w:ascii="方正仿宋_GB2312" w:hAnsi="方正仿宋_GB2312" w:eastAsia="方正仿宋_GB2312" w:cs="方正仿宋_GB2312"/>
                <w:b/>
                <w:bCs/>
                <w:color w:val="000000"/>
                <w:kern w:val="0"/>
                <w:sz w:val="21"/>
                <w:szCs w:val="21"/>
              </w:rPr>
              <w:t>123</w:t>
            </w:r>
          </w:p>
        </w:tc>
        <w:tc>
          <w:tcPr>
            <w:tcW w:w="747" w:type="dxa"/>
            <w:tcBorders>
              <w:top w:val="nil"/>
              <w:left w:val="nil"/>
              <w:bottom w:val="single" w:color="auto" w:sz="4" w:space="0"/>
              <w:right w:val="single" w:color="auto" w:sz="4" w:space="0"/>
            </w:tcBorders>
            <w:shd w:val="clear" w:color="auto" w:fill="auto"/>
            <w:vAlign w:val="bottom"/>
          </w:tcPr>
          <w:p>
            <w:pPr>
              <w:widowControl/>
              <w:spacing w:line="240" w:lineRule="auto"/>
              <w:jc w:val="left"/>
              <w:rPr>
                <w:rFonts w:hint="eastAsia" w:ascii="方正仿宋_GB2312" w:hAnsi="方正仿宋_GB2312" w:eastAsia="方正仿宋_GB2312" w:cs="方正仿宋_GB2312"/>
                <w:color w:val="000000"/>
                <w:kern w:val="0"/>
                <w:sz w:val="21"/>
                <w:szCs w:val="21"/>
              </w:rPr>
            </w:pPr>
            <w:r>
              <w:rPr>
                <w:rFonts w:hint="eastAsia" w:ascii="方正仿宋_GB2312" w:hAnsi="方正仿宋_GB2312" w:eastAsia="方正仿宋_GB2312" w:cs="方正仿宋_GB2312"/>
                <w:color w:val="000000"/>
                <w:kern w:val="0"/>
                <w:sz w:val="21"/>
                <w:szCs w:val="21"/>
              </w:rPr>
              <w:t>　</w:t>
            </w:r>
          </w:p>
        </w:tc>
      </w:tr>
    </w:tbl>
    <w:p>
      <w:pPr>
        <w:pStyle w:val="7"/>
        <w:pageBreakBefore w:val="0"/>
        <w:widowControl w:val="0"/>
        <w:numPr>
          <w:ilvl w:val="3"/>
          <w:numId w:val="0"/>
        </w:numPr>
        <w:kinsoku/>
        <w:wordWrap/>
        <w:overflowPunct/>
        <w:topLinePunct w:val="0"/>
        <w:autoSpaceDE/>
        <w:autoSpaceDN/>
        <w:bidi w:val="0"/>
        <w:spacing w:beforeLines="0" w:afterLines="0" w:line="560" w:lineRule="exact"/>
        <w:ind w:leftChars="0" w:firstLine="643" w:firstLineChars="200"/>
        <w:textAlignment w:val="auto"/>
        <w:rPr>
          <w:rFonts w:hint="eastAsia" w:ascii="仿宋" w:hAnsi="仿宋" w:eastAsia="仿宋" w:cs="仿宋"/>
          <w:b/>
          <w:bCs/>
          <w:kern w:val="2"/>
          <w:sz w:val="32"/>
          <w:szCs w:val="32"/>
          <w:lang w:val="en-US" w:eastAsia="zh-CN" w:bidi="ar-SA"/>
        </w:rPr>
      </w:pPr>
      <w:r>
        <w:rPr>
          <w:rFonts w:hint="eastAsia" w:ascii="仿宋" w:hAnsi="仿宋" w:eastAsia="仿宋" w:cs="仿宋"/>
          <w:b/>
          <w:bCs/>
          <w:kern w:val="2"/>
          <w:sz w:val="32"/>
          <w:szCs w:val="32"/>
          <w:lang w:val="en-US" w:eastAsia="zh-CN" w:bidi="ar-SA"/>
        </w:rPr>
        <w:t>1.110千伏符瑞输变电工程（2021年）</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系统方案：双回接入秦汉330千伏变。</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建设必要性：为满足隆基集团15GW高效单晶电池项目供电需求，助力新能源行业健康发展，为“碳达峰·碳中和”贡献地电力量，拟建设110千伏符瑞变。</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建设规模：主变容量4×63兆伏安。站址拟定于泾河新城南横流村。电源点选择由330千伏秦汉变出双回110千伏线路，建设长度2×18公里。</w:t>
      </w:r>
    </w:p>
    <w:p>
      <w:pPr>
        <w:pStyle w:val="7"/>
        <w:keepNext/>
        <w:keepLines/>
        <w:pageBreakBefore w:val="0"/>
        <w:widowControl w:val="0"/>
        <w:numPr>
          <w:ilvl w:val="3"/>
          <w:numId w:val="0"/>
        </w:numPr>
        <w:kinsoku/>
        <w:wordWrap/>
        <w:overflowPunct/>
        <w:topLinePunct w:val="0"/>
        <w:autoSpaceDE/>
        <w:autoSpaceDN/>
        <w:bidi w:val="0"/>
        <w:adjustRightInd/>
        <w:snapToGrid/>
        <w:spacing w:beforeLines="0" w:afterLines="0" w:line="560" w:lineRule="exact"/>
        <w:ind w:leftChars="0" w:firstLine="643" w:firstLineChars="200"/>
        <w:textAlignment w:val="auto"/>
        <w:rPr>
          <w:rFonts w:hint="eastAsia" w:ascii="仿宋" w:hAnsi="仿宋" w:eastAsia="仿宋" w:cs="仿宋"/>
          <w:b/>
          <w:bCs/>
          <w:kern w:val="2"/>
          <w:sz w:val="32"/>
          <w:szCs w:val="32"/>
          <w:lang w:val="en-US" w:eastAsia="zh-CN" w:bidi="ar-SA"/>
        </w:rPr>
      </w:pPr>
      <w:r>
        <w:rPr>
          <w:rFonts w:hint="eastAsia" w:ascii="仿宋" w:hAnsi="仿宋" w:eastAsia="仿宋" w:cs="仿宋"/>
          <w:b/>
          <w:bCs/>
          <w:kern w:val="2"/>
          <w:sz w:val="32"/>
          <w:szCs w:val="32"/>
          <w:lang w:val="en-US" w:eastAsia="zh-CN" w:bidi="ar-SA"/>
        </w:rPr>
        <w:t>2.330千伏秦汉变至110千伏高庄变110千伏线路工程（2022年）</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系统方案：双回接入秦汉330千伏变。</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必要性：西咸电网上级电源仅为330千伏池阳变。当330千伏池阳变全停后，整个片区将失压。当110千伏永东变全停后，需通过35千伏3621泾崇线和3574泾高T线来恢复110千伏高庄变和崇文变的供电能力。2021年将建成投产330千伏秦汉变，新建330千伏秦汉变至110千伏高庄变双回110千伏线路工程，在网架结构上将原来的双辐射供电结构改变为双侧电源链式的供电结构，可以有效提升区域内供电可靠性，使得电网运行的方式更加的灵活、可靠。解决了330千伏池阳变全停后，片区全部失压的问题。</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建设规模：本工程由秦汉330千伏变新出双回110千伏线路接入110千伏高庄变，建设长度2×6.55公里。</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 w:hAnsi="仿宋" w:eastAsia="仿宋" w:cs="仿宋"/>
          <w:b/>
          <w:bCs/>
          <w:kern w:val="2"/>
          <w:sz w:val="32"/>
          <w:szCs w:val="32"/>
          <w:lang w:val="en-US" w:eastAsia="zh-CN" w:bidi="ar-SA"/>
        </w:rPr>
      </w:pPr>
      <w:r>
        <w:rPr>
          <w:rFonts w:hint="eastAsia" w:ascii="仿宋" w:hAnsi="仿宋" w:eastAsia="仿宋" w:cs="仿宋"/>
          <w:b/>
          <w:bCs/>
          <w:kern w:val="2"/>
          <w:sz w:val="32"/>
          <w:szCs w:val="32"/>
          <w:lang w:val="en-US" w:eastAsia="zh-CN" w:bidi="ar-SA"/>
        </w:rPr>
        <w:t>3.110千伏东风输变电工程（2022年）</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系统方案：双回接入秦汉330千伏变。</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建设必要性：现状年秦汉新城由35千伏蒋刘变供电，泾河新城的金田玉村、大堡子村至聂冯村沿线由110千伏高庄变供电。根据区域内招商引资情况来看，陕西乐华欢乐世界庆典花园、陕西乐华温泉室内水上乐园、明珠商业、亿联置业秦风佳苑以及周边大型住宅小区及商业逐步形成，现有110千伏高庄变和35千伏蒋刘变将无法满足用电需求。因此，规划新建110千伏东风变转接110千伏高庄变和35千伏蒋刘变的负荷，从而整体提升区域内电网的供电能力。</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建设规模：110千伏东风变建设规模为3×50兆伏安。站址选择在东风村西南侧。变电站电源点选择为330千伏秦汉变出双回110千伏线路，建设长度2×8.3公里。</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 w:hAnsi="仿宋" w:eastAsia="仿宋" w:cs="仿宋"/>
          <w:b/>
          <w:bCs/>
          <w:kern w:val="2"/>
          <w:sz w:val="32"/>
          <w:szCs w:val="32"/>
          <w:lang w:val="en-US" w:eastAsia="zh-CN" w:bidi="ar-SA"/>
        </w:rPr>
      </w:pPr>
      <w:r>
        <w:rPr>
          <w:rFonts w:hint="eastAsia" w:ascii="仿宋" w:hAnsi="仿宋" w:eastAsia="仿宋" w:cs="仿宋"/>
          <w:b/>
          <w:bCs/>
          <w:kern w:val="2"/>
          <w:sz w:val="32"/>
          <w:szCs w:val="32"/>
          <w:lang w:val="en-US" w:eastAsia="zh-CN" w:bidi="ar-SA"/>
        </w:rPr>
        <w:t>4.110千伏院士谷输变电工程（2022年）</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系统方案：单π永东变-高庄变110千伏线路。</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建设必要性：现状年泾河新城的茯茶镇由110千伏永东变供电。根据最新企业报装意向，茯茶镇马庄村、唐李村附近将建设院士谷科研中心，用户报装40兆伏安，根据用户用电性质以及区域内变电站布点情况，为满足其供电可靠性，规划新建110千伏院士谷变为其提供稳定的电力供应，并转接110千伏永东变的负荷，从而整体提升区域内电网的供电能力。确保秦龙大道以东至茯茶镇区域用电需求。</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建设规模：110千伏院士谷变建设规模为3×50兆伏安。站址选择在泾河大道与茶马大道十字西北角。单π永东变-高庄变110千伏线路，建设长度2×3公里。</w:t>
      </w:r>
    </w:p>
    <w:p>
      <w:pPr>
        <w:pStyle w:val="7"/>
        <w:keepNext/>
        <w:keepLines/>
        <w:pageBreakBefore w:val="0"/>
        <w:widowControl w:val="0"/>
        <w:numPr>
          <w:ilvl w:val="3"/>
          <w:numId w:val="0"/>
        </w:numPr>
        <w:kinsoku/>
        <w:wordWrap/>
        <w:overflowPunct/>
        <w:topLinePunct w:val="0"/>
        <w:autoSpaceDE/>
        <w:autoSpaceDN/>
        <w:bidi w:val="0"/>
        <w:adjustRightInd/>
        <w:snapToGrid/>
        <w:spacing w:beforeLines="0" w:afterLines="0" w:line="560" w:lineRule="exact"/>
        <w:ind w:leftChars="0" w:firstLine="643" w:firstLineChars="200"/>
        <w:textAlignment w:val="auto"/>
        <w:rPr>
          <w:rFonts w:hint="eastAsia" w:ascii="仿宋" w:hAnsi="仿宋" w:eastAsia="仿宋" w:cs="仿宋"/>
          <w:b/>
          <w:bCs/>
          <w:kern w:val="2"/>
          <w:sz w:val="32"/>
          <w:szCs w:val="32"/>
          <w:lang w:val="en-US" w:eastAsia="zh-CN" w:bidi="ar-SA"/>
        </w:rPr>
      </w:pPr>
      <w:r>
        <w:rPr>
          <w:rFonts w:hint="eastAsia" w:ascii="仿宋" w:hAnsi="仿宋" w:eastAsia="仿宋" w:cs="仿宋"/>
          <w:b/>
          <w:bCs/>
          <w:kern w:val="2"/>
          <w:sz w:val="32"/>
          <w:szCs w:val="32"/>
          <w:lang w:val="en-US" w:eastAsia="zh-CN" w:bidi="ar-SA"/>
        </w:rPr>
        <w:t>5.110千伏金田玉输变电工程（2022年）</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系统方案：双回接入秦汉330千伏变。</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建设必要性：为满足区域内负荷的快速发展，增加110千伏变电站布点，同时解决区域电网供电能力不足、供电可靠性差的问题，建设金田玉110千伏输变电项目十分必要。</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56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建设规模：110千伏金田玉变建设规模为2×50兆伏安（远期3×50 兆伏安）。站址拟定于高庄镇金田玉村东。电源点选择由330千伏秦汉变新出双回110千伏线路，建设长度2×5公里。</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leftChars="0" w:firstLine="560"/>
        <w:textAlignment w:val="auto"/>
        <w:rPr>
          <w:rFonts w:hint="eastAsia" w:ascii="仿宋" w:hAnsi="仿宋" w:eastAsia="仿宋" w:cs="仿宋"/>
          <w:b/>
          <w:bCs/>
          <w:kern w:val="2"/>
          <w:sz w:val="32"/>
          <w:szCs w:val="32"/>
          <w:lang w:val="en-US" w:eastAsia="zh-CN" w:bidi="ar-SA"/>
        </w:rPr>
      </w:pPr>
      <w:r>
        <w:rPr>
          <w:rFonts w:hint="eastAsia" w:ascii="仿宋" w:hAnsi="仿宋" w:eastAsia="仿宋" w:cs="仿宋"/>
          <w:b/>
          <w:bCs/>
          <w:kern w:val="2"/>
          <w:sz w:val="32"/>
          <w:szCs w:val="32"/>
          <w:lang w:val="en-US" w:eastAsia="zh-CN" w:bidi="ar-SA"/>
        </w:rPr>
        <w:t>6.泾河330千伏变电站110千伏送出工程（2023年）</w:t>
      </w:r>
    </w:p>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leftChars="0" w:firstLine="640" w:firstLineChars="200"/>
        <w:textAlignment w:val="auto"/>
        <w:rPr>
          <w:rFonts w:hint="eastAsia" w:ascii="仿宋" w:hAnsi="仿宋" w:eastAsia="仿宋" w:cs="仿宋"/>
          <w:b w:val="0"/>
          <w:bCs w:val="0"/>
          <w:kern w:val="2"/>
          <w:sz w:val="32"/>
          <w:szCs w:val="32"/>
          <w:lang w:val="en-US" w:eastAsia="zh-CN" w:bidi="ar-SA"/>
        </w:rPr>
      </w:pPr>
      <w:r>
        <w:rPr>
          <w:rFonts w:hint="eastAsia" w:ascii="仿宋" w:hAnsi="仿宋" w:eastAsia="仿宋" w:cs="仿宋"/>
          <w:b w:val="0"/>
          <w:bCs w:val="0"/>
          <w:kern w:val="2"/>
          <w:sz w:val="32"/>
          <w:szCs w:val="32"/>
          <w:lang w:val="en-US" w:eastAsia="zh-CN" w:bidi="ar-SA"/>
        </w:rPr>
        <w:t>系统方案：单π三渭线。</w:t>
      </w:r>
    </w:p>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leftChars="0" w:firstLine="640" w:firstLineChars="200"/>
        <w:textAlignment w:val="auto"/>
        <w:rPr>
          <w:rFonts w:hint="eastAsia" w:ascii="仿宋" w:hAnsi="仿宋" w:eastAsia="仿宋" w:cs="仿宋"/>
          <w:b w:val="0"/>
          <w:bCs w:val="0"/>
          <w:kern w:val="2"/>
          <w:sz w:val="32"/>
          <w:szCs w:val="32"/>
          <w:lang w:val="en-US" w:eastAsia="zh-CN" w:bidi="ar-SA"/>
        </w:rPr>
      </w:pPr>
      <w:r>
        <w:rPr>
          <w:rFonts w:hint="eastAsia" w:ascii="仿宋" w:hAnsi="仿宋" w:eastAsia="仿宋" w:cs="仿宋"/>
          <w:b w:val="0"/>
          <w:bCs w:val="0"/>
          <w:kern w:val="2"/>
          <w:sz w:val="32"/>
          <w:szCs w:val="32"/>
          <w:lang w:val="en-US" w:eastAsia="zh-CN" w:bidi="ar-SA"/>
        </w:rPr>
        <w:t>建设规模：新建线路长度3.6公里。</w:t>
      </w:r>
    </w:p>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leftChars="0" w:firstLine="643" w:firstLineChars="200"/>
        <w:textAlignment w:val="auto"/>
        <w:rPr>
          <w:rFonts w:hint="eastAsia" w:ascii="仿宋" w:hAnsi="仿宋" w:cs="仿宋"/>
          <w:b/>
          <w:bCs/>
          <w:kern w:val="2"/>
          <w:sz w:val="32"/>
          <w:szCs w:val="32"/>
          <w:lang w:val="en-US" w:eastAsia="zh-CN" w:bidi="ar-SA"/>
        </w:rPr>
      </w:pPr>
      <w:r>
        <w:rPr>
          <w:rFonts w:hint="eastAsia" w:ascii="仿宋" w:hAnsi="仿宋" w:cs="仿宋"/>
          <w:b/>
          <w:bCs/>
          <w:kern w:val="2"/>
          <w:sz w:val="32"/>
          <w:szCs w:val="32"/>
          <w:lang w:val="en-US" w:eastAsia="zh-CN" w:bidi="ar-SA"/>
        </w:rPr>
        <w:t>7.110千伏茯茶输变电工程（2023年）</w:t>
      </w:r>
    </w:p>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leftChars="0" w:firstLine="640" w:firstLineChars="20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系统方案：双回接入泾河330千伏变。</w:t>
      </w:r>
    </w:p>
    <w:p>
      <w:pPr>
        <w:pStyle w:val="7"/>
        <w:keepNext/>
        <w:keepLines/>
        <w:pageBreakBefore w:val="0"/>
        <w:widowControl w:val="0"/>
        <w:numPr>
          <w:ilvl w:val="3"/>
          <w:numId w:val="0"/>
        </w:numPr>
        <w:kinsoku/>
        <w:wordWrap/>
        <w:overflowPunct/>
        <w:topLinePunct w:val="0"/>
        <w:autoSpaceDE/>
        <w:autoSpaceDN/>
        <w:bidi w:val="0"/>
        <w:adjustRightInd/>
        <w:snapToGrid/>
        <w:spacing w:beforeLines="0" w:afterLines="0" w:line="560" w:lineRule="exact"/>
        <w:ind w:leftChars="0" w:firstLine="640" w:firstLineChars="20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建设必要性：为解决为泾河新城茯茶镇区域用电负荷，确保区域供电可靠性，拟建设110千伏茯茶变。</w:t>
      </w:r>
    </w:p>
    <w:p>
      <w:pPr>
        <w:pStyle w:val="7"/>
        <w:keepNext/>
        <w:keepLines/>
        <w:pageBreakBefore w:val="0"/>
        <w:widowControl w:val="0"/>
        <w:numPr>
          <w:ilvl w:val="3"/>
          <w:numId w:val="0"/>
        </w:numPr>
        <w:kinsoku/>
        <w:wordWrap/>
        <w:overflowPunct/>
        <w:topLinePunct w:val="0"/>
        <w:autoSpaceDE/>
        <w:autoSpaceDN/>
        <w:bidi w:val="0"/>
        <w:adjustRightInd/>
        <w:snapToGrid/>
        <w:spacing w:beforeLines="0" w:afterLines="0" w:line="560" w:lineRule="exact"/>
        <w:ind w:leftChars="0" w:firstLine="640" w:firstLineChars="20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建设规模：主变容量2×50兆伏安（远期3×50 兆伏安）。站址拟定于泾河新城茯茶镇南侧。电源点选择由330千伏泾河变出双回110千伏线路，建设长度2×5公里。</w:t>
      </w:r>
    </w:p>
    <w:p>
      <w:pPr>
        <w:pStyle w:val="7"/>
        <w:keepNext/>
        <w:keepLines/>
        <w:pageBreakBefore w:val="0"/>
        <w:widowControl w:val="0"/>
        <w:numPr>
          <w:ilvl w:val="3"/>
          <w:numId w:val="0"/>
        </w:numPr>
        <w:kinsoku/>
        <w:wordWrap/>
        <w:overflowPunct/>
        <w:topLinePunct w:val="0"/>
        <w:autoSpaceDE/>
        <w:autoSpaceDN/>
        <w:bidi w:val="0"/>
        <w:adjustRightInd/>
        <w:snapToGrid/>
        <w:spacing w:beforeLines="0" w:afterLines="0" w:line="560" w:lineRule="exact"/>
        <w:ind w:leftChars="0" w:firstLine="643" w:firstLineChars="200"/>
        <w:textAlignment w:val="auto"/>
        <w:rPr>
          <w:rFonts w:hint="eastAsia" w:ascii="仿宋" w:hAnsi="仿宋" w:eastAsia="仿宋" w:cs="仿宋"/>
          <w:b/>
          <w:bCs/>
          <w:kern w:val="2"/>
          <w:sz w:val="32"/>
          <w:szCs w:val="32"/>
          <w:lang w:val="en-US" w:eastAsia="zh-CN" w:bidi="ar-SA"/>
        </w:rPr>
      </w:pPr>
      <w:r>
        <w:rPr>
          <w:rFonts w:hint="eastAsia" w:ascii="仿宋" w:hAnsi="仿宋" w:eastAsia="仿宋" w:cs="仿宋"/>
          <w:b/>
          <w:bCs/>
          <w:kern w:val="2"/>
          <w:sz w:val="32"/>
          <w:szCs w:val="32"/>
          <w:lang w:val="en-US" w:eastAsia="zh-CN" w:bidi="ar-SA"/>
        </w:rPr>
        <w:t>8.110千伏花池渡输变电工程（2024年）</w:t>
      </w:r>
    </w:p>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leftChars="0" w:firstLine="640" w:firstLineChars="20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系统方案：分别以双回线接入泾河330千伏变和110千伏太平变。</w:t>
      </w:r>
    </w:p>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leftChars="0" w:firstLine="640" w:firstLineChars="20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建设必要性：现状年泾河新城的茯茶镇由110千伏永东变供电。根据区域内招商引资情况来看，丰树物流、远洋数据、泾新置业、泾河热力以及周边大型住宅小区及商业逐步形成，现有110千伏永东变将无法满足新增用电需求。因此，规划新建110千伏花池渡变转接110千伏永东变的负荷，从而整体提升区域内电网的供电能力。确保秦龙大道以东至茯茶镇区域用电需求。</w:t>
      </w:r>
    </w:p>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leftChars="0" w:firstLine="640" w:firstLineChars="20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建设规模：110千伏花池渡变建设规模为3×50兆伏安。站址选择在高泾大道与秦龙大道十字东北角。电源点选择由泾河330千伏变新出双回110千伏线路，由110千伏东风变新出双回110千伏线路，建设长度2×3.85+2×10公里。</w:t>
      </w:r>
    </w:p>
    <w:bookmarkEnd w:id="822"/>
    <w:bookmarkEnd w:id="823"/>
    <w:bookmarkEnd w:id="824"/>
    <w:bookmarkEnd w:id="834"/>
    <w:bookmarkEnd w:id="835"/>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lang w:val="en-US" w:eastAsia="zh-CN"/>
        </w:rPr>
      </w:pPr>
      <w:bookmarkStart w:id="836" w:name="_Toc74041231"/>
      <w:bookmarkStart w:id="837" w:name="_Toc8427"/>
      <w:bookmarkStart w:id="838" w:name="_Toc352610599"/>
      <w:bookmarkStart w:id="839" w:name="_Toc352610604"/>
      <w:r>
        <w:rPr>
          <w:rFonts w:hint="eastAsia" w:ascii="黑体" w:hAnsi="黑体" w:eastAsia="黑体" w:cs="黑体"/>
          <w:b w:val="0"/>
          <w:bCs w:val="0"/>
          <w:sz w:val="32"/>
          <w:szCs w:val="32"/>
          <w:lang w:val="en-US" w:eastAsia="zh-CN"/>
        </w:rPr>
        <w:t>线路迁改规划</w:t>
      </w:r>
      <w:bookmarkEnd w:id="836"/>
      <w:bookmarkEnd w:id="837"/>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840" w:name="_Toc59973967"/>
      <w:bookmarkStart w:id="841" w:name="_Toc74041232"/>
      <w:r>
        <w:rPr>
          <w:rFonts w:eastAsia="仿宋"/>
          <w:sz w:val="32"/>
          <w:szCs w:val="32"/>
        </w:rPr>
        <w:t>西咸新区新轴线高压电力线路迁改规划方案</w:t>
      </w:r>
      <w:bookmarkEnd w:id="840"/>
      <w:bookmarkEnd w:id="841"/>
    </w:p>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drawing>
          <wp:anchor distT="0" distB="0" distL="114300" distR="114300" simplePos="0" relativeHeight="251660288" behindDoc="0" locked="0" layoutInCell="1" allowOverlap="1">
            <wp:simplePos x="0" y="0"/>
            <wp:positionH relativeFrom="margin">
              <wp:posOffset>80645</wp:posOffset>
            </wp:positionH>
            <wp:positionV relativeFrom="page">
              <wp:posOffset>2897505</wp:posOffset>
            </wp:positionV>
            <wp:extent cx="5191125" cy="6202045"/>
            <wp:effectExtent l="0" t="0" r="9525" b="8255"/>
            <wp:wrapTopAndBottom/>
            <wp:docPr id="12" name="图片 12" descr="2020西咸主网图 - 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2020西咸主网图 - 副本"/>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5191125" cy="6202045"/>
                    </a:xfrm>
                    <a:prstGeom prst="rect">
                      <a:avLst/>
                    </a:prstGeom>
                    <a:noFill/>
                    <a:ln>
                      <a:noFill/>
                    </a:ln>
                    <a:effectLst/>
                  </pic:spPr>
                </pic:pic>
              </a:graphicData>
            </a:graphic>
          </wp:anchor>
        </w:drawing>
      </w:r>
      <w:r>
        <w:rPr>
          <w:rFonts w:hint="eastAsia" w:ascii="仿宋_GB2312" w:hAnsi="仿宋_GB2312" w:eastAsia="仿宋_GB2312" w:cs="仿宋_GB2312"/>
          <w:b w:val="0"/>
          <w:bCs w:val="0"/>
          <w:kern w:val="2"/>
          <w:sz w:val="32"/>
          <w:szCs w:val="32"/>
          <w:lang w:val="en-US" w:eastAsia="zh-CN" w:bidi="ar-SA"/>
        </w:rPr>
        <w:t>西咸新区新轴线为东至沣泾大道，西至沣镐大道，北至渭河南岸，南至京昆高速公路——划定的区域，由南到北穿越沣东新城、能源金融贸易区。下图红框标注区域为新轴线范围：</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黑体" w:hAnsi="黑体" w:eastAsia="黑体" w:cs="黑体"/>
          <w:b w:val="0"/>
          <w:bCs w:val="0"/>
          <w:kern w:val="0"/>
          <w:sz w:val="24"/>
          <w:szCs w:val="24"/>
          <w:lang w:val="en-US" w:eastAsia="zh-CN" w:bidi="ar-SA"/>
        </w:rPr>
      </w:pPr>
      <w:r>
        <w:rPr>
          <w:rFonts w:hint="eastAsia" w:ascii="黑体" w:hAnsi="黑体" w:eastAsia="黑体" w:cs="黑体"/>
          <w:b w:val="0"/>
          <w:bCs w:val="0"/>
          <w:kern w:val="0"/>
          <w:sz w:val="24"/>
          <w:szCs w:val="24"/>
          <w:lang w:val="en-US" w:eastAsia="zh-CN" w:bidi="ar-SA"/>
        </w:rPr>
        <w:t>图8-1    西咸新区输电网与新轴线区域图</w:t>
      </w:r>
    </w:p>
    <w:p>
      <w:pPr>
        <w:widowControl/>
        <w:spacing w:line="240" w:lineRule="auto"/>
        <w:jc w:val="left"/>
        <w:rPr>
          <w:rFonts w:eastAsia="仿宋"/>
        </w:rPr>
      </w:pPr>
      <w:r>
        <w:rPr>
          <w:rFonts w:eastAsia="仿宋"/>
        </w:rPr>
        <w:br w:type="page"/>
      </w:r>
    </w:p>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国网西咸新区，2016年至2020年期间已经实施完成110千伏及以上迁改项目22项，10千伏迁改项目150项。</w:t>
      </w:r>
    </w:p>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目前新轴线范围内输电线路现状：能源金融贸易区有330千伏沣河变1座，沣河变330千伏进出输电线路6条，110千伏送出输电线路19条（17条架空，2条电缆），近两年计划再投运110千伏电缆线路3条。区域内有10千伏架空配电线路9条。</w:t>
      </w:r>
    </w:p>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沣东新城南部区域内有330千伏输电线路2条，为330千伏寨庄I、II线，110千伏输电线路8条，分别为110千伏沣苏I、II线，苏统I、II线，统阿I、II线，河咏I、II线。区域内有35千伏输电线路1条，10千伏架空伏配电线路11条。具体情况见下图：</w:t>
      </w:r>
    </w:p>
    <w:p>
      <w:pPr>
        <w:pStyle w:val="2"/>
        <w:ind w:firstLine="0" w:firstLineChars="0"/>
        <w:rPr>
          <w:rFonts w:eastAsia="仿宋"/>
        </w:rPr>
      </w:pPr>
      <w:r>
        <w:rPr>
          <w:rFonts w:eastAsia="仿宋"/>
        </w:rPr>
        <w:drawing>
          <wp:inline distT="0" distB="0" distL="0" distR="0">
            <wp:extent cx="5324475" cy="4084955"/>
            <wp:effectExtent l="0" t="0" r="9525" b="10795"/>
            <wp:docPr id="13" name="图片 13" descr="中轴线图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中轴线图2"/>
                    <pic:cNvPicPr>
                      <a:picLocks noChangeAspect="1" noChangeArrowheads="1"/>
                    </pic:cNvPicPr>
                  </pic:nvPicPr>
                  <pic:blipFill>
                    <a:blip r:embed="rId25" cstate="print">
                      <a:extLst>
                        <a:ext uri="{28A0092B-C50C-407E-A947-70E740481C1C}">
                          <a14:useLocalDpi xmlns:a14="http://schemas.microsoft.com/office/drawing/2010/main" val="0"/>
                        </a:ext>
                      </a:extLst>
                    </a:blip>
                    <a:srcRect l="12700" t="10485" r="14956" b="3709"/>
                    <a:stretch>
                      <a:fillRect/>
                    </a:stretch>
                  </pic:blipFill>
                  <pic:spPr>
                    <a:xfrm>
                      <a:off x="0" y="0"/>
                      <a:ext cx="5324475" cy="4084955"/>
                    </a:xfrm>
                    <a:prstGeom prst="rect">
                      <a:avLst/>
                    </a:prstGeom>
                    <a:noFill/>
                    <a:ln>
                      <a:noFill/>
                    </a:ln>
                    <a:effectLst/>
                  </pic:spPr>
                </pic:pic>
              </a:graphicData>
            </a:graphic>
          </wp:inline>
        </w:drawing>
      </w:r>
    </w:p>
    <w:p>
      <w:pPr>
        <w:pStyle w:val="150"/>
        <w:ind w:firstLine="0" w:firstLineChars="0"/>
        <w:jc w:val="center"/>
        <w:rPr>
          <w:sz w:val="21"/>
          <w:szCs w:val="21"/>
        </w:rPr>
      </w:pPr>
      <w:r>
        <w:rPr>
          <w:rFonts w:hint="eastAsia" w:ascii="黑体" w:hAnsi="黑体" w:eastAsia="黑体" w:cs="黑体"/>
          <w:b w:val="0"/>
          <w:bCs w:val="0"/>
          <w:kern w:val="0"/>
          <w:sz w:val="21"/>
          <w:szCs w:val="21"/>
          <w:lang w:val="en-US" w:eastAsia="zh-CN" w:bidi="ar-SA"/>
        </w:rPr>
        <w:t>图8-2</w:t>
      </w:r>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842" w:name="_Toc59973968"/>
      <w:bookmarkStart w:id="843" w:name="_Toc74041233"/>
      <w:r>
        <w:rPr>
          <w:rFonts w:eastAsia="仿宋"/>
          <w:sz w:val="32"/>
          <w:szCs w:val="32"/>
        </w:rPr>
        <w:t>能源金融贸易区域内的迁改方案</w:t>
      </w:r>
      <w:bookmarkEnd w:id="842"/>
      <w:bookmarkEnd w:id="843"/>
    </w:p>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1.330千伏输电线路迁改方案</w:t>
      </w:r>
    </w:p>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能源金融贸易区域内涉及的330千伏输电线路分别为330千伏沣草I、II线，热沣I、II线，谷沣I、II线，330千伏输电线路目前无在建迁改项目。2018年根据能源金融贸易区要求，对以上6条输电线路路径方案进行了初勘，330千伏沣河变北侧出线的沣草I、II线，热沣I、II线均改为向西沿着规划的电力廊道采用架空的方式架设至沣河边，向北转向跨过陇海铁路线后沿铁路线北侧电力廊道向东架设，和相应线路后段对接。330千伏谷沣I、II线沿着沣镐路往南，架设至西宝高速南侧，沿着西宝高速架设至沣河西侧与沣西新城管委会迁改的路径相接。具体路径方案见下图。</w:t>
      </w:r>
    </w:p>
    <w:p>
      <w:pPr>
        <w:spacing w:line="40" w:lineRule="exact"/>
        <w:ind w:firstLine="640" w:firstLineChars="200"/>
        <w:rPr>
          <w:rFonts w:hint="eastAsia" w:ascii="黑体" w:hAnsi="黑体" w:eastAsia="黑体" w:cs="黑体"/>
          <w:b w:val="0"/>
          <w:bCs w:val="0"/>
          <w:kern w:val="0"/>
          <w:sz w:val="21"/>
          <w:szCs w:val="21"/>
          <w:lang w:val="en-US" w:eastAsia="zh-CN" w:bidi="ar-SA"/>
        </w:rPr>
      </w:pPr>
      <w:r>
        <w:rPr>
          <w:rFonts w:eastAsia="仿宋"/>
          <w:sz w:val="32"/>
          <w:szCs w:val="32"/>
        </w:rPr>
        <w:drawing>
          <wp:anchor distT="0" distB="0" distL="114300" distR="114300" simplePos="0" relativeHeight="251665408" behindDoc="0" locked="0" layoutInCell="1" allowOverlap="1">
            <wp:simplePos x="0" y="0"/>
            <wp:positionH relativeFrom="margin">
              <wp:align>left</wp:align>
            </wp:positionH>
            <wp:positionV relativeFrom="paragraph">
              <wp:posOffset>58420</wp:posOffset>
            </wp:positionV>
            <wp:extent cx="5591175" cy="3778885"/>
            <wp:effectExtent l="0" t="0" r="0" b="0"/>
            <wp:wrapTopAndBottom/>
            <wp:docPr id="26" name="图片 26" descr="330千伏路径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330千伏路径图"/>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591175" cy="3778800"/>
                    </a:xfrm>
                    <a:prstGeom prst="rect">
                      <a:avLst/>
                    </a:prstGeom>
                    <a:noFill/>
                    <a:ln>
                      <a:noFill/>
                    </a:ln>
                    <a:effectLst/>
                  </pic:spPr>
                </pic:pic>
              </a:graphicData>
            </a:graphic>
          </wp:anchor>
        </w:drawing>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黑体" w:hAnsi="黑体" w:eastAsia="黑体" w:cs="黑体"/>
          <w:b w:val="0"/>
          <w:bCs w:val="0"/>
          <w:kern w:val="0"/>
          <w:sz w:val="21"/>
          <w:szCs w:val="21"/>
          <w:lang w:val="en-US" w:eastAsia="zh-CN" w:bidi="ar-SA"/>
        </w:rPr>
      </w:pPr>
      <w:r>
        <w:rPr>
          <w:rFonts w:hint="eastAsia" w:ascii="黑体" w:hAnsi="黑体" w:eastAsia="黑体" w:cs="黑体"/>
          <w:b w:val="0"/>
          <w:bCs w:val="0"/>
          <w:kern w:val="0"/>
          <w:sz w:val="21"/>
          <w:szCs w:val="21"/>
          <w:lang w:val="en-US" w:eastAsia="zh-CN" w:bidi="ar-SA"/>
        </w:rPr>
        <w:t>图8-3    330千伏沣河变330千伏线路径方案</w:t>
      </w:r>
    </w:p>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2.110千伏输电线路迁改方案</w:t>
      </w:r>
    </w:p>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2020年，按照能源金融贸易区办公室的要求，编制了新轴线范围内330千伏沣河变南侧10条输电线路的落地迁改方案。涉及线路段落为110千伏沣苏I、II线2#-3#，沣后I、II线2#-3#，沣云I、II线1#-2#，沣纺I、II线2#，沣中I、II线2#。目前迁改方案已经设计完毕，电缆隧道标准已经提交能源金融贸易区办公室审核，待审核通过后，即可开始施工图设计工作。</w:t>
      </w:r>
    </w:p>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drawing>
          <wp:anchor distT="0" distB="0" distL="114300" distR="114300" simplePos="0" relativeHeight="251662336" behindDoc="0" locked="0" layoutInCell="1" allowOverlap="1">
            <wp:simplePos x="0" y="0"/>
            <wp:positionH relativeFrom="margin">
              <wp:posOffset>19050</wp:posOffset>
            </wp:positionH>
            <wp:positionV relativeFrom="paragraph">
              <wp:posOffset>2905125</wp:posOffset>
            </wp:positionV>
            <wp:extent cx="5328285" cy="2508250"/>
            <wp:effectExtent l="0" t="0" r="5715" b="6350"/>
            <wp:wrapSquare wrapText="bothSides"/>
            <wp:docPr id="25" name="图片 25" descr="C:\Users\输电运~1\AppData\Local\Temp\ksohtml\wps_clip_image-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C:\Users\输电运~1\AppData\Local\Temp\ksohtml\wps_clip_image-0.png"/>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a:xfrm>
                      <a:off x="0" y="0"/>
                      <a:ext cx="5328285" cy="2508250"/>
                    </a:xfrm>
                    <a:prstGeom prst="rect">
                      <a:avLst/>
                    </a:prstGeom>
                    <a:noFill/>
                    <a:ln>
                      <a:noFill/>
                    </a:ln>
                    <a:effectLst/>
                  </pic:spPr>
                </pic:pic>
              </a:graphicData>
            </a:graphic>
          </wp:anchor>
        </w:drawing>
      </w:r>
      <w:r>
        <w:rPr>
          <w:rFonts w:hint="eastAsia" w:ascii="仿宋_GB2312" w:hAnsi="仿宋_GB2312" w:eastAsia="仿宋_GB2312" w:cs="仿宋_GB2312"/>
          <w:b w:val="0"/>
          <w:bCs w:val="0"/>
          <w:kern w:val="2"/>
          <w:sz w:val="32"/>
          <w:szCs w:val="32"/>
          <w:lang w:val="en-US" w:eastAsia="zh-CN" w:bidi="ar-SA"/>
        </w:rPr>
        <w:t>建设方案分为两期，一期在330千伏沣河变南侧创新路修建1条东西横向的分仓式、可容纳16回110千伏电缆线路的专用隧道，西边和沣镐路同规格隧道相接，东边和二期规划的同规格隧道相接，满足330千伏沣河变各个方向110千伏输电电缆出线需求。一期主要对影响园区小学建设的10条110千伏输电线路迁改，采用I回路和II回路分仓的方式全部敷设至第1期电缆隧道中，待二期电缆隧道建成后，再对沣河变东西方向出线进行优化。具体路径情况详见下图。</w:t>
      </w:r>
    </w:p>
    <w:p>
      <w:pPr>
        <w:pStyle w:val="150"/>
        <w:keepNext w:val="0"/>
        <w:keepLines w:val="0"/>
        <w:pageBreakBefore w:val="0"/>
        <w:widowControl w:val="0"/>
        <w:kinsoku/>
        <w:wordWrap/>
        <w:overflowPunct/>
        <w:topLinePunct w:val="0"/>
        <w:autoSpaceDE/>
        <w:autoSpaceDN/>
        <w:bidi w:val="0"/>
        <w:adjustRightInd w:val="0"/>
        <w:snapToGrid w:val="0"/>
        <w:spacing w:line="640" w:lineRule="exact"/>
        <w:ind w:firstLine="0" w:firstLineChars="0"/>
        <w:jc w:val="center"/>
        <w:textAlignment w:val="auto"/>
        <w:rPr>
          <w:rFonts w:ascii="Times New Roman" w:hAnsi="Times New Roman" w:eastAsia="仿宋" w:cs="Times New Roman"/>
          <w:b/>
          <w:bCs/>
          <w:kern w:val="0"/>
          <w:sz w:val="24"/>
          <w:szCs w:val="24"/>
          <w:lang w:val="en-US" w:eastAsia="zh-CN" w:bidi="ar-SA"/>
        </w:rPr>
      </w:pPr>
      <w:r>
        <w:rPr>
          <w:rFonts w:hint="eastAsia" w:ascii="黑体" w:hAnsi="黑体" w:eastAsia="黑体" w:cs="黑体"/>
          <w:b w:val="0"/>
          <w:bCs w:val="0"/>
          <w:kern w:val="0"/>
          <w:sz w:val="24"/>
          <w:szCs w:val="24"/>
          <w:lang w:val="en-US" w:eastAsia="zh-CN" w:bidi="ar-SA"/>
        </w:rPr>
        <w:t>图8-4    330千伏沣河变南侧110千伏输电线路落地方案</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黑体" w:hAnsi="黑体" w:eastAsia="黑体" w:cs="黑体"/>
          <w:b w:val="0"/>
          <w:bCs w:val="0"/>
          <w:kern w:val="0"/>
          <w:sz w:val="24"/>
          <w:szCs w:val="24"/>
          <w:lang w:val="en-US" w:eastAsia="zh-CN" w:bidi="ar-SA"/>
        </w:rPr>
      </w:pPr>
      <w:r>
        <w:rPr>
          <w:rFonts w:hint="eastAsia" w:ascii="黑体" w:hAnsi="黑体" w:eastAsia="黑体" w:cs="黑体"/>
          <w:b w:val="0"/>
          <w:bCs w:val="0"/>
          <w:kern w:val="0"/>
          <w:sz w:val="24"/>
          <w:szCs w:val="24"/>
          <w:lang w:val="en-US" w:eastAsia="zh-CN" w:bidi="ar-SA"/>
        </w:rPr>
        <w:drawing>
          <wp:anchor distT="0" distB="0" distL="114300" distR="114300" simplePos="0" relativeHeight="251667456" behindDoc="0" locked="0" layoutInCell="1" allowOverlap="1">
            <wp:simplePos x="0" y="0"/>
            <wp:positionH relativeFrom="page">
              <wp:posOffset>1316990</wp:posOffset>
            </wp:positionH>
            <wp:positionV relativeFrom="margin">
              <wp:posOffset>31750</wp:posOffset>
            </wp:positionV>
            <wp:extent cx="4829810" cy="2672080"/>
            <wp:effectExtent l="0" t="0" r="8890" b="13970"/>
            <wp:wrapNone/>
            <wp:docPr id="24" name="图片 24" descr="wps_clip_imag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wps_clip_image-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4829810" cy="2672080"/>
                    </a:xfrm>
                    <a:prstGeom prst="rect">
                      <a:avLst/>
                    </a:prstGeom>
                    <a:noFill/>
                    <a:ln>
                      <a:noFill/>
                    </a:ln>
                    <a:effectLst/>
                  </pic:spPr>
                </pic:pic>
              </a:graphicData>
            </a:graphic>
          </wp:anchor>
        </w:drawing>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黑体" w:hAnsi="黑体" w:eastAsia="黑体" w:cs="黑体"/>
          <w:b w:val="0"/>
          <w:bCs w:val="0"/>
          <w:kern w:val="0"/>
          <w:sz w:val="24"/>
          <w:szCs w:val="24"/>
          <w:lang w:val="en-US" w:eastAsia="zh-CN" w:bidi="ar-SA"/>
        </w:rPr>
      </w:pP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黑体" w:hAnsi="黑体" w:eastAsia="黑体" w:cs="黑体"/>
          <w:b w:val="0"/>
          <w:bCs w:val="0"/>
          <w:kern w:val="0"/>
          <w:sz w:val="24"/>
          <w:szCs w:val="24"/>
          <w:lang w:val="en-US" w:eastAsia="zh-CN" w:bidi="ar-SA"/>
        </w:rPr>
      </w:pP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黑体" w:hAnsi="黑体" w:eastAsia="黑体" w:cs="黑体"/>
          <w:b w:val="0"/>
          <w:bCs w:val="0"/>
          <w:kern w:val="0"/>
          <w:sz w:val="24"/>
          <w:szCs w:val="24"/>
          <w:lang w:val="en-US" w:eastAsia="zh-CN" w:bidi="ar-SA"/>
        </w:rPr>
      </w:pP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黑体" w:hAnsi="黑体" w:eastAsia="黑体" w:cs="黑体"/>
          <w:b w:val="0"/>
          <w:bCs w:val="0"/>
          <w:kern w:val="0"/>
          <w:sz w:val="24"/>
          <w:szCs w:val="24"/>
          <w:lang w:val="en-US" w:eastAsia="zh-CN" w:bidi="ar-SA"/>
        </w:rPr>
      </w:pP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黑体" w:hAnsi="黑体" w:eastAsia="黑体" w:cs="黑体"/>
          <w:b w:val="0"/>
          <w:bCs w:val="0"/>
          <w:kern w:val="0"/>
          <w:sz w:val="24"/>
          <w:szCs w:val="24"/>
          <w:lang w:val="en-US" w:eastAsia="zh-CN" w:bidi="ar-SA"/>
        </w:rPr>
      </w:pP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黑体" w:hAnsi="黑体" w:eastAsia="黑体" w:cs="黑体"/>
          <w:b w:val="0"/>
          <w:bCs w:val="0"/>
          <w:kern w:val="0"/>
          <w:sz w:val="24"/>
          <w:szCs w:val="24"/>
          <w:lang w:val="en-US" w:eastAsia="zh-CN" w:bidi="ar-SA"/>
        </w:rPr>
      </w:pP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黑体" w:hAnsi="黑体" w:eastAsia="黑体" w:cs="黑体"/>
          <w:b w:val="0"/>
          <w:bCs w:val="0"/>
          <w:kern w:val="0"/>
          <w:sz w:val="24"/>
          <w:szCs w:val="24"/>
          <w:lang w:val="en-US" w:eastAsia="zh-CN" w:bidi="ar-SA"/>
        </w:rPr>
      </w:pP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黑体" w:hAnsi="黑体" w:eastAsia="黑体" w:cs="黑体"/>
          <w:b w:val="0"/>
          <w:bCs w:val="0"/>
          <w:kern w:val="0"/>
          <w:sz w:val="24"/>
          <w:szCs w:val="24"/>
          <w:lang w:val="en-US" w:eastAsia="zh-CN" w:bidi="ar-SA"/>
        </w:rPr>
      </w:pPr>
      <w:r>
        <w:rPr>
          <w:rFonts w:hint="eastAsia" w:ascii="黑体" w:hAnsi="黑体" w:eastAsia="黑体" w:cs="黑体"/>
          <w:b w:val="0"/>
          <w:bCs w:val="0"/>
          <w:kern w:val="0"/>
          <w:sz w:val="24"/>
          <w:szCs w:val="24"/>
          <w:lang w:val="en-US" w:eastAsia="zh-CN" w:bidi="ar-SA"/>
        </w:rPr>
        <w:t>图8-5    330千伏沣河变南侧110千伏电缆专用隧道方案</w:t>
      </w:r>
    </w:p>
    <w:p>
      <w:pPr>
        <w:pStyle w:val="2"/>
        <w:rPr>
          <w:rFonts w:hint="eastAsia"/>
          <w:lang w:val="en-US" w:eastAsia="zh-CN"/>
        </w:rPr>
      </w:pPr>
    </w:p>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3.10千伏配电线路迁改方案</w:t>
      </w:r>
    </w:p>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能源金融贸易区区域内涉及的10千伏架空线路共9条，分别为林七线、林仁5线、林仁4线、林村1线、林三线、林仁3线、林仁1线、仁公4线、仁纺1线，位处新轴线区域内线路总长度31.6公里，目前无在建项目。全面落地迁改，需新建电缆隧道约6公里，10千伏电缆线路35公里，环网柜63座。具体路径见下图。</w:t>
      </w:r>
    </w:p>
    <w:p>
      <w:pPr>
        <w:spacing w:line="40" w:lineRule="exact"/>
        <w:ind w:firstLine="480" w:firstLineChars="200"/>
        <w:jc w:val="center"/>
        <w:rPr>
          <w:rFonts w:eastAsia="仿宋"/>
          <w:sz w:val="28"/>
          <w:szCs w:val="28"/>
        </w:rPr>
      </w:pPr>
      <w:r>
        <w:rPr>
          <w:rFonts w:eastAsia="仿宋"/>
        </w:rPr>
        <w:drawing>
          <wp:anchor distT="0" distB="0" distL="114300" distR="114300" simplePos="0" relativeHeight="251663360" behindDoc="0" locked="0" layoutInCell="1" allowOverlap="1">
            <wp:simplePos x="0" y="0"/>
            <wp:positionH relativeFrom="column">
              <wp:posOffset>276225</wp:posOffset>
            </wp:positionH>
            <wp:positionV relativeFrom="paragraph">
              <wp:posOffset>-113665</wp:posOffset>
            </wp:positionV>
            <wp:extent cx="5069205" cy="6960235"/>
            <wp:effectExtent l="0" t="0" r="0" b="0"/>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069205" cy="6960235"/>
                    </a:xfrm>
                    <a:prstGeom prst="rect">
                      <a:avLst/>
                    </a:prstGeom>
                    <a:noFill/>
                    <a:ln>
                      <a:noFill/>
                    </a:ln>
                    <a:effectLst/>
                  </pic:spPr>
                </pic:pic>
              </a:graphicData>
            </a:graphic>
          </wp:anchor>
        </w:drawing>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黑体" w:hAnsi="黑体" w:eastAsia="黑体" w:cs="黑体"/>
          <w:b w:val="0"/>
          <w:bCs w:val="0"/>
          <w:kern w:val="0"/>
          <w:sz w:val="24"/>
          <w:szCs w:val="24"/>
          <w:lang w:val="en-US" w:eastAsia="zh-CN" w:bidi="ar-SA"/>
        </w:rPr>
      </w:pPr>
      <w:r>
        <w:rPr>
          <w:rFonts w:hint="eastAsia" w:ascii="黑体" w:hAnsi="黑体" w:eastAsia="黑体" w:cs="黑体"/>
          <w:b w:val="0"/>
          <w:bCs w:val="0"/>
          <w:kern w:val="0"/>
          <w:sz w:val="24"/>
          <w:szCs w:val="24"/>
          <w:lang w:val="en-US" w:eastAsia="zh-CN" w:bidi="ar-SA"/>
        </w:rPr>
        <w:t>图8-6     能源金融贸易区新轴线区域10千伏线路图</w:t>
      </w:r>
    </w:p>
    <w:p>
      <w:pPr>
        <w:pStyle w:val="2"/>
        <w:ind w:firstLine="480"/>
        <w:rPr>
          <w:rFonts w:eastAsia="仿宋"/>
        </w:rPr>
      </w:pPr>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844" w:name="_Toc74041234"/>
      <w:bookmarkStart w:id="845" w:name="_Toc59973969"/>
      <w:r>
        <w:rPr>
          <w:rFonts w:eastAsia="仿宋"/>
          <w:sz w:val="32"/>
          <w:szCs w:val="32"/>
        </w:rPr>
        <w:t>沣东新城区域内的迁改方案</w:t>
      </w:r>
      <w:bookmarkEnd w:id="844"/>
      <w:bookmarkEnd w:id="845"/>
    </w:p>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1.330千伏输电线路迁改方案</w:t>
      </w:r>
    </w:p>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沣东新城南部区域内330千伏输电线路2条，为330千伏寨庄I、II线，2020年沣东新城市政园林配套中心和华侨城分别提出申请，计划对22#-43#区段进行迁改，计划结合沣渭和训善330千伏输变电工程，采用远端加强替代迁改的方式，对沣东新城区域内330千伏寨庄双线架空线路进行拆除，拟拆除区段为330千伏寨庄I线10#-61#，330千伏寨庄II线10#-42#。估算总投资4400万元。</w:t>
      </w:r>
    </w:p>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2.110千伏输电线路迁改方案</w:t>
      </w:r>
    </w:p>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沣东新城南部区域内110千伏输电线路8条，分别为110千伏沣苏I、II线，苏统I、II线，统阿I、II线，河咏I、II线。35千伏输电线路1条为阿马线。110千伏沣苏I、II线，苏统I、II线，统阿I、II线，六条线路分别四回同杆沿科源路东、王寺东街南侧绿化带内走线，在轴线区域内长度约6公里，沿路电力管廊现状不符合六回110千伏线路落地要求。目前沣东新城管委会已提出落地规划，无在建迁改项目。110千伏架空线路全面落地迁改，需改造建设相关电缆隧道约10公里，建设110千伏电缆线路约30公里。110千伏河咏I、II线目前满足规划需求，不需迁改。35千伏阿马线，线路为自东北侧阿房宫立交向西南侧鱼斗路斜穿沣东新城区域走线，在新轴线区域内长度约5公里，途径镐京遗址区域。拟结合沣东、沣西10千伏配电网建设改造，对35千伏阿马线进行停运、拆除处理。</w:t>
      </w:r>
    </w:p>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3.10千伏输电线路迁改方案</w:t>
      </w:r>
    </w:p>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沣东新城南部区域内涉及10千伏架空线路11条，分别为镐六线、统二线、后苏2线、镐三线、镐十线、镐十一线、长纺线、镐十二线、统镐一线、斗门线、镐一线。在新轴线区域内10千伏架空线路总长度约45.3公里。目前在建迁改项目计划拆除架空线路8公里。其余线路全面落地迁改，需新建电缆隧道约18公里，10千伏电缆线路40公里，环网柜70座。</w:t>
      </w:r>
    </w:p>
    <w:p>
      <w:pPr>
        <w:spacing w:line="40" w:lineRule="exact"/>
        <w:jc w:val="center"/>
        <w:rPr>
          <w:rFonts w:eastAsia="仿宋"/>
          <w:sz w:val="28"/>
          <w:szCs w:val="20"/>
        </w:rPr>
      </w:pP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jc w:val="center"/>
        <w:textAlignment w:val="auto"/>
        <w:rPr>
          <w:rFonts w:hint="eastAsia" w:ascii="黑体" w:hAnsi="黑体" w:eastAsia="黑体" w:cs="黑体"/>
          <w:b w:val="0"/>
          <w:bCs w:val="0"/>
          <w:kern w:val="0"/>
          <w:sz w:val="24"/>
          <w:szCs w:val="24"/>
          <w:lang w:val="en-US" w:eastAsia="zh-CN" w:bidi="ar-SA"/>
        </w:rPr>
      </w:pPr>
      <w:r>
        <w:rPr>
          <w:rFonts w:hint="eastAsia" w:ascii="黑体" w:hAnsi="黑体" w:eastAsia="黑体" w:cs="黑体"/>
          <w:b w:val="0"/>
          <w:bCs w:val="0"/>
          <w:kern w:val="0"/>
          <w:sz w:val="24"/>
          <w:szCs w:val="24"/>
          <w:lang w:val="en-US" w:eastAsia="zh-CN" w:bidi="ar-SA"/>
        </w:rPr>
        <w:t xml:space="preserve">图8-7     </w:t>
      </w:r>
      <w:r>
        <w:rPr>
          <w:rFonts w:hint="eastAsia" w:ascii="黑体" w:hAnsi="黑体" w:eastAsia="黑体" w:cs="黑体"/>
          <w:b w:val="0"/>
          <w:bCs w:val="0"/>
          <w:kern w:val="0"/>
          <w:sz w:val="24"/>
          <w:szCs w:val="24"/>
          <w:lang w:val="en-US" w:eastAsia="zh-CN" w:bidi="ar-SA"/>
        </w:rPr>
        <w:drawing>
          <wp:anchor distT="0" distB="0" distL="114300" distR="114300" simplePos="0" relativeHeight="251664384" behindDoc="0" locked="0" layoutInCell="1" allowOverlap="1">
            <wp:simplePos x="0" y="0"/>
            <wp:positionH relativeFrom="column">
              <wp:posOffset>114300</wp:posOffset>
            </wp:positionH>
            <wp:positionV relativeFrom="paragraph">
              <wp:posOffset>201930</wp:posOffset>
            </wp:positionV>
            <wp:extent cx="5414645" cy="6843395"/>
            <wp:effectExtent l="0" t="0" r="0" b="0"/>
            <wp:wrapTopAndBottom/>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414645" cy="6843395"/>
                    </a:xfrm>
                    <a:prstGeom prst="rect">
                      <a:avLst/>
                    </a:prstGeom>
                    <a:noFill/>
                    <a:ln>
                      <a:noFill/>
                    </a:ln>
                    <a:effectLst/>
                  </pic:spPr>
                </pic:pic>
              </a:graphicData>
            </a:graphic>
          </wp:anchor>
        </w:drawing>
      </w:r>
      <w:r>
        <w:rPr>
          <w:rFonts w:hint="eastAsia" w:ascii="黑体" w:hAnsi="黑体" w:eastAsia="黑体" w:cs="黑体"/>
          <w:b w:val="0"/>
          <w:bCs w:val="0"/>
          <w:kern w:val="0"/>
          <w:sz w:val="24"/>
          <w:szCs w:val="24"/>
          <w:lang w:val="en-US" w:eastAsia="zh-CN" w:bidi="ar-SA"/>
        </w:rPr>
        <w:t>沣东新城新轴线区域10千伏线路图</w:t>
      </w:r>
    </w:p>
    <w:bookmarkEnd w:id="838"/>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lang w:val="en-US" w:eastAsia="zh-CN"/>
        </w:rPr>
      </w:pPr>
      <w:bookmarkStart w:id="846" w:name="_Toc74041235"/>
      <w:bookmarkStart w:id="847" w:name="_Toc30942"/>
      <w:r>
        <w:rPr>
          <w:rFonts w:hint="eastAsia" w:ascii="黑体" w:hAnsi="黑体" w:eastAsia="黑体" w:cs="黑体"/>
          <w:b w:val="0"/>
          <w:bCs w:val="0"/>
          <w:sz w:val="32"/>
          <w:szCs w:val="32"/>
          <w:lang w:val="en-US" w:eastAsia="zh-CN"/>
        </w:rPr>
        <w:t>规划建设规模</w:t>
      </w:r>
      <w:bookmarkEnd w:id="839"/>
      <w:bookmarkEnd w:id="846"/>
      <w:bookmarkEnd w:id="847"/>
    </w:p>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西咸新区在“十四五”期间，总计新建变电站25座，增容变电站1座，新增变电容量2839兆伏安。新建线路522.6公里。</w:t>
      </w:r>
    </w:p>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其中：空港新城新建变电站3座，新增变电容量300兆伏安，新建线路140.4公里；沣东新城新建变电站5座，新增变电容量500兆伏安，新建线路84公里；秦汉新城新建变电站3座，新增变电容量300兆伏安，新建线路68公里；沣西新城新建变电站8座，增容1座，新增变电容量837兆伏安，新建线路107.2公里；泾河新城新建变电站6座，新增变电容量902兆伏安，新建线路123公里。</w:t>
      </w:r>
    </w:p>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国家电网西咸新区供电公司新建变电站15座，增容变电站1座，新增变电容量1537兆伏安，新建线路349.2公里；地方电力集团在新建变电站6座，新增变电容量902兆伏安，新建线路119.4公里；沣西新城增量电网新建变电站3座，新增变电容量300兆伏安，新建线路31.6公里；空港新城增量电网新建变电站1座，新增变电容量100兆伏安，新建线路22.4公里。</w:t>
      </w:r>
    </w:p>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黑体" w:hAnsi="黑体" w:eastAsia="黑体" w:cs="黑体"/>
          <w:b w:val="0"/>
          <w:bCs w:val="0"/>
          <w:kern w:val="0"/>
          <w:sz w:val="28"/>
          <w:szCs w:val="28"/>
          <w:lang w:val="en-US" w:eastAsia="zh-CN" w:bidi="ar-SA"/>
        </w:rPr>
      </w:pPr>
      <w:r>
        <w:rPr>
          <w:rFonts w:hint="eastAsia" w:ascii="黑体" w:hAnsi="黑体" w:eastAsia="黑体" w:cs="黑体"/>
          <w:b w:val="0"/>
          <w:bCs w:val="0"/>
          <w:kern w:val="0"/>
          <w:sz w:val="28"/>
          <w:szCs w:val="28"/>
          <w:lang w:val="en-US" w:eastAsia="zh-CN" w:bidi="ar-SA"/>
        </w:rPr>
        <w:t>表8-7   西咸新区“十四五”规划项目建设规模</w:t>
      </w:r>
    </w:p>
    <w:tbl>
      <w:tblPr>
        <w:tblStyle w:val="88"/>
        <w:tblW w:w="8835" w:type="dxa"/>
        <w:tblInd w:w="0" w:type="dxa"/>
        <w:tblLayout w:type="fixed"/>
        <w:tblCellMar>
          <w:top w:w="0" w:type="dxa"/>
          <w:left w:w="108" w:type="dxa"/>
          <w:bottom w:w="0" w:type="dxa"/>
          <w:right w:w="108" w:type="dxa"/>
        </w:tblCellMar>
      </w:tblPr>
      <w:tblGrid>
        <w:gridCol w:w="514"/>
        <w:gridCol w:w="748"/>
        <w:gridCol w:w="2939"/>
        <w:gridCol w:w="811"/>
        <w:gridCol w:w="817"/>
        <w:gridCol w:w="1075"/>
        <w:gridCol w:w="1002"/>
        <w:gridCol w:w="929"/>
      </w:tblGrid>
      <w:tr>
        <w:tblPrEx>
          <w:tblCellMar>
            <w:top w:w="0" w:type="dxa"/>
            <w:left w:w="108" w:type="dxa"/>
            <w:bottom w:w="0" w:type="dxa"/>
            <w:right w:w="108" w:type="dxa"/>
          </w:tblCellMar>
        </w:tblPrEx>
        <w:trPr>
          <w:trHeight w:val="457" w:hRule="atLeast"/>
        </w:trPr>
        <w:tc>
          <w:tcPr>
            <w:tcW w:w="51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序号</w:t>
            </w:r>
          </w:p>
        </w:tc>
        <w:tc>
          <w:tcPr>
            <w:tcW w:w="748"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所属区域</w:t>
            </w:r>
          </w:p>
        </w:tc>
        <w:tc>
          <w:tcPr>
            <w:tcW w:w="2939"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项目名称</w:t>
            </w:r>
          </w:p>
        </w:tc>
        <w:tc>
          <w:tcPr>
            <w:tcW w:w="811"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性质</w:t>
            </w:r>
          </w:p>
        </w:tc>
        <w:tc>
          <w:tcPr>
            <w:tcW w:w="817"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投产时间</w:t>
            </w:r>
          </w:p>
        </w:tc>
        <w:tc>
          <w:tcPr>
            <w:tcW w:w="1075"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变电容量MVA</w:t>
            </w:r>
          </w:p>
        </w:tc>
        <w:tc>
          <w:tcPr>
            <w:tcW w:w="1002"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线路长度km</w:t>
            </w:r>
          </w:p>
        </w:tc>
        <w:tc>
          <w:tcPr>
            <w:tcW w:w="929"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备注</w:t>
            </w:r>
          </w:p>
        </w:tc>
      </w:tr>
      <w:tr>
        <w:tblPrEx>
          <w:tblCellMar>
            <w:top w:w="0" w:type="dxa"/>
            <w:left w:w="108" w:type="dxa"/>
            <w:bottom w:w="0" w:type="dxa"/>
            <w:right w:w="108" w:type="dxa"/>
          </w:tblCellMar>
        </w:tblPrEx>
        <w:trPr>
          <w:trHeight w:val="397" w:hRule="exact"/>
        </w:trPr>
        <w:tc>
          <w:tcPr>
            <w:tcW w:w="51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1</w:t>
            </w:r>
          </w:p>
        </w:tc>
        <w:tc>
          <w:tcPr>
            <w:tcW w:w="748" w:type="dxa"/>
            <w:vMerge w:val="restart"/>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仿宋" w:hAnsi="仿宋" w:eastAsia="仿宋" w:cs="宋体"/>
                <w:color w:val="000000"/>
                <w:kern w:val="0"/>
                <w:sz w:val="15"/>
                <w:szCs w:val="15"/>
              </w:rPr>
            </w:pPr>
            <w:r>
              <w:rPr>
                <w:rFonts w:hint="eastAsia" w:ascii="仿宋" w:hAnsi="仿宋" w:eastAsia="仿宋" w:cs="宋体"/>
                <w:color w:val="000000"/>
                <w:kern w:val="0"/>
                <w:sz w:val="15"/>
                <w:szCs w:val="15"/>
              </w:rPr>
              <w:t>空港</w:t>
            </w:r>
          </w:p>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新城</w:t>
            </w:r>
          </w:p>
        </w:tc>
        <w:tc>
          <w:tcPr>
            <w:tcW w:w="293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秦汉(韩湾)~机场2#变110kV线路工程</w:t>
            </w:r>
          </w:p>
        </w:tc>
        <w:tc>
          <w:tcPr>
            <w:tcW w:w="811"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新建</w:t>
            </w:r>
          </w:p>
        </w:tc>
        <w:tc>
          <w:tcPr>
            <w:tcW w:w="81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仿宋" w:hAnsi="仿宋" w:eastAsia="仿宋" w:cs="宋体"/>
                <w:color w:val="000000"/>
                <w:kern w:val="0"/>
                <w:sz w:val="15"/>
                <w:szCs w:val="15"/>
                <w:lang w:eastAsia="zh-CN"/>
              </w:rPr>
            </w:pPr>
            <w:r>
              <w:rPr>
                <w:rFonts w:hint="eastAsia" w:ascii="仿宋" w:hAnsi="仿宋" w:eastAsia="仿宋" w:cs="宋体"/>
                <w:color w:val="000000"/>
                <w:kern w:val="0"/>
                <w:sz w:val="15"/>
                <w:szCs w:val="15"/>
              </w:rPr>
              <w:t>202</w:t>
            </w:r>
            <w:r>
              <w:rPr>
                <w:rFonts w:hint="eastAsia" w:ascii="仿宋" w:hAnsi="仿宋" w:eastAsia="仿宋" w:cs="宋体"/>
                <w:color w:val="000000"/>
                <w:kern w:val="0"/>
                <w:sz w:val="15"/>
                <w:szCs w:val="15"/>
                <w:lang w:val="en-US" w:eastAsia="zh-CN"/>
              </w:rPr>
              <w:t>2</w:t>
            </w:r>
          </w:p>
        </w:tc>
        <w:tc>
          <w:tcPr>
            <w:tcW w:w="107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0</w:t>
            </w:r>
          </w:p>
        </w:tc>
        <w:tc>
          <w:tcPr>
            <w:tcW w:w="100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12.6</w:t>
            </w:r>
          </w:p>
        </w:tc>
        <w:tc>
          <w:tcPr>
            <w:tcW w:w="9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国网</w:t>
            </w:r>
          </w:p>
        </w:tc>
      </w:tr>
      <w:tr>
        <w:tblPrEx>
          <w:tblCellMar>
            <w:top w:w="0" w:type="dxa"/>
            <w:left w:w="108" w:type="dxa"/>
            <w:bottom w:w="0" w:type="dxa"/>
            <w:right w:w="108" w:type="dxa"/>
          </w:tblCellMar>
        </w:tblPrEx>
        <w:trPr>
          <w:trHeight w:val="397" w:hRule="exact"/>
        </w:trPr>
        <w:tc>
          <w:tcPr>
            <w:tcW w:w="51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2</w:t>
            </w:r>
          </w:p>
        </w:tc>
        <w:tc>
          <w:tcPr>
            <w:tcW w:w="74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ascii="仿宋" w:hAnsi="仿宋" w:eastAsia="仿宋" w:cs="宋体"/>
                <w:color w:val="000000"/>
                <w:kern w:val="0"/>
                <w:sz w:val="15"/>
                <w:szCs w:val="15"/>
              </w:rPr>
            </w:pPr>
          </w:p>
        </w:tc>
        <w:tc>
          <w:tcPr>
            <w:tcW w:w="293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南朱刘110kV输变电工程</w:t>
            </w:r>
          </w:p>
        </w:tc>
        <w:tc>
          <w:tcPr>
            <w:tcW w:w="811"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新建</w:t>
            </w:r>
          </w:p>
        </w:tc>
        <w:tc>
          <w:tcPr>
            <w:tcW w:w="81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仿宋" w:hAnsi="仿宋" w:eastAsia="仿宋" w:cs="宋体"/>
                <w:color w:val="000000"/>
                <w:kern w:val="0"/>
                <w:sz w:val="15"/>
                <w:szCs w:val="15"/>
                <w:lang w:eastAsia="zh-CN"/>
              </w:rPr>
            </w:pPr>
            <w:r>
              <w:rPr>
                <w:rFonts w:hint="eastAsia" w:ascii="仿宋" w:hAnsi="仿宋" w:eastAsia="仿宋" w:cs="宋体"/>
                <w:color w:val="000000"/>
                <w:kern w:val="0"/>
                <w:sz w:val="15"/>
                <w:szCs w:val="15"/>
              </w:rPr>
              <w:t>202</w:t>
            </w:r>
            <w:r>
              <w:rPr>
                <w:rFonts w:hint="eastAsia" w:ascii="仿宋" w:hAnsi="仿宋" w:eastAsia="仿宋" w:cs="宋体"/>
                <w:color w:val="000000"/>
                <w:kern w:val="0"/>
                <w:sz w:val="15"/>
                <w:szCs w:val="15"/>
                <w:lang w:val="en-US" w:eastAsia="zh-CN"/>
              </w:rPr>
              <w:t>2</w:t>
            </w:r>
          </w:p>
        </w:tc>
        <w:tc>
          <w:tcPr>
            <w:tcW w:w="107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100</w:t>
            </w:r>
          </w:p>
        </w:tc>
        <w:tc>
          <w:tcPr>
            <w:tcW w:w="100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21.4</w:t>
            </w:r>
          </w:p>
        </w:tc>
        <w:tc>
          <w:tcPr>
            <w:tcW w:w="9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国网</w:t>
            </w:r>
          </w:p>
        </w:tc>
      </w:tr>
      <w:tr>
        <w:tblPrEx>
          <w:tblCellMar>
            <w:top w:w="0" w:type="dxa"/>
            <w:left w:w="108" w:type="dxa"/>
            <w:bottom w:w="0" w:type="dxa"/>
            <w:right w:w="108" w:type="dxa"/>
          </w:tblCellMar>
        </w:tblPrEx>
        <w:trPr>
          <w:trHeight w:val="397" w:hRule="exact"/>
        </w:trPr>
        <w:tc>
          <w:tcPr>
            <w:tcW w:w="51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3</w:t>
            </w:r>
          </w:p>
        </w:tc>
        <w:tc>
          <w:tcPr>
            <w:tcW w:w="74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ascii="仿宋" w:hAnsi="仿宋" w:eastAsia="仿宋" w:cs="宋体"/>
                <w:color w:val="000000"/>
                <w:kern w:val="0"/>
                <w:sz w:val="15"/>
                <w:szCs w:val="15"/>
              </w:rPr>
            </w:pPr>
          </w:p>
        </w:tc>
        <w:tc>
          <w:tcPr>
            <w:tcW w:w="293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池阳~机场2#变110千伏线路工程</w:t>
            </w:r>
          </w:p>
        </w:tc>
        <w:tc>
          <w:tcPr>
            <w:tcW w:w="811"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新建</w:t>
            </w:r>
          </w:p>
        </w:tc>
        <w:tc>
          <w:tcPr>
            <w:tcW w:w="81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2022</w:t>
            </w:r>
          </w:p>
        </w:tc>
        <w:tc>
          <w:tcPr>
            <w:tcW w:w="107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0</w:t>
            </w:r>
          </w:p>
        </w:tc>
        <w:tc>
          <w:tcPr>
            <w:tcW w:w="100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34</w:t>
            </w:r>
          </w:p>
        </w:tc>
        <w:tc>
          <w:tcPr>
            <w:tcW w:w="9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国网</w:t>
            </w:r>
          </w:p>
        </w:tc>
      </w:tr>
      <w:tr>
        <w:tblPrEx>
          <w:tblCellMar>
            <w:top w:w="0" w:type="dxa"/>
            <w:left w:w="108" w:type="dxa"/>
            <w:bottom w:w="0" w:type="dxa"/>
            <w:right w:w="108" w:type="dxa"/>
          </w:tblCellMar>
        </w:tblPrEx>
        <w:trPr>
          <w:trHeight w:val="397" w:hRule="exact"/>
        </w:trPr>
        <w:tc>
          <w:tcPr>
            <w:tcW w:w="51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4</w:t>
            </w:r>
          </w:p>
        </w:tc>
        <w:tc>
          <w:tcPr>
            <w:tcW w:w="74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ascii="仿宋" w:hAnsi="仿宋" w:eastAsia="仿宋" w:cs="宋体"/>
                <w:color w:val="000000"/>
                <w:kern w:val="0"/>
                <w:sz w:val="15"/>
                <w:szCs w:val="15"/>
              </w:rPr>
            </w:pPr>
          </w:p>
        </w:tc>
        <w:tc>
          <w:tcPr>
            <w:tcW w:w="293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朱家110kV输变电工程</w:t>
            </w:r>
          </w:p>
        </w:tc>
        <w:tc>
          <w:tcPr>
            <w:tcW w:w="811"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新建</w:t>
            </w:r>
          </w:p>
        </w:tc>
        <w:tc>
          <w:tcPr>
            <w:tcW w:w="81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2023</w:t>
            </w:r>
          </w:p>
        </w:tc>
        <w:tc>
          <w:tcPr>
            <w:tcW w:w="107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100</w:t>
            </w:r>
          </w:p>
        </w:tc>
        <w:tc>
          <w:tcPr>
            <w:tcW w:w="100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30</w:t>
            </w:r>
          </w:p>
        </w:tc>
        <w:tc>
          <w:tcPr>
            <w:tcW w:w="9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国网</w:t>
            </w:r>
          </w:p>
        </w:tc>
      </w:tr>
      <w:tr>
        <w:tblPrEx>
          <w:tblCellMar>
            <w:top w:w="0" w:type="dxa"/>
            <w:left w:w="108" w:type="dxa"/>
            <w:bottom w:w="0" w:type="dxa"/>
            <w:right w:w="108" w:type="dxa"/>
          </w:tblCellMar>
        </w:tblPrEx>
        <w:trPr>
          <w:trHeight w:val="397" w:hRule="exact"/>
        </w:trPr>
        <w:tc>
          <w:tcPr>
            <w:tcW w:w="51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5</w:t>
            </w:r>
          </w:p>
        </w:tc>
        <w:tc>
          <w:tcPr>
            <w:tcW w:w="74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ascii="仿宋" w:hAnsi="仿宋" w:eastAsia="仿宋" w:cs="宋体"/>
                <w:color w:val="000000"/>
                <w:kern w:val="0"/>
                <w:sz w:val="15"/>
                <w:szCs w:val="15"/>
              </w:rPr>
            </w:pPr>
          </w:p>
        </w:tc>
        <w:tc>
          <w:tcPr>
            <w:tcW w:w="293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顺陵110kV输变电工程</w:t>
            </w:r>
          </w:p>
        </w:tc>
        <w:tc>
          <w:tcPr>
            <w:tcW w:w="811"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新建</w:t>
            </w:r>
          </w:p>
        </w:tc>
        <w:tc>
          <w:tcPr>
            <w:tcW w:w="81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2023</w:t>
            </w:r>
          </w:p>
        </w:tc>
        <w:tc>
          <w:tcPr>
            <w:tcW w:w="107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100</w:t>
            </w:r>
          </w:p>
        </w:tc>
        <w:tc>
          <w:tcPr>
            <w:tcW w:w="100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22.4</w:t>
            </w:r>
          </w:p>
        </w:tc>
        <w:tc>
          <w:tcPr>
            <w:tcW w:w="9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空港增量</w:t>
            </w:r>
          </w:p>
        </w:tc>
      </w:tr>
      <w:tr>
        <w:tblPrEx>
          <w:tblCellMar>
            <w:top w:w="0" w:type="dxa"/>
            <w:left w:w="108" w:type="dxa"/>
            <w:bottom w:w="0" w:type="dxa"/>
            <w:right w:w="108" w:type="dxa"/>
          </w:tblCellMar>
        </w:tblPrEx>
        <w:trPr>
          <w:trHeight w:val="397" w:hRule="exact"/>
        </w:trPr>
        <w:tc>
          <w:tcPr>
            <w:tcW w:w="51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6</w:t>
            </w:r>
          </w:p>
        </w:tc>
        <w:tc>
          <w:tcPr>
            <w:tcW w:w="74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ascii="仿宋" w:hAnsi="仿宋" w:eastAsia="仿宋" w:cs="宋体"/>
                <w:color w:val="000000"/>
                <w:kern w:val="0"/>
                <w:sz w:val="15"/>
                <w:szCs w:val="15"/>
              </w:rPr>
            </w:pPr>
          </w:p>
        </w:tc>
        <w:tc>
          <w:tcPr>
            <w:tcW w:w="293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空港330kV变电站110kV送出工程</w:t>
            </w:r>
          </w:p>
        </w:tc>
        <w:tc>
          <w:tcPr>
            <w:tcW w:w="811"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新建</w:t>
            </w:r>
          </w:p>
        </w:tc>
        <w:tc>
          <w:tcPr>
            <w:tcW w:w="81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2025</w:t>
            </w:r>
          </w:p>
        </w:tc>
        <w:tc>
          <w:tcPr>
            <w:tcW w:w="107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0</w:t>
            </w:r>
          </w:p>
        </w:tc>
        <w:tc>
          <w:tcPr>
            <w:tcW w:w="100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20</w:t>
            </w:r>
          </w:p>
        </w:tc>
        <w:tc>
          <w:tcPr>
            <w:tcW w:w="9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国网</w:t>
            </w:r>
          </w:p>
        </w:tc>
      </w:tr>
      <w:tr>
        <w:tblPrEx>
          <w:tblCellMar>
            <w:top w:w="0" w:type="dxa"/>
            <w:left w:w="108" w:type="dxa"/>
            <w:bottom w:w="0" w:type="dxa"/>
            <w:right w:w="108" w:type="dxa"/>
          </w:tblCellMar>
        </w:tblPrEx>
        <w:trPr>
          <w:trHeight w:val="397" w:hRule="exact"/>
        </w:trPr>
        <w:tc>
          <w:tcPr>
            <w:tcW w:w="5829"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b/>
                <w:bCs/>
                <w:color w:val="000000"/>
                <w:kern w:val="0"/>
                <w:sz w:val="15"/>
                <w:szCs w:val="15"/>
              </w:rPr>
            </w:pPr>
            <w:r>
              <w:rPr>
                <w:rFonts w:hint="eastAsia" w:ascii="仿宋" w:hAnsi="仿宋" w:eastAsia="仿宋" w:cs="宋体"/>
                <w:b/>
                <w:bCs/>
                <w:color w:val="000000"/>
                <w:kern w:val="0"/>
                <w:sz w:val="15"/>
                <w:szCs w:val="15"/>
              </w:rPr>
              <w:t>空港新城合计</w:t>
            </w:r>
          </w:p>
        </w:tc>
        <w:tc>
          <w:tcPr>
            <w:tcW w:w="107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b/>
                <w:bCs/>
                <w:color w:val="000000"/>
                <w:kern w:val="0"/>
                <w:sz w:val="15"/>
                <w:szCs w:val="15"/>
              </w:rPr>
            </w:pPr>
            <w:r>
              <w:rPr>
                <w:rFonts w:hint="eastAsia" w:ascii="仿宋" w:hAnsi="仿宋" w:eastAsia="仿宋" w:cs="宋体"/>
                <w:b/>
                <w:bCs/>
                <w:color w:val="000000"/>
                <w:kern w:val="0"/>
                <w:sz w:val="15"/>
                <w:szCs w:val="15"/>
              </w:rPr>
              <w:t>300</w:t>
            </w:r>
          </w:p>
        </w:tc>
        <w:tc>
          <w:tcPr>
            <w:tcW w:w="100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b/>
                <w:bCs/>
                <w:color w:val="000000"/>
                <w:kern w:val="0"/>
                <w:sz w:val="15"/>
                <w:szCs w:val="15"/>
              </w:rPr>
            </w:pPr>
            <w:r>
              <w:rPr>
                <w:rFonts w:hint="eastAsia" w:ascii="仿宋" w:hAnsi="仿宋" w:eastAsia="仿宋" w:cs="宋体"/>
                <w:b/>
                <w:bCs/>
                <w:color w:val="000000"/>
                <w:kern w:val="0"/>
                <w:sz w:val="15"/>
                <w:szCs w:val="15"/>
              </w:rPr>
              <w:t>140.4</w:t>
            </w:r>
          </w:p>
        </w:tc>
        <w:tc>
          <w:tcPr>
            <w:tcW w:w="9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b/>
                <w:bCs/>
                <w:color w:val="000000"/>
                <w:kern w:val="0"/>
                <w:sz w:val="15"/>
                <w:szCs w:val="15"/>
              </w:rPr>
            </w:pPr>
            <w:r>
              <w:rPr>
                <w:rFonts w:hint="eastAsia" w:ascii="仿宋" w:hAnsi="仿宋" w:eastAsia="仿宋" w:cs="宋体"/>
                <w:b/>
                <w:bCs/>
                <w:color w:val="000000"/>
                <w:kern w:val="0"/>
                <w:sz w:val="15"/>
                <w:szCs w:val="15"/>
              </w:rPr>
              <w:t>　</w:t>
            </w:r>
          </w:p>
        </w:tc>
      </w:tr>
      <w:tr>
        <w:tblPrEx>
          <w:tblCellMar>
            <w:top w:w="0" w:type="dxa"/>
            <w:left w:w="108" w:type="dxa"/>
            <w:bottom w:w="0" w:type="dxa"/>
            <w:right w:w="108" w:type="dxa"/>
          </w:tblCellMar>
        </w:tblPrEx>
        <w:trPr>
          <w:trHeight w:val="301" w:hRule="atLeast"/>
        </w:trPr>
        <w:tc>
          <w:tcPr>
            <w:tcW w:w="51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1</w:t>
            </w:r>
          </w:p>
        </w:tc>
        <w:tc>
          <w:tcPr>
            <w:tcW w:w="748"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仿宋" w:hAnsi="仿宋" w:eastAsia="仿宋" w:cs="宋体"/>
                <w:color w:val="000000"/>
                <w:kern w:val="0"/>
                <w:sz w:val="15"/>
                <w:szCs w:val="15"/>
              </w:rPr>
            </w:pPr>
            <w:r>
              <w:rPr>
                <w:rFonts w:hint="eastAsia" w:ascii="仿宋" w:hAnsi="仿宋" w:eastAsia="仿宋" w:cs="宋体"/>
                <w:color w:val="000000"/>
                <w:kern w:val="0"/>
                <w:sz w:val="15"/>
                <w:szCs w:val="15"/>
              </w:rPr>
              <w:t>沣东</w:t>
            </w:r>
          </w:p>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新城</w:t>
            </w:r>
          </w:p>
        </w:tc>
        <w:tc>
          <w:tcPr>
            <w:tcW w:w="293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富裕110kV输变电工程</w:t>
            </w:r>
          </w:p>
        </w:tc>
        <w:tc>
          <w:tcPr>
            <w:tcW w:w="811"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新建</w:t>
            </w:r>
          </w:p>
        </w:tc>
        <w:tc>
          <w:tcPr>
            <w:tcW w:w="817"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仿宋" w:hAnsi="仿宋" w:eastAsia="仿宋" w:cs="宋体"/>
                <w:color w:val="000000"/>
                <w:kern w:val="0"/>
                <w:sz w:val="15"/>
                <w:szCs w:val="15"/>
                <w:lang w:eastAsia="zh-CN"/>
              </w:rPr>
            </w:pPr>
            <w:r>
              <w:rPr>
                <w:rFonts w:hint="eastAsia" w:ascii="仿宋" w:hAnsi="仿宋" w:eastAsia="仿宋" w:cs="宋体"/>
                <w:color w:val="000000"/>
                <w:kern w:val="0"/>
                <w:sz w:val="15"/>
                <w:szCs w:val="15"/>
              </w:rPr>
              <w:t>202</w:t>
            </w:r>
            <w:r>
              <w:rPr>
                <w:rFonts w:hint="eastAsia" w:ascii="仿宋" w:hAnsi="仿宋" w:eastAsia="仿宋" w:cs="宋体"/>
                <w:color w:val="000000"/>
                <w:kern w:val="0"/>
                <w:sz w:val="15"/>
                <w:szCs w:val="15"/>
                <w:lang w:val="en-US" w:eastAsia="zh-CN"/>
              </w:rPr>
              <w:t>2</w:t>
            </w:r>
          </w:p>
        </w:tc>
        <w:tc>
          <w:tcPr>
            <w:tcW w:w="107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100</w:t>
            </w:r>
          </w:p>
        </w:tc>
        <w:tc>
          <w:tcPr>
            <w:tcW w:w="1002"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11</w:t>
            </w:r>
          </w:p>
        </w:tc>
        <w:tc>
          <w:tcPr>
            <w:tcW w:w="92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国网</w:t>
            </w:r>
          </w:p>
        </w:tc>
      </w:tr>
      <w:tr>
        <w:tblPrEx>
          <w:tblCellMar>
            <w:top w:w="0" w:type="dxa"/>
            <w:left w:w="108" w:type="dxa"/>
            <w:bottom w:w="0" w:type="dxa"/>
            <w:right w:w="108" w:type="dxa"/>
          </w:tblCellMar>
        </w:tblPrEx>
        <w:trPr>
          <w:trHeight w:val="423" w:hRule="atLeast"/>
        </w:trPr>
        <w:tc>
          <w:tcPr>
            <w:tcW w:w="51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2</w:t>
            </w:r>
          </w:p>
        </w:tc>
        <w:tc>
          <w:tcPr>
            <w:tcW w:w="748"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left"/>
              <w:rPr>
                <w:rFonts w:ascii="仿宋" w:hAnsi="仿宋" w:eastAsia="仿宋" w:cs="宋体"/>
                <w:color w:val="000000"/>
                <w:kern w:val="0"/>
                <w:sz w:val="15"/>
                <w:szCs w:val="15"/>
              </w:rPr>
            </w:pPr>
          </w:p>
        </w:tc>
        <w:tc>
          <w:tcPr>
            <w:tcW w:w="2939"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lang w:val="en-US" w:eastAsia="zh-CN" w:bidi="ar-SA"/>
              </w:rPr>
            </w:pPr>
            <w:r>
              <w:rPr>
                <w:rFonts w:hint="eastAsia" w:ascii="仿宋" w:hAnsi="仿宋" w:eastAsia="仿宋" w:cs="宋体"/>
                <w:color w:val="000000"/>
                <w:kern w:val="0"/>
                <w:sz w:val="15"/>
                <w:szCs w:val="15"/>
              </w:rPr>
              <w:t>广场110kV输变电工程</w:t>
            </w:r>
          </w:p>
        </w:tc>
        <w:tc>
          <w:tcPr>
            <w:tcW w:w="811"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lang w:val="en-US" w:eastAsia="zh-CN" w:bidi="ar-SA"/>
              </w:rPr>
            </w:pPr>
            <w:r>
              <w:rPr>
                <w:rFonts w:hint="eastAsia" w:ascii="仿宋" w:hAnsi="仿宋" w:eastAsia="仿宋" w:cs="宋体"/>
                <w:color w:val="000000"/>
                <w:kern w:val="0"/>
                <w:sz w:val="15"/>
                <w:szCs w:val="15"/>
              </w:rPr>
              <w:t>新建</w:t>
            </w:r>
          </w:p>
        </w:tc>
        <w:tc>
          <w:tcPr>
            <w:tcW w:w="817"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lang w:val="en-US" w:eastAsia="zh-CN" w:bidi="ar-SA"/>
              </w:rPr>
            </w:pPr>
            <w:r>
              <w:rPr>
                <w:rFonts w:hint="eastAsia" w:ascii="仿宋" w:hAnsi="仿宋" w:eastAsia="仿宋" w:cs="宋体"/>
                <w:color w:val="000000"/>
                <w:kern w:val="0"/>
                <w:sz w:val="15"/>
                <w:szCs w:val="15"/>
              </w:rPr>
              <w:t>2022</w:t>
            </w:r>
          </w:p>
        </w:tc>
        <w:tc>
          <w:tcPr>
            <w:tcW w:w="1075"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lang w:val="en-US" w:eastAsia="zh-CN" w:bidi="ar-SA"/>
              </w:rPr>
            </w:pPr>
            <w:r>
              <w:rPr>
                <w:rFonts w:hint="eastAsia" w:ascii="仿宋" w:hAnsi="仿宋" w:eastAsia="仿宋" w:cs="宋体"/>
                <w:color w:val="000000"/>
                <w:kern w:val="0"/>
                <w:sz w:val="15"/>
                <w:szCs w:val="15"/>
              </w:rPr>
              <w:t>100</w:t>
            </w:r>
          </w:p>
        </w:tc>
        <w:tc>
          <w:tcPr>
            <w:tcW w:w="1002"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lang w:val="en-US" w:eastAsia="zh-CN" w:bidi="ar-SA"/>
              </w:rPr>
            </w:pPr>
            <w:r>
              <w:rPr>
                <w:rFonts w:hint="eastAsia" w:ascii="仿宋" w:hAnsi="仿宋" w:eastAsia="仿宋" w:cs="宋体"/>
                <w:color w:val="000000"/>
                <w:kern w:val="0"/>
                <w:sz w:val="15"/>
                <w:szCs w:val="15"/>
              </w:rPr>
              <w:t>9</w:t>
            </w:r>
          </w:p>
        </w:tc>
        <w:tc>
          <w:tcPr>
            <w:tcW w:w="929"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lang w:val="en-US" w:eastAsia="zh-CN" w:bidi="ar-SA"/>
              </w:rPr>
            </w:pPr>
            <w:r>
              <w:rPr>
                <w:rFonts w:hint="eastAsia" w:ascii="仿宋" w:hAnsi="仿宋" w:eastAsia="仿宋" w:cs="宋体"/>
                <w:color w:val="000000"/>
                <w:kern w:val="0"/>
                <w:sz w:val="15"/>
                <w:szCs w:val="15"/>
              </w:rPr>
              <w:t>国网</w:t>
            </w:r>
          </w:p>
        </w:tc>
      </w:tr>
      <w:tr>
        <w:tblPrEx>
          <w:tblCellMar>
            <w:top w:w="0" w:type="dxa"/>
            <w:left w:w="108" w:type="dxa"/>
            <w:bottom w:w="0" w:type="dxa"/>
            <w:right w:w="108" w:type="dxa"/>
          </w:tblCellMar>
        </w:tblPrEx>
        <w:trPr>
          <w:trHeight w:val="333" w:hRule="atLeast"/>
        </w:trPr>
        <w:tc>
          <w:tcPr>
            <w:tcW w:w="51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3</w:t>
            </w:r>
          </w:p>
        </w:tc>
        <w:tc>
          <w:tcPr>
            <w:tcW w:w="74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ascii="仿宋" w:hAnsi="仿宋" w:eastAsia="仿宋" w:cs="宋体"/>
                <w:color w:val="000000"/>
                <w:kern w:val="0"/>
                <w:sz w:val="15"/>
                <w:szCs w:val="15"/>
              </w:rPr>
            </w:pPr>
          </w:p>
        </w:tc>
        <w:tc>
          <w:tcPr>
            <w:tcW w:w="293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lang w:val="en-US" w:eastAsia="zh-CN" w:bidi="ar-SA"/>
              </w:rPr>
            </w:pPr>
            <w:r>
              <w:rPr>
                <w:rFonts w:hint="eastAsia" w:ascii="仿宋" w:hAnsi="仿宋" w:eastAsia="仿宋" w:cs="宋体"/>
                <w:color w:val="000000"/>
                <w:kern w:val="0"/>
                <w:sz w:val="15"/>
                <w:szCs w:val="15"/>
              </w:rPr>
              <w:t>细柳110kV输变电工程</w:t>
            </w:r>
          </w:p>
        </w:tc>
        <w:tc>
          <w:tcPr>
            <w:tcW w:w="811"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lang w:val="en-US" w:eastAsia="zh-CN" w:bidi="ar-SA"/>
              </w:rPr>
            </w:pPr>
            <w:r>
              <w:rPr>
                <w:rFonts w:hint="eastAsia" w:ascii="仿宋" w:hAnsi="仿宋" w:eastAsia="仿宋" w:cs="宋体"/>
                <w:color w:val="000000"/>
                <w:kern w:val="0"/>
                <w:sz w:val="15"/>
                <w:szCs w:val="15"/>
              </w:rPr>
              <w:t>新建</w:t>
            </w:r>
          </w:p>
        </w:tc>
        <w:tc>
          <w:tcPr>
            <w:tcW w:w="81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仿宋" w:hAnsi="仿宋" w:eastAsia="仿宋" w:cs="宋体"/>
                <w:color w:val="000000"/>
                <w:kern w:val="0"/>
                <w:sz w:val="15"/>
                <w:szCs w:val="15"/>
                <w:lang w:val="en-US" w:eastAsia="zh-CN" w:bidi="ar-SA"/>
              </w:rPr>
            </w:pPr>
            <w:r>
              <w:rPr>
                <w:rFonts w:hint="eastAsia" w:ascii="仿宋" w:hAnsi="仿宋" w:eastAsia="仿宋" w:cs="宋体"/>
                <w:color w:val="000000"/>
                <w:kern w:val="0"/>
                <w:sz w:val="15"/>
                <w:szCs w:val="15"/>
              </w:rPr>
              <w:t>202</w:t>
            </w:r>
            <w:r>
              <w:rPr>
                <w:rFonts w:hint="eastAsia" w:ascii="仿宋" w:hAnsi="仿宋" w:eastAsia="仿宋" w:cs="宋体"/>
                <w:color w:val="000000"/>
                <w:kern w:val="0"/>
                <w:sz w:val="15"/>
                <w:szCs w:val="15"/>
                <w:lang w:val="en-US" w:eastAsia="zh-CN"/>
              </w:rPr>
              <w:t>3</w:t>
            </w:r>
          </w:p>
        </w:tc>
        <w:tc>
          <w:tcPr>
            <w:tcW w:w="107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lang w:val="en-US" w:eastAsia="zh-CN" w:bidi="ar-SA"/>
              </w:rPr>
            </w:pPr>
            <w:r>
              <w:rPr>
                <w:rFonts w:hint="eastAsia" w:ascii="仿宋" w:hAnsi="仿宋" w:eastAsia="仿宋" w:cs="宋体"/>
                <w:color w:val="000000"/>
                <w:kern w:val="0"/>
                <w:sz w:val="15"/>
                <w:szCs w:val="15"/>
              </w:rPr>
              <w:t>100</w:t>
            </w:r>
          </w:p>
        </w:tc>
        <w:tc>
          <w:tcPr>
            <w:tcW w:w="100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lang w:val="en-US" w:eastAsia="zh-CN" w:bidi="ar-SA"/>
              </w:rPr>
            </w:pPr>
            <w:r>
              <w:rPr>
                <w:rFonts w:hint="eastAsia" w:ascii="仿宋" w:hAnsi="仿宋" w:eastAsia="仿宋" w:cs="宋体"/>
                <w:color w:val="000000"/>
                <w:kern w:val="0"/>
                <w:sz w:val="15"/>
                <w:szCs w:val="15"/>
              </w:rPr>
              <w:t>8</w:t>
            </w:r>
          </w:p>
        </w:tc>
        <w:tc>
          <w:tcPr>
            <w:tcW w:w="9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lang w:val="en-US" w:eastAsia="zh-CN" w:bidi="ar-SA"/>
              </w:rPr>
            </w:pPr>
            <w:r>
              <w:rPr>
                <w:rFonts w:hint="eastAsia" w:ascii="仿宋" w:hAnsi="仿宋" w:eastAsia="仿宋" w:cs="宋体"/>
                <w:color w:val="000000"/>
                <w:kern w:val="0"/>
                <w:sz w:val="15"/>
                <w:szCs w:val="15"/>
              </w:rPr>
              <w:t>国网</w:t>
            </w:r>
          </w:p>
        </w:tc>
      </w:tr>
      <w:tr>
        <w:tblPrEx>
          <w:tblCellMar>
            <w:top w:w="0" w:type="dxa"/>
            <w:left w:w="108" w:type="dxa"/>
            <w:bottom w:w="0" w:type="dxa"/>
            <w:right w:w="108" w:type="dxa"/>
          </w:tblCellMar>
        </w:tblPrEx>
        <w:trPr>
          <w:trHeight w:val="469" w:hRule="atLeast"/>
        </w:trPr>
        <w:tc>
          <w:tcPr>
            <w:tcW w:w="51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4</w:t>
            </w:r>
          </w:p>
        </w:tc>
        <w:tc>
          <w:tcPr>
            <w:tcW w:w="74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ascii="仿宋" w:hAnsi="仿宋" w:eastAsia="仿宋" w:cs="宋体"/>
                <w:color w:val="000000"/>
                <w:kern w:val="0"/>
                <w:sz w:val="15"/>
                <w:szCs w:val="15"/>
              </w:rPr>
            </w:pPr>
          </w:p>
        </w:tc>
        <w:tc>
          <w:tcPr>
            <w:tcW w:w="293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沣渭330kV变电站110kV送出工程</w:t>
            </w:r>
          </w:p>
        </w:tc>
        <w:tc>
          <w:tcPr>
            <w:tcW w:w="811"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新建</w:t>
            </w:r>
          </w:p>
        </w:tc>
        <w:tc>
          <w:tcPr>
            <w:tcW w:w="81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2023</w:t>
            </w:r>
          </w:p>
        </w:tc>
        <w:tc>
          <w:tcPr>
            <w:tcW w:w="107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0</w:t>
            </w:r>
          </w:p>
        </w:tc>
        <w:tc>
          <w:tcPr>
            <w:tcW w:w="100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28</w:t>
            </w:r>
          </w:p>
        </w:tc>
        <w:tc>
          <w:tcPr>
            <w:tcW w:w="9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国网</w:t>
            </w:r>
          </w:p>
        </w:tc>
      </w:tr>
      <w:tr>
        <w:tblPrEx>
          <w:tblCellMar>
            <w:top w:w="0" w:type="dxa"/>
            <w:left w:w="108" w:type="dxa"/>
            <w:bottom w:w="0" w:type="dxa"/>
            <w:right w:w="108" w:type="dxa"/>
          </w:tblCellMar>
        </w:tblPrEx>
        <w:trPr>
          <w:trHeight w:val="332" w:hRule="atLeast"/>
        </w:trPr>
        <w:tc>
          <w:tcPr>
            <w:tcW w:w="51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5</w:t>
            </w:r>
          </w:p>
        </w:tc>
        <w:tc>
          <w:tcPr>
            <w:tcW w:w="74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ascii="仿宋" w:hAnsi="仿宋" w:eastAsia="仿宋" w:cs="宋体"/>
                <w:color w:val="000000"/>
                <w:kern w:val="0"/>
                <w:sz w:val="15"/>
                <w:szCs w:val="15"/>
              </w:rPr>
            </w:pPr>
          </w:p>
        </w:tc>
        <w:tc>
          <w:tcPr>
            <w:tcW w:w="293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泾明110kV输变电工程</w:t>
            </w:r>
          </w:p>
        </w:tc>
        <w:tc>
          <w:tcPr>
            <w:tcW w:w="811"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新建</w:t>
            </w:r>
          </w:p>
        </w:tc>
        <w:tc>
          <w:tcPr>
            <w:tcW w:w="81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2023</w:t>
            </w:r>
          </w:p>
        </w:tc>
        <w:tc>
          <w:tcPr>
            <w:tcW w:w="107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100</w:t>
            </w:r>
          </w:p>
        </w:tc>
        <w:tc>
          <w:tcPr>
            <w:tcW w:w="100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24</w:t>
            </w:r>
          </w:p>
        </w:tc>
        <w:tc>
          <w:tcPr>
            <w:tcW w:w="9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国网</w:t>
            </w:r>
          </w:p>
        </w:tc>
      </w:tr>
      <w:tr>
        <w:tblPrEx>
          <w:tblCellMar>
            <w:top w:w="0" w:type="dxa"/>
            <w:left w:w="108" w:type="dxa"/>
            <w:bottom w:w="0" w:type="dxa"/>
            <w:right w:w="108" w:type="dxa"/>
          </w:tblCellMar>
        </w:tblPrEx>
        <w:trPr>
          <w:trHeight w:val="409" w:hRule="atLeast"/>
        </w:trPr>
        <w:tc>
          <w:tcPr>
            <w:tcW w:w="51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6</w:t>
            </w:r>
          </w:p>
        </w:tc>
        <w:tc>
          <w:tcPr>
            <w:tcW w:w="74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ascii="仿宋" w:hAnsi="仿宋" w:eastAsia="仿宋" w:cs="宋体"/>
                <w:color w:val="000000"/>
                <w:kern w:val="0"/>
                <w:sz w:val="15"/>
                <w:szCs w:val="15"/>
              </w:rPr>
            </w:pPr>
          </w:p>
        </w:tc>
        <w:tc>
          <w:tcPr>
            <w:tcW w:w="293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陇海110kV输变电工程</w:t>
            </w:r>
          </w:p>
        </w:tc>
        <w:tc>
          <w:tcPr>
            <w:tcW w:w="811"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新建</w:t>
            </w:r>
          </w:p>
        </w:tc>
        <w:tc>
          <w:tcPr>
            <w:tcW w:w="81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2025</w:t>
            </w:r>
          </w:p>
        </w:tc>
        <w:tc>
          <w:tcPr>
            <w:tcW w:w="107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100</w:t>
            </w:r>
          </w:p>
        </w:tc>
        <w:tc>
          <w:tcPr>
            <w:tcW w:w="100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4</w:t>
            </w:r>
          </w:p>
        </w:tc>
        <w:tc>
          <w:tcPr>
            <w:tcW w:w="9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国网</w:t>
            </w:r>
          </w:p>
        </w:tc>
      </w:tr>
      <w:tr>
        <w:tblPrEx>
          <w:tblCellMar>
            <w:top w:w="0" w:type="dxa"/>
            <w:left w:w="108" w:type="dxa"/>
            <w:bottom w:w="0" w:type="dxa"/>
            <w:right w:w="108" w:type="dxa"/>
          </w:tblCellMar>
        </w:tblPrEx>
        <w:trPr>
          <w:trHeight w:val="270" w:hRule="atLeast"/>
        </w:trPr>
        <w:tc>
          <w:tcPr>
            <w:tcW w:w="5829"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b/>
                <w:bCs/>
                <w:color w:val="000000"/>
                <w:kern w:val="0"/>
                <w:sz w:val="15"/>
                <w:szCs w:val="15"/>
              </w:rPr>
            </w:pPr>
            <w:r>
              <w:rPr>
                <w:rFonts w:hint="eastAsia" w:ascii="仿宋" w:hAnsi="仿宋" w:eastAsia="仿宋" w:cs="宋体"/>
                <w:b/>
                <w:bCs/>
                <w:color w:val="000000"/>
                <w:kern w:val="0"/>
                <w:sz w:val="15"/>
                <w:szCs w:val="15"/>
              </w:rPr>
              <w:t>沣东新城合计</w:t>
            </w:r>
          </w:p>
        </w:tc>
        <w:tc>
          <w:tcPr>
            <w:tcW w:w="107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b/>
                <w:bCs/>
                <w:color w:val="000000"/>
                <w:kern w:val="0"/>
                <w:sz w:val="15"/>
                <w:szCs w:val="15"/>
              </w:rPr>
            </w:pPr>
            <w:r>
              <w:rPr>
                <w:rFonts w:hint="eastAsia" w:ascii="仿宋" w:hAnsi="仿宋" w:eastAsia="仿宋" w:cs="宋体"/>
                <w:b/>
                <w:bCs/>
                <w:color w:val="000000"/>
                <w:kern w:val="0"/>
                <w:sz w:val="15"/>
                <w:szCs w:val="15"/>
              </w:rPr>
              <w:t>500</w:t>
            </w:r>
          </w:p>
        </w:tc>
        <w:tc>
          <w:tcPr>
            <w:tcW w:w="100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b/>
                <w:bCs/>
                <w:color w:val="000000"/>
                <w:kern w:val="0"/>
                <w:sz w:val="15"/>
                <w:szCs w:val="15"/>
              </w:rPr>
            </w:pPr>
            <w:r>
              <w:rPr>
                <w:rFonts w:hint="eastAsia" w:ascii="仿宋" w:hAnsi="仿宋" w:eastAsia="仿宋" w:cs="宋体"/>
                <w:b/>
                <w:bCs/>
                <w:color w:val="000000"/>
                <w:kern w:val="0"/>
                <w:sz w:val="15"/>
                <w:szCs w:val="15"/>
              </w:rPr>
              <w:t>84</w:t>
            </w:r>
          </w:p>
        </w:tc>
        <w:tc>
          <w:tcPr>
            <w:tcW w:w="9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b/>
                <w:bCs/>
                <w:color w:val="000000"/>
                <w:kern w:val="0"/>
                <w:sz w:val="15"/>
                <w:szCs w:val="15"/>
              </w:rPr>
            </w:pPr>
            <w:r>
              <w:rPr>
                <w:rFonts w:hint="eastAsia" w:ascii="仿宋" w:hAnsi="仿宋" w:eastAsia="仿宋" w:cs="宋体"/>
                <w:b/>
                <w:bCs/>
                <w:color w:val="000000"/>
                <w:kern w:val="0"/>
                <w:sz w:val="15"/>
                <w:szCs w:val="15"/>
              </w:rPr>
              <w:t>　</w:t>
            </w:r>
          </w:p>
        </w:tc>
      </w:tr>
      <w:tr>
        <w:tblPrEx>
          <w:tblCellMar>
            <w:top w:w="0" w:type="dxa"/>
            <w:left w:w="108" w:type="dxa"/>
            <w:bottom w:w="0" w:type="dxa"/>
            <w:right w:w="108" w:type="dxa"/>
          </w:tblCellMar>
        </w:tblPrEx>
        <w:trPr>
          <w:trHeight w:val="345" w:hRule="atLeast"/>
        </w:trPr>
        <w:tc>
          <w:tcPr>
            <w:tcW w:w="51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1</w:t>
            </w:r>
          </w:p>
        </w:tc>
        <w:tc>
          <w:tcPr>
            <w:tcW w:w="748" w:type="dxa"/>
            <w:vMerge w:val="restart"/>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仿宋" w:hAnsi="仿宋" w:eastAsia="仿宋" w:cs="宋体"/>
                <w:color w:val="000000"/>
                <w:kern w:val="0"/>
                <w:sz w:val="15"/>
                <w:szCs w:val="15"/>
              </w:rPr>
            </w:pPr>
            <w:r>
              <w:rPr>
                <w:rFonts w:hint="eastAsia" w:ascii="仿宋" w:hAnsi="仿宋" w:eastAsia="仿宋" w:cs="宋体"/>
                <w:color w:val="000000"/>
                <w:kern w:val="0"/>
                <w:sz w:val="15"/>
                <w:szCs w:val="15"/>
              </w:rPr>
              <w:t>秦汉</w:t>
            </w:r>
          </w:p>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新城</w:t>
            </w:r>
          </w:p>
        </w:tc>
        <w:tc>
          <w:tcPr>
            <w:tcW w:w="293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秦汉330kV变电站110kV送出工程</w:t>
            </w:r>
          </w:p>
        </w:tc>
        <w:tc>
          <w:tcPr>
            <w:tcW w:w="811"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新建</w:t>
            </w:r>
          </w:p>
        </w:tc>
        <w:tc>
          <w:tcPr>
            <w:tcW w:w="81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2022</w:t>
            </w:r>
          </w:p>
        </w:tc>
        <w:tc>
          <w:tcPr>
            <w:tcW w:w="107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0</w:t>
            </w:r>
          </w:p>
        </w:tc>
        <w:tc>
          <w:tcPr>
            <w:tcW w:w="100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50</w:t>
            </w:r>
          </w:p>
        </w:tc>
        <w:tc>
          <w:tcPr>
            <w:tcW w:w="9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国网</w:t>
            </w:r>
          </w:p>
        </w:tc>
      </w:tr>
      <w:tr>
        <w:tblPrEx>
          <w:tblCellMar>
            <w:top w:w="0" w:type="dxa"/>
            <w:left w:w="108" w:type="dxa"/>
            <w:bottom w:w="0" w:type="dxa"/>
            <w:right w:w="108" w:type="dxa"/>
          </w:tblCellMar>
        </w:tblPrEx>
        <w:trPr>
          <w:trHeight w:val="332" w:hRule="atLeast"/>
        </w:trPr>
        <w:tc>
          <w:tcPr>
            <w:tcW w:w="51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2</w:t>
            </w:r>
          </w:p>
        </w:tc>
        <w:tc>
          <w:tcPr>
            <w:tcW w:w="74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ascii="仿宋" w:hAnsi="仿宋" w:eastAsia="仿宋" w:cs="宋体"/>
                <w:color w:val="000000"/>
                <w:kern w:val="0"/>
                <w:sz w:val="15"/>
                <w:szCs w:val="15"/>
              </w:rPr>
            </w:pPr>
          </w:p>
        </w:tc>
        <w:tc>
          <w:tcPr>
            <w:tcW w:w="293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秦苑110kV输变电工程</w:t>
            </w:r>
          </w:p>
        </w:tc>
        <w:tc>
          <w:tcPr>
            <w:tcW w:w="811"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新建</w:t>
            </w:r>
          </w:p>
        </w:tc>
        <w:tc>
          <w:tcPr>
            <w:tcW w:w="81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2023</w:t>
            </w:r>
          </w:p>
        </w:tc>
        <w:tc>
          <w:tcPr>
            <w:tcW w:w="107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100</w:t>
            </w:r>
          </w:p>
        </w:tc>
        <w:tc>
          <w:tcPr>
            <w:tcW w:w="100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8</w:t>
            </w:r>
          </w:p>
        </w:tc>
        <w:tc>
          <w:tcPr>
            <w:tcW w:w="9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国网</w:t>
            </w:r>
          </w:p>
        </w:tc>
      </w:tr>
      <w:tr>
        <w:tblPrEx>
          <w:tblCellMar>
            <w:top w:w="0" w:type="dxa"/>
            <w:left w:w="108" w:type="dxa"/>
            <w:bottom w:w="0" w:type="dxa"/>
            <w:right w:w="108" w:type="dxa"/>
          </w:tblCellMar>
        </w:tblPrEx>
        <w:trPr>
          <w:trHeight w:val="363" w:hRule="atLeast"/>
        </w:trPr>
        <w:tc>
          <w:tcPr>
            <w:tcW w:w="51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3</w:t>
            </w:r>
          </w:p>
        </w:tc>
        <w:tc>
          <w:tcPr>
            <w:tcW w:w="74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ascii="仿宋" w:hAnsi="仿宋" w:eastAsia="仿宋" w:cs="宋体"/>
                <w:color w:val="000000"/>
                <w:kern w:val="0"/>
                <w:sz w:val="15"/>
                <w:szCs w:val="15"/>
              </w:rPr>
            </w:pPr>
          </w:p>
        </w:tc>
        <w:tc>
          <w:tcPr>
            <w:tcW w:w="293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迎宾110kV输变电工程</w:t>
            </w:r>
          </w:p>
        </w:tc>
        <w:tc>
          <w:tcPr>
            <w:tcW w:w="811"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新建</w:t>
            </w:r>
          </w:p>
        </w:tc>
        <w:tc>
          <w:tcPr>
            <w:tcW w:w="81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仿宋" w:hAnsi="仿宋" w:eastAsia="仿宋" w:cs="宋体"/>
                <w:color w:val="000000"/>
                <w:kern w:val="0"/>
                <w:sz w:val="15"/>
                <w:szCs w:val="15"/>
                <w:lang w:eastAsia="zh-CN"/>
              </w:rPr>
            </w:pPr>
            <w:r>
              <w:rPr>
                <w:rFonts w:hint="eastAsia" w:ascii="仿宋" w:hAnsi="仿宋" w:eastAsia="仿宋" w:cs="宋体"/>
                <w:color w:val="000000"/>
                <w:kern w:val="0"/>
                <w:sz w:val="15"/>
                <w:szCs w:val="15"/>
              </w:rPr>
              <w:t>202</w:t>
            </w:r>
            <w:r>
              <w:rPr>
                <w:rFonts w:hint="eastAsia" w:ascii="仿宋" w:hAnsi="仿宋" w:eastAsia="仿宋" w:cs="宋体"/>
                <w:color w:val="000000"/>
                <w:kern w:val="0"/>
                <w:sz w:val="15"/>
                <w:szCs w:val="15"/>
                <w:lang w:val="en-US" w:eastAsia="zh-CN"/>
              </w:rPr>
              <w:t>5</w:t>
            </w:r>
          </w:p>
        </w:tc>
        <w:tc>
          <w:tcPr>
            <w:tcW w:w="107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100</w:t>
            </w:r>
          </w:p>
        </w:tc>
        <w:tc>
          <w:tcPr>
            <w:tcW w:w="100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2</w:t>
            </w:r>
          </w:p>
        </w:tc>
        <w:tc>
          <w:tcPr>
            <w:tcW w:w="9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国网</w:t>
            </w:r>
          </w:p>
        </w:tc>
      </w:tr>
      <w:tr>
        <w:tblPrEx>
          <w:tblCellMar>
            <w:top w:w="0" w:type="dxa"/>
            <w:left w:w="108" w:type="dxa"/>
            <w:bottom w:w="0" w:type="dxa"/>
            <w:right w:w="108" w:type="dxa"/>
          </w:tblCellMar>
        </w:tblPrEx>
        <w:trPr>
          <w:trHeight w:val="393" w:hRule="atLeast"/>
        </w:trPr>
        <w:tc>
          <w:tcPr>
            <w:tcW w:w="51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4</w:t>
            </w:r>
          </w:p>
        </w:tc>
        <w:tc>
          <w:tcPr>
            <w:tcW w:w="74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ascii="仿宋" w:hAnsi="仿宋" w:eastAsia="仿宋" w:cs="宋体"/>
                <w:color w:val="000000"/>
                <w:kern w:val="0"/>
                <w:sz w:val="15"/>
                <w:szCs w:val="15"/>
              </w:rPr>
            </w:pPr>
          </w:p>
        </w:tc>
        <w:tc>
          <w:tcPr>
            <w:tcW w:w="293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南位110kV输变电工程</w:t>
            </w:r>
          </w:p>
        </w:tc>
        <w:tc>
          <w:tcPr>
            <w:tcW w:w="811"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新建</w:t>
            </w:r>
          </w:p>
        </w:tc>
        <w:tc>
          <w:tcPr>
            <w:tcW w:w="81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2025</w:t>
            </w:r>
          </w:p>
        </w:tc>
        <w:tc>
          <w:tcPr>
            <w:tcW w:w="107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100</w:t>
            </w:r>
          </w:p>
        </w:tc>
        <w:tc>
          <w:tcPr>
            <w:tcW w:w="100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8</w:t>
            </w:r>
          </w:p>
        </w:tc>
        <w:tc>
          <w:tcPr>
            <w:tcW w:w="9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国网</w:t>
            </w:r>
          </w:p>
        </w:tc>
      </w:tr>
      <w:tr>
        <w:tblPrEx>
          <w:tblCellMar>
            <w:top w:w="0" w:type="dxa"/>
            <w:left w:w="108" w:type="dxa"/>
            <w:bottom w:w="0" w:type="dxa"/>
            <w:right w:w="108" w:type="dxa"/>
          </w:tblCellMar>
        </w:tblPrEx>
        <w:trPr>
          <w:trHeight w:val="270" w:hRule="atLeast"/>
        </w:trPr>
        <w:tc>
          <w:tcPr>
            <w:tcW w:w="5829"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b/>
                <w:bCs/>
                <w:color w:val="000000"/>
                <w:kern w:val="0"/>
                <w:sz w:val="15"/>
                <w:szCs w:val="15"/>
              </w:rPr>
            </w:pPr>
            <w:r>
              <w:rPr>
                <w:rFonts w:hint="eastAsia" w:ascii="仿宋" w:hAnsi="仿宋" w:eastAsia="仿宋" w:cs="宋体"/>
                <w:b/>
                <w:bCs/>
                <w:color w:val="000000"/>
                <w:kern w:val="0"/>
                <w:sz w:val="15"/>
                <w:szCs w:val="15"/>
              </w:rPr>
              <w:t>秦汉新城合计</w:t>
            </w:r>
          </w:p>
        </w:tc>
        <w:tc>
          <w:tcPr>
            <w:tcW w:w="107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b/>
                <w:bCs/>
                <w:color w:val="000000"/>
                <w:kern w:val="0"/>
                <w:sz w:val="15"/>
                <w:szCs w:val="15"/>
              </w:rPr>
            </w:pPr>
            <w:r>
              <w:rPr>
                <w:rFonts w:hint="eastAsia" w:ascii="仿宋" w:hAnsi="仿宋" w:eastAsia="仿宋" w:cs="宋体"/>
                <w:b/>
                <w:bCs/>
                <w:color w:val="000000"/>
                <w:kern w:val="0"/>
                <w:sz w:val="15"/>
                <w:szCs w:val="15"/>
              </w:rPr>
              <w:t>300</w:t>
            </w:r>
          </w:p>
        </w:tc>
        <w:tc>
          <w:tcPr>
            <w:tcW w:w="100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b/>
                <w:bCs/>
                <w:color w:val="000000"/>
                <w:kern w:val="0"/>
                <w:sz w:val="15"/>
                <w:szCs w:val="15"/>
              </w:rPr>
            </w:pPr>
            <w:r>
              <w:rPr>
                <w:rFonts w:hint="eastAsia" w:ascii="仿宋" w:hAnsi="仿宋" w:eastAsia="仿宋" w:cs="宋体"/>
                <w:b/>
                <w:bCs/>
                <w:color w:val="000000"/>
                <w:kern w:val="0"/>
                <w:sz w:val="15"/>
                <w:szCs w:val="15"/>
              </w:rPr>
              <w:t>68</w:t>
            </w:r>
          </w:p>
        </w:tc>
        <w:tc>
          <w:tcPr>
            <w:tcW w:w="9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b/>
                <w:bCs/>
                <w:color w:val="000000"/>
                <w:kern w:val="0"/>
                <w:sz w:val="15"/>
                <w:szCs w:val="15"/>
              </w:rPr>
            </w:pPr>
            <w:r>
              <w:rPr>
                <w:rFonts w:hint="eastAsia" w:ascii="仿宋" w:hAnsi="仿宋" w:eastAsia="仿宋" w:cs="宋体"/>
                <w:b/>
                <w:bCs/>
                <w:color w:val="000000"/>
                <w:kern w:val="0"/>
                <w:sz w:val="15"/>
                <w:szCs w:val="15"/>
              </w:rPr>
              <w:t>　</w:t>
            </w:r>
          </w:p>
        </w:tc>
      </w:tr>
      <w:tr>
        <w:tblPrEx>
          <w:tblCellMar>
            <w:top w:w="0" w:type="dxa"/>
            <w:left w:w="108" w:type="dxa"/>
            <w:bottom w:w="0" w:type="dxa"/>
            <w:right w:w="108" w:type="dxa"/>
          </w:tblCellMar>
        </w:tblPrEx>
        <w:trPr>
          <w:trHeight w:val="393" w:hRule="atLeast"/>
        </w:trPr>
        <w:tc>
          <w:tcPr>
            <w:tcW w:w="51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1</w:t>
            </w:r>
          </w:p>
        </w:tc>
        <w:tc>
          <w:tcPr>
            <w:tcW w:w="748" w:type="dxa"/>
            <w:vMerge w:val="restart"/>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仿宋" w:hAnsi="仿宋" w:eastAsia="仿宋" w:cs="宋体"/>
                <w:color w:val="000000"/>
                <w:kern w:val="0"/>
                <w:sz w:val="15"/>
                <w:szCs w:val="15"/>
              </w:rPr>
            </w:pPr>
            <w:r>
              <w:rPr>
                <w:rFonts w:hint="eastAsia" w:ascii="仿宋" w:hAnsi="仿宋" w:eastAsia="仿宋" w:cs="宋体"/>
                <w:color w:val="000000"/>
                <w:kern w:val="0"/>
                <w:sz w:val="15"/>
                <w:szCs w:val="15"/>
              </w:rPr>
              <w:t>沣西</w:t>
            </w:r>
          </w:p>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新城</w:t>
            </w:r>
          </w:p>
        </w:tc>
        <w:tc>
          <w:tcPr>
            <w:tcW w:w="293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lang w:val="en-US" w:eastAsia="zh-CN" w:bidi="ar-SA"/>
              </w:rPr>
            </w:pPr>
            <w:r>
              <w:rPr>
                <w:rFonts w:hint="eastAsia" w:ascii="仿宋" w:hAnsi="仿宋" w:eastAsia="仿宋" w:cs="宋体"/>
                <w:color w:val="000000"/>
                <w:kern w:val="0"/>
                <w:sz w:val="15"/>
                <w:szCs w:val="15"/>
              </w:rPr>
              <w:t>110kV咏佳变增容改造工程</w:t>
            </w:r>
          </w:p>
        </w:tc>
        <w:tc>
          <w:tcPr>
            <w:tcW w:w="811"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lang w:val="en-US" w:eastAsia="zh-CN" w:bidi="ar-SA"/>
              </w:rPr>
            </w:pPr>
            <w:r>
              <w:rPr>
                <w:rFonts w:hint="eastAsia" w:ascii="仿宋" w:hAnsi="仿宋" w:eastAsia="仿宋" w:cs="宋体"/>
                <w:color w:val="000000"/>
                <w:kern w:val="0"/>
                <w:sz w:val="15"/>
                <w:szCs w:val="15"/>
              </w:rPr>
              <w:t>改造</w:t>
            </w:r>
          </w:p>
        </w:tc>
        <w:tc>
          <w:tcPr>
            <w:tcW w:w="81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lang w:val="en-US" w:eastAsia="zh-CN" w:bidi="ar-SA"/>
              </w:rPr>
            </w:pPr>
            <w:r>
              <w:rPr>
                <w:rFonts w:hint="eastAsia" w:ascii="仿宋" w:hAnsi="仿宋" w:eastAsia="仿宋" w:cs="宋体"/>
                <w:color w:val="000000"/>
                <w:kern w:val="0"/>
                <w:sz w:val="15"/>
                <w:szCs w:val="15"/>
              </w:rPr>
              <w:t>2021</w:t>
            </w:r>
          </w:p>
        </w:tc>
        <w:tc>
          <w:tcPr>
            <w:tcW w:w="107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lang w:val="en-US" w:eastAsia="zh-CN" w:bidi="ar-SA"/>
              </w:rPr>
            </w:pPr>
            <w:r>
              <w:rPr>
                <w:rFonts w:hint="eastAsia" w:ascii="仿宋" w:hAnsi="仿宋" w:eastAsia="仿宋" w:cs="宋体"/>
                <w:color w:val="000000"/>
                <w:kern w:val="0"/>
                <w:sz w:val="15"/>
                <w:szCs w:val="15"/>
              </w:rPr>
              <w:t>37</w:t>
            </w:r>
          </w:p>
        </w:tc>
        <w:tc>
          <w:tcPr>
            <w:tcW w:w="100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lang w:val="en-US" w:eastAsia="zh-CN" w:bidi="ar-SA"/>
              </w:rPr>
            </w:pPr>
            <w:r>
              <w:rPr>
                <w:rFonts w:hint="eastAsia" w:ascii="仿宋" w:hAnsi="仿宋" w:eastAsia="仿宋" w:cs="宋体"/>
                <w:color w:val="000000"/>
                <w:kern w:val="0"/>
                <w:sz w:val="15"/>
                <w:szCs w:val="15"/>
              </w:rPr>
              <w:t>0</w:t>
            </w:r>
          </w:p>
        </w:tc>
        <w:tc>
          <w:tcPr>
            <w:tcW w:w="9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lang w:val="en-US" w:eastAsia="zh-CN" w:bidi="ar-SA"/>
              </w:rPr>
            </w:pPr>
            <w:r>
              <w:rPr>
                <w:rFonts w:hint="eastAsia" w:ascii="仿宋" w:hAnsi="仿宋" w:eastAsia="仿宋" w:cs="宋体"/>
                <w:color w:val="000000"/>
                <w:kern w:val="0"/>
                <w:sz w:val="15"/>
                <w:szCs w:val="15"/>
              </w:rPr>
              <w:t>国网</w:t>
            </w:r>
          </w:p>
        </w:tc>
      </w:tr>
      <w:tr>
        <w:tblPrEx>
          <w:tblCellMar>
            <w:top w:w="0" w:type="dxa"/>
            <w:left w:w="108" w:type="dxa"/>
            <w:bottom w:w="0" w:type="dxa"/>
            <w:right w:w="108" w:type="dxa"/>
          </w:tblCellMar>
        </w:tblPrEx>
        <w:trPr>
          <w:trHeight w:val="408" w:hRule="atLeast"/>
        </w:trPr>
        <w:tc>
          <w:tcPr>
            <w:tcW w:w="51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2</w:t>
            </w:r>
          </w:p>
        </w:tc>
        <w:tc>
          <w:tcPr>
            <w:tcW w:w="74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ascii="仿宋" w:hAnsi="仿宋" w:eastAsia="仿宋" w:cs="宋体"/>
                <w:color w:val="000000"/>
                <w:kern w:val="0"/>
                <w:sz w:val="15"/>
                <w:szCs w:val="15"/>
              </w:rPr>
            </w:pPr>
          </w:p>
        </w:tc>
        <w:tc>
          <w:tcPr>
            <w:tcW w:w="293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lang w:val="en-US" w:eastAsia="zh-CN" w:bidi="ar-SA"/>
              </w:rPr>
            </w:pPr>
            <w:r>
              <w:rPr>
                <w:rFonts w:hint="eastAsia" w:ascii="仿宋" w:hAnsi="仿宋" w:eastAsia="仿宋" w:cs="宋体"/>
                <w:color w:val="000000"/>
                <w:kern w:val="0"/>
                <w:sz w:val="15"/>
                <w:szCs w:val="15"/>
              </w:rPr>
              <w:t>科创1号110kV输变电工程</w:t>
            </w:r>
          </w:p>
        </w:tc>
        <w:tc>
          <w:tcPr>
            <w:tcW w:w="811"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lang w:val="en-US" w:eastAsia="zh-CN" w:bidi="ar-SA"/>
              </w:rPr>
            </w:pPr>
            <w:r>
              <w:rPr>
                <w:rFonts w:hint="eastAsia" w:ascii="仿宋" w:hAnsi="仿宋" w:eastAsia="仿宋" w:cs="宋体"/>
                <w:color w:val="000000"/>
                <w:kern w:val="0"/>
                <w:sz w:val="15"/>
                <w:szCs w:val="15"/>
              </w:rPr>
              <w:t>新建</w:t>
            </w:r>
          </w:p>
        </w:tc>
        <w:tc>
          <w:tcPr>
            <w:tcW w:w="81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lang w:val="en-US" w:eastAsia="zh-CN" w:bidi="ar-SA"/>
              </w:rPr>
            </w:pPr>
            <w:r>
              <w:rPr>
                <w:rFonts w:hint="eastAsia" w:ascii="仿宋" w:hAnsi="仿宋" w:eastAsia="仿宋" w:cs="宋体"/>
                <w:color w:val="000000"/>
                <w:kern w:val="0"/>
                <w:sz w:val="15"/>
                <w:szCs w:val="15"/>
              </w:rPr>
              <w:t>2021</w:t>
            </w:r>
          </w:p>
        </w:tc>
        <w:tc>
          <w:tcPr>
            <w:tcW w:w="107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lang w:val="en-US" w:eastAsia="zh-CN" w:bidi="ar-SA"/>
              </w:rPr>
            </w:pPr>
            <w:r>
              <w:rPr>
                <w:rFonts w:hint="eastAsia" w:ascii="仿宋" w:hAnsi="仿宋" w:eastAsia="仿宋" w:cs="宋体"/>
                <w:color w:val="000000"/>
                <w:kern w:val="0"/>
                <w:sz w:val="15"/>
                <w:szCs w:val="15"/>
              </w:rPr>
              <w:t>100</w:t>
            </w:r>
          </w:p>
        </w:tc>
        <w:tc>
          <w:tcPr>
            <w:tcW w:w="100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lang w:val="en-US" w:eastAsia="zh-CN" w:bidi="ar-SA"/>
              </w:rPr>
            </w:pPr>
            <w:r>
              <w:rPr>
                <w:rFonts w:hint="eastAsia" w:ascii="仿宋" w:hAnsi="仿宋" w:eastAsia="仿宋" w:cs="宋体"/>
                <w:color w:val="000000"/>
                <w:kern w:val="0"/>
                <w:sz w:val="15"/>
                <w:szCs w:val="15"/>
              </w:rPr>
              <w:t>13.2</w:t>
            </w:r>
          </w:p>
        </w:tc>
        <w:tc>
          <w:tcPr>
            <w:tcW w:w="9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lang w:val="en-US" w:eastAsia="zh-CN" w:bidi="ar-SA"/>
              </w:rPr>
            </w:pPr>
            <w:r>
              <w:rPr>
                <w:rFonts w:hint="eastAsia" w:ascii="仿宋" w:hAnsi="仿宋" w:eastAsia="仿宋" w:cs="宋体"/>
                <w:color w:val="000000"/>
                <w:kern w:val="0"/>
                <w:sz w:val="15"/>
                <w:szCs w:val="15"/>
              </w:rPr>
              <w:t>沣西增量</w:t>
            </w:r>
          </w:p>
        </w:tc>
      </w:tr>
      <w:tr>
        <w:tblPrEx>
          <w:tblCellMar>
            <w:top w:w="0" w:type="dxa"/>
            <w:left w:w="108" w:type="dxa"/>
            <w:bottom w:w="0" w:type="dxa"/>
            <w:right w:w="108" w:type="dxa"/>
          </w:tblCellMar>
        </w:tblPrEx>
        <w:trPr>
          <w:trHeight w:val="408" w:hRule="atLeast"/>
        </w:trPr>
        <w:tc>
          <w:tcPr>
            <w:tcW w:w="51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3</w:t>
            </w:r>
          </w:p>
        </w:tc>
        <w:tc>
          <w:tcPr>
            <w:tcW w:w="74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ascii="仿宋" w:hAnsi="仿宋" w:eastAsia="仿宋" w:cs="宋体"/>
                <w:color w:val="000000"/>
                <w:kern w:val="0"/>
                <w:sz w:val="15"/>
                <w:szCs w:val="15"/>
              </w:rPr>
            </w:pPr>
          </w:p>
        </w:tc>
        <w:tc>
          <w:tcPr>
            <w:tcW w:w="293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lang w:val="en-US" w:eastAsia="zh-CN" w:bidi="ar-SA"/>
              </w:rPr>
            </w:pPr>
            <w:r>
              <w:rPr>
                <w:rFonts w:hint="eastAsia" w:ascii="仿宋" w:hAnsi="仿宋" w:eastAsia="仿宋" w:cs="宋体"/>
                <w:color w:val="000000"/>
                <w:kern w:val="0"/>
                <w:sz w:val="15"/>
                <w:szCs w:val="15"/>
              </w:rPr>
              <w:t>宋东110kV输变电工程</w:t>
            </w:r>
          </w:p>
        </w:tc>
        <w:tc>
          <w:tcPr>
            <w:tcW w:w="811"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lang w:val="en-US" w:eastAsia="zh-CN" w:bidi="ar-SA"/>
              </w:rPr>
            </w:pPr>
            <w:r>
              <w:rPr>
                <w:rFonts w:hint="eastAsia" w:ascii="仿宋" w:hAnsi="仿宋" w:eastAsia="仿宋" w:cs="宋体"/>
                <w:color w:val="000000"/>
                <w:kern w:val="0"/>
                <w:sz w:val="15"/>
                <w:szCs w:val="15"/>
              </w:rPr>
              <w:t>新建</w:t>
            </w:r>
          </w:p>
        </w:tc>
        <w:tc>
          <w:tcPr>
            <w:tcW w:w="81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lang w:val="en-US" w:eastAsia="zh-CN" w:bidi="ar-SA"/>
              </w:rPr>
            </w:pPr>
            <w:r>
              <w:rPr>
                <w:rFonts w:hint="eastAsia" w:ascii="仿宋" w:hAnsi="仿宋" w:eastAsia="仿宋" w:cs="宋体"/>
                <w:color w:val="000000"/>
                <w:kern w:val="0"/>
                <w:sz w:val="15"/>
                <w:szCs w:val="15"/>
              </w:rPr>
              <w:t>2022</w:t>
            </w:r>
          </w:p>
        </w:tc>
        <w:tc>
          <w:tcPr>
            <w:tcW w:w="107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lang w:val="en-US" w:eastAsia="zh-CN" w:bidi="ar-SA"/>
              </w:rPr>
            </w:pPr>
            <w:r>
              <w:rPr>
                <w:rFonts w:hint="eastAsia" w:ascii="仿宋" w:hAnsi="仿宋" w:eastAsia="仿宋" w:cs="宋体"/>
                <w:color w:val="000000"/>
                <w:kern w:val="0"/>
                <w:sz w:val="15"/>
                <w:szCs w:val="15"/>
              </w:rPr>
              <w:t>100</w:t>
            </w:r>
          </w:p>
        </w:tc>
        <w:tc>
          <w:tcPr>
            <w:tcW w:w="100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lang w:val="en-US" w:eastAsia="zh-CN" w:bidi="ar-SA"/>
              </w:rPr>
            </w:pPr>
            <w:r>
              <w:rPr>
                <w:rFonts w:hint="eastAsia" w:ascii="仿宋" w:hAnsi="仿宋" w:eastAsia="仿宋" w:cs="宋体"/>
                <w:color w:val="000000"/>
                <w:kern w:val="0"/>
                <w:sz w:val="15"/>
                <w:szCs w:val="15"/>
              </w:rPr>
              <w:t>1</w:t>
            </w:r>
          </w:p>
        </w:tc>
        <w:tc>
          <w:tcPr>
            <w:tcW w:w="9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lang w:val="en-US" w:eastAsia="zh-CN" w:bidi="ar-SA"/>
              </w:rPr>
            </w:pPr>
            <w:r>
              <w:rPr>
                <w:rFonts w:hint="eastAsia" w:ascii="仿宋" w:hAnsi="仿宋" w:eastAsia="仿宋" w:cs="宋体"/>
                <w:color w:val="000000"/>
                <w:kern w:val="0"/>
                <w:sz w:val="15"/>
                <w:szCs w:val="15"/>
              </w:rPr>
              <w:t>沣西增量</w:t>
            </w:r>
          </w:p>
        </w:tc>
      </w:tr>
      <w:tr>
        <w:tblPrEx>
          <w:tblCellMar>
            <w:top w:w="0" w:type="dxa"/>
            <w:left w:w="108" w:type="dxa"/>
            <w:bottom w:w="0" w:type="dxa"/>
            <w:right w:w="108" w:type="dxa"/>
          </w:tblCellMar>
        </w:tblPrEx>
        <w:trPr>
          <w:trHeight w:val="408" w:hRule="atLeast"/>
        </w:trPr>
        <w:tc>
          <w:tcPr>
            <w:tcW w:w="51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4</w:t>
            </w:r>
          </w:p>
        </w:tc>
        <w:tc>
          <w:tcPr>
            <w:tcW w:w="74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ascii="仿宋" w:hAnsi="仿宋" w:eastAsia="仿宋" w:cs="宋体"/>
                <w:color w:val="000000"/>
                <w:kern w:val="0"/>
                <w:sz w:val="15"/>
                <w:szCs w:val="15"/>
              </w:rPr>
            </w:pPr>
          </w:p>
        </w:tc>
        <w:tc>
          <w:tcPr>
            <w:tcW w:w="293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lang w:val="en-US" w:eastAsia="zh-CN" w:bidi="ar-SA"/>
              </w:rPr>
            </w:pPr>
            <w:r>
              <w:rPr>
                <w:rFonts w:hint="eastAsia" w:ascii="仿宋" w:hAnsi="仿宋" w:eastAsia="仿宋" w:cs="宋体"/>
                <w:color w:val="000000"/>
                <w:kern w:val="0"/>
                <w:sz w:val="15"/>
                <w:szCs w:val="15"/>
              </w:rPr>
              <w:t>斗门110kV输变电工程</w:t>
            </w:r>
          </w:p>
        </w:tc>
        <w:tc>
          <w:tcPr>
            <w:tcW w:w="811"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lang w:val="en-US" w:eastAsia="zh-CN" w:bidi="ar-SA"/>
              </w:rPr>
            </w:pPr>
            <w:r>
              <w:rPr>
                <w:rFonts w:hint="eastAsia" w:ascii="仿宋" w:hAnsi="仿宋" w:eastAsia="仿宋" w:cs="宋体"/>
                <w:color w:val="000000"/>
                <w:kern w:val="0"/>
                <w:sz w:val="15"/>
                <w:szCs w:val="15"/>
              </w:rPr>
              <w:t>新建</w:t>
            </w:r>
          </w:p>
        </w:tc>
        <w:tc>
          <w:tcPr>
            <w:tcW w:w="81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仿宋" w:hAnsi="仿宋" w:eastAsia="仿宋" w:cs="宋体"/>
                <w:color w:val="000000"/>
                <w:kern w:val="0"/>
                <w:sz w:val="15"/>
                <w:szCs w:val="15"/>
                <w:lang w:val="en-US" w:eastAsia="zh-CN" w:bidi="ar-SA"/>
              </w:rPr>
            </w:pPr>
            <w:r>
              <w:rPr>
                <w:rFonts w:hint="eastAsia" w:ascii="仿宋" w:hAnsi="仿宋" w:eastAsia="仿宋" w:cs="宋体"/>
                <w:color w:val="000000"/>
                <w:kern w:val="0"/>
                <w:sz w:val="15"/>
                <w:szCs w:val="15"/>
              </w:rPr>
              <w:t>202</w:t>
            </w:r>
            <w:r>
              <w:rPr>
                <w:rFonts w:hint="eastAsia" w:ascii="仿宋" w:hAnsi="仿宋" w:eastAsia="仿宋" w:cs="宋体"/>
                <w:color w:val="000000"/>
                <w:kern w:val="0"/>
                <w:sz w:val="15"/>
                <w:szCs w:val="15"/>
                <w:lang w:val="en-US" w:eastAsia="zh-CN"/>
              </w:rPr>
              <w:t>2</w:t>
            </w:r>
          </w:p>
        </w:tc>
        <w:tc>
          <w:tcPr>
            <w:tcW w:w="107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lang w:val="en-US" w:eastAsia="zh-CN" w:bidi="ar-SA"/>
              </w:rPr>
            </w:pPr>
            <w:r>
              <w:rPr>
                <w:rFonts w:hint="eastAsia" w:ascii="仿宋" w:hAnsi="仿宋" w:eastAsia="仿宋" w:cs="宋体"/>
                <w:color w:val="000000"/>
                <w:kern w:val="0"/>
                <w:sz w:val="15"/>
                <w:szCs w:val="15"/>
              </w:rPr>
              <w:t>100</w:t>
            </w:r>
          </w:p>
        </w:tc>
        <w:tc>
          <w:tcPr>
            <w:tcW w:w="100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lang w:val="en-US" w:eastAsia="zh-CN" w:bidi="ar-SA"/>
              </w:rPr>
            </w:pPr>
            <w:r>
              <w:rPr>
                <w:rFonts w:hint="eastAsia" w:ascii="仿宋" w:hAnsi="仿宋" w:eastAsia="仿宋" w:cs="宋体"/>
                <w:color w:val="000000"/>
                <w:kern w:val="0"/>
                <w:sz w:val="15"/>
                <w:szCs w:val="15"/>
              </w:rPr>
              <w:t>21.6</w:t>
            </w:r>
          </w:p>
        </w:tc>
        <w:tc>
          <w:tcPr>
            <w:tcW w:w="9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lang w:val="en-US" w:eastAsia="zh-CN" w:bidi="ar-SA"/>
              </w:rPr>
            </w:pPr>
            <w:r>
              <w:rPr>
                <w:rFonts w:hint="eastAsia" w:ascii="仿宋" w:hAnsi="仿宋" w:eastAsia="仿宋" w:cs="宋体"/>
                <w:color w:val="000000"/>
                <w:kern w:val="0"/>
                <w:sz w:val="15"/>
                <w:szCs w:val="15"/>
              </w:rPr>
              <w:t>国网</w:t>
            </w:r>
          </w:p>
        </w:tc>
      </w:tr>
      <w:tr>
        <w:tblPrEx>
          <w:tblCellMar>
            <w:top w:w="0" w:type="dxa"/>
            <w:left w:w="108" w:type="dxa"/>
            <w:bottom w:w="0" w:type="dxa"/>
            <w:right w:w="108" w:type="dxa"/>
          </w:tblCellMar>
        </w:tblPrEx>
        <w:trPr>
          <w:trHeight w:val="348" w:hRule="atLeast"/>
        </w:trPr>
        <w:tc>
          <w:tcPr>
            <w:tcW w:w="51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5</w:t>
            </w:r>
          </w:p>
        </w:tc>
        <w:tc>
          <w:tcPr>
            <w:tcW w:w="74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ascii="仿宋" w:hAnsi="仿宋" w:eastAsia="仿宋" w:cs="宋体"/>
                <w:color w:val="000000"/>
                <w:kern w:val="0"/>
                <w:sz w:val="15"/>
                <w:szCs w:val="15"/>
              </w:rPr>
            </w:pPr>
          </w:p>
        </w:tc>
        <w:tc>
          <w:tcPr>
            <w:tcW w:w="293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lang w:val="en-US" w:eastAsia="zh-CN" w:bidi="ar-SA"/>
              </w:rPr>
            </w:pPr>
            <w:r>
              <w:rPr>
                <w:rFonts w:hint="eastAsia" w:ascii="仿宋" w:hAnsi="仿宋" w:eastAsia="仿宋" w:cs="宋体"/>
                <w:color w:val="000000"/>
                <w:kern w:val="0"/>
                <w:sz w:val="15"/>
                <w:szCs w:val="15"/>
              </w:rPr>
              <w:t>110kV陈阳变改造工程</w:t>
            </w:r>
          </w:p>
        </w:tc>
        <w:tc>
          <w:tcPr>
            <w:tcW w:w="811"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lang w:val="en-US" w:eastAsia="zh-CN" w:bidi="ar-SA"/>
              </w:rPr>
            </w:pPr>
            <w:r>
              <w:rPr>
                <w:rFonts w:hint="eastAsia" w:ascii="仿宋" w:hAnsi="仿宋" w:eastAsia="仿宋" w:cs="宋体"/>
                <w:color w:val="000000"/>
                <w:kern w:val="0"/>
                <w:sz w:val="15"/>
                <w:szCs w:val="15"/>
              </w:rPr>
              <w:t>改造</w:t>
            </w:r>
          </w:p>
        </w:tc>
        <w:tc>
          <w:tcPr>
            <w:tcW w:w="81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仿宋" w:hAnsi="仿宋" w:eastAsia="仿宋" w:cs="宋体"/>
                <w:color w:val="000000"/>
                <w:kern w:val="0"/>
                <w:sz w:val="15"/>
                <w:szCs w:val="15"/>
                <w:lang w:val="en-US" w:eastAsia="zh-CN" w:bidi="ar-SA"/>
              </w:rPr>
            </w:pPr>
            <w:r>
              <w:rPr>
                <w:rFonts w:hint="eastAsia" w:ascii="仿宋" w:hAnsi="仿宋" w:eastAsia="仿宋" w:cs="宋体"/>
                <w:color w:val="000000"/>
                <w:kern w:val="0"/>
                <w:sz w:val="15"/>
                <w:szCs w:val="15"/>
              </w:rPr>
              <w:t>202</w:t>
            </w:r>
            <w:r>
              <w:rPr>
                <w:rFonts w:hint="eastAsia" w:ascii="仿宋" w:hAnsi="仿宋" w:eastAsia="仿宋" w:cs="宋体"/>
                <w:color w:val="000000"/>
                <w:kern w:val="0"/>
                <w:sz w:val="15"/>
                <w:szCs w:val="15"/>
                <w:lang w:val="en-US" w:eastAsia="zh-CN"/>
              </w:rPr>
              <w:t>2</w:t>
            </w:r>
          </w:p>
        </w:tc>
        <w:tc>
          <w:tcPr>
            <w:tcW w:w="107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lang w:val="en-US" w:eastAsia="zh-CN" w:bidi="ar-SA"/>
              </w:rPr>
            </w:pPr>
            <w:r>
              <w:rPr>
                <w:rFonts w:hint="eastAsia" w:ascii="仿宋" w:hAnsi="仿宋" w:eastAsia="仿宋" w:cs="宋体"/>
                <w:color w:val="000000"/>
                <w:kern w:val="0"/>
                <w:sz w:val="15"/>
                <w:szCs w:val="15"/>
              </w:rPr>
              <w:t>0</w:t>
            </w:r>
          </w:p>
        </w:tc>
        <w:tc>
          <w:tcPr>
            <w:tcW w:w="100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lang w:val="en-US" w:eastAsia="zh-CN" w:bidi="ar-SA"/>
              </w:rPr>
            </w:pPr>
            <w:r>
              <w:rPr>
                <w:rFonts w:hint="eastAsia" w:ascii="仿宋" w:hAnsi="仿宋" w:eastAsia="仿宋" w:cs="宋体"/>
                <w:color w:val="000000"/>
                <w:kern w:val="0"/>
                <w:sz w:val="15"/>
                <w:szCs w:val="15"/>
              </w:rPr>
              <w:t>0</w:t>
            </w:r>
          </w:p>
        </w:tc>
        <w:tc>
          <w:tcPr>
            <w:tcW w:w="9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lang w:val="en-US" w:eastAsia="zh-CN" w:bidi="ar-SA"/>
              </w:rPr>
            </w:pPr>
            <w:r>
              <w:rPr>
                <w:rFonts w:hint="eastAsia" w:ascii="仿宋" w:hAnsi="仿宋" w:eastAsia="仿宋" w:cs="宋体"/>
                <w:color w:val="000000"/>
                <w:kern w:val="0"/>
                <w:sz w:val="15"/>
                <w:szCs w:val="15"/>
              </w:rPr>
              <w:t>国网</w:t>
            </w:r>
          </w:p>
        </w:tc>
      </w:tr>
      <w:tr>
        <w:tblPrEx>
          <w:tblCellMar>
            <w:top w:w="0" w:type="dxa"/>
            <w:left w:w="108" w:type="dxa"/>
            <w:bottom w:w="0" w:type="dxa"/>
            <w:right w:w="108" w:type="dxa"/>
          </w:tblCellMar>
        </w:tblPrEx>
        <w:trPr>
          <w:trHeight w:val="270" w:hRule="atLeast"/>
        </w:trPr>
        <w:tc>
          <w:tcPr>
            <w:tcW w:w="51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6</w:t>
            </w:r>
          </w:p>
        </w:tc>
        <w:tc>
          <w:tcPr>
            <w:tcW w:w="74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ascii="仿宋" w:hAnsi="仿宋" w:eastAsia="仿宋" w:cs="宋体"/>
                <w:color w:val="000000"/>
                <w:kern w:val="0"/>
                <w:sz w:val="15"/>
                <w:szCs w:val="15"/>
              </w:rPr>
            </w:pPr>
          </w:p>
        </w:tc>
        <w:tc>
          <w:tcPr>
            <w:tcW w:w="293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同仁110kV输变电工程</w:t>
            </w:r>
          </w:p>
        </w:tc>
        <w:tc>
          <w:tcPr>
            <w:tcW w:w="811"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新建</w:t>
            </w:r>
          </w:p>
        </w:tc>
        <w:tc>
          <w:tcPr>
            <w:tcW w:w="81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2024</w:t>
            </w:r>
          </w:p>
        </w:tc>
        <w:tc>
          <w:tcPr>
            <w:tcW w:w="107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100</w:t>
            </w:r>
          </w:p>
        </w:tc>
        <w:tc>
          <w:tcPr>
            <w:tcW w:w="100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3</w:t>
            </w:r>
          </w:p>
        </w:tc>
        <w:tc>
          <w:tcPr>
            <w:tcW w:w="9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国网</w:t>
            </w:r>
          </w:p>
        </w:tc>
      </w:tr>
      <w:tr>
        <w:tblPrEx>
          <w:tblCellMar>
            <w:top w:w="0" w:type="dxa"/>
            <w:left w:w="108" w:type="dxa"/>
            <w:bottom w:w="0" w:type="dxa"/>
            <w:right w:w="108" w:type="dxa"/>
          </w:tblCellMar>
        </w:tblPrEx>
        <w:trPr>
          <w:trHeight w:val="409" w:hRule="atLeast"/>
        </w:trPr>
        <w:tc>
          <w:tcPr>
            <w:tcW w:w="51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7</w:t>
            </w:r>
          </w:p>
        </w:tc>
        <w:tc>
          <w:tcPr>
            <w:tcW w:w="74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ascii="仿宋" w:hAnsi="仿宋" w:eastAsia="仿宋" w:cs="宋体"/>
                <w:color w:val="000000"/>
                <w:kern w:val="0"/>
                <w:sz w:val="15"/>
                <w:szCs w:val="15"/>
              </w:rPr>
            </w:pPr>
          </w:p>
        </w:tc>
        <w:tc>
          <w:tcPr>
            <w:tcW w:w="293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河南街110kV输变电工程</w:t>
            </w:r>
          </w:p>
        </w:tc>
        <w:tc>
          <w:tcPr>
            <w:tcW w:w="811"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新建</w:t>
            </w:r>
          </w:p>
        </w:tc>
        <w:tc>
          <w:tcPr>
            <w:tcW w:w="81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2024</w:t>
            </w:r>
          </w:p>
        </w:tc>
        <w:tc>
          <w:tcPr>
            <w:tcW w:w="107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100</w:t>
            </w:r>
          </w:p>
        </w:tc>
        <w:tc>
          <w:tcPr>
            <w:tcW w:w="100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20</w:t>
            </w:r>
          </w:p>
        </w:tc>
        <w:tc>
          <w:tcPr>
            <w:tcW w:w="9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国网</w:t>
            </w:r>
          </w:p>
        </w:tc>
      </w:tr>
      <w:tr>
        <w:tblPrEx>
          <w:tblCellMar>
            <w:top w:w="0" w:type="dxa"/>
            <w:left w:w="108" w:type="dxa"/>
            <w:bottom w:w="0" w:type="dxa"/>
            <w:right w:w="108" w:type="dxa"/>
          </w:tblCellMar>
        </w:tblPrEx>
        <w:trPr>
          <w:trHeight w:val="270" w:hRule="atLeast"/>
        </w:trPr>
        <w:tc>
          <w:tcPr>
            <w:tcW w:w="51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8</w:t>
            </w:r>
          </w:p>
        </w:tc>
        <w:tc>
          <w:tcPr>
            <w:tcW w:w="74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ascii="仿宋" w:hAnsi="仿宋" w:eastAsia="仿宋" w:cs="宋体"/>
                <w:color w:val="000000"/>
                <w:kern w:val="0"/>
                <w:sz w:val="15"/>
                <w:szCs w:val="15"/>
              </w:rPr>
            </w:pPr>
          </w:p>
        </w:tc>
        <w:tc>
          <w:tcPr>
            <w:tcW w:w="293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沣西2#330kV变电站110kV送出工程</w:t>
            </w:r>
          </w:p>
        </w:tc>
        <w:tc>
          <w:tcPr>
            <w:tcW w:w="811"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新建</w:t>
            </w:r>
          </w:p>
        </w:tc>
        <w:tc>
          <w:tcPr>
            <w:tcW w:w="81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2025</w:t>
            </w:r>
          </w:p>
        </w:tc>
        <w:tc>
          <w:tcPr>
            <w:tcW w:w="107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0</w:t>
            </w:r>
          </w:p>
        </w:tc>
        <w:tc>
          <w:tcPr>
            <w:tcW w:w="100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23</w:t>
            </w:r>
          </w:p>
        </w:tc>
        <w:tc>
          <w:tcPr>
            <w:tcW w:w="9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国网</w:t>
            </w:r>
          </w:p>
        </w:tc>
      </w:tr>
      <w:tr>
        <w:tblPrEx>
          <w:tblCellMar>
            <w:top w:w="0" w:type="dxa"/>
            <w:left w:w="108" w:type="dxa"/>
            <w:bottom w:w="0" w:type="dxa"/>
            <w:right w:w="108" w:type="dxa"/>
          </w:tblCellMar>
        </w:tblPrEx>
        <w:trPr>
          <w:trHeight w:val="393" w:hRule="atLeast"/>
        </w:trPr>
        <w:tc>
          <w:tcPr>
            <w:tcW w:w="51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9</w:t>
            </w:r>
          </w:p>
        </w:tc>
        <w:tc>
          <w:tcPr>
            <w:tcW w:w="74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ascii="仿宋" w:hAnsi="仿宋" w:eastAsia="仿宋" w:cs="宋体"/>
                <w:color w:val="000000"/>
                <w:kern w:val="0"/>
                <w:sz w:val="15"/>
                <w:szCs w:val="15"/>
              </w:rPr>
            </w:pPr>
          </w:p>
        </w:tc>
        <w:tc>
          <w:tcPr>
            <w:tcW w:w="293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材料110kV输变电工程</w:t>
            </w:r>
          </w:p>
        </w:tc>
        <w:tc>
          <w:tcPr>
            <w:tcW w:w="811"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新建</w:t>
            </w:r>
          </w:p>
        </w:tc>
        <w:tc>
          <w:tcPr>
            <w:tcW w:w="81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2025</w:t>
            </w:r>
          </w:p>
        </w:tc>
        <w:tc>
          <w:tcPr>
            <w:tcW w:w="107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100</w:t>
            </w:r>
          </w:p>
        </w:tc>
        <w:tc>
          <w:tcPr>
            <w:tcW w:w="100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4</w:t>
            </w:r>
          </w:p>
        </w:tc>
        <w:tc>
          <w:tcPr>
            <w:tcW w:w="9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国网</w:t>
            </w:r>
          </w:p>
        </w:tc>
      </w:tr>
      <w:tr>
        <w:tblPrEx>
          <w:tblCellMar>
            <w:top w:w="0" w:type="dxa"/>
            <w:left w:w="108" w:type="dxa"/>
            <w:bottom w:w="0" w:type="dxa"/>
            <w:right w:w="108" w:type="dxa"/>
          </w:tblCellMar>
        </w:tblPrEx>
        <w:trPr>
          <w:trHeight w:val="484" w:hRule="atLeast"/>
        </w:trPr>
        <w:tc>
          <w:tcPr>
            <w:tcW w:w="51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10</w:t>
            </w:r>
          </w:p>
        </w:tc>
        <w:tc>
          <w:tcPr>
            <w:tcW w:w="74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ascii="仿宋" w:hAnsi="仿宋" w:eastAsia="仿宋" w:cs="宋体"/>
                <w:color w:val="000000"/>
                <w:kern w:val="0"/>
                <w:sz w:val="15"/>
                <w:szCs w:val="15"/>
              </w:rPr>
            </w:pPr>
          </w:p>
        </w:tc>
        <w:tc>
          <w:tcPr>
            <w:tcW w:w="293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天元110kV输变电工程</w:t>
            </w:r>
          </w:p>
        </w:tc>
        <w:tc>
          <w:tcPr>
            <w:tcW w:w="811"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新建</w:t>
            </w:r>
          </w:p>
        </w:tc>
        <w:tc>
          <w:tcPr>
            <w:tcW w:w="81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2025</w:t>
            </w:r>
          </w:p>
        </w:tc>
        <w:tc>
          <w:tcPr>
            <w:tcW w:w="107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100</w:t>
            </w:r>
          </w:p>
        </w:tc>
        <w:tc>
          <w:tcPr>
            <w:tcW w:w="100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4</w:t>
            </w:r>
          </w:p>
        </w:tc>
        <w:tc>
          <w:tcPr>
            <w:tcW w:w="9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国网</w:t>
            </w:r>
          </w:p>
        </w:tc>
      </w:tr>
      <w:tr>
        <w:tblPrEx>
          <w:tblCellMar>
            <w:top w:w="0" w:type="dxa"/>
            <w:left w:w="108" w:type="dxa"/>
            <w:bottom w:w="0" w:type="dxa"/>
            <w:right w:w="108" w:type="dxa"/>
          </w:tblCellMar>
        </w:tblPrEx>
        <w:trPr>
          <w:trHeight w:val="270" w:hRule="atLeast"/>
        </w:trPr>
        <w:tc>
          <w:tcPr>
            <w:tcW w:w="51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11</w:t>
            </w:r>
          </w:p>
        </w:tc>
        <w:tc>
          <w:tcPr>
            <w:tcW w:w="74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ascii="仿宋" w:hAnsi="仿宋" w:eastAsia="仿宋" w:cs="宋体"/>
                <w:color w:val="000000"/>
                <w:kern w:val="0"/>
                <w:sz w:val="15"/>
                <w:szCs w:val="15"/>
              </w:rPr>
            </w:pPr>
          </w:p>
        </w:tc>
        <w:tc>
          <w:tcPr>
            <w:tcW w:w="293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商务110kV输变电工程</w:t>
            </w:r>
          </w:p>
        </w:tc>
        <w:tc>
          <w:tcPr>
            <w:tcW w:w="811"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新建</w:t>
            </w:r>
          </w:p>
        </w:tc>
        <w:tc>
          <w:tcPr>
            <w:tcW w:w="81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2025</w:t>
            </w:r>
          </w:p>
        </w:tc>
        <w:tc>
          <w:tcPr>
            <w:tcW w:w="107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100</w:t>
            </w:r>
          </w:p>
        </w:tc>
        <w:tc>
          <w:tcPr>
            <w:tcW w:w="100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17.4</w:t>
            </w:r>
          </w:p>
        </w:tc>
        <w:tc>
          <w:tcPr>
            <w:tcW w:w="9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沣西增量</w:t>
            </w:r>
          </w:p>
        </w:tc>
      </w:tr>
      <w:tr>
        <w:tblPrEx>
          <w:tblCellMar>
            <w:top w:w="0" w:type="dxa"/>
            <w:left w:w="108" w:type="dxa"/>
            <w:bottom w:w="0" w:type="dxa"/>
            <w:right w:w="108" w:type="dxa"/>
          </w:tblCellMar>
        </w:tblPrEx>
        <w:trPr>
          <w:trHeight w:val="393" w:hRule="atLeast"/>
        </w:trPr>
        <w:tc>
          <w:tcPr>
            <w:tcW w:w="5829"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b/>
                <w:bCs/>
                <w:color w:val="000000"/>
                <w:kern w:val="0"/>
                <w:sz w:val="15"/>
                <w:szCs w:val="15"/>
              </w:rPr>
            </w:pPr>
            <w:r>
              <w:rPr>
                <w:rFonts w:hint="eastAsia" w:ascii="仿宋" w:hAnsi="仿宋" w:eastAsia="仿宋" w:cs="宋体"/>
                <w:b/>
                <w:bCs/>
                <w:color w:val="000000"/>
                <w:kern w:val="0"/>
                <w:sz w:val="15"/>
                <w:szCs w:val="15"/>
              </w:rPr>
              <w:t>沣西新城合计</w:t>
            </w:r>
          </w:p>
        </w:tc>
        <w:tc>
          <w:tcPr>
            <w:tcW w:w="107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b/>
                <w:bCs/>
                <w:color w:val="000000"/>
                <w:kern w:val="0"/>
                <w:sz w:val="15"/>
                <w:szCs w:val="15"/>
              </w:rPr>
            </w:pPr>
            <w:r>
              <w:rPr>
                <w:rFonts w:hint="eastAsia" w:ascii="仿宋" w:hAnsi="仿宋" w:eastAsia="仿宋" w:cs="宋体"/>
                <w:b/>
                <w:bCs/>
                <w:color w:val="000000"/>
                <w:kern w:val="0"/>
                <w:sz w:val="15"/>
                <w:szCs w:val="15"/>
              </w:rPr>
              <w:t>837</w:t>
            </w:r>
          </w:p>
        </w:tc>
        <w:tc>
          <w:tcPr>
            <w:tcW w:w="100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b/>
                <w:bCs/>
                <w:color w:val="000000"/>
                <w:kern w:val="0"/>
                <w:sz w:val="15"/>
                <w:szCs w:val="15"/>
              </w:rPr>
            </w:pPr>
            <w:r>
              <w:rPr>
                <w:rFonts w:hint="eastAsia" w:ascii="仿宋" w:hAnsi="仿宋" w:eastAsia="仿宋" w:cs="宋体"/>
                <w:b/>
                <w:bCs/>
                <w:color w:val="000000"/>
                <w:kern w:val="0"/>
                <w:sz w:val="15"/>
                <w:szCs w:val="15"/>
              </w:rPr>
              <w:t>107.2</w:t>
            </w:r>
          </w:p>
        </w:tc>
        <w:tc>
          <w:tcPr>
            <w:tcW w:w="9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b/>
                <w:bCs/>
                <w:color w:val="000000"/>
                <w:kern w:val="0"/>
                <w:sz w:val="15"/>
                <w:szCs w:val="15"/>
              </w:rPr>
            </w:pPr>
            <w:r>
              <w:rPr>
                <w:rFonts w:hint="eastAsia" w:ascii="仿宋" w:hAnsi="仿宋" w:eastAsia="仿宋" w:cs="宋体"/>
                <w:b/>
                <w:bCs/>
                <w:color w:val="000000"/>
                <w:kern w:val="0"/>
                <w:sz w:val="15"/>
                <w:szCs w:val="15"/>
              </w:rPr>
              <w:t>　</w:t>
            </w:r>
          </w:p>
        </w:tc>
      </w:tr>
      <w:tr>
        <w:tblPrEx>
          <w:tblCellMar>
            <w:top w:w="0" w:type="dxa"/>
            <w:left w:w="108" w:type="dxa"/>
            <w:bottom w:w="0" w:type="dxa"/>
            <w:right w:w="108" w:type="dxa"/>
          </w:tblCellMar>
        </w:tblPrEx>
        <w:trPr>
          <w:trHeight w:val="423" w:hRule="atLeast"/>
        </w:trPr>
        <w:tc>
          <w:tcPr>
            <w:tcW w:w="51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1</w:t>
            </w:r>
          </w:p>
        </w:tc>
        <w:tc>
          <w:tcPr>
            <w:tcW w:w="748" w:type="dxa"/>
            <w:vMerge w:val="restart"/>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仿宋" w:hAnsi="仿宋" w:eastAsia="仿宋" w:cs="宋体"/>
                <w:color w:val="000000"/>
                <w:kern w:val="0"/>
                <w:sz w:val="15"/>
                <w:szCs w:val="15"/>
              </w:rPr>
            </w:pPr>
            <w:r>
              <w:rPr>
                <w:rFonts w:hint="eastAsia" w:ascii="仿宋" w:hAnsi="仿宋" w:eastAsia="仿宋" w:cs="宋体"/>
                <w:color w:val="000000"/>
                <w:kern w:val="0"/>
                <w:sz w:val="15"/>
                <w:szCs w:val="15"/>
              </w:rPr>
              <w:t>泾河</w:t>
            </w:r>
          </w:p>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新城</w:t>
            </w:r>
          </w:p>
        </w:tc>
        <w:tc>
          <w:tcPr>
            <w:tcW w:w="293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110kV符瑞输变电工程</w:t>
            </w:r>
          </w:p>
        </w:tc>
        <w:tc>
          <w:tcPr>
            <w:tcW w:w="811"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新建</w:t>
            </w:r>
          </w:p>
        </w:tc>
        <w:tc>
          <w:tcPr>
            <w:tcW w:w="81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202</w:t>
            </w:r>
            <w:r>
              <w:rPr>
                <w:rFonts w:ascii="仿宋" w:hAnsi="仿宋" w:eastAsia="仿宋" w:cs="宋体"/>
                <w:color w:val="000000"/>
                <w:kern w:val="0"/>
                <w:sz w:val="15"/>
                <w:szCs w:val="15"/>
              </w:rPr>
              <w:t>1</w:t>
            </w:r>
          </w:p>
        </w:tc>
        <w:tc>
          <w:tcPr>
            <w:tcW w:w="107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252</w:t>
            </w:r>
          </w:p>
        </w:tc>
        <w:tc>
          <w:tcPr>
            <w:tcW w:w="100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36</w:t>
            </w:r>
          </w:p>
        </w:tc>
        <w:tc>
          <w:tcPr>
            <w:tcW w:w="9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地电</w:t>
            </w:r>
          </w:p>
        </w:tc>
      </w:tr>
      <w:tr>
        <w:tblPrEx>
          <w:tblCellMar>
            <w:top w:w="0" w:type="dxa"/>
            <w:left w:w="108" w:type="dxa"/>
            <w:bottom w:w="0" w:type="dxa"/>
            <w:right w:w="108" w:type="dxa"/>
          </w:tblCellMar>
        </w:tblPrEx>
        <w:trPr>
          <w:trHeight w:val="270" w:hRule="atLeast"/>
        </w:trPr>
        <w:tc>
          <w:tcPr>
            <w:tcW w:w="51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2</w:t>
            </w:r>
          </w:p>
        </w:tc>
        <w:tc>
          <w:tcPr>
            <w:tcW w:w="74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ascii="仿宋" w:hAnsi="仿宋" w:eastAsia="仿宋" w:cs="宋体"/>
                <w:color w:val="000000"/>
                <w:kern w:val="0"/>
                <w:sz w:val="15"/>
                <w:szCs w:val="15"/>
              </w:rPr>
            </w:pPr>
          </w:p>
        </w:tc>
        <w:tc>
          <w:tcPr>
            <w:tcW w:w="293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330kV秦汉变至110kV高庄变110kV线路工程</w:t>
            </w:r>
          </w:p>
        </w:tc>
        <w:tc>
          <w:tcPr>
            <w:tcW w:w="811"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新建</w:t>
            </w:r>
          </w:p>
        </w:tc>
        <w:tc>
          <w:tcPr>
            <w:tcW w:w="81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2022</w:t>
            </w:r>
          </w:p>
        </w:tc>
        <w:tc>
          <w:tcPr>
            <w:tcW w:w="107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0</w:t>
            </w:r>
          </w:p>
        </w:tc>
        <w:tc>
          <w:tcPr>
            <w:tcW w:w="100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13.1</w:t>
            </w:r>
          </w:p>
        </w:tc>
        <w:tc>
          <w:tcPr>
            <w:tcW w:w="9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国网</w:t>
            </w:r>
          </w:p>
        </w:tc>
      </w:tr>
      <w:tr>
        <w:tblPrEx>
          <w:tblCellMar>
            <w:top w:w="0" w:type="dxa"/>
            <w:left w:w="108" w:type="dxa"/>
            <w:bottom w:w="0" w:type="dxa"/>
            <w:right w:w="108" w:type="dxa"/>
          </w:tblCellMar>
        </w:tblPrEx>
        <w:trPr>
          <w:trHeight w:val="378" w:hRule="atLeast"/>
        </w:trPr>
        <w:tc>
          <w:tcPr>
            <w:tcW w:w="51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3</w:t>
            </w:r>
          </w:p>
        </w:tc>
        <w:tc>
          <w:tcPr>
            <w:tcW w:w="74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ascii="仿宋" w:hAnsi="仿宋" w:eastAsia="仿宋" w:cs="宋体"/>
                <w:color w:val="000000"/>
                <w:kern w:val="0"/>
                <w:sz w:val="15"/>
                <w:szCs w:val="15"/>
              </w:rPr>
            </w:pPr>
          </w:p>
        </w:tc>
        <w:tc>
          <w:tcPr>
            <w:tcW w:w="293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110kV东风输变电工程</w:t>
            </w:r>
          </w:p>
        </w:tc>
        <w:tc>
          <w:tcPr>
            <w:tcW w:w="811"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新建</w:t>
            </w:r>
          </w:p>
        </w:tc>
        <w:tc>
          <w:tcPr>
            <w:tcW w:w="81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2022</w:t>
            </w:r>
          </w:p>
        </w:tc>
        <w:tc>
          <w:tcPr>
            <w:tcW w:w="107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150</w:t>
            </w:r>
          </w:p>
        </w:tc>
        <w:tc>
          <w:tcPr>
            <w:tcW w:w="100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16.6</w:t>
            </w:r>
          </w:p>
        </w:tc>
        <w:tc>
          <w:tcPr>
            <w:tcW w:w="9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地电</w:t>
            </w:r>
          </w:p>
        </w:tc>
      </w:tr>
      <w:tr>
        <w:tblPrEx>
          <w:tblCellMar>
            <w:top w:w="0" w:type="dxa"/>
            <w:left w:w="108" w:type="dxa"/>
            <w:bottom w:w="0" w:type="dxa"/>
            <w:right w:w="108" w:type="dxa"/>
          </w:tblCellMar>
        </w:tblPrEx>
        <w:trPr>
          <w:trHeight w:val="378" w:hRule="atLeast"/>
        </w:trPr>
        <w:tc>
          <w:tcPr>
            <w:tcW w:w="51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4</w:t>
            </w:r>
          </w:p>
        </w:tc>
        <w:tc>
          <w:tcPr>
            <w:tcW w:w="74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ascii="仿宋" w:hAnsi="仿宋" w:eastAsia="仿宋" w:cs="宋体"/>
                <w:color w:val="000000"/>
                <w:kern w:val="0"/>
                <w:sz w:val="15"/>
                <w:szCs w:val="15"/>
              </w:rPr>
            </w:pPr>
          </w:p>
        </w:tc>
        <w:tc>
          <w:tcPr>
            <w:tcW w:w="293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110kV院士谷输变电工程</w:t>
            </w:r>
          </w:p>
        </w:tc>
        <w:tc>
          <w:tcPr>
            <w:tcW w:w="811"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新建</w:t>
            </w:r>
          </w:p>
        </w:tc>
        <w:tc>
          <w:tcPr>
            <w:tcW w:w="81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2022</w:t>
            </w:r>
          </w:p>
        </w:tc>
        <w:tc>
          <w:tcPr>
            <w:tcW w:w="107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150</w:t>
            </w:r>
          </w:p>
        </w:tc>
        <w:tc>
          <w:tcPr>
            <w:tcW w:w="100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6</w:t>
            </w:r>
          </w:p>
        </w:tc>
        <w:tc>
          <w:tcPr>
            <w:tcW w:w="9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地电</w:t>
            </w:r>
          </w:p>
        </w:tc>
      </w:tr>
      <w:tr>
        <w:tblPrEx>
          <w:tblCellMar>
            <w:top w:w="0" w:type="dxa"/>
            <w:left w:w="108" w:type="dxa"/>
            <w:bottom w:w="0" w:type="dxa"/>
            <w:right w:w="108" w:type="dxa"/>
          </w:tblCellMar>
        </w:tblPrEx>
        <w:trPr>
          <w:trHeight w:val="270" w:hRule="atLeast"/>
        </w:trPr>
        <w:tc>
          <w:tcPr>
            <w:tcW w:w="51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5</w:t>
            </w:r>
          </w:p>
        </w:tc>
        <w:tc>
          <w:tcPr>
            <w:tcW w:w="74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ascii="仿宋" w:hAnsi="仿宋" w:eastAsia="仿宋" w:cs="宋体"/>
                <w:color w:val="000000"/>
                <w:kern w:val="0"/>
                <w:sz w:val="15"/>
                <w:szCs w:val="15"/>
              </w:rPr>
            </w:pPr>
          </w:p>
        </w:tc>
        <w:tc>
          <w:tcPr>
            <w:tcW w:w="293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110kV金田玉输变电工程</w:t>
            </w:r>
          </w:p>
        </w:tc>
        <w:tc>
          <w:tcPr>
            <w:tcW w:w="811"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新建</w:t>
            </w:r>
          </w:p>
        </w:tc>
        <w:tc>
          <w:tcPr>
            <w:tcW w:w="81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2022</w:t>
            </w:r>
          </w:p>
        </w:tc>
        <w:tc>
          <w:tcPr>
            <w:tcW w:w="107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100</w:t>
            </w:r>
          </w:p>
        </w:tc>
        <w:tc>
          <w:tcPr>
            <w:tcW w:w="100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10</w:t>
            </w:r>
          </w:p>
        </w:tc>
        <w:tc>
          <w:tcPr>
            <w:tcW w:w="9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地电</w:t>
            </w:r>
          </w:p>
        </w:tc>
      </w:tr>
      <w:tr>
        <w:tblPrEx>
          <w:tblCellMar>
            <w:top w:w="0" w:type="dxa"/>
            <w:left w:w="108" w:type="dxa"/>
            <w:bottom w:w="0" w:type="dxa"/>
            <w:right w:w="108" w:type="dxa"/>
          </w:tblCellMar>
        </w:tblPrEx>
        <w:trPr>
          <w:trHeight w:val="270" w:hRule="atLeast"/>
        </w:trPr>
        <w:tc>
          <w:tcPr>
            <w:tcW w:w="51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6</w:t>
            </w:r>
          </w:p>
        </w:tc>
        <w:tc>
          <w:tcPr>
            <w:tcW w:w="74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ascii="仿宋" w:hAnsi="仿宋" w:eastAsia="仿宋" w:cs="宋体"/>
                <w:color w:val="000000"/>
                <w:kern w:val="0"/>
                <w:sz w:val="15"/>
                <w:szCs w:val="15"/>
              </w:rPr>
            </w:pPr>
          </w:p>
        </w:tc>
        <w:tc>
          <w:tcPr>
            <w:tcW w:w="293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泾河330kV变电站110kV送出工程</w:t>
            </w:r>
          </w:p>
        </w:tc>
        <w:tc>
          <w:tcPr>
            <w:tcW w:w="811"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新建</w:t>
            </w:r>
          </w:p>
        </w:tc>
        <w:tc>
          <w:tcPr>
            <w:tcW w:w="81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2023</w:t>
            </w:r>
          </w:p>
        </w:tc>
        <w:tc>
          <w:tcPr>
            <w:tcW w:w="107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0</w:t>
            </w:r>
          </w:p>
        </w:tc>
        <w:tc>
          <w:tcPr>
            <w:tcW w:w="100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3.6</w:t>
            </w:r>
          </w:p>
        </w:tc>
        <w:tc>
          <w:tcPr>
            <w:tcW w:w="9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地电</w:t>
            </w:r>
          </w:p>
        </w:tc>
      </w:tr>
      <w:tr>
        <w:tblPrEx>
          <w:tblCellMar>
            <w:top w:w="0" w:type="dxa"/>
            <w:left w:w="108" w:type="dxa"/>
            <w:bottom w:w="0" w:type="dxa"/>
            <w:right w:w="108" w:type="dxa"/>
          </w:tblCellMar>
        </w:tblPrEx>
        <w:trPr>
          <w:trHeight w:val="270" w:hRule="atLeast"/>
        </w:trPr>
        <w:tc>
          <w:tcPr>
            <w:tcW w:w="51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7</w:t>
            </w:r>
          </w:p>
        </w:tc>
        <w:tc>
          <w:tcPr>
            <w:tcW w:w="74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ascii="仿宋" w:hAnsi="仿宋" w:eastAsia="仿宋" w:cs="宋体"/>
                <w:color w:val="000000"/>
                <w:kern w:val="0"/>
                <w:sz w:val="15"/>
                <w:szCs w:val="15"/>
              </w:rPr>
            </w:pPr>
          </w:p>
        </w:tc>
        <w:tc>
          <w:tcPr>
            <w:tcW w:w="293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110kV茯茶输变电工程</w:t>
            </w:r>
          </w:p>
        </w:tc>
        <w:tc>
          <w:tcPr>
            <w:tcW w:w="811"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新建</w:t>
            </w:r>
          </w:p>
        </w:tc>
        <w:tc>
          <w:tcPr>
            <w:tcW w:w="81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2023</w:t>
            </w:r>
          </w:p>
        </w:tc>
        <w:tc>
          <w:tcPr>
            <w:tcW w:w="107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100</w:t>
            </w:r>
          </w:p>
        </w:tc>
        <w:tc>
          <w:tcPr>
            <w:tcW w:w="100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10</w:t>
            </w:r>
          </w:p>
        </w:tc>
        <w:tc>
          <w:tcPr>
            <w:tcW w:w="9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地电</w:t>
            </w:r>
          </w:p>
        </w:tc>
      </w:tr>
      <w:tr>
        <w:tblPrEx>
          <w:tblCellMar>
            <w:top w:w="0" w:type="dxa"/>
            <w:left w:w="108" w:type="dxa"/>
            <w:bottom w:w="0" w:type="dxa"/>
            <w:right w:w="108" w:type="dxa"/>
          </w:tblCellMar>
        </w:tblPrEx>
        <w:trPr>
          <w:trHeight w:val="270" w:hRule="atLeast"/>
        </w:trPr>
        <w:tc>
          <w:tcPr>
            <w:tcW w:w="51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8</w:t>
            </w:r>
          </w:p>
        </w:tc>
        <w:tc>
          <w:tcPr>
            <w:tcW w:w="748"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ascii="仿宋" w:hAnsi="仿宋" w:eastAsia="仿宋" w:cs="宋体"/>
                <w:color w:val="000000"/>
                <w:kern w:val="0"/>
                <w:sz w:val="15"/>
                <w:szCs w:val="15"/>
              </w:rPr>
            </w:pPr>
          </w:p>
        </w:tc>
        <w:tc>
          <w:tcPr>
            <w:tcW w:w="293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110kV花池渡输变电工程</w:t>
            </w:r>
          </w:p>
        </w:tc>
        <w:tc>
          <w:tcPr>
            <w:tcW w:w="811"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新建</w:t>
            </w:r>
          </w:p>
        </w:tc>
        <w:tc>
          <w:tcPr>
            <w:tcW w:w="81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2024</w:t>
            </w:r>
          </w:p>
        </w:tc>
        <w:tc>
          <w:tcPr>
            <w:tcW w:w="107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150</w:t>
            </w:r>
          </w:p>
        </w:tc>
        <w:tc>
          <w:tcPr>
            <w:tcW w:w="100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27.7</w:t>
            </w:r>
          </w:p>
        </w:tc>
        <w:tc>
          <w:tcPr>
            <w:tcW w:w="92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color w:val="000000"/>
                <w:kern w:val="0"/>
                <w:sz w:val="15"/>
                <w:szCs w:val="15"/>
              </w:rPr>
            </w:pPr>
            <w:r>
              <w:rPr>
                <w:rFonts w:hint="eastAsia" w:ascii="仿宋" w:hAnsi="仿宋" w:eastAsia="仿宋" w:cs="宋体"/>
                <w:color w:val="000000"/>
                <w:kern w:val="0"/>
                <w:sz w:val="15"/>
                <w:szCs w:val="15"/>
              </w:rPr>
              <w:t>地电</w:t>
            </w:r>
          </w:p>
        </w:tc>
      </w:tr>
      <w:tr>
        <w:tblPrEx>
          <w:tblCellMar>
            <w:top w:w="0" w:type="dxa"/>
            <w:left w:w="108" w:type="dxa"/>
            <w:bottom w:w="0" w:type="dxa"/>
            <w:right w:w="108" w:type="dxa"/>
          </w:tblCellMar>
        </w:tblPrEx>
        <w:trPr>
          <w:trHeight w:val="270" w:hRule="atLeast"/>
        </w:trPr>
        <w:tc>
          <w:tcPr>
            <w:tcW w:w="5829"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b/>
                <w:bCs/>
                <w:color w:val="000000"/>
                <w:kern w:val="0"/>
                <w:sz w:val="15"/>
                <w:szCs w:val="15"/>
              </w:rPr>
            </w:pPr>
            <w:r>
              <w:rPr>
                <w:rFonts w:hint="eastAsia" w:ascii="仿宋" w:hAnsi="仿宋" w:eastAsia="仿宋" w:cs="宋体"/>
                <w:b/>
                <w:bCs/>
                <w:color w:val="000000"/>
                <w:kern w:val="0"/>
                <w:sz w:val="15"/>
                <w:szCs w:val="15"/>
              </w:rPr>
              <w:t>泾河新城合计</w:t>
            </w:r>
          </w:p>
        </w:tc>
        <w:tc>
          <w:tcPr>
            <w:tcW w:w="107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b/>
                <w:bCs/>
                <w:color w:val="000000"/>
                <w:kern w:val="0"/>
                <w:sz w:val="15"/>
                <w:szCs w:val="15"/>
              </w:rPr>
            </w:pPr>
            <w:r>
              <w:rPr>
                <w:rFonts w:hint="eastAsia" w:ascii="仿宋" w:hAnsi="仿宋" w:eastAsia="仿宋" w:cs="宋体"/>
                <w:b/>
                <w:bCs/>
                <w:color w:val="000000"/>
                <w:kern w:val="0"/>
                <w:sz w:val="15"/>
                <w:szCs w:val="15"/>
              </w:rPr>
              <w:t>902</w:t>
            </w:r>
          </w:p>
        </w:tc>
        <w:tc>
          <w:tcPr>
            <w:tcW w:w="100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b/>
                <w:bCs/>
                <w:color w:val="000000"/>
                <w:kern w:val="0"/>
                <w:sz w:val="15"/>
                <w:szCs w:val="15"/>
              </w:rPr>
            </w:pPr>
            <w:r>
              <w:rPr>
                <w:rFonts w:hint="eastAsia" w:ascii="仿宋" w:hAnsi="仿宋" w:eastAsia="仿宋" w:cs="宋体"/>
                <w:b/>
                <w:bCs/>
                <w:color w:val="000000"/>
                <w:kern w:val="0"/>
                <w:sz w:val="15"/>
                <w:szCs w:val="15"/>
              </w:rPr>
              <w:t>123</w:t>
            </w:r>
          </w:p>
        </w:tc>
        <w:tc>
          <w:tcPr>
            <w:tcW w:w="929" w:type="dxa"/>
            <w:tcBorders>
              <w:top w:val="nil"/>
              <w:left w:val="nil"/>
              <w:bottom w:val="single" w:color="auto" w:sz="4" w:space="0"/>
              <w:right w:val="single" w:color="auto" w:sz="4" w:space="0"/>
            </w:tcBorders>
            <w:shd w:val="clear" w:color="auto" w:fill="auto"/>
            <w:vAlign w:val="bottom"/>
          </w:tcPr>
          <w:p>
            <w:pPr>
              <w:widowControl/>
              <w:spacing w:line="240" w:lineRule="auto"/>
              <w:jc w:val="left"/>
              <w:rPr>
                <w:rFonts w:ascii="仿宋" w:hAnsi="仿宋" w:eastAsia="仿宋" w:cs="宋体"/>
                <w:color w:val="000000"/>
                <w:kern w:val="0"/>
                <w:sz w:val="15"/>
                <w:szCs w:val="15"/>
              </w:rPr>
            </w:pPr>
            <w:r>
              <w:rPr>
                <w:rFonts w:hint="eastAsia" w:ascii="仿宋" w:hAnsi="仿宋" w:eastAsia="仿宋" w:cs="宋体"/>
                <w:color w:val="000000"/>
                <w:kern w:val="0"/>
                <w:sz w:val="15"/>
                <w:szCs w:val="15"/>
              </w:rPr>
              <w:t>　</w:t>
            </w:r>
          </w:p>
        </w:tc>
      </w:tr>
      <w:tr>
        <w:tblPrEx>
          <w:tblCellMar>
            <w:top w:w="0" w:type="dxa"/>
            <w:left w:w="108" w:type="dxa"/>
            <w:bottom w:w="0" w:type="dxa"/>
            <w:right w:w="108" w:type="dxa"/>
          </w:tblCellMar>
        </w:tblPrEx>
        <w:trPr>
          <w:trHeight w:val="270" w:hRule="atLeast"/>
        </w:trPr>
        <w:tc>
          <w:tcPr>
            <w:tcW w:w="5829"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b/>
                <w:bCs/>
                <w:color w:val="000000"/>
                <w:kern w:val="0"/>
                <w:sz w:val="15"/>
                <w:szCs w:val="15"/>
              </w:rPr>
            </w:pPr>
            <w:r>
              <w:rPr>
                <w:rFonts w:hint="eastAsia" w:ascii="仿宋" w:hAnsi="仿宋" w:eastAsia="仿宋" w:cs="宋体"/>
                <w:b/>
                <w:bCs/>
                <w:color w:val="000000"/>
                <w:kern w:val="0"/>
                <w:sz w:val="15"/>
                <w:szCs w:val="15"/>
              </w:rPr>
              <w:t>西咸新区总计</w:t>
            </w:r>
          </w:p>
        </w:tc>
        <w:tc>
          <w:tcPr>
            <w:tcW w:w="107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b/>
                <w:bCs/>
                <w:color w:val="000000"/>
                <w:kern w:val="0"/>
                <w:sz w:val="15"/>
                <w:szCs w:val="15"/>
              </w:rPr>
            </w:pPr>
            <w:r>
              <w:rPr>
                <w:rFonts w:hint="eastAsia" w:ascii="仿宋" w:hAnsi="仿宋" w:eastAsia="仿宋" w:cs="宋体"/>
                <w:b/>
                <w:bCs/>
                <w:color w:val="000000"/>
                <w:kern w:val="0"/>
                <w:sz w:val="15"/>
                <w:szCs w:val="15"/>
              </w:rPr>
              <w:t>2839</w:t>
            </w:r>
          </w:p>
        </w:tc>
        <w:tc>
          <w:tcPr>
            <w:tcW w:w="1002"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仿宋" w:hAnsi="仿宋" w:eastAsia="仿宋" w:cs="宋体"/>
                <w:b/>
                <w:bCs/>
                <w:color w:val="000000"/>
                <w:kern w:val="0"/>
                <w:sz w:val="15"/>
                <w:szCs w:val="15"/>
              </w:rPr>
            </w:pPr>
            <w:r>
              <w:rPr>
                <w:rFonts w:hint="eastAsia" w:ascii="仿宋" w:hAnsi="仿宋" w:eastAsia="仿宋" w:cs="宋体"/>
                <w:b/>
                <w:bCs/>
                <w:color w:val="000000"/>
                <w:kern w:val="0"/>
                <w:sz w:val="15"/>
                <w:szCs w:val="15"/>
              </w:rPr>
              <w:t>522.6</w:t>
            </w:r>
          </w:p>
        </w:tc>
        <w:tc>
          <w:tcPr>
            <w:tcW w:w="929" w:type="dxa"/>
            <w:tcBorders>
              <w:top w:val="nil"/>
              <w:left w:val="nil"/>
              <w:bottom w:val="single" w:color="auto" w:sz="4" w:space="0"/>
              <w:right w:val="single" w:color="auto" w:sz="4" w:space="0"/>
            </w:tcBorders>
            <w:shd w:val="clear" w:color="auto" w:fill="auto"/>
            <w:vAlign w:val="bottom"/>
          </w:tcPr>
          <w:p>
            <w:pPr>
              <w:widowControl/>
              <w:spacing w:line="240" w:lineRule="auto"/>
              <w:jc w:val="left"/>
              <w:rPr>
                <w:rFonts w:ascii="仿宋" w:hAnsi="仿宋" w:eastAsia="仿宋" w:cs="宋体"/>
                <w:color w:val="000000"/>
                <w:kern w:val="0"/>
                <w:sz w:val="15"/>
                <w:szCs w:val="15"/>
              </w:rPr>
            </w:pPr>
            <w:r>
              <w:rPr>
                <w:rFonts w:hint="eastAsia" w:ascii="仿宋" w:hAnsi="仿宋" w:eastAsia="仿宋" w:cs="宋体"/>
                <w:color w:val="000000"/>
                <w:kern w:val="0"/>
                <w:sz w:val="15"/>
                <w:szCs w:val="15"/>
              </w:rPr>
              <w:t>　</w:t>
            </w:r>
          </w:p>
        </w:tc>
      </w:tr>
    </w:tbl>
    <w:p>
      <w:pPr>
        <w:pStyle w:val="150"/>
        <w:ind w:left="0" w:leftChars="0" w:firstLine="0" w:firstLineChars="0"/>
        <w:rPr>
          <w:vanish/>
          <w:sz w:val="28"/>
        </w:rPr>
      </w:pPr>
    </w:p>
    <w:bookmarkEnd w:id="825"/>
    <w:bookmarkEnd w:id="826"/>
    <w:bookmarkEnd w:id="827"/>
    <w:bookmarkEnd w:id="828"/>
    <w:bookmarkEnd w:id="829"/>
    <w:p>
      <w:pPr>
        <w:pStyle w:val="4"/>
        <w:keepNext/>
        <w:keepLines/>
        <w:pageBreakBefore/>
        <w:widowControl w:val="0"/>
        <w:kinsoku/>
        <w:wordWrap/>
        <w:overflowPunct/>
        <w:topLinePunct w:val="0"/>
        <w:autoSpaceDE/>
        <w:autoSpaceDN/>
        <w:bidi w:val="0"/>
        <w:adjustRightInd/>
        <w:snapToGrid/>
        <w:spacing w:before="157" w:beforeLines="50" w:after="157" w:afterLines="50" w:line="560" w:lineRule="exact"/>
        <w:textAlignment w:val="auto"/>
        <w:rPr>
          <w:rFonts w:eastAsia="仿宋"/>
          <w:sz w:val="44"/>
          <w:szCs w:val="44"/>
        </w:rPr>
      </w:pPr>
      <w:bookmarkStart w:id="848" w:name="_Toc74041240"/>
      <w:bookmarkStart w:id="849" w:name="_Toc10467"/>
      <w:bookmarkStart w:id="850" w:name="_Toc306766340"/>
      <w:bookmarkStart w:id="851" w:name="_Toc307054113"/>
      <w:bookmarkStart w:id="852" w:name="_Toc253585227"/>
      <w:bookmarkStart w:id="853" w:name="_Toc352610585"/>
      <w:bookmarkStart w:id="854" w:name="_Toc253585250"/>
      <w:bookmarkStart w:id="855" w:name="_Toc307054076"/>
      <w:bookmarkStart w:id="856" w:name="_Toc352071884"/>
      <w:bookmarkStart w:id="857" w:name="_Toc352610621"/>
      <w:bookmarkStart w:id="858" w:name="_Toc253744820"/>
      <w:bookmarkStart w:id="859" w:name="_Toc253594797"/>
      <w:bookmarkStart w:id="860" w:name="_Toc306956298"/>
      <w:bookmarkStart w:id="861" w:name="_Toc253744206"/>
      <w:bookmarkStart w:id="862" w:name="_Toc306956261"/>
      <w:bookmarkStart w:id="863" w:name="_Toc306766320"/>
      <w:bookmarkStart w:id="864" w:name="_Toc253594820"/>
      <w:bookmarkStart w:id="865" w:name="_Toc219977916"/>
      <w:bookmarkStart w:id="866" w:name="_Toc306780133"/>
      <w:bookmarkStart w:id="867" w:name="_Toc306780112"/>
      <w:r>
        <w:rPr>
          <w:rFonts w:eastAsia="仿宋"/>
          <w:sz w:val="44"/>
          <w:szCs w:val="44"/>
        </w:rPr>
        <w:t>10千伏及以下电网规划</w:t>
      </w:r>
      <w:bookmarkEnd w:id="848"/>
      <w:bookmarkEnd w:id="849"/>
    </w:p>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lang w:val="en-US" w:eastAsia="zh-CN"/>
        </w:rPr>
      </w:pPr>
      <w:bookmarkStart w:id="868" w:name="_Toc32296"/>
      <w:bookmarkStart w:id="869" w:name="_Toc74041241"/>
      <w:bookmarkStart w:id="870" w:name="_Toc250995902"/>
      <w:bookmarkStart w:id="871" w:name="_Toc306956317"/>
      <w:bookmarkStart w:id="872" w:name="_Toc253585697"/>
      <w:bookmarkStart w:id="873" w:name="_Toc333401007"/>
      <w:bookmarkStart w:id="874" w:name="_Toc236747698"/>
      <w:bookmarkStart w:id="875" w:name="_Toc306780377"/>
      <w:bookmarkStart w:id="876" w:name="_Toc352610644"/>
      <w:bookmarkStart w:id="877" w:name="_Toc236660746"/>
      <w:bookmarkStart w:id="878" w:name="_Toc253745603"/>
      <w:bookmarkStart w:id="879" w:name="_Toc253595428"/>
      <w:bookmarkStart w:id="880" w:name="_Toc306766356"/>
      <w:bookmarkStart w:id="881" w:name="_Toc307054132"/>
      <w:bookmarkStart w:id="882" w:name="_Toc250995903"/>
      <w:bookmarkStart w:id="883" w:name="_Toc236747699"/>
      <w:bookmarkStart w:id="884" w:name="_Toc236660748"/>
      <w:r>
        <w:rPr>
          <w:rFonts w:hint="eastAsia" w:ascii="黑体" w:hAnsi="黑体" w:eastAsia="黑体" w:cs="黑体"/>
          <w:b w:val="0"/>
          <w:bCs w:val="0"/>
          <w:sz w:val="32"/>
          <w:szCs w:val="32"/>
          <w:lang w:val="en-US" w:eastAsia="zh-CN"/>
        </w:rPr>
        <w:t>国家电网西咸新区供电公司“十四五”期间10千伏及以下电网规划</w:t>
      </w:r>
      <w:bookmarkEnd w:id="868"/>
      <w:bookmarkEnd w:id="869"/>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885" w:name="_Toc59973976"/>
      <w:bookmarkStart w:id="886" w:name="_Toc74041242"/>
      <w:bookmarkStart w:id="887" w:name="_Toc252891566"/>
      <w:bookmarkStart w:id="888" w:name="_Toc253594822"/>
      <w:bookmarkStart w:id="889" w:name="_Toc306780135"/>
      <w:bookmarkStart w:id="890" w:name="_Toc253744822"/>
      <w:bookmarkStart w:id="891" w:name="_Toc307054115"/>
      <w:bookmarkStart w:id="892" w:name="_Toc253585252"/>
      <w:bookmarkStart w:id="893" w:name="_Toc306766342"/>
      <w:bookmarkStart w:id="894" w:name="_Toc306956300"/>
      <w:r>
        <w:rPr>
          <w:rFonts w:eastAsia="仿宋"/>
          <w:sz w:val="32"/>
          <w:szCs w:val="32"/>
        </w:rPr>
        <w:t>10千伏配变规划</w:t>
      </w:r>
      <w:bookmarkEnd w:id="885"/>
      <w:bookmarkEnd w:id="886"/>
    </w:p>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1.配变</w:t>
      </w:r>
      <w:bookmarkEnd w:id="887"/>
      <w:r>
        <w:rPr>
          <w:rFonts w:hint="eastAsia" w:ascii="仿宋_GB2312" w:hAnsi="仿宋_GB2312" w:eastAsia="仿宋_GB2312" w:cs="仿宋_GB2312"/>
          <w:b w:val="0"/>
          <w:bCs w:val="0"/>
          <w:kern w:val="2"/>
          <w:sz w:val="32"/>
          <w:szCs w:val="32"/>
          <w:lang w:val="en-US" w:eastAsia="zh-CN" w:bidi="ar-SA"/>
        </w:rPr>
        <w:t>建设规模分析</w:t>
      </w:r>
      <w:bookmarkEnd w:id="888"/>
      <w:bookmarkEnd w:id="889"/>
      <w:bookmarkEnd w:id="890"/>
      <w:bookmarkEnd w:id="891"/>
      <w:bookmarkEnd w:id="892"/>
      <w:bookmarkEnd w:id="893"/>
      <w:bookmarkEnd w:id="894"/>
    </w:p>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b w:val="0"/>
          <w:bCs w:val="0"/>
          <w:kern w:val="2"/>
          <w:sz w:val="32"/>
          <w:szCs w:val="32"/>
          <w:lang w:val="en-US" w:eastAsia="zh-CN" w:bidi="ar-SA"/>
        </w:rPr>
      </w:pPr>
      <w:bookmarkStart w:id="895" w:name="_Toc306766343"/>
      <w:bookmarkStart w:id="896" w:name="_Toc253594823"/>
      <w:bookmarkStart w:id="897" w:name="_Toc253585253"/>
      <w:bookmarkStart w:id="898" w:name="_Toc253744823"/>
      <w:bookmarkStart w:id="899" w:name="_Toc306780136"/>
      <w:r>
        <w:rPr>
          <w:rFonts w:hint="eastAsia" w:ascii="仿宋_GB2312" w:hAnsi="仿宋_GB2312" w:eastAsia="仿宋_GB2312" w:cs="仿宋_GB2312"/>
          <w:b w:val="0"/>
          <w:bCs w:val="0"/>
          <w:kern w:val="2"/>
          <w:sz w:val="32"/>
          <w:szCs w:val="32"/>
          <w:lang w:val="en-US" w:eastAsia="zh-CN" w:bidi="ar-SA"/>
        </w:rPr>
        <w:t>西咸新区“十四五”期间配变容量新增250.8兆伏安，预计到2025年新增负荷为180兆瓦，年均增长率为12.7%，新建配变627台，年均增长率为4.6%。</w:t>
      </w:r>
    </w:p>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黑体" w:hAnsi="黑体" w:eastAsia="黑体" w:cs="黑体"/>
          <w:b w:val="0"/>
          <w:bCs w:val="0"/>
          <w:kern w:val="0"/>
          <w:sz w:val="28"/>
          <w:szCs w:val="28"/>
          <w:lang w:val="en-US" w:eastAsia="zh-CN" w:bidi="ar-SA"/>
        </w:rPr>
      </w:pPr>
      <w:r>
        <w:rPr>
          <w:rFonts w:hint="eastAsia" w:ascii="黑体" w:hAnsi="黑体" w:eastAsia="黑体" w:cs="黑体"/>
          <w:b w:val="0"/>
          <w:bCs w:val="0"/>
          <w:kern w:val="0"/>
          <w:sz w:val="28"/>
          <w:szCs w:val="28"/>
          <w:lang w:val="en-US" w:eastAsia="zh-CN" w:bidi="ar-SA"/>
        </w:rPr>
        <w:t>表9-1  西咸新区10千伏配变规模分析</w:t>
      </w:r>
    </w:p>
    <w:tbl>
      <w:tblPr>
        <w:tblStyle w:val="88"/>
        <w:tblW w:w="8640" w:type="dxa"/>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5" w:type="dxa"/>
          <w:left w:w="15" w:type="dxa"/>
          <w:bottom w:w="15" w:type="dxa"/>
          <w:right w:w="15" w:type="dxa"/>
        </w:tblCellMar>
      </w:tblPr>
      <w:tblGrid>
        <w:gridCol w:w="1080"/>
        <w:gridCol w:w="1080"/>
        <w:gridCol w:w="1080"/>
        <w:gridCol w:w="1080"/>
        <w:gridCol w:w="1080"/>
        <w:gridCol w:w="1080"/>
        <w:gridCol w:w="1080"/>
        <w:gridCol w:w="1080"/>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750" w:hRule="atLeast"/>
        </w:trPr>
        <w:tc>
          <w:tcPr>
            <w:tcW w:w="1080"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rPr>
              <w:t>项目</w:t>
            </w:r>
          </w:p>
        </w:tc>
        <w:tc>
          <w:tcPr>
            <w:tcW w:w="1080"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rPr>
              <w:t>2020</w:t>
            </w:r>
          </w:p>
        </w:tc>
        <w:tc>
          <w:tcPr>
            <w:tcW w:w="1080"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rPr>
              <w:t>2021</w:t>
            </w:r>
          </w:p>
        </w:tc>
        <w:tc>
          <w:tcPr>
            <w:tcW w:w="1080"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rPr>
              <w:t>2022</w:t>
            </w:r>
          </w:p>
        </w:tc>
        <w:tc>
          <w:tcPr>
            <w:tcW w:w="1080"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rPr>
              <w:t>2023</w:t>
            </w:r>
          </w:p>
        </w:tc>
        <w:tc>
          <w:tcPr>
            <w:tcW w:w="1080"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rPr>
              <w:t>2024</w:t>
            </w:r>
          </w:p>
        </w:tc>
        <w:tc>
          <w:tcPr>
            <w:tcW w:w="1080"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rPr>
              <w:t>2025</w:t>
            </w:r>
          </w:p>
        </w:tc>
        <w:tc>
          <w:tcPr>
            <w:tcW w:w="1080"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rPr>
              <w:t>“十四五”年均增长率</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678" w:hRule="atLeast"/>
        </w:trPr>
        <w:tc>
          <w:tcPr>
            <w:tcW w:w="1080"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rPr>
              <w:t>网供配变负荷（兆瓦）</w:t>
            </w:r>
          </w:p>
        </w:tc>
        <w:tc>
          <w:tcPr>
            <w:tcW w:w="1080"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220</w:t>
            </w:r>
          </w:p>
        </w:tc>
        <w:tc>
          <w:tcPr>
            <w:tcW w:w="1080"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260</w:t>
            </w:r>
          </w:p>
        </w:tc>
        <w:tc>
          <w:tcPr>
            <w:tcW w:w="1080"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320</w:t>
            </w:r>
          </w:p>
        </w:tc>
        <w:tc>
          <w:tcPr>
            <w:tcW w:w="1080"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315</w:t>
            </w:r>
          </w:p>
        </w:tc>
        <w:tc>
          <w:tcPr>
            <w:tcW w:w="1080"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350</w:t>
            </w:r>
          </w:p>
        </w:tc>
        <w:tc>
          <w:tcPr>
            <w:tcW w:w="1080"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400</w:t>
            </w:r>
          </w:p>
        </w:tc>
        <w:tc>
          <w:tcPr>
            <w:tcW w:w="1080"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12.7%</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555" w:hRule="atLeast"/>
        </w:trPr>
        <w:tc>
          <w:tcPr>
            <w:tcW w:w="1080"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rPr>
              <w:t>配变台数（万台）</w:t>
            </w:r>
          </w:p>
        </w:tc>
        <w:tc>
          <w:tcPr>
            <w:tcW w:w="1080"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0.234</w:t>
            </w:r>
          </w:p>
        </w:tc>
        <w:tc>
          <w:tcPr>
            <w:tcW w:w="1080"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0.253</w:t>
            </w:r>
          </w:p>
        </w:tc>
        <w:tc>
          <w:tcPr>
            <w:tcW w:w="1080"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0.265</w:t>
            </w:r>
          </w:p>
        </w:tc>
        <w:tc>
          <w:tcPr>
            <w:tcW w:w="1080"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0.273</w:t>
            </w:r>
          </w:p>
        </w:tc>
        <w:tc>
          <w:tcPr>
            <w:tcW w:w="1080"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0.283</w:t>
            </w:r>
          </w:p>
        </w:tc>
        <w:tc>
          <w:tcPr>
            <w:tcW w:w="1080"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0.296</w:t>
            </w:r>
          </w:p>
        </w:tc>
        <w:tc>
          <w:tcPr>
            <w:tcW w:w="1080"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4.8%</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555" w:hRule="atLeast"/>
        </w:trPr>
        <w:tc>
          <w:tcPr>
            <w:tcW w:w="1080"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rPr>
              <w:t>配变容量（兆伏安）</w:t>
            </w:r>
          </w:p>
        </w:tc>
        <w:tc>
          <w:tcPr>
            <w:tcW w:w="1080"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1125.156</w:t>
            </w:r>
          </w:p>
        </w:tc>
        <w:tc>
          <w:tcPr>
            <w:tcW w:w="1080"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1201.956</w:t>
            </w:r>
          </w:p>
        </w:tc>
        <w:tc>
          <w:tcPr>
            <w:tcW w:w="1080"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lang w:bidi="ar"/>
              </w:rPr>
              <w:t>1249.956</w:t>
            </w:r>
          </w:p>
        </w:tc>
        <w:tc>
          <w:tcPr>
            <w:tcW w:w="1080"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lang w:bidi="ar"/>
              </w:rPr>
              <w:t>1283.956</w:t>
            </w:r>
          </w:p>
        </w:tc>
        <w:tc>
          <w:tcPr>
            <w:tcW w:w="1080"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lang w:bidi="ar"/>
              </w:rPr>
              <w:t>1322.356</w:t>
            </w:r>
          </w:p>
        </w:tc>
        <w:tc>
          <w:tcPr>
            <w:tcW w:w="1080"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lang w:bidi="ar"/>
              </w:rPr>
              <w:t>1375.956</w:t>
            </w:r>
          </w:p>
        </w:tc>
        <w:tc>
          <w:tcPr>
            <w:tcW w:w="1080" w:type="dxa"/>
            <w:tcBorders>
              <w:tl2br w:val="nil"/>
              <w:tr2bl w:val="nil"/>
            </w:tcBorders>
            <w:shd w:val="clear" w:color="auto" w:fill="auto"/>
            <w:vAlign w:val="center"/>
          </w:tcPr>
          <w:p>
            <w:pPr>
              <w:widowControl/>
              <w:jc w:val="center"/>
              <w:textAlignment w:val="center"/>
              <w:rPr>
                <w:rFonts w:hint="eastAsia" w:ascii="方正仿宋_GB2312" w:hAnsi="方正仿宋_GB2312" w:eastAsia="方正仿宋_GB2312" w:cs="方正仿宋_GB2312"/>
                <w:kern w:val="0"/>
                <w:sz w:val="18"/>
                <w:szCs w:val="18"/>
              </w:rPr>
            </w:pPr>
            <w:r>
              <w:rPr>
                <w:rFonts w:hint="eastAsia" w:ascii="方正仿宋_GB2312" w:hAnsi="方正仿宋_GB2312" w:eastAsia="方正仿宋_GB2312" w:cs="方正仿宋_GB2312"/>
                <w:kern w:val="0"/>
                <w:sz w:val="18"/>
                <w:szCs w:val="18"/>
              </w:rPr>
              <w:t>4.1%</w:t>
            </w:r>
          </w:p>
        </w:tc>
      </w:tr>
    </w:tbl>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黑体" w:hAnsi="黑体" w:eastAsia="黑体" w:cs="黑体"/>
          <w:b w:val="0"/>
          <w:bCs w:val="0"/>
          <w:kern w:val="0"/>
          <w:sz w:val="28"/>
          <w:szCs w:val="28"/>
          <w:lang w:val="en-US" w:eastAsia="zh-CN" w:bidi="ar-SA"/>
        </w:rPr>
      </w:pPr>
    </w:p>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eastAsia="仿宋"/>
        </w:rPr>
      </w:pPr>
      <w:r>
        <w:rPr>
          <w:rFonts w:hint="eastAsia" w:ascii="黑体" w:hAnsi="黑体" w:eastAsia="黑体" w:cs="黑体"/>
          <w:b w:val="0"/>
          <w:bCs w:val="0"/>
          <w:kern w:val="0"/>
          <w:sz w:val="28"/>
          <w:szCs w:val="28"/>
          <w:lang w:val="en-US" w:eastAsia="zh-CN" w:bidi="ar-SA"/>
        </w:rPr>
        <w:t>图9-1   配变容量及配变负载率预测图</w:t>
      </w:r>
    </w:p>
    <w:p>
      <w:pPr>
        <w:adjustRightInd w:val="0"/>
        <w:snapToGrid w:val="0"/>
        <w:spacing w:line="360" w:lineRule="auto"/>
        <w:ind w:firstLine="480" w:firstLineChars="200"/>
        <w:rPr>
          <w:rFonts w:eastAsia="仿宋"/>
        </w:rPr>
      </w:pPr>
      <w:r>
        <w:rPr>
          <w:rFonts w:eastAsia="仿宋"/>
        </w:rPr>
        <w:drawing>
          <wp:inline distT="0" distB="0" distL="114300" distR="114300">
            <wp:extent cx="4707890" cy="3084195"/>
            <wp:effectExtent l="4445" t="4445" r="12065" b="16510"/>
            <wp:docPr id="45" name="图表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“十四五”期间，西咸新区配变容量将新增250.8兆伏安，配变容量从2020年至2025年稳步增长，增长率为4.1%，预计到2025配变容量将达到1375.956兆伏安。</w:t>
      </w:r>
    </w:p>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2.配变新建和扩展性改造规模</w:t>
      </w:r>
    </w:p>
    <w:bookmarkEnd w:id="895"/>
    <w:bookmarkEnd w:id="896"/>
    <w:bookmarkEnd w:id="897"/>
    <w:bookmarkEnd w:id="898"/>
    <w:bookmarkEnd w:id="899"/>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2020年新建配变81台，容量32.4兆伏安；改造配变35台，改造容量6.98兆伏安，净增容量7.28兆伏安。2021-2025年共计新建配变627台，容量250.8兆伏安；改造配变0台，改造容量0兆伏安，净增容量0兆伏安。</w:t>
      </w:r>
      <w:bookmarkStart w:id="900" w:name="_Toc74041243"/>
      <w:bookmarkStart w:id="901" w:name="_Toc59973977"/>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r>
        <w:rPr>
          <w:rFonts w:eastAsia="仿宋"/>
          <w:sz w:val="32"/>
          <w:szCs w:val="32"/>
        </w:rPr>
        <w:t>10千伏规划规模</w:t>
      </w:r>
      <w:bookmarkEnd w:id="900"/>
      <w:bookmarkEnd w:id="901"/>
    </w:p>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1.配电线路</w:t>
      </w:r>
    </w:p>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2020年，新建架空线路14.995公里，电缆线路35.8公里；改造架空线路8.447公里，电缆线路0.327公里。</w:t>
      </w:r>
    </w:p>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2021-2025年，新建架空线路长度94.94公里，电缆线路300.637公里；改造架空线路51.8公里。</w:t>
      </w:r>
    </w:p>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b w:val="0"/>
          <w:bCs w:val="0"/>
          <w:kern w:val="2"/>
          <w:sz w:val="32"/>
          <w:szCs w:val="32"/>
          <w:lang w:val="en-US" w:eastAsia="zh-CN" w:bidi="ar-SA"/>
        </w:rPr>
      </w:pPr>
      <w:bookmarkStart w:id="902" w:name="_Toc252182928"/>
      <w:bookmarkEnd w:id="902"/>
      <w:bookmarkStart w:id="903" w:name="_Toc252182927"/>
      <w:bookmarkEnd w:id="903"/>
      <w:bookmarkStart w:id="904" w:name="_Toc252182977"/>
      <w:bookmarkEnd w:id="904"/>
      <w:bookmarkStart w:id="905" w:name="_Toc252182930"/>
      <w:bookmarkEnd w:id="905"/>
      <w:bookmarkStart w:id="906" w:name="_Toc252182960"/>
      <w:bookmarkEnd w:id="906"/>
      <w:bookmarkStart w:id="907" w:name="_Toc252371433"/>
      <w:bookmarkEnd w:id="907"/>
      <w:bookmarkStart w:id="908" w:name="_Toc252182985"/>
      <w:bookmarkEnd w:id="908"/>
      <w:bookmarkStart w:id="909" w:name="_Toc252366435"/>
      <w:bookmarkEnd w:id="909"/>
      <w:bookmarkStart w:id="910" w:name="_Toc252182931"/>
      <w:bookmarkEnd w:id="910"/>
      <w:bookmarkStart w:id="911" w:name="_Toc252182929"/>
      <w:bookmarkEnd w:id="911"/>
      <w:bookmarkStart w:id="912" w:name="_Toc252182952"/>
      <w:bookmarkEnd w:id="912"/>
      <w:bookmarkStart w:id="913" w:name="_Toc252183000"/>
      <w:bookmarkEnd w:id="913"/>
      <w:bookmarkStart w:id="914" w:name="_Toc252891572"/>
      <w:r>
        <w:rPr>
          <w:rFonts w:hint="eastAsia" w:ascii="仿宋_GB2312" w:hAnsi="仿宋_GB2312" w:eastAsia="仿宋_GB2312" w:cs="仿宋_GB2312"/>
          <w:b w:val="0"/>
          <w:bCs w:val="0"/>
          <w:kern w:val="2"/>
          <w:sz w:val="32"/>
          <w:szCs w:val="32"/>
          <w:lang w:val="en-US" w:eastAsia="zh-CN" w:bidi="ar-SA"/>
        </w:rPr>
        <w:t>2.开关设备</w:t>
      </w:r>
      <w:bookmarkEnd w:id="914"/>
    </w:p>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2020年，新建环网柜39座，柱上开关12台；改造环网柜16座，柱上开关4台。</w:t>
      </w:r>
    </w:p>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2021-2025年，新建环网柜286座，柱上开关41台，电缆分支箱0台，改造环网柜19座。</w:t>
      </w:r>
      <w:bookmarkStart w:id="915" w:name="_Toc251925873"/>
      <w:bookmarkEnd w:id="915"/>
      <w:bookmarkStart w:id="916" w:name="_Toc251925874"/>
      <w:bookmarkEnd w:id="916"/>
      <w:bookmarkStart w:id="917" w:name="_Toc251921924"/>
      <w:bookmarkEnd w:id="917"/>
      <w:bookmarkStart w:id="918" w:name="_Toc252183008"/>
      <w:bookmarkEnd w:id="918"/>
      <w:bookmarkStart w:id="919" w:name="_Toc251921923"/>
      <w:bookmarkEnd w:id="919"/>
      <w:bookmarkStart w:id="920" w:name="_Toc252891573"/>
      <w:r>
        <w:rPr>
          <w:rFonts w:hint="eastAsia" w:ascii="仿宋_GB2312" w:hAnsi="仿宋_GB2312" w:eastAsia="仿宋_GB2312" w:cs="仿宋_GB2312"/>
          <w:b w:val="0"/>
          <w:bCs w:val="0"/>
          <w:kern w:val="2"/>
          <w:sz w:val="32"/>
          <w:szCs w:val="32"/>
          <w:lang w:val="en-US" w:eastAsia="zh-CN" w:bidi="ar-SA"/>
        </w:rPr>
        <w:t>2020年，新建分段开关6台，联络开关6台，分段环网柜9座，联络环网柜30座。</w:t>
      </w:r>
    </w:p>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2021-2025年，新建联络开关21台，分段开关20台，分段环网柜187座，联络环网柜99座。</w:t>
      </w:r>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921" w:name="_Toc59973978"/>
      <w:bookmarkStart w:id="922" w:name="_Toc74041244"/>
      <w:r>
        <w:rPr>
          <w:rFonts w:eastAsia="仿宋"/>
          <w:sz w:val="32"/>
          <w:szCs w:val="32"/>
        </w:rPr>
        <w:t>10千伏电网无功补偿</w:t>
      </w:r>
      <w:bookmarkEnd w:id="921"/>
      <w:bookmarkEnd w:id="922"/>
    </w:p>
    <w:bookmarkEnd w:id="920"/>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2021-2025年，配电低压侧补偿将新增0兆乏，线路补偿0兆乏。</w:t>
      </w:r>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923" w:name="_Toc74041245"/>
      <w:bookmarkStart w:id="924" w:name="_Toc59973979"/>
      <w:r>
        <w:rPr>
          <w:rFonts w:eastAsia="仿宋"/>
          <w:sz w:val="32"/>
          <w:szCs w:val="32"/>
        </w:rPr>
        <w:t>0.38千伏电网线路规划</w:t>
      </w:r>
      <w:bookmarkEnd w:id="923"/>
      <w:bookmarkEnd w:id="924"/>
    </w:p>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2021-2025年，新建0.38千伏线路21条，总长度10.38公里；改造0.38千伏线路447条，总长度503公里。</w:t>
      </w:r>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925" w:name="_Toc468886638"/>
      <w:bookmarkEnd w:id="925"/>
      <w:bookmarkStart w:id="926" w:name="_Toc471324862"/>
      <w:bookmarkEnd w:id="926"/>
      <w:bookmarkStart w:id="927" w:name="_Toc468886651"/>
      <w:bookmarkEnd w:id="927"/>
      <w:bookmarkStart w:id="928" w:name="_Toc471324849"/>
      <w:bookmarkEnd w:id="928"/>
      <w:bookmarkStart w:id="929" w:name="_Toc468886644"/>
      <w:bookmarkEnd w:id="929"/>
      <w:bookmarkStart w:id="930" w:name="_Toc471315647"/>
      <w:bookmarkEnd w:id="930"/>
      <w:bookmarkStart w:id="931" w:name="_Toc471315652"/>
      <w:bookmarkEnd w:id="931"/>
      <w:bookmarkStart w:id="932" w:name="_Toc471315650"/>
      <w:bookmarkEnd w:id="932"/>
      <w:bookmarkStart w:id="933" w:name="_Toc471315642"/>
      <w:bookmarkEnd w:id="933"/>
      <w:bookmarkStart w:id="934" w:name="_Toc471324866"/>
      <w:bookmarkEnd w:id="934"/>
      <w:bookmarkStart w:id="935" w:name="_Toc471324850"/>
      <w:bookmarkEnd w:id="935"/>
      <w:bookmarkStart w:id="936" w:name="_Toc468886643"/>
      <w:bookmarkEnd w:id="936"/>
      <w:bookmarkStart w:id="937" w:name="_Toc471315643"/>
      <w:bookmarkEnd w:id="937"/>
      <w:bookmarkStart w:id="938" w:name="_Toc471315657"/>
      <w:bookmarkEnd w:id="938"/>
      <w:bookmarkStart w:id="939" w:name="_Toc471315645"/>
      <w:bookmarkEnd w:id="939"/>
      <w:bookmarkStart w:id="940" w:name="_Toc471315654"/>
      <w:bookmarkEnd w:id="940"/>
      <w:bookmarkStart w:id="941" w:name="_Toc468886648"/>
      <w:bookmarkEnd w:id="941"/>
      <w:bookmarkStart w:id="942" w:name="_Toc471324856"/>
      <w:bookmarkEnd w:id="942"/>
      <w:bookmarkStart w:id="943" w:name="_Toc36799487"/>
      <w:bookmarkEnd w:id="943"/>
      <w:bookmarkStart w:id="944" w:name="_Toc471324847"/>
      <w:bookmarkEnd w:id="944"/>
      <w:bookmarkStart w:id="945" w:name="_Toc471324857"/>
      <w:bookmarkEnd w:id="945"/>
      <w:bookmarkStart w:id="946" w:name="_Toc471324861"/>
      <w:bookmarkEnd w:id="946"/>
      <w:bookmarkStart w:id="947" w:name="_Toc468886634"/>
      <w:bookmarkEnd w:id="947"/>
      <w:bookmarkStart w:id="948" w:name="_Toc471324852"/>
      <w:bookmarkEnd w:id="948"/>
      <w:bookmarkStart w:id="949" w:name="_Toc468886645"/>
      <w:bookmarkEnd w:id="949"/>
      <w:bookmarkStart w:id="950" w:name="_Toc471315655"/>
      <w:bookmarkEnd w:id="950"/>
      <w:bookmarkStart w:id="951" w:name="_Toc468886632"/>
      <w:bookmarkEnd w:id="951"/>
      <w:bookmarkStart w:id="952" w:name="_Toc468886650"/>
      <w:bookmarkEnd w:id="952"/>
      <w:bookmarkStart w:id="953" w:name="_Toc468886637"/>
      <w:bookmarkEnd w:id="953"/>
      <w:bookmarkStart w:id="954" w:name="_Toc471315656"/>
      <w:bookmarkEnd w:id="954"/>
      <w:bookmarkStart w:id="955" w:name="_Toc471315651"/>
      <w:bookmarkEnd w:id="955"/>
      <w:bookmarkStart w:id="956" w:name="_Toc471315644"/>
      <w:bookmarkEnd w:id="956"/>
      <w:bookmarkStart w:id="957" w:name="_Toc471315640"/>
      <w:bookmarkEnd w:id="957"/>
      <w:bookmarkStart w:id="958" w:name="_Toc471315638"/>
      <w:bookmarkEnd w:id="958"/>
      <w:bookmarkStart w:id="959" w:name="_Toc471324865"/>
      <w:bookmarkEnd w:id="959"/>
      <w:bookmarkStart w:id="960" w:name="_Toc471324855"/>
      <w:bookmarkEnd w:id="960"/>
      <w:bookmarkStart w:id="961" w:name="_Toc471315641"/>
      <w:bookmarkEnd w:id="961"/>
      <w:bookmarkStart w:id="962" w:name="_Toc468886635"/>
      <w:bookmarkEnd w:id="962"/>
      <w:bookmarkStart w:id="963" w:name="_Toc471324851"/>
      <w:bookmarkEnd w:id="963"/>
      <w:bookmarkStart w:id="964" w:name="_Toc471315646"/>
      <w:bookmarkEnd w:id="964"/>
      <w:bookmarkStart w:id="965" w:name="_Toc468886649"/>
      <w:bookmarkEnd w:id="965"/>
      <w:bookmarkStart w:id="966" w:name="_Toc471324854"/>
      <w:bookmarkEnd w:id="966"/>
      <w:bookmarkStart w:id="967" w:name="_Toc468886647"/>
      <w:bookmarkEnd w:id="967"/>
      <w:bookmarkStart w:id="968" w:name="_Toc471315653"/>
      <w:bookmarkEnd w:id="968"/>
      <w:bookmarkStart w:id="969" w:name="_Toc468886652"/>
      <w:bookmarkEnd w:id="969"/>
      <w:bookmarkStart w:id="970" w:name="_Toc468886639"/>
      <w:bookmarkEnd w:id="970"/>
      <w:bookmarkStart w:id="971" w:name="_Toc468886642"/>
      <w:bookmarkEnd w:id="971"/>
      <w:bookmarkStart w:id="972" w:name="_Toc468886641"/>
      <w:bookmarkEnd w:id="972"/>
      <w:bookmarkStart w:id="973" w:name="_Toc471324848"/>
      <w:bookmarkEnd w:id="973"/>
      <w:bookmarkStart w:id="974" w:name="_Toc471324853"/>
      <w:bookmarkEnd w:id="974"/>
      <w:bookmarkStart w:id="975" w:name="_Toc471324846"/>
      <w:bookmarkEnd w:id="975"/>
      <w:bookmarkStart w:id="976" w:name="_Toc468886633"/>
      <w:bookmarkEnd w:id="976"/>
      <w:bookmarkStart w:id="977" w:name="_Toc471315637"/>
      <w:bookmarkEnd w:id="977"/>
      <w:bookmarkStart w:id="978" w:name="_Toc471315649"/>
      <w:bookmarkEnd w:id="978"/>
      <w:bookmarkStart w:id="979" w:name="_Toc471324860"/>
      <w:bookmarkEnd w:id="979"/>
      <w:bookmarkStart w:id="980" w:name="_Toc471324863"/>
      <w:bookmarkEnd w:id="980"/>
      <w:bookmarkStart w:id="981" w:name="_Toc468886646"/>
      <w:bookmarkEnd w:id="981"/>
      <w:bookmarkStart w:id="982" w:name="_Toc471315648"/>
      <w:bookmarkEnd w:id="982"/>
      <w:bookmarkStart w:id="983" w:name="_Toc471324858"/>
      <w:bookmarkEnd w:id="983"/>
      <w:bookmarkStart w:id="984" w:name="_Toc468886636"/>
      <w:bookmarkEnd w:id="984"/>
      <w:bookmarkStart w:id="985" w:name="_Toc471315639"/>
      <w:bookmarkEnd w:id="985"/>
      <w:bookmarkStart w:id="986" w:name="_Toc471324864"/>
      <w:bookmarkEnd w:id="986"/>
      <w:bookmarkStart w:id="987" w:name="_Toc468886640"/>
      <w:bookmarkEnd w:id="987"/>
      <w:bookmarkStart w:id="988" w:name="_Toc471324859"/>
      <w:bookmarkEnd w:id="988"/>
      <w:bookmarkStart w:id="989" w:name="_Toc59973980"/>
      <w:bookmarkStart w:id="990" w:name="_Toc74041246"/>
      <w:r>
        <w:rPr>
          <w:rFonts w:eastAsia="仿宋"/>
          <w:sz w:val="32"/>
          <w:szCs w:val="32"/>
        </w:rPr>
        <w:t>建设规模汇总</w:t>
      </w:r>
      <w:bookmarkEnd w:id="989"/>
      <w:bookmarkEnd w:id="990"/>
    </w:p>
    <w:p>
      <w:pPr>
        <w:pStyle w:val="5"/>
        <w:keepNext/>
        <w:keepLines/>
        <w:pageBreakBefore w:val="0"/>
        <w:widowControl w:val="0"/>
        <w:numPr>
          <w:ilvl w:val="1"/>
          <w:numId w:val="0"/>
        </w:numPr>
        <w:kinsoku/>
        <w:wordWrap/>
        <w:overflowPunct/>
        <w:topLinePunct w:val="0"/>
        <w:autoSpaceDE/>
        <w:autoSpaceDN/>
        <w:bidi w:val="0"/>
        <w:adjustRightInd/>
        <w:snapToGrid/>
        <w:spacing w:before="157" w:beforeLines="50" w:after="157" w:afterLines="50" w:line="560" w:lineRule="exact"/>
        <w:ind w:leftChars="0" w:firstLine="640" w:firstLineChars="200"/>
        <w:textAlignment w:val="auto"/>
        <w:rPr>
          <w:rFonts w:hint="eastAsia" w:ascii="黑体" w:hAnsi="黑体" w:eastAsia="黑体" w:cs="黑体"/>
          <w:b w:val="0"/>
          <w:bCs w:val="0"/>
          <w:sz w:val="32"/>
          <w:szCs w:val="32"/>
          <w:lang w:val="en-US" w:eastAsia="zh-CN"/>
        </w:rPr>
      </w:pPr>
      <w:r>
        <w:rPr>
          <w:rFonts w:hint="eastAsia" w:ascii="仿宋_GB2312" w:hAnsi="仿宋_GB2312" w:eastAsia="仿宋_GB2312" w:cs="仿宋_GB2312"/>
          <w:b w:val="0"/>
          <w:bCs w:val="0"/>
          <w:kern w:val="2"/>
          <w:sz w:val="32"/>
          <w:szCs w:val="32"/>
          <w:lang w:val="en-US" w:eastAsia="zh-CN" w:bidi="ar-SA"/>
        </w:rPr>
        <w:t>2021-2025年新建及改造配变627台，容量250.8兆伏安；新建线路152条，其中架空94.94公里，电缆300.637公里。</w:t>
      </w:r>
      <w:bookmarkStart w:id="991" w:name="_Toc26508"/>
      <w:bookmarkStart w:id="992" w:name="_Toc74041247"/>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lang w:val="en-US" w:eastAsia="zh-CN"/>
        </w:rPr>
      </w:pPr>
      <w:r>
        <w:rPr>
          <w:rFonts w:hint="eastAsia" w:ascii="黑体" w:hAnsi="黑体" w:eastAsia="黑体" w:cs="黑体"/>
          <w:b w:val="0"/>
          <w:bCs w:val="0"/>
          <w:sz w:val="32"/>
          <w:szCs w:val="32"/>
          <w:lang w:val="en-US" w:eastAsia="zh-CN"/>
        </w:rPr>
        <w:t>地方电力集团“十四五”期间10千伏及以下电网规划</w:t>
      </w:r>
      <w:bookmarkEnd w:id="991"/>
      <w:bookmarkEnd w:id="992"/>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993" w:name="_Toc74041248"/>
      <w:bookmarkStart w:id="994" w:name="_Toc59973982"/>
      <w:r>
        <w:rPr>
          <w:rFonts w:eastAsia="仿宋"/>
          <w:sz w:val="32"/>
          <w:szCs w:val="32"/>
        </w:rPr>
        <w:t>配电线路</w:t>
      </w:r>
      <w:bookmarkEnd w:id="993"/>
      <w:bookmarkEnd w:id="994"/>
    </w:p>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b w:val="0"/>
          <w:bCs w:val="0"/>
          <w:kern w:val="2"/>
          <w:sz w:val="32"/>
          <w:szCs w:val="32"/>
          <w:lang w:val="en-US" w:eastAsia="zh-CN" w:bidi="ar-SA"/>
        </w:rPr>
      </w:pPr>
      <w:bookmarkStart w:id="995" w:name="_Hlk51513069"/>
      <w:r>
        <w:rPr>
          <w:rFonts w:hint="eastAsia" w:ascii="仿宋_GB2312" w:hAnsi="仿宋_GB2312" w:eastAsia="仿宋_GB2312" w:cs="仿宋_GB2312"/>
          <w:b w:val="0"/>
          <w:bCs w:val="0"/>
          <w:kern w:val="2"/>
          <w:sz w:val="32"/>
          <w:szCs w:val="32"/>
          <w:lang w:val="en-US" w:eastAsia="zh-CN" w:bidi="ar-SA"/>
        </w:rPr>
        <w:t>“十四五”期间，西咸新区共新建43回10千伏线路，新建线路长度227.17公里，其中新建架空线路长度14.83公里，电缆线路长度206.695公里；</w:t>
      </w:r>
      <w:bookmarkEnd w:id="995"/>
      <w:r>
        <w:rPr>
          <w:rFonts w:hint="eastAsia" w:ascii="仿宋_GB2312" w:hAnsi="仿宋_GB2312" w:eastAsia="仿宋_GB2312" w:cs="仿宋_GB2312"/>
          <w:b w:val="0"/>
          <w:bCs w:val="0"/>
          <w:kern w:val="2"/>
          <w:sz w:val="32"/>
          <w:szCs w:val="32"/>
          <w:lang w:val="en-US" w:eastAsia="zh-CN" w:bidi="ar-SA"/>
        </w:rPr>
        <w:t xml:space="preserve"> </w:t>
      </w:r>
    </w:p>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“十四五“期间，西咸新区共新建柱上开关5台，环网柜87座。</w:t>
      </w:r>
    </w:p>
    <w:p>
      <w:pPr>
        <w:pStyle w:val="150"/>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b w:val="0"/>
          <w:bCs w:val="0"/>
          <w:kern w:val="2"/>
          <w:sz w:val="32"/>
          <w:szCs w:val="32"/>
          <w:lang w:val="en-US" w:eastAsia="zh-CN" w:bidi="ar-SA"/>
        </w:rPr>
      </w:pPr>
      <w:r>
        <w:rPr>
          <w:rFonts w:hint="eastAsia" w:ascii="仿宋_GB2312" w:hAnsi="仿宋_GB2312" w:eastAsia="仿宋_GB2312" w:cs="仿宋_GB2312"/>
          <w:b w:val="0"/>
          <w:bCs w:val="0"/>
          <w:kern w:val="2"/>
          <w:sz w:val="32"/>
          <w:szCs w:val="32"/>
          <w:lang w:val="en-US" w:eastAsia="zh-CN" w:bidi="ar-SA"/>
        </w:rPr>
        <w:t>按照开关功能统计，“十四五”期间，西咸新区新建架空网分段开关4台，联络开关1台，新建电缆网分段环网柜62座，联络环网柜25座。2020</w:t>
      </w:r>
      <w:r>
        <w:rPr>
          <w:rFonts w:hint="eastAsia" w:ascii="仿宋_GB2312" w:hAnsi="仿宋_GB2312" w:eastAsia="仿宋_GB2312" w:cs="仿宋_GB2312"/>
          <w:kern w:val="2"/>
          <w:sz w:val="32"/>
          <w:szCs w:val="32"/>
          <w:lang w:val="en-US" w:eastAsia="zh-CN" w:bidi="ar-SA"/>
        </w:rPr>
        <w:t>～</w:t>
      </w:r>
      <w:r>
        <w:rPr>
          <w:rFonts w:hint="eastAsia" w:ascii="仿宋_GB2312" w:hAnsi="仿宋_GB2312" w:eastAsia="仿宋_GB2312" w:cs="仿宋_GB2312"/>
          <w:b w:val="0"/>
          <w:bCs w:val="0"/>
          <w:kern w:val="2"/>
          <w:sz w:val="32"/>
          <w:szCs w:val="32"/>
          <w:lang w:val="en-US" w:eastAsia="zh-CN" w:bidi="ar-SA"/>
        </w:rPr>
        <w:t>2025年期间，西咸新区新建架空网分段开关4台，联络开关1台，新建电缆网分段环网柜62台，联络环网柜25台。</w:t>
      </w:r>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996" w:name="_Toc251622019"/>
      <w:bookmarkEnd w:id="996"/>
      <w:bookmarkStart w:id="997" w:name="_Toc251926236"/>
      <w:bookmarkEnd w:id="997"/>
      <w:bookmarkStart w:id="998" w:name="_Toc251639668"/>
      <w:bookmarkEnd w:id="998"/>
      <w:bookmarkStart w:id="999" w:name="_Toc251926000"/>
      <w:bookmarkEnd w:id="999"/>
      <w:bookmarkStart w:id="1000" w:name="_Toc251922442"/>
      <w:bookmarkEnd w:id="1000"/>
      <w:bookmarkStart w:id="1001" w:name="_Toc251922322"/>
      <w:bookmarkEnd w:id="1001"/>
      <w:bookmarkStart w:id="1002" w:name="_Toc253594954"/>
      <w:bookmarkEnd w:id="1002"/>
      <w:bookmarkStart w:id="1003" w:name="_Toc251623146"/>
      <w:bookmarkEnd w:id="1003"/>
      <w:bookmarkStart w:id="1004" w:name="_Toc252138651"/>
      <w:bookmarkEnd w:id="1004"/>
      <w:bookmarkStart w:id="1005" w:name="_Toc253599767"/>
      <w:bookmarkEnd w:id="1005"/>
      <w:bookmarkStart w:id="1006" w:name="_Toc251926402"/>
      <w:bookmarkEnd w:id="1006"/>
      <w:bookmarkStart w:id="1007" w:name="_Toc251922251"/>
      <w:bookmarkEnd w:id="1007"/>
      <w:bookmarkStart w:id="1008" w:name="_Toc251925965"/>
      <w:bookmarkEnd w:id="1008"/>
      <w:bookmarkStart w:id="1009" w:name="_Toc251925917"/>
      <w:bookmarkEnd w:id="1009"/>
      <w:bookmarkStart w:id="1010" w:name="_Toc251639666"/>
      <w:bookmarkEnd w:id="1010"/>
      <w:bookmarkStart w:id="1011" w:name="_Toc251921967"/>
      <w:bookmarkEnd w:id="1011"/>
      <w:bookmarkStart w:id="1012" w:name="_Toc253599729"/>
      <w:bookmarkEnd w:id="1012"/>
      <w:bookmarkStart w:id="1013" w:name="_Toc251635010"/>
      <w:bookmarkEnd w:id="1013"/>
      <w:bookmarkStart w:id="1014" w:name="_Toc251925941"/>
      <w:bookmarkEnd w:id="1014"/>
      <w:bookmarkStart w:id="1015" w:name="_Toc251639671"/>
      <w:bookmarkEnd w:id="1015"/>
      <w:bookmarkStart w:id="1016" w:name="_Toc251922168"/>
      <w:bookmarkEnd w:id="1016"/>
      <w:bookmarkStart w:id="1017" w:name="_Toc251922192"/>
      <w:bookmarkEnd w:id="1017"/>
      <w:bookmarkStart w:id="1018" w:name="_Toc251926316"/>
      <w:bookmarkEnd w:id="1018"/>
      <w:bookmarkStart w:id="1019" w:name="_Toc251624267"/>
      <w:bookmarkEnd w:id="1019"/>
      <w:bookmarkStart w:id="1020" w:name="_Toc251921956"/>
      <w:bookmarkEnd w:id="1020"/>
      <w:bookmarkStart w:id="1021" w:name="_Toc251922097"/>
      <w:bookmarkEnd w:id="1021"/>
      <w:bookmarkStart w:id="1022" w:name="_Toc251922003"/>
      <w:bookmarkEnd w:id="1022"/>
      <w:bookmarkStart w:id="1023" w:name="_Toc251926107"/>
      <w:bookmarkEnd w:id="1023"/>
      <w:bookmarkStart w:id="1024" w:name="_Toc251926178"/>
      <w:bookmarkEnd w:id="1024"/>
      <w:bookmarkStart w:id="1025" w:name="_Toc251922061"/>
      <w:bookmarkEnd w:id="1025"/>
      <w:bookmarkStart w:id="1026" w:name="_Toc251926035"/>
      <w:bookmarkEnd w:id="1026"/>
      <w:bookmarkStart w:id="1027" w:name="_Toc251638725"/>
      <w:bookmarkEnd w:id="1027"/>
      <w:bookmarkStart w:id="1028" w:name="_Toc251926212"/>
      <w:bookmarkEnd w:id="1028"/>
      <w:bookmarkStart w:id="1029" w:name="_Toc253599878"/>
      <w:bookmarkEnd w:id="1029"/>
      <w:bookmarkStart w:id="1030" w:name="_Toc251639677"/>
      <w:bookmarkEnd w:id="1030"/>
      <w:bookmarkStart w:id="1031" w:name="_Toc253595880"/>
      <w:bookmarkEnd w:id="1031"/>
      <w:bookmarkStart w:id="1032" w:name="_Toc251620345"/>
      <w:bookmarkEnd w:id="1032"/>
      <w:bookmarkStart w:id="1033" w:name="_Toc253595902"/>
      <w:bookmarkEnd w:id="1033"/>
      <w:bookmarkStart w:id="1034" w:name="_Toc251926023"/>
      <w:bookmarkEnd w:id="1034"/>
      <w:bookmarkStart w:id="1035" w:name="_Toc251922133"/>
      <w:bookmarkEnd w:id="1035"/>
      <w:bookmarkStart w:id="1036" w:name="_Toc251926382"/>
      <w:bookmarkEnd w:id="1036"/>
      <w:bookmarkStart w:id="1037" w:name="_Toc251922015"/>
      <w:bookmarkEnd w:id="1037"/>
      <w:bookmarkStart w:id="1038" w:name="_Toc251926083"/>
      <w:bookmarkEnd w:id="1038"/>
      <w:bookmarkStart w:id="1039" w:name="_Toc251922121"/>
      <w:bookmarkEnd w:id="1039"/>
      <w:bookmarkStart w:id="1040" w:name="_Toc251926201"/>
      <w:bookmarkEnd w:id="1040"/>
      <w:bookmarkStart w:id="1041" w:name="_Toc251926338"/>
      <w:bookmarkEnd w:id="1041"/>
      <w:bookmarkStart w:id="1042" w:name="_Toc251922474"/>
      <w:bookmarkEnd w:id="1042"/>
      <w:bookmarkStart w:id="1043" w:name="_Toc253594854"/>
      <w:bookmarkEnd w:id="1043"/>
      <w:bookmarkStart w:id="1044" w:name="_Toc253599778"/>
      <w:bookmarkEnd w:id="1044"/>
      <w:bookmarkStart w:id="1045" w:name="_Toc251922310"/>
      <w:bookmarkEnd w:id="1045"/>
      <w:bookmarkStart w:id="1046" w:name="_Toc251624273"/>
      <w:bookmarkEnd w:id="1046"/>
      <w:bookmarkStart w:id="1047" w:name="_Toc251926248"/>
      <w:bookmarkEnd w:id="1047"/>
      <w:bookmarkStart w:id="1048" w:name="_Toc251926360"/>
      <w:bookmarkEnd w:id="1048"/>
      <w:bookmarkStart w:id="1049" w:name="_Toc251639667"/>
      <w:bookmarkEnd w:id="1049"/>
      <w:bookmarkStart w:id="1050" w:name="_Toc251922377"/>
      <w:bookmarkEnd w:id="1050"/>
      <w:bookmarkStart w:id="1051" w:name="_Toc251622013"/>
      <w:bookmarkEnd w:id="1051"/>
      <w:bookmarkStart w:id="1052" w:name="_Toc251926306"/>
      <w:bookmarkEnd w:id="1052"/>
      <w:bookmarkStart w:id="1053" w:name="_Toc251624263"/>
      <w:bookmarkEnd w:id="1053"/>
      <w:bookmarkStart w:id="1054" w:name="_Toc251922399"/>
      <w:bookmarkEnd w:id="1054"/>
      <w:bookmarkStart w:id="1055" w:name="_Toc251922073"/>
      <w:bookmarkEnd w:id="1055"/>
      <w:bookmarkStart w:id="1056" w:name="_Toc253594828"/>
      <w:bookmarkEnd w:id="1056"/>
      <w:bookmarkStart w:id="1057" w:name="_Toc251926435"/>
      <w:bookmarkEnd w:id="1057"/>
      <w:bookmarkStart w:id="1058" w:name="_Toc251635014"/>
      <w:bookmarkEnd w:id="1058"/>
      <w:bookmarkStart w:id="1059" w:name="_Toc252138650"/>
      <w:bookmarkEnd w:id="1059"/>
      <w:bookmarkStart w:id="1060" w:name="_Toc251623137"/>
      <w:bookmarkEnd w:id="1060"/>
      <w:bookmarkStart w:id="1061" w:name="_Toc251623142"/>
      <w:bookmarkEnd w:id="1061"/>
      <w:bookmarkStart w:id="1062" w:name="_Toc251922157"/>
      <w:bookmarkEnd w:id="1062"/>
      <w:bookmarkStart w:id="1063" w:name="_Toc251926142"/>
      <w:bookmarkEnd w:id="1063"/>
      <w:bookmarkStart w:id="1064" w:name="_Toc251926371"/>
      <w:bookmarkEnd w:id="1064"/>
      <w:bookmarkStart w:id="1065" w:name="_Toc251620350"/>
      <w:bookmarkEnd w:id="1065"/>
      <w:bookmarkStart w:id="1066" w:name="_Toc253594829"/>
      <w:bookmarkEnd w:id="1066"/>
      <w:bookmarkStart w:id="1067" w:name="_Toc251926011"/>
      <w:bookmarkEnd w:id="1067"/>
      <w:bookmarkStart w:id="1068" w:name="_Toc251925906"/>
      <w:bookmarkEnd w:id="1068"/>
      <w:bookmarkStart w:id="1069" w:name="_Toc253595991"/>
      <w:bookmarkEnd w:id="1069"/>
      <w:bookmarkStart w:id="1070" w:name="_Toc251620344"/>
      <w:bookmarkEnd w:id="1070"/>
      <w:bookmarkStart w:id="1071" w:name="_Toc251922356"/>
      <w:bookmarkEnd w:id="1071"/>
      <w:bookmarkStart w:id="1072" w:name="_Toc251921979"/>
      <w:bookmarkEnd w:id="1072"/>
      <w:bookmarkStart w:id="1073" w:name="_Toc251926349"/>
      <w:bookmarkEnd w:id="1073"/>
      <w:bookmarkStart w:id="1074" w:name="_Toc251635020"/>
      <w:bookmarkEnd w:id="1074"/>
      <w:bookmarkStart w:id="1075" w:name="_Toc251624262"/>
      <w:bookmarkEnd w:id="1075"/>
      <w:bookmarkStart w:id="1076" w:name="_Toc253599731"/>
      <w:bookmarkEnd w:id="1076"/>
      <w:bookmarkStart w:id="1077" w:name="_Toc251922421"/>
      <w:bookmarkEnd w:id="1077"/>
      <w:bookmarkStart w:id="1078" w:name="_Toc251638722"/>
      <w:bookmarkEnd w:id="1078"/>
      <w:bookmarkStart w:id="1079" w:name="_Toc251926260"/>
      <w:bookmarkEnd w:id="1079"/>
      <w:bookmarkStart w:id="1080" w:name="_Toc251922204"/>
      <w:bookmarkEnd w:id="1080"/>
      <w:bookmarkStart w:id="1081" w:name="_Toc253595853"/>
      <w:bookmarkEnd w:id="1081"/>
      <w:bookmarkStart w:id="1082" w:name="_Toc253595980"/>
      <w:bookmarkEnd w:id="1082"/>
      <w:bookmarkStart w:id="1083" w:name="_Toc251922180"/>
      <w:bookmarkEnd w:id="1083"/>
      <w:bookmarkStart w:id="1084" w:name="_Toc251926424"/>
      <w:bookmarkEnd w:id="1084"/>
      <w:bookmarkStart w:id="1085" w:name="_Toc251926071"/>
      <w:bookmarkEnd w:id="1085"/>
      <w:bookmarkStart w:id="1086" w:name="_Toc253599756"/>
      <w:bookmarkEnd w:id="1086"/>
      <w:bookmarkStart w:id="1087" w:name="_Toc251638720"/>
      <w:bookmarkEnd w:id="1087"/>
      <w:bookmarkStart w:id="1088" w:name="_Toc253594987"/>
      <w:bookmarkEnd w:id="1088"/>
      <w:bookmarkStart w:id="1089" w:name="_Toc253594876"/>
      <w:bookmarkEnd w:id="1089"/>
      <w:bookmarkStart w:id="1090" w:name="_Toc251926130"/>
      <w:bookmarkEnd w:id="1090"/>
      <w:bookmarkStart w:id="1091" w:name="_Toc251639673"/>
      <w:bookmarkEnd w:id="1091"/>
      <w:bookmarkStart w:id="1092" w:name="_Toc253596002"/>
      <w:bookmarkEnd w:id="1092"/>
      <w:bookmarkStart w:id="1093" w:name="_Toc253594976"/>
      <w:bookmarkEnd w:id="1093"/>
      <w:bookmarkStart w:id="1094" w:name="_Toc251922216"/>
      <w:bookmarkEnd w:id="1094"/>
      <w:bookmarkStart w:id="1095" w:name="_Toc251620354"/>
      <w:bookmarkEnd w:id="1095"/>
      <w:bookmarkStart w:id="1096" w:name="_Toc251620343"/>
      <w:bookmarkEnd w:id="1096"/>
      <w:bookmarkStart w:id="1097" w:name="_Toc253594827"/>
      <w:bookmarkEnd w:id="1097"/>
      <w:bookmarkStart w:id="1098" w:name="_Toc251922366"/>
      <w:bookmarkEnd w:id="1098"/>
      <w:bookmarkStart w:id="1099" w:name="_Toc251624264"/>
      <w:bookmarkEnd w:id="1099"/>
      <w:bookmarkStart w:id="1100" w:name="_Toc253599856"/>
      <w:bookmarkEnd w:id="1100"/>
      <w:bookmarkStart w:id="1101" w:name="_Toc253594865"/>
      <w:bookmarkEnd w:id="1101"/>
      <w:bookmarkStart w:id="1102" w:name="_Toc251622010"/>
      <w:bookmarkEnd w:id="1102"/>
      <w:bookmarkStart w:id="1103" w:name="_Toc251925977"/>
      <w:bookmarkEnd w:id="1103"/>
      <w:bookmarkStart w:id="1104" w:name="_Toc251922228"/>
      <w:bookmarkEnd w:id="1104"/>
      <w:bookmarkStart w:id="1105" w:name="_Toc251623135"/>
      <w:bookmarkEnd w:id="1105"/>
      <w:bookmarkStart w:id="1106" w:name="_Toc251922452"/>
      <w:bookmarkEnd w:id="1106"/>
      <w:bookmarkStart w:id="1107" w:name="_Toc251921991"/>
      <w:bookmarkEnd w:id="1107"/>
      <w:bookmarkStart w:id="1108" w:name="_Toc251635011"/>
      <w:bookmarkEnd w:id="1108"/>
      <w:bookmarkStart w:id="1109" w:name="_Toc251922410"/>
      <w:bookmarkEnd w:id="1109"/>
      <w:bookmarkStart w:id="1110" w:name="_Toc251922039"/>
      <w:bookmarkEnd w:id="1110"/>
      <w:bookmarkStart w:id="1111" w:name="_Toc253596013"/>
      <w:bookmarkEnd w:id="1111"/>
      <w:bookmarkStart w:id="1112" w:name="_Toc251922027"/>
      <w:bookmarkEnd w:id="1112"/>
      <w:bookmarkStart w:id="1113" w:name="_Toc253595855"/>
      <w:bookmarkEnd w:id="1113"/>
      <w:bookmarkStart w:id="1114" w:name="_Toc251635016"/>
      <w:bookmarkEnd w:id="1114"/>
      <w:bookmarkStart w:id="1115" w:name="_Toc251922485"/>
      <w:bookmarkEnd w:id="1115"/>
      <w:bookmarkStart w:id="1116" w:name="_Toc251922334"/>
      <w:bookmarkEnd w:id="1116"/>
      <w:bookmarkStart w:id="1117" w:name="_Toc253595854"/>
      <w:bookmarkEnd w:id="1117"/>
      <w:bookmarkStart w:id="1118" w:name="_Toc251624269"/>
      <w:bookmarkEnd w:id="1118"/>
      <w:bookmarkStart w:id="1119" w:name="_Toc251922109"/>
      <w:bookmarkEnd w:id="1119"/>
      <w:bookmarkStart w:id="1120" w:name="_Toc251926392"/>
      <w:bookmarkEnd w:id="1120"/>
      <w:bookmarkStart w:id="1121" w:name="_Toc251922388"/>
      <w:bookmarkEnd w:id="1121"/>
      <w:bookmarkStart w:id="1122" w:name="_Toc251922262"/>
      <w:bookmarkEnd w:id="1122"/>
      <w:bookmarkStart w:id="1123" w:name="_Toc251926446"/>
      <w:bookmarkEnd w:id="1123"/>
      <w:bookmarkStart w:id="1124" w:name="_Toc251922463"/>
      <w:bookmarkEnd w:id="1124"/>
      <w:bookmarkStart w:id="1125" w:name="_Toc251622008"/>
      <w:bookmarkEnd w:id="1125"/>
      <w:bookmarkStart w:id="1126" w:name="_Toc251926118"/>
      <w:bookmarkEnd w:id="1126"/>
      <w:bookmarkStart w:id="1127" w:name="_Toc251622015"/>
      <w:bookmarkEnd w:id="1127"/>
      <w:bookmarkStart w:id="1128" w:name="_Toc251638727"/>
      <w:bookmarkEnd w:id="1128"/>
      <w:bookmarkStart w:id="1129" w:name="_Toc251926166"/>
      <w:bookmarkEnd w:id="1129"/>
      <w:bookmarkStart w:id="1130" w:name="_Toc251622009"/>
      <w:bookmarkEnd w:id="1130"/>
      <w:bookmarkStart w:id="1131" w:name="_Toc251922050"/>
      <w:bookmarkEnd w:id="1131"/>
      <w:bookmarkStart w:id="1132" w:name="_Toc251922507"/>
      <w:bookmarkEnd w:id="1132"/>
      <w:bookmarkStart w:id="1133" w:name="_Toc251925929"/>
      <w:bookmarkEnd w:id="1133"/>
      <w:bookmarkStart w:id="1134" w:name="_Toc251635009"/>
      <w:bookmarkEnd w:id="1134"/>
      <w:bookmarkStart w:id="1135" w:name="_Toc251926284"/>
      <w:bookmarkEnd w:id="1135"/>
      <w:bookmarkStart w:id="1136" w:name="_Toc251926224"/>
      <w:bookmarkEnd w:id="1136"/>
      <w:bookmarkStart w:id="1137" w:name="_Toc253599867"/>
      <w:bookmarkEnd w:id="1137"/>
      <w:bookmarkStart w:id="1138" w:name="_Toc251638731"/>
      <w:bookmarkEnd w:id="1138"/>
      <w:bookmarkStart w:id="1139" w:name="_Toc251922240"/>
      <w:bookmarkEnd w:id="1139"/>
      <w:bookmarkStart w:id="1140" w:name="_Toc251922274"/>
      <w:bookmarkEnd w:id="1140"/>
      <w:bookmarkStart w:id="1141" w:name="_Toc251922085"/>
      <w:bookmarkEnd w:id="1141"/>
      <w:bookmarkStart w:id="1142" w:name="_Toc251926047"/>
      <w:bookmarkEnd w:id="1142"/>
      <w:bookmarkStart w:id="1143" w:name="_Toc251922298"/>
      <w:bookmarkEnd w:id="1143"/>
      <w:bookmarkStart w:id="1144" w:name="_Toc253599730"/>
      <w:bookmarkEnd w:id="1144"/>
      <w:bookmarkStart w:id="1145" w:name="_Toc251925989"/>
      <w:bookmarkEnd w:id="1145"/>
      <w:bookmarkStart w:id="1146" w:name="_Toc251620348"/>
      <w:bookmarkEnd w:id="1146"/>
      <w:bookmarkStart w:id="1147" w:name="_Toc253599889"/>
      <w:bookmarkEnd w:id="1147"/>
      <w:bookmarkStart w:id="1148" w:name="_Toc251922496"/>
      <w:bookmarkEnd w:id="1148"/>
      <w:bookmarkStart w:id="1149" w:name="_Toc251926327"/>
      <w:bookmarkEnd w:id="1149"/>
      <w:bookmarkStart w:id="1150" w:name="_Toc253594965"/>
      <w:bookmarkEnd w:id="1150"/>
      <w:bookmarkStart w:id="1151" w:name="_Toc253595891"/>
      <w:bookmarkEnd w:id="1151"/>
      <w:bookmarkStart w:id="1152" w:name="_Toc251926154"/>
      <w:bookmarkEnd w:id="1152"/>
      <w:bookmarkStart w:id="1153" w:name="_Toc251926190"/>
      <w:bookmarkEnd w:id="1153"/>
      <w:bookmarkStart w:id="1154" w:name="_Toc251922286"/>
      <w:bookmarkEnd w:id="1154"/>
      <w:bookmarkStart w:id="1155" w:name="_Toc251926457"/>
      <w:bookmarkEnd w:id="1155"/>
      <w:bookmarkStart w:id="1156" w:name="_Toc251926059"/>
      <w:bookmarkEnd w:id="1156"/>
      <w:bookmarkStart w:id="1157" w:name="_Toc251623140"/>
      <w:bookmarkEnd w:id="1157"/>
      <w:bookmarkStart w:id="1158" w:name="_Toc251926272"/>
      <w:bookmarkEnd w:id="1158"/>
      <w:bookmarkStart w:id="1159" w:name="_Toc251922432"/>
      <w:bookmarkEnd w:id="1159"/>
      <w:bookmarkStart w:id="1160" w:name="_Toc251926413"/>
      <w:bookmarkEnd w:id="1160"/>
      <w:bookmarkStart w:id="1161" w:name="_Toc251638721"/>
      <w:bookmarkEnd w:id="1161"/>
      <w:bookmarkStart w:id="1162" w:name="_Toc251925953"/>
      <w:bookmarkEnd w:id="1162"/>
      <w:bookmarkStart w:id="1163" w:name="_Toc251623136"/>
      <w:bookmarkEnd w:id="1163"/>
      <w:bookmarkStart w:id="1164" w:name="_Toc253744828"/>
      <w:bookmarkStart w:id="1165" w:name="_Toc307054121"/>
      <w:bookmarkStart w:id="1166" w:name="_Toc306766348"/>
      <w:bookmarkStart w:id="1167" w:name="_Toc306780141"/>
      <w:bookmarkStart w:id="1168" w:name="_Toc251493961"/>
      <w:bookmarkStart w:id="1169" w:name="_Toc59973984"/>
      <w:bookmarkStart w:id="1170" w:name="_Toc253594989"/>
      <w:bookmarkStart w:id="1171" w:name="_Toc51773093"/>
      <w:bookmarkStart w:id="1172" w:name="_Toc306956306"/>
      <w:bookmarkStart w:id="1173" w:name="_Toc74041250"/>
      <w:bookmarkStart w:id="1174" w:name="_Toc253585258"/>
      <w:bookmarkStart w:id="1175" w:name="_Toc35354382"/>
      <w:r>
        <w:rPr>
          <w:rFonts w:eastAsia="仿宋"/>
          <w:sz w:val="32"/>
          <w:szCs w:val="32"/>
        </w:rPr>
        <w:t>10千伏电网无功补偿</w:t>
      </w:r>
      <w:bookmarkEnd w:id="1164"/>
      <w:bookmarkEnd w:id="1165"/>
      <w:bookmarkEnd w:id="1166"/>
      <w:bookmarkEnd w:id="1167"/>
      <w:bookmarkEnd w:id="1168"/>
      <w:bookmarkEnd w:id="1169"/>
      <w:bookmarkEnd w:id="1170"/>
      <w:bookmarkEnd w:id="1171"/>
      <w:bookmarkEnd w:id="1172"/>
      <w:bookmarkEnd w:id="1173"/>
      <w:bookmarkEnd w:id="1174"/>
      <w:bookmarkEnd w:id="1175"/>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新建及改造配变无功补偿容量配置比例按照30%，“十四五”期间，西咸新区10千伏及以下电网配置无功补偿容量15.78兆乏。</w:t>
      </w:r>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1176" w:name="_Toc35354383"/>
      <w:bookmarkStart w:id="1177" w:name="_Toc74041251"/>
      <w:bookmarkStart w:id="1178" w:name="_Toc59973985"/>
      <w:bookmarkStart w:id="1179" w:name="_Toc333401004"/>
      <w:bookmarkStart w:id="1180" w:name="_Toc51773094"/>
      <w:r>
        <w:rPr>
          <w:rFonts w:eastAsia="仿宋"/>
          <w:sz w:val="32"/>
          <w:szCs w:val="32"/>
        </w:rPr>
        <w:t>0.4千伏电网线路规划</w:t>
      </w:r>
      <w:bookmarkEnd w:id="1176"/>
      <w:bookmarkEnd w:id="1177"/>
      <w:bookmarkEnd w:id="1178"/>
      <w:bookmarkEnd w:id="1179"/>
      <w:bookmarkEnd w:id="1180"/>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按照配电室、箱式变以及柱上变等分类提出典型台区低压侧配套工程的建设方案。合理分析低压线路敷设方式、建设与改造规模。</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“十四五”期间，西咸新区新建0.4千伏线路307回，线路长度140.67公里，全部为架空线。 </w:t>
      </w:r>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lang w:val="en-US" w:eastAsia="zh-CN"/>
        </w:rPr>
      </w:pPr>
      <w:bookmarkStart w:id="1181" w:name="_Toc74041253"/>
      <w:bookmarkStart w:id="1182" w:name="_Toc25655"/>
      <w:r>
        <w:rPr>
          <w:rFonts w:hint="eastAsia" w:ascii="黑体" w:hAnsi="黑体" w:eastAsia="黑体" w:cs="黑体"/>
          <w:b w:val="0"/>
          <w:bCs w:val="0"/>
          <w:sz w:val="32"/>
          <w:szCs w:val="32"/>
          <w:lang w:val="en-US" w:eastAsia="zh-CN"/>
        </w:rPr>
        <w:t>沣西新城增量电网“十四五”期间10千伏及以下电网规划</w:t>
      </w:r>
      <w:bookmarkEnd w:id="1181"/>
      <w:bookmarkEnd w:id="1182"/>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r>
        <w:rPr>
          <w:rFonts w:hint="eastAsia" w:eastAsia="仿宋"/>
          <w:sz w:val="32"/>
          <w:szCs w:val="32"/>
        </w:rPr>
        <w:t>创新港二期</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为满足区域内2025年最大负荷供电需求，共需新建环网柜58座，新建线路38回，新建电缆长50.34公里。</w:t>
      </w:r>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1183" w:name="_Toc59973989"/>
      <w:bookmarkStart w:id="1184" w:name="_Toc74041255"/>
      <w:r>
        <w:rPr>
          <w:rFonts w:eastAsia="仿宋"/>
          <w:sz w:val="32"/>
          <w:szCs w:val="32"/>
        </w:rPr>
        <w:t>现代综合商务区区域</w:t>
      </w:r>
      <w:bookmarkEnd w:id="1183"/>
      <w:bookmarkEnd w:id="1184"/>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为满足区域内2025年最大负荷供电需求，共需新建环网柜36座，新建线路15回，新建电缆长26.95公里。</w:t>
      </w:r>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lang w:val="en-US" w:eastAsia="zh-CN"/>
        </w:rPr>
      </w:pPr>
      <w:bookmarkStart w:id="1185" w:name="_Toc74041256"/>
      <w:bookmarkStart w:id="1186" w:name="_Toc9820"/>
      <w:r>
        <w:rPr>
          <w:rFonts w:hint="eastAsia" w:ascii="黑体" w:hAnsi="黑体" w:eastAsia="黑体" w:cs="黑体"/>
          <w:b w:val="0"/>
          <w:bCs w:val="0"/>
          <w:sz w:val="32"/>
          <w:szCs w:val="32"/>
          <w:lang w:val="en-US" w:eastAsia="zh-CN"/>
        </w:rPr>
        <w:t>空港新城增量电网“十四五”期间10千伏及以下电网规划</w:t>
      </w:r>
      <w:bookmarkEnd w:id="1185"/>
      <w:bookmarkEnd w:id="1186"/>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为满足区域内2025年最大负荷供电需求，共需新建环网柜12座、新建开闭所3座、分支箱22个、新建电缆长40公里。</w:t>
      </w:r>
    </w:p>
    <w:p>
      <w:pPr>
        <w:pStyle w:val="150"/>
        <w:ind w:firstLine="560"/>
      </w:pPr>
    </w:p>
    <w:p>
      <w:pPr>
        <w:widowControl/>
        <w:spacing w:line="240" w:lineRule="auto"/>
        <w:jc w:val="left"/>
        <w:rPr>
          <w:rFonts w:eastAsia="仿宋"/>
          <w:sz w:val="28"/>
          <w:szCs w:val="20"/>
        </w:rPr>
      </w:pPr>
      <w:r>
        <w:br w:type="page"/>
      </w:r>
    </w:p>
    <w:p>
      <w:pPr>
        <w:pStyle w:val="4"/>
        <w:keepNext/>
        <w:keepLines/>
        <w:pageBreakBefore/>
        <w:widowControl w:val="0"/>
        <w:kinsoku/>
        <w:wordWrap/>
        <w:overflowPunct/>
        <w:topLinePunct w:val="0"/>
        <w:autoSpaceDE/>
        <w:autoSpaceDN/>
        <w:bidi w:val="0"/>
        <w:adjustRightInd/>
        <w:snapToGrid/>
        <w:spacing w:before="157" w:beforeLines="50" w:after="157" w:afterLines="50" w:line="560" w:lineRule="exact"/>
        <w:textAlignment w:val="auto"/>
        <w:rPr>
          <w:rFonts w:eastAsia="仿宋"/>
          <w:sz w:val="44"/>
          <w:szCs w:val="44"/>
        </w:rPr>
      </w:pPr>
      <w:bookmarkStart w:id="1187" w:name="_Toc25673054"/>
      <w:bookmarkStart w:id="1188" w:name="_Toc20335"/>
      <w:r>
        <w:rPr>
          <w:rFonts w:eastAsia="仿宋"/>
          <w:sz w:val="44"/>
          <w:szCs w:val="44"/>
        </w:rPr>
        <w:t>自动化规划</w:t>
      </w:r>
      <w:bookmarkEnd w:id="1187"/>
      <w:bookmarkEnd w:id="1188"/>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lang w:val="en-US" w:eastAsia="zh-CN"/>
        </w:rPr>
      </w:pPr>
      <w:bookmarkStart w:id="1189" w:name="_Toc374556210"/>
      <w:bookmarkStart w:id="1190" w:name="_Toc32229"/>
      <w:bookmarkStart w:id="1191" w:name="_Toc25673055"/>
      <w:r>
        <w:rPr>
          <w:rFonts w:hint="eastAsia" w:ascii="黑体" w:hAnsi="黑体" w:eastAsia="黑体" w:cs="黑体"/>
          <w:b w:val="0"/>
          <w:bCs w:val="0"/>
          <w:sz w:val="32"/>
          <w:szCs w:val="32"/>
          <w:lang w:val="en-US" w:eastAsia="zh-CN"/>
        </w:rPr>
        <w:t>自动化实现方式</w:t>
      </w:r>
      <w:bookmarkEnd w:id="1189"/>
      <w:bookmarkEnd w:id="1190"/>
      <w:bookmarkEnd w:id="1191"/>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本次规划的西咸新区大部分属于B类供电区，馈线自动化采用集中式或智能分布式，与单环网直接相连的10千伏开关站、配电室、环网单元中配备DTU终端设备，完成对开关设备的位置信号、电压、电流、有功功率、无功功率、功率因数、电能量等数据的采集与计算，对开关进行分合闸操作，实现对馈线开关的故障识别、隔离和对非故障区间的恢复供电。</w:t>
      </w:r>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lang w:val="en-US" w:eastAsia="zh-CN"/>
        </w:rPr>
      </w:pPr>
      <w:bookmarkStart w:id="1192" w:name="_Toc19685"/>
      <w:bookmarkStart w:id="1193" w:name="_Toc25673056"/>
      <w:r>
        <w:rPr>
          <w:rFonts w:hint="eastAsia" w:ascii="黑体" w:hAnsi="黑体" w:eastAsia="黑体" w:cs="黑体"/>
          <w:b w:val="0"/>
          <w:bCs w:val="0"/>
          <w:sz w:val="32"/>
          <w:szCs w:val="32"/>
          <w:lang w:val="en-US" w:eastAsia="zh-CN"/>
        </w:rPr>
        <w:t>终端建设原则</w:t>
      </w:r>
      <w:bookmarkEnd w:id="1192"/>
      <w:bookmarkEnd w:id="1193"/>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1.</w:t>
      </w:r>
      <w:r>
        <w:rPr>
          <w:rFonts w:hint="eastAsia" w:ascii="仿宋_GB2312" w:hAnsi="仿宋_GB2312" w:eastAsia="仿宋_GB2312" w:cs="仿宋_GB2312"/>
          <w:sz w:val="32"/>
          <w:szCs w:val="32"/>
        </w:rPr>
        <w:t>终端监控选点、建设原则</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1）</w:t>
      </w:r>
      <w:r>
        <w:rPr>
          <w:rFonts w:hint="eastAsia" w:ascii="仿宋_GB2312" w:hAnsi="仿宋_GB2312" w:eastAsia="仿宋_GB2312" w:cs="仿宋_GB2312"/>
          <w:sz w:val="32"/>
          <w:szCs w:val="32"/>
        </w:rPr>
        <w:t>优先对网架结构相对稳定、具有转供能力且近期不需要进行改造的线路进行自动化建设。</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rPr>
        <w:t>自动化终端的建设宜结合一次设备的建设与改造逐步实施。</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rPr>
        <w:t>相互间具有联络关系的线路宜同期进行自动化建设与改造。</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对于所有的新建设备均按照三遥标准建设，主干层联络开关和分段开关应配备齐全三遥配套设备。</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监控功能配置方案应根据供电可靠性要求、开关设备现状及通信条件合理选择“三遥”和“两遥”监控点。</w:t>
      </w:r>
    </w:p>
    <w:p>
      <w:pPr>
        <w:pStyle w:val="2"/>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黑体" w:hAnsi="黑体" w:eastAsia="黑体" w:cs="黑体"/>
          <w:b w:val="0"/>
          <w:bCs w:val="0"/>
          <w:sz w:val="28"/>
          <w:szCs w:val="28"/>
          <w:lang w:val="en-US" w:eastAsia="zh-CN"/>
        </w:rPr>
      </w:pPr>
      <w:r>
        <w:rPr>
          <w:rFonts w:hint="eastAsia" w:ascii="黑体" w:hAnsi="黑体" w:eastAsia="黑体" w:cs="黑体"/>
          <w:b w:val="0"/>
          <w:bCs w:val="0"/>
          <w:sz w:val="28"/>
          <w:szCs w:val="28"/>
          <w:lang w:val="en-US" w:eastAsia="zh-CN"/>
        </w:rPr>
        <w:t>表10-1</w:t>
      </w:r>
    </w:p>
    <w:tbl>
      <w:tblPr>
        <w:tblStyle w:val="88"/>
        <w:tblW w:w="851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483"/>
        <w:gridCol w:w="2549"/>
        <w:gridCol w:w="2741"/>
        <w:gridCol w:w="27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Header/>
          <w:jc w:val="center"/>
        </w:trPr>
        <w:tc>
          <w:tcPr>
            <w:tcW w:w="483" w:type="dxa"/>
            <w:vMerge w:val="restart"/>
            <w:shd w:val="clear" w:color="auto" w:fill="auto"/>
            <w:vAlign w:val="center"/>
          </w:tcPr>
          <w:p>
            <w:pPr>
              <w:adjustRightInd w:val="0"/>
              <w:snapToGrid w:val="0"/>
              <w:spacing w:line="240" w:lineRule="exact"/>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供电区域</w:t>
            </w:r>
          </w:p>
        </w:tc>
        <w:tc>
          <w:tcPr>
            <w:tcW w:w="8031" w:type="dxa"/>
            <w:gridSpan w:val="3"/>
            <w:shd w:val="clear" w:color="auto" w:fill="auto"/>
            <w:vAlign w:val="center"/>
          </w:tcPr>
          <w:p>
            <w:pPr>
              <w:adjustRightInd w:val="0"/>
              <w:snapToGrid w:val="0"/>
              <w:spacing w:line="240" w:lineRule="exact"/>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终端类型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Header/>
          <w:jc w:val="center"/>
        </w:trPr>
        <w:tc>
          <w:tcPr>
            <w:tcW w:w="483" w:type="dxa"/>
            <w:vMerge w:val="continue"/>
            <w:shd w:val="clear" w:color="auto" w:fill="auto"/>
            <w:vAlign w:val="center"/>
          </w:tcPr>
          <w:p>
            <w:pPr>
              <w:adjustRightInd w:val="0"/>
              <w:snapToGrid w:val="0"/>
              <w:spacing w:line="240" w:lineRule="exact"/>
              <w:jc w:val="center"/>
              <w:rPr>
                <w:rFonts w:hint="eastAsia" w:ascii="方正仿宋_GB2312" w:hAnsi="方正仿宋_GB2312" w:eastAsia="方正仿宋_GB2312" w:cs="方正仿宋_GB2312"/>
                <w:sz w:val="21"/>
                <w:szCs w:val="21"/>
              </w:rPr>
            </w:pPr>
          </w:p>
        </w:tc>
        <w:tc>
          <w:tcPr>
            <w:tcW w:w="2549" w:type="dxa"/>
            <w:shd w:val="clear" w:color="auto" w:fill="auto"/>
            <w:vAlign w:val="center"/>
          </w:tcPr>
          <w:p>
            <w:pPr>
              <w:adjustRightInd w:val="0"/>
              <w:snapToGrid w:val="0"/>
              <w:spacing w:line="240" w:lineRule="exact"/>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三遥</w:t>
            </w:r>
          </w:p>
        </w:tc>
        <w:tc>
          <w:tcPr>
            <w:tcW w:w="2741" w:type="dxa"/>
            <w:shd w:val="clear" w:color="auto" w:fill="auto"/>
            <w:vAlign w:val="center"/>
          </w:tcPr>
          <w:p>
            <w:pPr>
              <w:adjustRightInd w:val="0"/>
              <w:snapToGrid w:val="0"/>
              <w:spacing w:line="240" w:lineRule="exact"/>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两遥</w:t>
            </w:r>
          </w:p>
        </w:tc>
        <w:tc>
          <w:tcPr>
            <w:tcW w:w="2741" w:type="dxa"/>
            <w:shd w:val="clear" w:color="auto" w:fill="auto"/>
            <w:vAlign w:val="center"/>
          </w:tcPr>
          <w:p>
            <w:pPr>
              <w:adjustRightInd w:val="0"/>
              <w:snapToGrid w:val="0"/>
              <w:spacing w:line="240" w:lineRule="exact"/>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一遥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83" w:type="dxa"/>
            <w:shd w:val="clear" w:color="auto" w:fill="auto"/>
            <w:vAlign w:val="center"/>
          </w:tcPr>
          <w:p>
            <w:pPr>
              <w:adjustRightInd w:val="0"/>
              <w:snapToGrid w:val="0"/>
              <w:spacing w:line="240" w:lineRule="exact"/>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安</w:t>
            </w:r>
          </w:p>
        </w:tc>
        <w:tc>
          <w:tcPr>
            <w:tcW w:w="2549" w:type="dxa"/>
            <w:shd w:val="clear" w:color="auto" w:fill="auto"/>
            <w:vAlign w:val="center"/>
          </w:tcPr>
          <w:p>
            <w:pPr>
              <w:adjustRightInd w:val="0"/>
              <w:snapToGrid w:val="0"/>
              <w:spacing w:line="240" w:lineRule="exact"/>
              <w:jc w:val="both"/>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1）联络开关。</w:t>
            </w:r>
            <w:r>
              <w:rPr>
                <w:rFonts w:hint="eastAsia" w:ascii="方正仿宋_GB2312" w:hAnsi="方正仿宋_GB2312" w:eastAsia="方正仿宋_GB2312" w:cs="方正仿宋_GB2312"/>
                <w:sz w:val="21"/>
                <w:szCs w:val="21"/>
              </w:rPr>
              <w:br w:type="textWrapping"/>
            </w:r>
            <w:r>
              <w:rPr>
                <w:rFonts w:hint="eastAsia" w:ascii="方正仿宋_GB2312" w:hAnsi="方正仿宋_GB2312" w:eastAsia="方正仿宋_GB2312" w:cs="方正仿宋_GB2312"/>
                <w:sz w:val="21"/>
                <w:szCs w:val="21"/>
              </w:rPr>
              <w:t>2）具备电动机构或三遥改造条件的分段开关。</w:t>
            </w:r>
            <w:r>
              <w:rPr>
                <w:rFonts w:hint="eastAsia" w:ascii="方正仿宋_GB2312" w:hAnsi="方正仿宋_GB2312" w:eastAsia="方正仿宋_GB2312" w:cs="方正仿宋_GB2312"/>
                <w:sz w:val="21"/>
                <w:szCs w:val="21"/>
              </w:rPr>
              <w:br w:type="textWrapping"/>
            </w:r>
            <w:r>
              <w:rPr>
                <w:rFonts w:hint="eastAsia" w:ascii="方正仿宋_GB2312" w:hAnsi="方正仿宋_GB2312" w:eastAsia="方正仿宋_GB2312" w:cs="方正仿宋_GB2312"/>
                <w:sz w:val="21"/>
                <w:szCs w:val="21"/>
              </w:rPr>
              <w:t>3）新建的联络开关和分段开关。</w:t>
            </w:r>
          </w:p>
        </w:tc>
        <w:tc>
          <w:tcPr>
            <w:tcW w:w="2741" w:type="dxa"/>
            <w:shd w:val="clear" w:color="auto" w:fill="auto"/>
            <w:vAlign w:val="center"/>
          </w:tcPr>
          <w:p>
            <w:pPr>
              <w:adjustRightInd w:val="0"/>
              <w:snapToGrid w:val="0"/>
              <w:spacing w:line="240" w:lineRule="exact"/>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不具备三遥改造条件与专网通信条件的分支开关；</w:t>
            </w:r>
          </w:p>
        </w:tc>
        <w:tc>
          <w:tcPr>
            <w:tcW w:w="2741" w:type="dxa"/>
            <w:shd w:val="clear" w:color="auto" w:fill="auto"/>
            <w:vAlign w:val="center"/>
          </w:tcPr>
          <w:p>
            <w:pPr>
              <w:adjustRightInd w:val="0"/>
              <w:snapToGrid w:val="0"/>
              <w:spacing w:line="240" w:lineRule="exact"/>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位于故障易发区域，有利于故障定位但没有开关或开关无法进行“三遥”、“二遥”改造的节点。</w:t>
            </w:r>
          </w:p>
        </w:tc>
      </w:tr>
    </w:tbl>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rPr>
        <w:t>终端结构及安装原则</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自动化终端应能够根据实际需要提供多种安装方式，适应各种现场安装环境。为了实现在较短的时间内完成大量电网终端的安装调试，在进行电网终端结构设计及安装方案设计时应遵循以下原则：</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1）</w:t>
      </w:r>
      <w:r>
        <w:rPr>
          <w:rFonts w:hint="eastAsia" w:ascii="仿宋_GB2312" w:hAnsi="仿宋_GB2312" w:eastAsia="仿宋_GB2312" w:cs="仿宋_GB2312"/>
          <w:sz w:val="32"/>
          <w:szCs w:val="32"/>
        </w:rPr>
        <w:t>统一自动化终端的结构形式、外形尺寸和标识标准，便于流程化作业。</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rPr>
        <w:t>统一自动化终端的功能配置和端子排定义，便于批量调试和维护。</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rPr>
        <w:t>统一自动化终端的安装方式，便于批量安装。</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终端结构既要便于安装调试，又要具有可扩展性，满足功能及容量的扩展。</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rPr>
        <w:t>自动化设备电源配置原则</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1）</w:t>
      </w:r>
      <w:r>
        <w:rPr>
          <w:rFonts w:hint="eastAsia" w:ascii="仿宋_GB2312" w:hAnsi="仿宋_GB2312" w:eastAsia="仿宋_GB2312" w:cs="仿宋_GB2312"/>
          <w:sz w:val="32"/>
          <w:szCs w:val="32"/>
        </w:rPr>
        <w:t>自动化终端设备的电源系统容量应满足开关操作、自动化终端及通信设备供电需求。</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rPr>
        <w:t>实现三遥或两遥功能的架空线终端采用电压互感器取电方式。</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rPr>
        <w:t>具备安装电压互感器的条件的站点，可安装电压互感器；不具备安装电压互感器的条件的站点可从临近公用配电变压器获取交流电源。</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自动化终端的电源系统应支持双路输入，并行运行，具有母线的站点宜采用母线PT取电方式。</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5）</w:t>
      </w:r>
      <w:r>
        <w:rPr>
          <w:rFonts w:hint="eastAsia" w:ascii="仿宋_GB2312" w:hAnsi="仿宋_GB2312" w:eastAsia="仿宋_GB2312" w:cs="仿宋_GB2312"/>
          <w:sz w:val="32"/>
          <w:szCs w:val="32"/>
        </w:rPr>
        <w:t>具备遥控功能开关的站所，后备电源应满足在主电源失电的情况下维持终端运行一定时间和开关分合闸两次的要求。</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6）</w:t>
      </w:r>
      <w:r>
        <w:rPr>
          <w:rFonts w:hint="eastAsia" w:ascii="仿宋_GB2312" w:hAnsi="仿宋_GB2312" w:eastAsia="仿宋_GB2312" w:cs="仿宋_GB2312"/>
          <w:sz w:val="32"/>
          <w:szCs w:val="32"/>
        </w:rPr>
        <w:t>自动化终端的后备电源应采用免维护、长寿命、耐高温、耐潮湿的储能装置，并实现对电源系统的远程智能监控。</w:t>
      </w:r>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lang w:val="en-US" w:eastAsia="zh-CN"/>
        </w:rPr>
      </w:pPr>
      <w:bookmarkStart w:id="1194" w:name="_Toc25673057"/>
      <w:bookmarkStart w:id="1195" w:name="_Toc2667"/>
      <w:r>
        <w:rPr>
          <w:rFonts w:hint="eastAsia" w:ascii="黑体" w:hAnsi="黑体" w:eastAsia="黑体" w:cs="黑体"/>
          <w:b w:val="0"/>
          <w:bCs w:val="0"/>
          <w:sz w:val="32"/>
          <w:szCs w:val="32"/>
          <w:lang w:val="en-US" w:eastAsia="zh-CN"/>
        </w:rPr>
        <w:t>通信方式</w:t>
      </w:r>
      <w:bookmarkEnd w:id="1194"/>
      <w:bookmarkEnd w:id="1195"/>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r>
        <w:rPr>
          <w:rFonts w:eastAsia="仿宋"/>
          <w:sz w:val="32"/>
          <w:szCs w:val="32"/>
        </w:rPr>
        <w:t>通信规划思路</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本次规划中骨干通信网规划主要包括西咸新区所辖的各110千伏变电站，规划的内容包括：传输网、业务网、支撑网。</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继续加大电力通信网的建设力度，强化通信网架结构，提高通信网络的承载能力，满足各种业务日益增长的需求，以保证电力通信网络的可持续发展，提高继电保护、调度、自动化信息等传输通道的可靠性。</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val="en-US" w:eastAsia="zh-CN"/>
        </w:rPr>
        <w:t>1.</w:t>
      </w:r>
      <w:r>
        <w:rPr>
          <w:rFonts w:hint="eastAsia" w:ascii="仿宋_GB2312" w:hAnsi="仿宋_GB2312" w:eastAsia="仿宋_GB2312" w:cs="仿宋_GB2312"/>
          <w:sz w:val="32"/>
          <w:szCs w:val="32"/>
          <w:lang w:eastAsia="zh-CN"/>
        </w:rPr>
        <w:t>传输网</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进一步建设和优化主干光缆网络，扩充主干光缆网络的容量，增加汇聚的光缆网络构架。</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lang w:eastAsia="zh-CN"/>
        </w:rPr>
        <w:t>主干传输网规划</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在主干传输环网基础上加大对网络的优化，采用2.5G汇接层设备，全面提高主干传输网的业务传送能力、自愈能力，为继电保护、调度数据网、信息四级汇聚网、调度交换网、行政交换网等提供高带宽和高可靠性的基础网络。</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3.接入传输网络规划</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加强接入层面通信网络的建设和优化，提高业务相对集中站点的传输容量承载能力，完善区域网架，实现覆盖西咸新区所有110千伏变电站、各基层单位的光纤接入网络，为继电保护、调度数据网、信息四级网等业务提供高带宽和高可靠性的传送平台。</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4.支撑网络规划</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（1）通信综合网管系统的推广和应用</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通信综合网管系统，包括综合监视、资源管理、T-MIS三个子系统。综合监视子系统实现四级网通信设备告警及所辖110千伏及以上变电站动力环境的集中监视；资源管理子系统实现四级网通信资源在局通信中心统一管理；T-MIS子系统实现通信管理的信息化，包括检修工作单管理、运行方式单管理、设备缺陷管理、备品备件管理、值班日志、工程管理管理及统计报表管理等，实现地市网管中心与省网管中心的共享。</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继续完善通信综合网管系统的各项功能，不断提高系统的实用化水平，提升通信运行维护管理水平。</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（2）通信电源及动力环境监控系统</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完善110千伏变电站通信站点电源系统，提高通信站点专用通信电源的覆盖率，推进DC-DC电源模块的应用，实现110千伏变电站通信电源系统的两路接入。</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（3）同步网系统发展</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优化同步网络，在统一电力数字同步网基础上，建立完善的时钟同步地面传输链路，提供可靠的通信通道，确保地面基准时钟系统的可靠传输。具备对西咸新区通信应用系统（SDH设备、交换设备、录音设备、电话会议设备、综合网管系统）等重点工作站提供授时的能力。便于以上系统的故障诊断、关键事件记录、日志分析、运行统计分析等提供精确的基准时间。</w:t>
      </w:r>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r>
        <w:rPr>
          <w:rFonts w:hint="eastAsia" w:eastAsia="仿宋"/>
          <w:sz w:val="32"/>
          <w:szCs w:val="32"/>
          <w:lang w:val="en-US" w:eastAsia="zh-CN"/>
        </w:rPr>
        <w:t>主干层/接入层网络建设原</w:t>
      </w:r>
      <w:r>
        <w:rPr>
          <w:rFonts w:eastAsia="仿宋"/>
          <w:sz w:val="32"/>
          <w:szCs w:val="32"/>
        </w:rPr>
        <w:t>则</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自动化通信主干层网络规划主要采用以下方式：一是</w:t>
      </w:r>
      <w:r>
        <w:rPr>
          <w:rFonts w:hint="eastAsia" w:ascii="仿宋_GB2312" w:hAnsi="仿宋_GB2312" w:eastAsia="仿宋_GB2312" w:cs="仿宋_GB2312"/>
          <w:sz w:val="32"/>
          <w:szCs w:val="32"/>
        </w:rPr>
        <w:t>利用光纤传输网</w:t>
      </w:r>
      <w:r>
        <w:rPr>
          <w:rFonts w:hint="eastAsia" w:ascii="仿宋_GB2312" w:hAnsi="仿宋_GB2312" w:eastAsia="仿宋_GB2312" w:cs="仿宋_GB2312"/>
          <w:sz w:val="32"/>
          <w:szCs w:val="32"/>
          <w:lang w:val="en-US" w:eastAsia="zh-CN"/>
        </w:rPr>
        <w:t>（MSTP功能）：配网信息在变电站汇聚，通过MSTP10/100/1000M接口接入骨干传输网，通过传输网送到主站；二是利用调度数据网：信息在变电站汇聚，通过调度数据网的非实时控制VPN送到主站。电网涉及到的变电站调度数据网接入设备宜采用双冗余配置，上行带宽不小于2×2M。</w:t>
      </w:r>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r>
        <w:rPr>
          <w:rFonts w:eastAsia="仿宋"/>
          <w:sz w:val="32"/>
          <w:szCs w:val="32"/>
        </w:rPr>
        <w:t>接入层网络建设原则</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1.光纤通信是自动化的主要通信方式，在有条件建设光缆的区域，应尽可能采用光纤通信方式。</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2.电网电缆建设同期考虑光缆建设或预留通信管沟。</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3.根据地区信息点的分布密度，可对光缆进行分层规划，采用汇聚光缆和接入光缆二层结构，也可采用接入光缆连接的一层结构。</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4.电网汇聚光缆建议采用48芯以上，成端节点不宜超过8次，否则适当增加汇聚光缆芯数和增加接入光缆。</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5.接入光缆根据接入信息点的情况，采用12芯~24芯光缆。</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6.采用光缆方式时，可选择的通信技术主要是EPON网络和工业以太网。</w:t>
      </w:r>
    </w:p>
    <w:p>
      <w:pPr>
        <w:pStyle w:val="150"/>
        <w:ind w:firstLine="560"/>
      </w:pPr>
    </w:p>
    <w:p>
      <w:pPr>
        <w:pStyle w:val="150"/>
        <w:ind w:firstLine="560"/>
      </w:pPr>
    </w:p>
    <w:p>
      <w:pPr>
        <w:pStyle w:val="150"/>
        <w:ind w:firstLine="560"/>
      </w:pPr>
    </w:p>
    <w:p>
      <w:pPr>
        <w:pStyle w:val="150"/>
        <w:ind w:left="0" w:leftChars="0" w:firstLine="0" w:firstLineChars="0"/>
      </w:pPr>
    </w:p>
    <w:p>
      <w:pPr>
        <w:pStyle w:val="150"/>
        <w:ind w:firstLine="560"/>
      </w:pPr>
    </w:p>
    <w:p>
      <w:pPr>
        <w:pStyle w:val="150"/>
        <w:ind w:firstLine="560"/>
        <w:sectPr>
          <w:footerReference r:id="rId8" w:type="default"/>
          <w:pgSz w:w="11907" w:h="16840"/>
          <w:pgMar w:top="1440" w:right="1701" w:bottom="1440" w:left="1701" w:header="851" w:footer="992" w:gutter="0"/>
          <w:pgBorders>
            <w:top w:val="none" w:sz="0" w:space="0"/>
            <w:left w:val="none" w:sz="0" w:space="0"/>
            <w:bottom w:val="none" w:sz="0" w:space="0"/>
            <w:right w:val="none" w:sz="0" w:space="0"/>
          </w:pgBorders>
          <w:pgNumType w:fmt="numberInDash"/>
          <w:cols w:space="720" w:num="1"/>
          <w:docGrid w:linePitch="312" w:charSpace="0"/>
        </w:sectPr>
      </w:pPr>
    </w:p>
    <w:bookmarkEnd w:id="870"/>
    <w:bookmarkEnd w:id="871"/>
    <w:bookmarkEnd w:id="872"/>
    <w:bookmarkEnd w:id="873"/>
    <w:bookmarkEnd w:id="874"/>
    <w:bookmarkEnd w:id="875"/>
    <w:bookmarkEnd w:id="876"/>
    <w:bookmarkEnd w:id="877"/>
    <w:bookmarkEnd w:id="878"/>
    <w:bookmarkEnd w:id="879"/>
    <w:bookmarkEnd w:id="880"/>
    <w:bookmarkEnd w:id="881"/>
    <w:p>
      <w:pPr>
        <w:pStyle w:val="4"/>
        <w:keepNext/>
        <w:keepLines/>
        <w:pageBreakBefore/>
        <w:widowControl w:val="0"/>
        <w:kinsoku/>
        <w:wordWrap/>
        <w:overflowPunct/>
        <w:topLinePunct w:val="0"/>
        <w:autoSpaceDE/>
        <w:autoSpaceDN/>
        <w:bidi w:val="0"/>
        <w:adjustRightInd/>
        <w:snapToGrid/>
        <w:spacing w:before="157" w:beforeLines="50" w:after="157" w:afterLines="50" w:line="560" w:lineRule="exact"/>
        <w:textAlignment w:val="auto"/>
        <w:rPr>
          <w:rFonts w:eastAsia="仿宋"/>
          <w:sz w:val="44"/>
          <w:szCs w:val="44"/>
        </w:rPr>
      </w:pPr>
      <w:bookmarkStart w:id="1196" w:name="_Toc25906"/>
      <w:bookmarkStart w:id="1197" w:name="_Toc74041257"/>
      <w:bookmarkStart w:id="1198" w:name="_Toc451937351"/>
      <w:bookmarkStart w:id="1199" w:name="_Toc394000308"/>
      <w:bookmarkStart w:id="1200" w:name="_Toc285645684"/>
      <w:r>
        <w:rPr>
          <w:rFonts w:eastAsia="仿宋"/>
          <w:sz w:val="44"/>
          <w:szCs w:val="44"/>
        </w:rPr>
        <w:t>投资估算</w:t>
      </w:r>
      <w:bookmarkEnd w:id="1196"/>
      <w:bookmarkEnd w:id="1197"/>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lang w:val="en-US" w:eastAsia="zh-CN"/>
        </w:rPr>
      </w:pPr>
      <w:bookmarkStart w:id="1201" w:name="_Toc74041258"/>
      <w:bookmarkStart w:id="1202" w:name="_Toc383614815"/>
      <w:bookmarkStart w:id="1203" w:name="_Toc8711"/>
      <w:bookmarkStart w:id="1204" w:name="_Toc306766357"/>
      <w:bookmarkStart w:id="1205" w:name="_Toc306780378"/>
      <w:bookmarkStart w:id="1206" w:name="_Toc253595429"/>
      <w:bookmarkStart w:id="1207" w:name="_Toc251493965"/>
      <w:bookmarkStart w:id="1208" w:name="_Toc307054133"/>
      <w:bookmarkStart w:id="1209" w:name="_Toc251504796"/>
      <w:bookmarkStart w:id="1210" w:name="_Toc352610645"/>
      <w:bookmarkStart w:id="1211" w:name="_Toc306956318"/>
      <w:bookmarkStart w:id="1212" w:name="_Toc253585698"/>
      <w:bookmarkStart w:id="1213" w:name="_Toc333401008"/>
      <w:bookmarkStart w:id="1214" w:name="_Toc253745604"/>
      <w:r>
        <w:rPr>
          <w:rFonts w:hint="eastAsia" w:ascii="黑体" w:hAnsi="黑体" w:eastAsia="黑体" w:cs="黑体"/>
          <w:b w:val="0"/>
          <w:bCs w:val="0"/>
          <w:sz w:val="32"/>
          <w:szCs w:val="32"/>
          <w:lang w:val="en-US" w:eastAsia="zh-CN"/>
        </w:rPr>
        <w:t>投资估算依据</w:t>
      </w:r>
      <w:bookmarkEnd w:id="1201"/>
      <w:bookmarkEnd w:id="1202"/>
      <w:bookmarkEnd w:id="1203"/>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本次规划参照历史相关典型工程的实际情况，制定了西咸电网工程综合单价表（含施工费用和管理费用）。</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ascii="Times New Roman" w:hAnsi="Times New Roman" w:eastAsia="仿宋" w:cs="Times New Roman"/>
          <w:b/>
          <w:bCs/>
          <w:kern w:val="0"/>
          <w:sz w:val="22"/>
          <w:szCs w:val="22"/>
          <w:lang w:val="en-US" w:eastAsia="zh-CN" w:bidi="ar-SA"/>
        </w:rPr>
      </w:pPr>
      <w:r>
        <w:rPr>
          <w:rFonts w:hint="eastAsia" w:ascii="黑体" w:hAnsi="黑体" w:eastAsia="黑体" w:cs="黑体"/>
          <w:b w:val="0"/>
          <w:bCs w:val="0"/>
          <w:kern w:val="0"/>
          <w:sz w:val="28"/>
          <w:szCs w:val="28"/>
          <w:lang w:val="en-US" w:eastAsia="zh-CN" w:bidi="ar-SA"/>
        </w:rPr>
        <w:t>表11-1  西咸新区电网工程综合造价表</w:t>
      </w:r>
    </w:p>
    <w:tbl>
      <w:tblPr>
        <w:tblStyle w:val="88"/>
        <w:tblW w:w="8718"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5" w:type="dxa"/>
          <w:left w:w="15" w:type="dxa"/>
          <w:bottom w:w="15" w:type="dxa"/>
          <w:right w:w="15" w:type="dxa"/>
        </w:tblCellMar>
      </w:tblPr>
      <w:tblGrid>
        <w:gridCol w:w="1580"/>
        <w:gridCol w:w="2243"/>
        <w:gridCol w:w="1251"/>
        <w:gridCol w:w="1142"/>
        <w:gridCol w:w="1455"/>
        <w:gridCol w:w="1047"/>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58" w:hRule="atLeast"/>
          <w:jc w:val="center"/>
        </w:trPr>
        <w:tc>
          <w:tcPr>
            <w:tcW w:w="1580" w:type="dxa"/>
            <w:tcBorders>
              <w:tl2br w:val="nil"/>
              <w:tr2bl w:val="nil"/>
            </w:tcBorders>
            <w:shd w:val="clear" w:color="auto" w:fill="FFFFFF" w:themeFill="background1"/>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类别</w:t>
            </w:r>
          </w:p>
        </w:tc>
        <w:tc>
          <w:tcPr>
            <w:tcW w:w="2243" w:type="dxa"/>
            <w:tcBorders>
              <w:tl2br w:val="nil"/>
              <w:tr2bl w:val="nil"/>
            </w:tcBorders>
            <w:shd w:val="clear" w:color="auto" w:fill="FFFFFF" w:themeFill="background1"/>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项目名称</w:t>
            </w:r>
          </w:p>
        </w:tc>
        <w:tc>
          <w:tcPr>
            <w:tcW w:w="1251" w:type="dxa"/>
            <w:tcBorders>
              <w:tl2br w:val="nil"/>
              <w:tr2bl w:val="nil"/>
            </w:tcBorders>
            <w:shd w:val="clear" w:color="auto" w:fill="FFFFFF" w:themeFill="background1"/>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电压等级(千伏)</w:t>
            </w:r>
          </w:p>
        </w:tc>
        <w:tc>
          <w:tcPr>
            <w:tcW w:w="1142" w:type="dxa"/>
            <w:tcBorders>
              <w:tl2br w:val="nil"/>
              <w:tr2bl w:val="nil"/>
            </w:tcBorders>
            <w:shd w:val="clear" w:color="auto" w:fill="FFFFFF" w:themeFill="background1"/>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规模</w:t>
            </w:r>
          </w:p>
        </w:tc>
        <w:tc>
          <w:tcPr>
            <w:tcW w:w="1455" w:type="dxa"/>
            <w:tcBorders>
              <w:tl2br w:val="nil"/>
              <w:tr2bl w:val="nil"/>
            </w:tcBorders>
            <w:shd w:val="clear" w:color="auto" w:fill="FFFFFF" w:themeFill="background1"/>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单位工程综合造价</w:t>
            </w:r>
          </w:p>
        </w:tc>
        <w:tc>
          <w:tcPr>
            <w:tcW w:w="1047" w:type="dxa"/>
            <w:tcBorders>
              <w:tl2br w:val="nil"/>
              <w:tr2bl w:val="nil"/>
            </w:tcBorders>
            <w:shd w:val="clear" w:color="auto" w:fill="FFFFFF" w:themeFill="background1"/>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单位</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188" w:hRule="atLeast"/>
          <w:jc w:val="center"/>
        </w:trPr>
        <w:tc>
          <w:tcPr>
            <w:tcW w:w="1580" w:type="dxa"/>
            <w:vMerge w:val="restart"/>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110（66）千伏电网</w:t>
            </w:r>
          </w:p>
        </w:tc>
        <w:tc>
          <w:tcPr>
            <w:tcW w:w="2243"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新建变电站</w:t>
            </w:r>
          </w:p>
        </w:tc>
        <w:tc>
          <w:tcPr>
            <w:tcW w:w="1251"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110（66）</w:t>
            </w:r>
          </w:p>
        </w:tc>
        <w:tc>
          <w:tcPr>
            <w:tcW w:w="1142"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2*50兆伏安</w:t>
            </w:r>
          </w:p>
        </w:tc>
        <w:tc>
          <w:tcPr>
            <w:tcW w:w="1455"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45</w:t>
            </w:r>
          </w:p>
        </w:tc>
        <w:tc>
          <w:tcPr>
            <w:tcW w:w="1047"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万元/兆伏安</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188" w:hRule="atLeast"/>
          <w:jc w:val="center"/>
        </w:trPr>
        <w:tc>
          <w:tcPr>
            <w:tcW w:w="1580" w:type="dxa"/>
            <w:vMerge w:val="continue"/>
            <w:tcBorders>
              <w:tl2br w:val="nil"/>
              <w:tr2bl w:val="nil"/>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p>
        </w:tc>
        <w:tc>
          <w:tcPr>
            <w:tcW w:w="2243"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扩建增容</w:t>
            </w:r>
          </w:p>
        </w:tc>
        <w:tc>
          <w:tcPr>
            <w:tcW w:w="1251"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110（66）</w:t>
            </w:r>
          </w:p>
        </w:tc>
        <w:tc>
          <w:tcPr>
            <w:tcW w:w="1142"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1*63兆伏安</w:t>
            </w:r>
          </w:p>
        </w:tc>
        <w:tc>
          <w:tcPr>
            <w:tcW w:w="1455"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24</w:t>
            </w:r>
          </w:p>
        </w:tc>
        <w:tc>
          <w:tcPr>
            <w:tcW w:w="1047"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万元/兆伏安</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188" w:hRule="atLeast"/>
          <w:jc w:val="center"/>
        </w:trPr>
        <w:tc>
          <w:tcPr>
            <w:tcW w:w="1580" w:type="dxa"/>
            <w:vMerge w:val="continue"/>
            <w:tcBorders>
              <w:tl2br w:val="nil"/>
              <w:tr2bl w:val="nil"/>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p>
        </w:tc>
        <w:tc>
          <w:tcPr>
            <w:tcW w:w="2243"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扩建增容</w:t>
            </w:r>
          </w:p>
        </w:tc>
        <w:tc>
          <w:tcPr>
            <w:tcW w:w="1251"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110（66）</w:t>
            </w:r>
          </w:p>
        </w:tc>
        <w:tc>
          <w:tcPr>
            <w:tcW w:w="1142"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1*50兆伏安</w:t>
            </w:r>
          </w:p>
        </w:tc>
        <w:tc>
          <w:tcPr>
            <w:tcW w:w="1455"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23.81</w:t>
            </w:r>
          </w:p>
        </w:tc>
        <w:tc>
          <w:tcPr>
            <w:tcW w:w="1047"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万元/兆伏安</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188" w:hRule="atLeast"/>
          <w:jc w:val="center"/>
        </w:trPr>
        <w:tc>
          <w:tcPr>
            <w:tcW w:w="1580" w:type="dxa"/>
            <w:vMerge w:val="continue"/>
            <w:tcBorders>
              <w:tl2br w:val="nil"/>
              <w:tr2bl w:val="nil"/>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p>
        </w:tc>
        <w:tc>
          <w:tcPr>
            <w:tcW w:w="2243"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变电站改造</w:t>
            </w:r>
          </w:p>
        </w:tc>
        <w:tc>
          <w:tcPr>
            <w:tcW w:w="1251"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110（66）</w:t>
            </w:r>
          </w:p>
        </w:tc>
        <w:tc>
          <w:tcPr>
            <w:tcW w:w="1142"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1*63兆伏安</w:t>
            </w:r>
          </w:p>
        </w:tc>
        <w:tc>
          <w:tcPr>
            <w:tcW w:w="1455"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24</w:t>
            </w:r>
          </w:p>
        </w:tc>
        <w:tc>
          <w:tcPr>
            <w:tcW w:w="1047"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万元/兆伏安</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188" w:hRule="atLeast"/>
          <w:jc w:val="center"/>
        </w:trPr>
        <w:tc>
          <w:tcPr>
            <w:tcW w:w="1580" w:type="dxa"/>
            <w:vMerge w:val="continue"/>
            <w:tcBorders>
              <w:tl2br w:val="nil"/>
              <w:tr2bl w:val="nil"/>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p>
        </w:tc>
        <w:tc>
          <w:tcPr>
            <w:tcW w:w="2243"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变电站改造</w:t>
            </w:r>
          </w:p>
        </w:tc>
        <w:tc>
          <w:tcPr>
            <w:tcW w:w="1251"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110（66）</w:t>
            </w:r>
          </w:p>
        </w:tc>
        <w:tc>
          <w:tcPr>
            <w:tcW w:w="1142"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1*50兆伏安</w:t>
            </w:r>
          </w:p>
        </w:tc>
        <w:tc>
          <w:tcPr>
            <w:tcW w:w="1455"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23.81</w:t>
            </w:r>
          </w:p>
        </w:tc>
        <w:tc>
          <w:tcPr>
            <w:tcW w:w="1047"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万元/兆伏安</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188" w:hRule="atLeast"/>
          <w:jc w:val="center"/>
        </w:trPr>
        <w:tc>
          <w:tcPr>
            <w:tcW w:w="1580" w:type="dxa"/>
            <w:vMerge w:val="continue"/>
            <w:tcBorders>
              <w:tl2br w:val="nil"/>
              <w:tr2bl w:val="nil"/>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p>
        </w:tc>
        <w:tc>
          <w:tcPr>
            <w:tcW w:w="2243"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新建电缆线路（电气部分）</w:t>
            </w:r>
          </w:p>
        </w:tc>
        <w:tc>
          <w:tcPr>
            <w:tcW w:w="1251"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110（66）</w:t>
            </w:r>
          </w:p>
        </w:tc>
        <w:tc>
          <w:tcPr>
            <w:tcW w:w="1142"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YJLW-630</w:t>
            </w:r>
          </w:p>
        </w:tc>
        <w:tc>
          <w:tcPr>
            <w:tcW w:w="1455"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380</w:t>
            </w:r>
          </w:p>
        </w:tc>
        <w:tc>
          <w:tcPr>
            <w:tcW w:w="1047"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万元/公里</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188" w:hRule="atLeast"/>
          <w:jc w:val="center"/>
        </w:trPr>
        <w:tc>
          <w:tcPr>
            <w:tcW w:w="1580" w:type="dxa"/>
            <w:vMerge w:val="continue"/>
            <w:tcBorders>
              <w:tl2br w:val="nil"/>
              <w:tr2bl w:val="nil"/>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p>
        </w:tc>
        <w:tc>
          <w:tcPr>
            <w:tcW w:w="2243"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新建电缆线路（电气部分）</w:t>
            </w:r>
          </w:p>
        </w:tc>
        <w:tc>
          <w:tcPr>
            <w:tcW w:w="1251"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110（66）</w:t>
            </w:r>
          </w:p>
        </w:tc>
        <w:tc>
          <w:tcPr>
            <w:tcW w:w="1142"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YJLW-800</w:t>
            </w:r>
          </w:p>
        </w:tc>
        <w:tc>
          <w:tcPr>
            <w:tcW w:w="1455"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420</w:t>
            </w:r>
          </w:p>
        </w:tc>
        <w:tc>
          <w:tcPr>
            <w:tcW w:w="1047"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万元/公里</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188" w:hRule="atLeast"/>
          <w:jc w:val="center"/>
        </w:trPr>
        <w:tc>
          <w:tcPr>
            <w:tcW w:w="1580" w:type="dxa"/>
            <w:vMerge w:val="continue"/>
            <w:tcBorders>
              <w:tl2br w:val="nil"/>
              <w:tr2bl w:val="nil"/>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p>
        </w:tc>
        <w:tc>
          <w:tcPr>
            <w:tcW w:w="2243"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新建电缆线路（电气部分）</w:t>
            </w:r>
          </w:p>
        </w:tc>
        <w:tc>
          <w:tcPr>
            <w:tcW w:w="1251"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110（66）</w:t>
            </w:r>
          </w:p>
        </w:tc>
        <w:tc>
          <w:tcPr>
            <w:tcW w:w="1142"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YJLW-1000</w:t>
            </w:r>
          </w:p>
        </w:tc>
        <w:tc>
          <w:tcPr>
            <w:tcW w:w="1455"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480</w:t>
            </w:r>
          </w:p>
        </w:tc>
        <w:tc>
          <w:tcPr>
            <w:tcW w:w="1047"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万元/公里</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188" w:hRule="atLeast"/>
          <w:jc w:val="center"/>
        </w:trPr>
        <w:tc>
          <w:tcPr>
            <w:tcW w:w="1580" w:type="dxa"/>
            <w:vMerge w:val="continue"/>
            <w:tcBorders>
              <w:tl2br w:val="nil"/>
              <w:tr2bl w:val="nil"/>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p>
        </w:tc>
        <w:tc>
          <w:tcPr>
            <w:tcW w:w="2243"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新建架空线路</w:t>
            </w:r>
          </w:p>
        </w:tc>
        <w:tc>
          <w:tcPr>
            <w:tcW w:w="1251"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110（66）</w:t>
            </w:r>
          </w:p>
        </w:tc>
        <w:tc>
          <w:tcPr>
            <w:tcW w:w="1142"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2*LGJ-300</w:t>
            </w:r>
          </w:p>
        </w:tc>
        <w:tc>
          <w:tcPr>
            <w:tcW w:w="1455"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150</w:t>
            </w:r>
          </w:p>
        </w:tc>
        <w:tc>
          <w:tcPr>
            <w:tcW w:w="1047"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万元/公里</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188" w:hRule="atLeast"/>
          <w:jc w:val="center"/>
        </w:trPr>
        <w:tc>
          <w:tcPr>
            <w:tcW w:w="1580" w:type="dxa"/>
            <w:vMerge w:val="continue"/>
            <w:tcBorders>
              <w:tl2br w:val="nil"/>
              <w:tr2bl w:val="nil"/>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p>
        </w:tc>
        <w:tc>
          <w:tcPr>
            <w:tcW w:w="2243"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新建变电站</w:t>
            </w:r>
          </w:p>
        </w:tc>
        <w:tc>
          <w:tcPr>
            <w:tcW w:w="1251"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110（66）</w:t>
            </w:r>
          </w:p>
        </w:tc>
        <w:tc>
          <w:tcPr>
            <w:tcW w:w="1142"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2*63兆伏安</w:t>
            </w:r>
          </w:p>
        </w:tc>
        <w:tc>
          <w:tcPr>
            <w:tcW w:w="1455"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39.68</w:t>
            </w:r>
          </w:p>
        </w:tc>
        <w:tc>
          <w:tcPr>
            <w:tcW w:w="1047"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万元/兆伏安</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188" w:hRule="atLeast"/>
          <w:jc w:val="center"/>
        </w:trPr>
        <w:tc>
          <w:tcPr>
            <w:tcW w:w="1580" w:type="dxa"/>
            <w:vMerge w:val="continue"/>
            <w:tcBorders>
              <w:tl2br w:val="nil"/>
              <w:tr2bl w:val="nil"/>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p>
        </w:tc>
        <w:tc>
          <w:tcPr>
            <w:tcW w:w="2243"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新建变电站</w:t>
            </w:r>
          </w:p>
        </w:tc>
        <w:tc>
          <w:tcPr>
            <w:tcW w:w="1251"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110（66）</w:t>
            </w:r>
          </w:p>
        </w:tc>
        <w:tc>
          <w:tcPr>
            <w:tcW w:w="1142"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2*31.5兆伏安</w:t>
            </w:r>
          </w:p>
        </w:tc>
        <w:tc>
          <w:tcPr>
            <w:tcW w:w="1455"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55.56</w:t>
            </w:r>
          </w:p>
        </w:tc>
        <w:tc>
          <w:tcPr>
            <w:tcW w:w="1047"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万元/兆伏安</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188" w:hRule="atLeast"/>
          <w:jc w:val="center"/>
        </w:trPr>
        <w:tc>
          <w:tcPr>
            <w:tcW w:w="1580"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35千伏电网</w:t>
            </w:r>
          </w:p>
        </w:tc>
        <w:tc>
          <w:tcPr>
            <w:tcW w:w="2243"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w:t>
            </w:r>
          </w:p>
        </w:tc>
        <w:tc>
          <w:tcPr>
            <w:tcW w:w="1251"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w:t>
            </w:r>
          </w:p>
        </w:tc>
        <w:tc>
          <w:tcPr>
            <w:tcW w:w="1142"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w:t>
            </w:r>
          </w:p>
        </w:tc>
        <w:tc>
          <w:tcPr>
            <w:tcW w:w="1455"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w:t>
            </w:r>
          </w:p>
        </w:tc>
        <w:tc>
          <w:tcPr>
            <w:tcW w:w="1047"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188" w:hRule="atLeast"/>
          <w:jc w:val="center"/>
        </w:trPr>
        <w:tc>
          <w:tcPr>
            <w:tcW w:w="1580" w:type="dxa"/>
            <w:vMerge w:val="restart"/>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10千伏及以下电网</w:t>
            </w:r>
          </w:p>
        </w:tc>
        <w:tc>
          <w:tcPr>
            <w:tcW w:w="2243"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电缆分支箱</w:t>
            </w:r>
          </w:p>
        </w:tc>
        <w:tc>
          <w:tcPr>
            <w:tcW w:w="1251"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10</w:t>
            </w:r>
          </w:p>
        </w:tc>
        <w:tc>
          <w:tcPr>
            <w:tcW w:w="1142"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2进4出</w:t>
            </w:r>
          </w:p>
        </w:tc>
        <w:tc>
          <w:tcPr>
            <w:tcW w:w="1455"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5</w:t>
            </w:r>
          </w:p>
        </w:tc>
        <w:tc>
          <w:tcPr>
            <w:tcW w:w="1047"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万元/台</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188" w:hRule="atLeast"/>
          <w:jc w:val="center"/>
        </w:trPr>
        <w:tc>
          <w:tcPr>
            <w:tcW w:w="1580" w:type="dxa"/>
            <w:vMerge w:val="continue"/>
            <w:tcBorders>
              <w:tl2br w:val="nil"/>
              <w:tr2bl w:val="nil"/>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p>
        </w:tc>
        <w:tc>
          <w:tcPr>
            <w:tcW w:w="2243"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新建架空线路</w:t>
            </w:r>
          </w:p>
        </w:tc>
        <w:tc>
          <w:tcPr>
            <w:tcW w:w="1251"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10</w:t>
            </w:r>
          </w:p>
        </w:tc>
        <w:tc>
          <w:tcPr>
            <w:tcW w:w="1142"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JKLYJ-240</w:t>
            </w:r>
          </w:p>
        </w:tc>
        <w:tc>
          <w:tcPr>
            <w:tcW w:w="1455"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25</w:t>
            </w:r>
          </w:p>
        </w:tc>
        <w:tc>
          <w:tcPr>
            <w:tcW w:w="1047"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万元/公里</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188" w:hRule="atLeast"/>
          <w:jc w:val="center"/>
        </w:trPr>
        <w:tc>
          <w:tcPr>
            <w:tcW w:w="1580" w:type="dxa"/>
            <w:vMerge w:val="continue"/>
            <w:tcBorders>
              <w:tl2br w:val="nil"/>
              <w:tr2bl w:val="nil"/>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p>
        </w:tc>
        <w:tc>
          <w:tcPr>
            <w:tcW w:w="2243"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新建电缆线路</w:t>
            </w:r>
          </w:p>
        </w:tc>
        <w:tc>
          <w:tcPr>
            <w:tcW w:w="1251"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10</w:t>
            </w:r>
          </w:p>
        </w:tc>
        <w:tc>
          <w:tcPr>
            <w:tcW w:w="1142"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YJV22-3*400</w:t>
            </w:r>
          </w:p>
        </w:tc>
        <w:tc>
          <w:tcPr>
            <w:tcW w:w="1455"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90</w:t>
            </w:r>
          </w:p>
        </w:tc>
        <w:tc>
          <w:tcPr>
            <w:tcW w:w="1047"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万元/公里</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188" w:hRule="atLeast"/>
          <w:jc w:val="center"/>
        </w:trPr>
        <w:tc>
          <w:tcPr>
            <w:tcW w:w="1580" w:type="dxa"/>
            <w:vMerge w:val="continue"/>
            <w:tcBorders>
              <w:tl2br w:val="nil"/>
              <w:tr2bl w:val="nil"/>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p>
        </w:tc>
        <w:tc>
          <w:tcPr>
            <w:tcW w:w="2243"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新建电缆线路</w:t>
            </w:r>
          </w:p>
        </w:tc>
        <w:tc>
          <w:tcPr>
            <w:tcW w:w="1251"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10</w:t>
            </w:r>
          </w:p>
        </w:tc>
        <w:tc>
          <w:tcPr>
            <w:tcW w:w="1142"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YJV22-3*300</w:t>
            </w:r>
          </w:p>
        </w:tc>
        <w:tc>
          <w:tcPr>
            <w:tcW w:w="1455"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70</w:t>
            </w:r>
          </w:p>
        </w:tc>
        <w:tc>
          <w:tcPr>
            <w:tcW w:w="1047"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万元/公里</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188" w:hRule="atLeast"/>
          <w:jc w:val="center"/>
        </w:trPr>
        <w:tc>
          <w:tcPr>
            <w:tcW w:w="1580" w:type="dxa"/>
            <w:vMerge w:val="continue"/>
            <w:tcBorders>
              <w:tl2br w:val="nil"/>
              <w:tr2bl w:val="nil"/>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p>
        </w:tc>
        <w:tc>
          <w:tcPr>
            <w:tcW w:w="2243"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箱式变电站</w:t>
            </w:r>
          </w:p>
        </w:tc>
        <w:tc>
          <w:tcPr>
            <w:tcW w:w="1251"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10</w:t>
            </w:r>
          </w:p>
        </w:tc>
        <w:tc>
          <w:tcPr>
            <w:tcW w:w="1142"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500千伏安</w:t>
            </w:r>
          </w:p>
        </w:tc>
        <w:tc>
          <w:tcPr>
            <w:tcW w:w="1455"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17</w:t>
            </w:r>
          </w:p>
        </w:tc>
        <w:tc>
          <w:tcPr>
            <w:tcW w:w="1047"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万元/座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188" w:hRule="atLeast"/>
          <w:jc w:val="center"/>
        </w:trPr>
        <w:tc>
          <w:tcPr>
            <w:tcW w:w="1580" w:type="dxa"/>
            <w:vMerge w:val="continue"/>
            <w:tcBorders>
              <w:tl2br w:val="nil"/>
              <w:tr2bl w:val="nil"/>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p>
        </w:tc>
        <w:tc>
          <w:tcPr>
            <w:tcW w:w="2243"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柱上开关</w:t>
            </w:r>
          </w:p>
        </w:tc>
        <w:tc>
          <w:tcPr>
            <w:tcW w:w="1251"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10</w:t>
            </w:r>
          </w:p>
        </w:tc>
        <w:tc>
          <w:tcPr>
            <w:tcW w:w="1142"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智能</w:t>
            </w:r>
          </w:p>
        </w:tc>
        <w:tc>
          <w:tcPr>
            <w:tcW w:w="1455"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3</w:t>
            </w:r>
          </w:p>
        </w:tc>
        <w:tc>
          <w:tcPr>
            <w:tcW w:w="1047"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万元/台</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188" w:hRule="atLeast"/>
          <w:jc w:val="center"/>
        </w:trPr>
        <w:tc>
          <w:tcPr>
            <w:tcW w:w="1580" w:type="dxa"/>
            <w:vMerge w:val="continue"/>
            <w:tcBorders>
              <w:tl2br w:val="nil"/>
              <w:tr2bl w:val="nil"/>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p>
        </w:tc>
        <w:tc>
          <w:tcPr>
            <w:tcW w:w="2243"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环网柜</w:t>
            </w:r>
          </w:p>
        </w:tc>
        <w:tc>
          <w:tcPr>
            <w:tcW w:w="1251"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10</w:t>
            </w:r>
          </w:p>
        </w:tc>
        <w:tc>
          <w:tcPr>
            <w:tcW w:w="1142"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2进4出</w:t>
            </w:r>
          </w:p>
        </w:tc>
        <w:tc>
          <w:tcPr>
            <w:tcW w:w="1455"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25</w:t>
            </w:r>
          </w:p>
        </w:tc>
        <w:tc>
          <w:tcPr>
            <w:tcW w:w="1047"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万元/台</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188" w:hRule="atLeast"/>
          <w:jc w:val="center"/>
        </w:trPr>
        <w:tc>
          <w:tcPr>
            <w:tcW w:w="1580" w:type="dxa"/>
            <w:vMerge w:val="continue"/>
            <w:tcBorders>
              <w:tl2br w:val="nil"/>
              <w:tr2bl w:val="nil"/>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p>
        </w:tc>
        <w:tc>
          <w:tcPr>
            <w:tcW w:w="2243"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柱上变</w:t>
            </w:r>
          </w:p>
        </w:tc>
        <w:tc>
          <w:tcPr>
            <w:tcW w:w="1251"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10</w:t>
            </w:r>
          </w:p>
        </w:tc>
        <w:tc>
          <w:tcPr>
            <w:tcW w:w="1142"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400千伏安</w:t>
            </w:r>
          </w:p>
        </w:tc>
        <w:tc>
          <w:tcPr>
            <w:tcW w:w="1455"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8</w:t>
            </w:r>
          </w:p>
        </w:tc>
        <w:tc>
          <w:tcPr>
            <w:tcW w:w="1047"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万元/台</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188" w:hRule="atLeast"/>
          <w:jc w:val="center"/>
        </w:trPr>
        <w:tc>
          <w:tcPr>
            <w:tcW w:w="1580" w:type="dxa"/>
            <w:vMerge w:val="continue"/>
            <w:tcBorders>
              <w:tl2br w:val="nil"/>
              <w:tr2bl w:val="nil"/>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p>
        </w:tc>
        <w:tc>
          <w:tcPr>
            <w:tcW w:w="2243"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柱上变</w:t>
            </w:r>
          </w:p>
        </w:tc>
        <w:tc>
          <w:tcPr>
            <w:tcW w:w="1251"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10</w:t>
            </w:r>
          </w:p>
        </w:tc>
        <w:tc>
          <w:tcPr>
            <w:tcW w:w="1142"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200千伏安</w:t>
            </w:r>
          </w:p>
        </w:tc>
        <w:tc>
          <w:tcPr>
            <w:tcW w:w="1455"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6</w:t>
            </w:r>
          </w:p>
        </w:tc>
        <w:tc>
          <w:tcPr>
            <w:tcW w:w="1047"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万元/台</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188" w:hRule="atLeast"/>
          <w:jc w:val="center"/>
        </w:trPr>
        <w:tc>
          <w:tcPr>
            <w:tcW w:w="1580" w:type="dxa"/>
            <w:vMerge w:val="continue"/>
            <w:tcBorders>
              <w:tl2br w:val="nil"/>
              <w:tr2bl w:val="nil"/>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p>
        </w:tc>
        <w:tc>
          <w:tcPr>
            <w:tcW w:w="2243"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柱上开关</w:t>
            </w:r>
          </w:p>
        </w:tc>
        <w:tc>
          <w:tcPr>
            <w:tcW w:w="1251"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10</w:t>
            </w:r>
          </w:p>
        </w:tc>
        <w:tc>
          <w:tcPr>
            <w:tcW w:w="1142"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智能</w:t>
            </w:r>
          </w:p>
        </w:tc>
        <w:tc>
          <w:tcPr>
            <w:tcW w:w="1455"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3</w:t>
            </w:r>
          </w:p>
        </w:tc>
        <w:tc>
          <w:tcPr>
            <w:tcW w:w="1047"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万元/台</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224" w:hRule="atLeast"/>
          <w:jc w:val="center"/>
        </w:trPr>
        <w:tc>
          <w:tcPr>
            <w:tcW w:w="1580" w:type="dxa"/>
            <w:vMerge w:val="continue"/>
            <w:tcBorders>
              <w:tl2br w:val="nil"/>
              <w:tr2bl w:val="nil"/>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p>
        </w:tc>
        <w:tc>
          <w:tcPr>
            <w:tcW w:w="2243"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低压主干线</w:t>
            </w:r>
          </w:p>
        </w:tc>
        <w:tc>
          <w:tcPr>
            <w:tcW w:w="1251"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10</w:t>
            </w:r>
          </w:p>
        </w:tc>
        <w:tc>
          <w:tcPr>
            <w:tcW w:w="1142"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 xml:space="preserve"> </w:t>
            </w:r>
          </w:p>
        </w:tc>
        <w:tc>
          <w:tcPr>
            <w:tcW w:w="1455"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12</w:t>
            </w:r>
          </w:p>
        </w:tc>
        <w:tc>
          <w:tcPr>
            <w:tcW w:w="1047" w:type="dxa"/>
            <w:tcBorders>
              <w:tl2br w:val="nil"/>
              <w:tr2bl w:val="nil"/>
            </w:tcBorders>
            <w:shd w:val="clear" w:color="auto" w:fill="auto"/>
            <w:vAlign w:val="center"/>
          </w:tcPr>
          <w:p>
            <w:pPr>
              <w:widowControl/>
              <w:spacing w:line="240" w:lineRule="auto"/>
              <w:jc w:val="center"/>
              <w:textAlignment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kern w:val="0"/>
                <w:sz w:val="18"/>
                <w:szCs w:val="18"/>
                <w:lang w:bidi="ar"/>
              </w:rPr>
              <w:t>元/户</w:t>
            </w:r>
          </w:p>
        </w:tc>
      </w:tr>
    </w:tbl>
    <w:p>
      <w:pPr>
        <w:pStyle w:val="150"/>
        <w:ind w:firstLine="0" w:firstLineChars="0"/>
      </w:pPr>
    </w:p>
    <w:bookmarkEnd w:id="1204"/>
    <w:bookmarkEnd w:id="1205"/>
    <w:bookmarkEnd w:id="1206"/>
    <w:bookmarkEnd w:id="1207"/>
    <w:bookmarkEnd w:id="1208"/>
    <w:bookmarkEnd w:id="1209"/>
    <w:bookmarkEnd w:id="1210"/>
    <w:bookmarkEnd w:id="1211"/>
    <w:bookmarkEnd w:id="1212"/>
    <w:bookmarkEnd w:id="1213"/>
    <w:bookmarkEnd w:id="1214"/>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lang w:val="en-US" w:eastAsia="zh-CN"/>
        </w:rPr>
      </w:pPr>
      <w:bookmarkStart w:id="1215" w:name="_Toc11903"/>
      <w:bookmarkStart w:id="1216" w:name="_Toc74041259"/>
      <w:r>
        <w:rPr>
          <w:rFonts w:hint="eastAsia" w:ascii="黑体" w:hAnsi="黑体" w:eastAsia="黑体" w:cs="黑体"/>
          <w:b w:val="0"/>
          <w:bCs w:val="0"/>
          <w:sz w:val="32"/>
          <w:szCs w:val="32"/>
          <w:lang w:val="en-US" w:eastAsia="zh-CN"/>
        </w:rPr>
        <w:t>330千伏电网投资</w:t>
      </w:r>
      <w:bookmarkEnd w:id="1215"/>
      <w:bookmarkEnd w:id="1216"/>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西咸新区“十四五”330千伏电网投资估算约27.73亿元。</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黑体" w:hAnsi="黑体" w:eastAsia="黑体" w:cs="黑体"/>
          <w:b w:val="0"/>
          <w:bCs w:val="0"/>
          <w:kern w:val="0"/>
          <w:sz w:val="28"/>
          <w:szCs w:val="28"/>
          <w:lang w:val="en-US" w:eastAsia="zh-CN" w:bidi="ar-SA"/>
        </w:rPr>
      </w:pPr>
      <w:r>
        <w:rPr>
          <w:rFonts w:hint="eastAsia" w:ascii="黑体" w:hAnsi="黑体" w:eastAsia="黑体" w:cs="黑体"/>
          <w:b w:val="0"/>
          <w:bCs w:val="0"/>
          <w:kern w:val="0"/>
          <w:sz w:val="28"/>
          <w:szCs w:val="28"/>
          <w:lang w:val="en-US" w:eastAsia="zh-CN" w:bidi="ar-SA"/>
        </w:rPr>
        <w:t>表11-2     西咸电网“十四五”330千伏电网投资明细表</w:t>
      </w:r>
    </w:p>
    <w:tbl>
      <w:tblPr>
        <w:tblStyle w:val="88"/>
        <w:tblW w:w="9214" w:type="dxa"/>
        <w:tblInd w:w="-5" w:type="dxa"/>
        <w:tblLayout w:type="fixed"/>
        <w:tblCellMar>
          <w:top w:w="0" w:type="dxa"/>
          <w:left w:w="108" w:type="dxa"/>
          <w:bottom w:w="0" w:type="dxa"/>
          <w:right w:w="108" w:type="dxa"/>
        </w:tblCellMar>
      </w:tblPr>
      <w:tblGrid>
        <w:gridCol w:w="816"/>
        <w:gridCol w:w="3020"/>
        <w:gridCol w:w="8"/>
        <w:gridCol w:w="1072"/>
        <w:gridCol w:w="8"/>
        <w:gridCol w:w="1030"/>
        <w:gridCol w:w="850"/>
        <w:gridCol w:w="851"/>
        <w:gridCol w:w="1559"/>
      </w:tblGrid>
      <w:tr>
        <w:tblPrEx>
          <w:tblCellMar>
            <w:top w:w="0" w:type="dxa"/>
            <w:left w:w="108" w:type="dxa"/>
            <w:bottom w:w="0" w:type="dxa"/>
            <w:right w:w="108" w:type="dxa"/>
          </w:tblCellMar>
        </w:tblPrEx>
        <w:trPr>
          <w:trHeight w:val="285" w:hRule="atLeast"/>
        </w:trPr>
        <w:tc>
          <w:tcPr>
            <w:tcW w:w="81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序号</w:t>
            </w:r>
          </w:p>
        </w:tc>
        <w:tc>
          <w:tcPr>
            <w:tcW w:w="302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项目名称</w:t>
            </w:r>
          </w:p>
        </w:tc>
        <w:tc>
          <w:tcPr>
            <w:tcW w:w="1080"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新增线路长度(公里)</w:t>
            </w:r>
          </w:p>
        </w:tc>
        <w:tc>
          <w:tcPr>
            <w:tcW w:w="1038"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新增变电容量(兆伏安)</w:t>
            </w:r>
          </w:p>
        </w:tc>
        <w:tc>
          <w:tcPr>
            <w:tcW w:w="1701" w:type="dxa"/>
            <w:gridSpan w:val="2"/>
            <w:tcBorders>
              <w:top w:val="single" w:color="auto" w:sz="4" w:space="0"/>
              <w:left w:val="nil"/>
              <w:bottom w:val="single" w:color="auto" w:sz="4" w:space="0"/>
              <w:right w:val="single" w:color="auto" w:sz="4" w:space="0"/>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投资/万元</w:t>
            </w:r>
          </w:p>
        </w:tc>
        <w:tc>
          <w:tcPr>
            <w:tcW w:w="1559" w:type="dxa"/>
            <w:vMerge w:val="restart"/>
            <w:tcBorders>
              <w:top w:val="single" w:color="auto" w:sz="4" w:space="0"/>
              <w:left w:val="single" w:color="auto" w:sz="4" w:space="0"/>
              <w:right w:val="single" w:color="auto" w:sz="4" w:space="0"/>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总投资（万元）</w:t>
            </w:r>
          </w:p>
        </w:tc>
      </w:tr>
      <w:tr>
        <w:tblPrEx>
          <w:tblCellMar>
            <w:top w:w="0" w:type="dxa"/>
            <w:left w:w="108" w:type="dxa"/>
            <w:bottom w:w="0" w:type="dxa"/>
            <w:right w:w="108" w:type="dxa"/>
          </w:tblCellMar>
        </w:tblPrEx>
        <w:trPr>
          <w:trHeight w:val="662" w:hRule="atLeast"/>
        </w:trPr>
        <w:tc>
          <w:tcPr>
            <w:tcW w:w="816" w:type="dxa"/>
            <w:vMerge w:val="continue"/>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hint="eastAsia" w:ascii="方正仿宋_GB2312" w:hAnsi="方正仿宋_GB2312" w:eastAsia="方正仿宋_GB2312" w:cs="方正仿宋_GB2312"/>
                <w:bCs/>
                <w:sz w:val="18"/>
                <w:szCs w:val="18"/>
              </w:rPr>
            </w:pPr>
          </w:p>
        </w:tc>
        <w:tc>
          <w:tcPr>
            <w:tcW w:w="3020" w:type="dxa"/>
            <w:vMerge w:val="continue"/>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hint="eastAsia" w:ascii="方正仿宋_GB2312" w:hAnsi="方正仿宋_GB2312" w:eastAsia="方正仿宋_GB2312" w:cs="方正仿宋_GB2312"/>
                <w:bCs/>
                <w:sz w:val="18"/>
                <w:szCs w:val="18"/>
              </w:rPr>
            </w:pPr>
          </w:p>
        </w:tc>
        <w:tc>
          <w:tcPr>
            <w:tcW w:w="1080" w:type="dxa"/>
            <w:gridSpan w:val="2"/>
            <w:vMerge w:val="continue"/>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hint="eastAsia" w:ascii="方正仿宋_GB2312" w:hAnsi="方正仿宋_GB2312" w:eastAsia="方正仿宋_GB2312" w:cs="方正仿宋_GB2312"/>
                <w:bCs/>
                <w:sz w:val="18"/>
                <w:szCs w:val="18"/>
              </w:rPr>
            </w:pPr>
          </w:p>
        </w:tc>
        <w:tc>
          <w:tcPr>
            <w:tcW w:w="1038" w:type="dxa"/>
            <w:gridSpan w:val="2"/>
            <w:vMerge w:val="continue"/>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hint="eastAsia" w:ascii="方正仿宋_GB2312" w:hAnsi="方正仿宋_GB2312" w:eastAsia="方正仿宋_GB2312" w:cs="方正仿宋_GB2312"/>
                <w:bCs/>
                <w:sz w:val="18"/>
                <w:szCs w:val="18"/>
              </w:rPr>
            </w:pPr>
          </w:p>
        </w:tc>
        <w:tc>
          <w:tcPr>
            <w:tcW w:w="850" w:type="dxa"/>
            <w:tcBorders>
              <w:top w:val="nil"/>
              <w:left w:val="single" w:color="auto" w:sz="4" w:space="0"/>
              <w:bottom w:val="single" w:color="auto" w:sz="4" w:space="0"/>
              <w:right w:val="single" w:color="auto" w:sz="4" w:space="0"/>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变电投资</w:t>
            </w:r>
          </w:p>
        </w:tc>
        <w:tc>
          <w:tcPr>
            <w:tcW w:w="851" w:type="dxa"/>
            <w:tcBorders>
              <w:top w:val="nil"/>
              <w:left w:val="single" w:color="auto" w:sz="4" w:space="0"/>
              <w:bottom w:val="single" w:color="auto" w:sz="4" w:space="0"/>
              <w:right w:val="single" w:color="auto" w:sz="4" w:space="0"/>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线路投资</w:t>
            </w:r>
          </w:p>
        </w:tc>
        <w:tc>
          <w:tcPr>
            <w:tcW w:w="1559" w:type="dxa"/>
            <w:vMerge w:val="continue"/>
            <w:tcBorders>
              <w:left w:val="single" w:color="auto" w:sz="4" w:space="0"/>
              <w:bottom w:val="single" w:color="auto" w:sz="4" w:space="0"/>
              <w:right w:val="single" w:color="auto" w:sz="4" w:space="0"/>
            </w:tcBorders>
            <w:vAlign w:val="center"/>
          </w:tcPr>
          <w:p>
            <w:pPr>
              <w:spacing w:line="240" w:lineRule="auto"/>
              <w:jc w:val="center"/>
              <w:rPr>
                <w:rFonts w:hint="eastAsia" w:ascii="方正仿宋_GB2312" w:hAnsi="方正仿宋_GB2312" w:eastAsia="方正仿宋_GB2312" w:cs="方正仿宋_GB2312"/>
                <w:bCs/>
                <w:sz w:val="18"/>
                <w:szCs w:val="18"/>
              </w:rPr>
            </w:pPr>
          </w:p>
        </w:tc>
      </w:tr>
      <w:tr>
        <w:tblPrEx>
          <w:tblCellMar>
            <w:top w:w="0" w:type="dxa"/>
            <w:left w:w="108" w:type="dxa"/>
            <w:bottom w:w="0" w:type="dxa"/>
            <w:right w:w="108" w:type="dxa"/>
          </w:tblCellMar>
        </w:tblPrEx>
        <w:trPr>
          <w:trHeight w:val="454" w:hRule="atLeast"/>
        </w:trPr>
        <w:tc>
          <w:tcPr>
            <w:tcW w:w="816" w:type="dxa"/>
            <w:tcBorders>
              <w:top w:val="nil"/>
              <w:left w:val="single" w:color="auto" w:sz="4" w:space="0"/>
              <w:bottom w:val="single" w:color="auto" w:sz="4" w:space="0"/>
              <w:right w:val="single" w:color="auto" w:sz="4" w:space="0"/>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1</w:t>
            </w:r>
          </w:p>
        </w:tc>
        <w:tc>
          <w:tcPr>
            <w:tcW w:w="3020" w:type="dxa"/>
            <w:tcBorders>
              <w:top w:val="nil"/>
              <w:left w:val="nil"/>
              <w:bottom w:val="single" w:color="auto" w:sz="4" w:space="0"/>
              <w:right w:val="single" w:color="auto" w:sz="4" w:space="0"/>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秦汉330千伏输变电工程</w:t>
            </w:r>
          </w:p>
        </w:tc>
        <w:tc>
          <w:tcPr>
            <w:tcW w:w="1080" w:type="dxa"/>
            <w:gridSpan w:val="2"/>
            <w:tcBorders>
              <w:top w:val="nil"/>
              <w:left w:val="nil"/>
              <w:bottom w:val="single" w:color="auto" w:sz="4" w:space="0"/>
              <w:right w:val="single" w:color="auto" w:sz="4" w:space="0"/>
            </w:tcBorders>
            <w:shd w:val="clear" w:color="000000" w:fill="FFFFFF"/>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129.1</w:t>
            </w:r>
          </w:p>
        </w:tc>
        <w:tc>
          <w:tcPr>
            <w:tcW w:w="1038" w:type="dxa"/>
            <w:gridSpan w:val="2"/>
            <w:tcBorders>
              <w:top w:val="nil"/>
              <w:left w:val="nil"/>
              <w:bottom w:val="single" w:color="auto" w:sz="4" w:space="0"/>
              <w:right w:val="single" w:color="auto" w:sz="4" w:space="0"/>
            </w:tcBorders>
            <w:shd w:val="clear" w:color="000000" w:fill="FFFFFF"/>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720</w:t>
            </w:r>
          </w:p>
        </w:tc>
        <w:tc>
          <w:tcPr>
            <w:tcW w:w="850" w:type="dxa"/>
            <w:tcBorders>
              <w:top w:val="nil"/>
              <w:left w:val="nil"/>
              <w:bottom w:val="single" w:color="auto" w:sz="4" w:space="0"/>
              <w:right w:val="single" w:color="auto" w:sz="4" w:space="0"/>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25038</w:t>
            </w:r>
          </w:p>
        </w:tc>
        <w:tc>
          <w:tcPr>
            <w:tcW w:w="851" w:type="dxa"/>
            <w:tcBorders>
              <w:top w:val="nil"/>
              <w:left w:val="nil"/>
              <w:bottom w:val="single" w:color="auto" w:sz="4" w:space="0"/>
              <w:right w:val="single" w:color="auto" w:sz="4" w:space="0"/>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44410</w:t>
            </w:r>
          </w:p>
        </w:tc>
        <w:tc>
          <w:tcPr>
            <w:tcW w:w="1559" w:type="dxa"/>
            <w:tcBorders>
              <w:top w:val="nil"/>
              <w:left w:val="nil"/>
              <w:bottom w:val="single" w:color="auto" w:sz="4" w:space="0"/>
              <w:right w:val="single" w:color="auto" w:sz="4" w:space="0"/>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69448</w:t>
            </w:r>
          </w:p>
        </w:tc>
      </w:tr>
      <w:tr>
        <w:tblPrEx>
          <w:tblCellMar>
            <w:top w:w="0" w:type="dxa"/>
            <w:left w:w="108" w:type="dxa"/>
            <w:bottom w:w="0" w:type="dxa"/>
            <w:right w:w="108" w:type="dxa"/>
          </w:tblCellMar>
        </w:tblPrEx>
        <w:trPr>
          <w:trHeight w:val="454" w:hRule="atLeast"/>
        </w:trPr>
        <w:tc>
          <w:tcPr>
            <w:tcW w:w="816" w:type="dxa"/>
            <w:tcBorders>
              <w:top w:val="nil"/>
              <w:left w:val="single" w:color="auto" w:sz="4" w:space="0"/>
              <w:bottom w:val="single" w:color="auto" w:sz="4" w:space="0"/>
              <w:right w:val="single" w:color="auto" w:sz="4" w:space="0"/>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2</w:t>
            </w:r>
          </w:p>
        </w:tc>
        <w:tc>
          <w:tcPr>
            <w:tcW w:w="3020" w:type="dxa"/>
            <w:tcBorders>
              <w:top w:val="nil"/>
              <w:left w:val="nil"/>
              <w:bottom w:val="single" w:color="auto" w:sz="4" w:space="0"/>
              <w:right w:val="single" w:color="auto" w:sz="4" w:space="0"/>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沣渭330千伏输变电工程</w:t>
            </w:r>
          </w:p>
        </w:tc>
        <w:tc>
          <w:tcPr>
            <w:tcW w:w="1080" w:type="dxa"/>
            <w:gridSpan w:val="2"/>
            <w:tcBorders>
              <w:top w:val="nil"/>
              <w:left w:val="nil"/>
              <w:bottom w:val="single" w:color="auto" w:sz="4" w:space="0"/>
              <w:right w:val="single" w:color="auto" w:sz="4" w:space="0"/>
            </w:tcBorders>
            <w:shd w:val="clear" w:color="000000" w:fill="FFFFFF"/>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57.1</w:t>
            </w:r>
          </w:p>
        </w:tc>
        <w:tc>
          <w:tcPr>
            <w:tcW w:w="1038" w:type="dxa"/>
            <w:gridSpan w:val="2"/>
            <w:tcBorders>
              <w:top w:val="nil"/>
              <w:left w:val="nil"/>
              <w:bottom w:val="single" w:color="auto" w:sz="4" w:space="0"/>
              <w:right w:val="single" w:color="auto" w:sz="4" w:space="0"/>
            </w:tcBorders>
            <w:shd w:val="clear" w:color="000000" w:fill="FFFFFF"/>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720</w:t>
            </w:r>
          </w:p>
        </w:tc>
        <w:tc>
          <w:tcPr>
            <w:tcW w:w="850" w:type="dxa"/>
            <w:tcBorders>
              <w:top w:val="nil"/>
              <w:left w:val="nil"/>
              <w:bottom w:val="single" w:color="auto" w:sz="4" w:space="0"/>
              <w:right w:val="single" w:color="auto" w:sz="4" w:space="0"/>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47853</w:t>
            </w:r>
          </w:p>
        </w:tc>
        <w:tc>
          <w:tcPr>
            <w:tcW w:w="851" w:type="dxa"/>
            <w:tcBorders>
              <w:top w:val="nil"/>
              <w:left w:val="nil"/>
              <w:bottom w:val="single" w:color="auto" w:sz="4" w:space="0"/>
              <w:right w:val="single" w:color="auto" w:sz="4" w:space="0"/>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72064</w:t>
            </w:r>
          </w:p>
        </w:tc>
        <w:tc>
          <w:tcPr>
            <w:tcW w:w="1559" w:type="dxa"/>
            <w:tcBorders>
              <w:top w:val="nil"/>
              <w:left w:val="nil"/>
              <w:bottom w:val="single" w:color="auto" w:sz="4" w:space="0"/>
              <w:right w:val="single" w:color="auto" w:sz="4" w:space="0"/>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119917</w:t>
            </w:r>
          </w:p>
        </w:tc>
      </w:tr>
      <w:tr>
        <w:tblPrEx>
          <w:tblCellMar>
            <w:top w:w="0" w:type="dxa"/>
            <w:left w:w="108" w:type="dxa"/>
            <w:bottom w:w="0" w:type="dxa"/>
            <w:right w:w="108" w:type="dxa"/>
          </w:tblCellMar>
        </w:tblPrEx>
        <w:trPr>
          <w:trHeight w:val="454" w:hRule="atLeast"/>
        </w:trPr>
        <w:tc>
          <w:tcPr>
            <w:tcW w:w="816" w:type="dxa"/>
            <w:tcBorders>
              <w:top w:val="nil"/>
              <w:left w:val="single" w:color="auto" w:sz="4" w:space="0"/>
              <w:bottom w:val="single" w:color="auto" w:sz="4" w:space="0"/>
              <w:right w:val="single" w:color="auto" w:sz="4" w:space="0"/>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3</w:t>
            </w:r>
          </w:p>
        </w:tc>
        <w:tc>
          <w:tcPr>
            <w:tcW w:w="3020" w:type="dxa"/>
            <w:tcBorders>
              <w:top w:val="nil"/>
              <w:left w:val="nil"/>
              <w:bottom w:val="single" w:color="auto" w:sz="4" w:space="0"/>
              <w:right w:val="single" w:color="auto" w:sz="4" w:space="0"/>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泾河330千伏输变电工程</w:t>
            </w:r>
          </w:p>
        </w:tc>
        <w:tc>
          <w:tcPr>
            <w:tcW w:w="1080" w:type="dxa"/>
            <w:gridSpan w:val="2"/>
            <w:tcBorders>
              <w:top w:val="nil"/>
              <w:left w:val="nil"/>
              <w:bottom w:val="single" w:color="auto" w:sz="4" w:space="0"/>
              <w:right w:val="single" w:color="auto" w:sz="4" w:space="0"/>
            </w:tcBorders>
            <w:shd w:val="clear" w:color="000000" w:fill="FFFFFF"/>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6.6</w:t>
            </w:r>
          </w:p>
        </w:tc>
        <w:tc>
          <w:tcPr>
            <w:tcW w:w="1038" w:type="dxa"/>
            <w:gridSpan w:val="2"/>
            <w:tcBorders>
              <w:top w:val="nil"/>
              <w:left w:val="nil"/>
              <w:bottom w:val="single" w:color="auto" w:sz="4" w:space="0"/>
              <w:right w:val="single" w:color="auto" w:sz="4" w:space="0"/>
            </w:tcBorders>
            <w:shd w:val="clear" w:color="000000" w:fill="FFFFFF"/>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720</w:t>
            </w:r>
          </w:p>
        </w:tc>
        <w:tc>
          <w:tcPr>
            <w:tcW w:w="850" w:type="dxa"/>
            <w:tcBorders>
              <w:top w:val="nil"/>
              <w:left w:val="nil"/>
              <w:bottom w:val="single" w:color="auto" w:sz="4" w:space="0"/>
              <w:right w:val="single" w:color="auto" w:sz="4" w:space="0"/>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20000</w:t>
            </w:r>
          </w:p>
        </w:tc>
        <w:tc>
          <w:tcPr>
            <w:tcW w:w="851" w:type="dxa"/>
            <w:tcBorders>
              <w:top w:val="nil"/>
              <w:left w:val="nil"/>
              <w:bottom w:val="single" w:color="auto" w:sz="4" w:space="0"/>
              <w:right w:val="single" w:color="auto" w:sz="4" w:space="0"/>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2244</w:t>
            </w:r>
          </w:p>
        </w:tc>
        <w:tc>
          <w:tcPr>
            <w:tcW w:w="1559" w:type="dxa"/>
            <w:tcBorders>
              <w:top w:val="nil"/>
              <w:left w:val="nil"/>
              <w:bottom w:val="single" w:color="auto" w:sz="4" w:space="0"/>
              <w:right w:val="single" w:color="auto" w:sz="4" w:space="0"/>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22244</w:t>
            </w:r>
          </w:p>
        </w:tc>
      </w:tr>
      <w:tr>
        <w:tblPrEx>
          <w:tblCellMar>
            <w:top w:w="0" w:type="dxa"/>
            <w:left w:w="108" w:type="dxa"/>
            <w:bottom w:w="0" w:type="dxa"/>
            <w:right w:w="108" w:type="dxa"/>
          </w:tblCellMar>
        </w:tblPrEx>
        <w:trPr>
          <w:trHeight w:val="454" w:hRule="atLeast"/>
        </w:trPr>
        <w:tc>
          <w:tcPr>
            <w:tcW w:w="816" w:type="dxa"/>
            <w:tcBorders>
              <w:top w:val="nil"/>
              <w:left w:val="single" w:color="auto" w:sz="4" w:space="0"/>
              <w:bottom w:val="single" w:color="auto" w:sz="4" w:space="0"/>
              <w:right w:val="single" w:color="auto" w:sz="4" w:space="0"/>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4</w:t>
            </w:r>
          </w:p>
        </w:tc>
        <w:tc>
          <w:tcPr>
            <w:tcW w:w="3020" w:type="dxa"/>
            <w:tcBorders>
              <w:top w:val="nil"/>
              <w:left w:val="nil"/>
              <w:bottom w:val="single" w:color="auto" w:sz="4" w:space="0"/>
              <w:right w:val="single" w:color="auto" w:sz="4" w:space="0"/>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沣西#2 330千伏输变电工程</w:t>
            </w:r>
          </w:p>
        </w:tc>
        <w:tc>
          <w:tcPr>
            <w:tcW w:w="1080" w:type="dxa"/>
            <w:gridSpan w:val="2"/>
            <w:tcBorders>
              <w:top w:val="nil"/>
              <w:left w:val="nil"/>
              <w:bottom w:val="single" w:color="auto" w:sz="4" w:space="0"/>
              <w:right w:val="single" w:color="auto" w:sz="4" w:space="0"/>
            </w:tcBorders>
            <w:shd w:val="clear" w:color="000000" w:fill="FFFFFF"/>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55.6</w:t>
            </w:r>
          </w:p>
        </w:tc>
        <w:tc>
          <w:tcPr>
            <w:tcW w:w="1038" w:type="dxa"/>
            <w:gridSpan w:val="2"/>
            <w:tcBorders>
              <w:top w:val="nil"/>
              <w:left w:val="nil"/>
              <w:bottom w:val="single" w:color="auto" w:sz="4" w:space="0"/>
              <w:right w:val="single" w:color="auto" w:sz="4" w:space="0"/>
            </w:tcBorders>
            <w:shd w:val="clear" w:color="000000" w:fill="FFFFFF"/>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720</w:t>
            </w:r>
          </w:p>
        </w:tc>
        <w:tc>
          <w:tcPr>
            <w:tcW w:w="850" w:type="dxa"/>
            <w:tcBorders>
              <w:top w:val="nil"/>
              <w:left w:val="nil"/>
              <w:bottom w:val="single" w:color="auto" w:sz="4" w:space="0"/>
              <w:right w:val="single" w:color="auto" w:sz="4" w:space="0"/>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20000</w:t>
            </w:r>
          </w:p>
        </w:tc>
        <w:tc>
          <w:tcPr>
            <w:tcW w:w="851" w:type="dxa"/>
            <w:tcBorders>
              <w:top w:val="nil"/>
              <w:left w:val="nil"/>
              <w:bottom w:val="single" w:color="auto" w:sz="4" w:space="0"/>
              <w:right w:val="single" w:color="auto" w:sz="4" w:space="0"/>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18904</w:t>
            </w:r>
          </w:p>
        </w:tc>
        <w:tc>
          <w:tcPr>
            <w:tcW w:w="1559" w:type="dxa"/>
            <w:tcBorders>
              <w:top w:val="nil"/>
              <w:left w:val="nil"/>
              <w:bottom w:val="single" w:color="auto" w:sz="4" w:space="0"/>
              <w:right w:val="single" w:color="auto" w:sz="4" w:space="0"/>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38904</w:t>
            </w:r>
          </w:p>
        </w:tc>
      </w:tr>
      <w:tr>
        <w:tblPrEx>
          <w:tblCellMar>
            <w:top w:w="0" w:type="dxa"/>
            <w:left w:w="108" w:type="dxa"/>
            <w:bottom w:w="0" w:type="dxa"/>
            <w:right w:w="108" w:type="dxa"/>
          </w:tblCellMar>
        </w:tblPrEx>
        <w:trPr>
          <w:trHeight w:val="454" w:hRule="atLeast"/>
        </w:trPr>
        <w:tc>
          <w:tcPr>
            <w:tcW w:w="816" w:type="dxa"/>
            <w:tcBorders>
              <w:top w:val="nil"/>
              <w:left w:val="single" w:color="auto" w:sz="4" w:space="0"/>
              <w:bottom w:val="single" w:color="auto" w:sz="4" w:space="0"/>
              <w:right w:val="single" w:color="auto" w:sz="4" w:space="0"/>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5</w:t>
            </w:r>
          </w:p>
        </w:tc>
        <w:tc>
          <w:tcPr>
            <w:tcW w:w="3020" w:type="dxa"/>
            <w:tcBorders>
              <w:top w:val="nil"/>
              <w:left w:val="nil"/>
              <w:bottom w:val="single" w:color="auto" w:sz="4" w:space="0"/>
              <w:right w:val="single" w:color="auto" w:sz="4" w:space="0"/>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空港330千伏输变电工程</w:t>
            </w:r>
          </w:p>
        </w:tc>
        <w:tc>
          <w:tcPr>
            <w:tcW w:w="1080" w:type="dxa"/>
            <w:gridSpan w:val="2"/>
            <w:tcBorders>
              <w:top w:val="nil"/>
              <w:left w:val="nil"/>
              <w:bottom w:val="single" w:color="auto" w:sz="4" w:space="0"/>
              <w:right w:val="single" w:color="auto" w:sz="4" w:space="0"/>
            </w:tcBorders>
            <w:shd w:val="clear" w:color="000000" w:fill="FFFFFF"/>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20</w:t>
            </w:r>
          </w:p>
        </w:tc>
        <w:tc>
          <w:tcPr>
            <w:tcW w:w="1038" w:type="dxa"/>
            <w:gridSpan w:val="2"/>
            <w:tcBorders>
              <w:top w:val="nil"/>
              <w:left w:val="nil"/>
              <w:bottom w:val="single" w:color="auto" w:sz="4" w:space="0"/>
              <w:right w:val="single" w:color="auto" w:sz="4" w:space="0"/>
            </w:tcBorders>
            <w:shd w:val="clear" w:color="000000" w:fill="FFFFFF"/>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720</w:t>
            </w:r>
          </w:p>
        </w:tc>
        <w:tc>
          <w:tcPr>
            <w:tcW w:w="850" w:type="dxa"/>
            <w:tcBorders>
              <w:top w:val="nil"/>
              <w:left w:val="nil"/>
              <w:bottom w:val="single" w:color="auto" w:sz="4" w:space="0"/>
              <w:right w:val="single" w:color="auto" w:sz="4" w:space="0"/>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20000</w:t>
            </w:r>
          </w:p>
        </w:tc>
        <w:tc>
          <w:tcPr>
            <w:tcW w:w="851" w:type="dxa"/>
            <w:tcBorders>
              <w:top w:val="nil"/>
              <w:left w:val="nil"/>
              <w:bottom w:val="single" w:color="auto" w:sz="4" w:space="0"/>
              <w:right w:val="single" w:color="auto" w:sz="4" w:space="0"/>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6800</w:t>
            </w:r>
          </w:p>
        </w:tc>
        <w:tc>
          <w:tcPr>
            <w:tcW w:w="1559" w:type="dxa"/>
            <w:tcBorders>
              <w:top w:val="nil"/>
              <w:left w:val="nil"/>
              <w:bottom w:val="single" w:color="auto" w:sz="4" w:space="0"/>
              <w:right w:val="single" w:color="auto" w:sz="4" w:space="0"/>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26800</w:t>
            </w:r>
          </w:p>
        </w:tc>
      </w:tr>
      <w:tr>
        <w:tblPrEx>
          <w:tblCellMar>
            <w:top w:w="0" w:type="dxa"/>
            <w:left w:w="108" w:type="dxa"/>
            <w:bottom w:w="0" w:type="dxa"/>
            <w:right w:w="108" w:type="dxa"/>
          </w:tblCellMar>
        </w:tblPrEx>
        <w:trPr>
          <w:trHeight w:val="454" w:hRule="atLeast"/>
        </w:trPr>
        <w:tc>
          <w:tcPr>
            <w:tcW w:w="3844"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2021-2025年合计</w:t>
            </w:r>
          </w:p>
        </w:tc>
        <w:tc>
          <w:tcPr>
            <w:tcW w:w="1080" w:type="dxa"/>
            <w:gridSpan w:val="2"/>
            <w:tcBorders>
              <w:top w:val="nil"/>
              <w:left w:val="nil"/>
              <w:bottom w:val="single" w:color="auto" w:sz="4" w:space="0"/>
              <w:right w:val="single" w:color="auto" w:sz="4" w:space="0"/>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268.4</w:t>
            </w:r>
          </w:p>
        </w:tc>
        <w:tc>
          <w:tcPr>
            <w:tcW w:w="1030" w:type="dxa"/>
            <w:tcBorders>
              <w:top w:val="nil"/>
              <w:left w:val="nil"/>
              <w:bottom w:val="single" w:color="auto" w:sz="4" w:space="0"/>
              <w:right w:val="single" w:color="auto" w:sz="4" w:space="0"/>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3600</w:t>
            </w:r>
          </w:p>
        </w:tc>
        <w:tc>
          <w:tcPr>
            <w:tcW w:w="850" w:type="dxa"/>
            <w:tcBorders>
              <w:top w:val="nil"/>
              <w:left w:val="nil"/>
              <w:bottom w:val="single" w:color="auto" w:sz="4" w:space="0"/>
              <w:right w:val="single" w:color="auto" w:sz="4" w:space="0"/>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132891</w:t>
            </w:r>
          </w:p>
        </w:tc>
        <w:tc>
          <w:tcPr>
            <w:tcW w:w="851" w:type="dxa"/>
            <w:tcBorders>
              <w:top w:val="nil"/>
              <w:left w:val="nil"/>
              <w:bottom w:val="single" w:color="auto" w:sz="4" w:space="0"/>
              <w:right w:val="single" w:color="auto" w:sz="4" w:space="0"/>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144422</w:t>
            </w:r>
          </w:p>
        </w:tc>
        <w:tc>
          <w:tcPr>
            <w:tcW w:w="1559" w:type="dxa"/>
            <w:tcBorders>
              <w:top w:val="nil"/>
              <w:left w:val="nil"/>
              <w:bottom w:val="single" w:color="auto" w:sz="4" w:space="0"/>
              <w:right w:val="single" w:color="auto" w:sz="4" w:space="0"/>
            </w:tcBorders>
            <w:shd w:val="clear" w:color="auto" w:fill="auto"/>
            <w:vAlign w:val="center"/>
          </w:tcPr>
          <w:p>
            <w:pPr>
              <w:spacing w:line="240" w:lineRule="auto"/>
              <w:jc w:val="center"/>
              <w:rPr>
                <w:rFonts w:hint="eastAsia" w:ascii="方正仿宋_GB2312" w:hAnsi="方正仿宋_GB2312" w:eastAsia="方正仿宋_GB2312" w:cs="方正仿宋_GB2312"/>
                <w:bCs/>
                <w:sz w:val="18"/>
                <w:szCs w:val="18"/>
              </w:rPr>
            </w:pPr>
            <w:r>
              <w:rPr>
                <w:rFonts w:hint="eastAsia" w:ascii="方正仿宋_GB2312" w:hAnsi="方正仿宋_GB2312" w:eastAsia="方正仿宋_GB2312" w:cs="方正仿宋_GB2312"/>
                <w:bCs/>
                <w:sz w:val="18"/>
                <w:szCs w:val="18"/>
              </w:rPr>
              <w:t>277313</w:t>
            </w:r>
          </w:p>
        </w:tc>
      </w:tr>
    </w:tbl>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lang w:val="en-US" w:eastAsia="zh-CN"/>
        </w:rPr>
      </w:pPr>
      <w:bookmarkStart w:id="1217" w:name="_Toc223"/>
      <w:bookmarkStart w:id="1218" w:name="_Toc74041260"/>
      <w:r>
        <w:rPr>
          <w:rFonts w:hint="eastAsia" w:ascii="黑体" w:hAnsi="黑体" w:eastAsia="黑体" w:cs="黑体"/>
          <w:b w:val="0"/>
          <w:bCs w:val="0"/>
          <w:sz w:val="32"/>
          <w:szCs w:val="32"/>
          <w:lang w:val="en-US" w:eastAsia="zh-CN"/>
        </w:rPr>
        <w:t>110千伏电网投资</w:t>
      </w:r>
      <w:bookmarkEnd w:id="1217"/>
      <w:bookmarkEnd w:id="1218"/>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十四五”期间西咸新区110千伏电网投资估算约35.97亿元。其中：空港新城投资估算约7.1亿元；沣东新城投资估算约6.21亿元；秦汉新城投资估算约4.43亿元；沣西新城投资估算约9.23亿元；泾河新城投资估算约9亿元。</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国家电网西咸新区供电公司110千伏电网投资估算约23.18亿元；地方电力集团110千伏电网投资估算约8.35亿元；沣西新城增量电网110千伏电网投资估算约2.87亿元；空港新城增量电网110千伏电网投资估算约1.57亿元。</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黑体" w:hAnsi="黑体" w:eastAsia="黑体" w:cs="黑体"/>
          <w:b w:val="0"/>
          <w:bCs w:val="0"/>
          <w:kern w:val="0"/>
          <w:sz w:val="28"/>
          <w:szCs w:val="28"/>
          <w:lang w:val="en-US" w:eastAsia="zh-CN" w:bidi="ar-SA"/>
        </w:rPr>
      </w:pPr>
      <w:r>
        <w:rPr>
          <w:rFonts w:hint="eastAsia" w:ascii="黑体" w:hAnsi="黑体" w:eastAsia="黑体" w:cs="黑体"/>
          <w:b w:val="0"/>
          <w:bCs w:val="0"/>
          <w:kern w:val="0"/>
          <w:sz w:val="28"/>
          <w:szCs w:val="28"/>
          <w:lang w:val="en-US" w:eastAsia="zh-CN" w:bidi="ar-SA"/>
        </w:rPr>
        <w:t>表11-3      西咸电网“十四五”110千伏电网投资明细表</w:t>
      </w:r>
    </w:p>
    <w:tbl>
      <w:tblPr>
        <w:tblStyle w:val="88"/>
        <w:tblW w:w="9242" w:type="dxa"/>
        <w:tblInd w:w="0" w:type="dxa"/>
        <w:tblLayout w:type="fixed"/>
        <w:tblCellMar>
          <w:top w:w="0" w:type="dxa"/>
          <w:left w:w="108" w:type="dxa"/>
          <w:bottom w:w="0" w:type="dxa"/>
          <w:right w:w="108" w:type="dxa"/>
        </w:tblCellMar>
      </w:tblPr>
      <w:tblGrid>
        <w:gridCol w:w="404"/>
        <w:gridCol w:w="594"/>
        <w:gridCol w:w="2055"/>
        <w:gridCol w:w="499"/>
        <w:gridCol w:w="597"/>
        <w:gridCol w:w="840"/>
        <w:gridCol w:w="740"/>
        <w:gridCol w:w="973"/>
        <w:gridCol w:w="973"/>
        <w:gridCol w:w="973"/>
        <w:gridCol w:w="594"/>
      </w:tblGrid>
      <w:tr>
        <w:tblPrEx>
          <w:tblCellMar>
            <w:top w:w="0" w:type="dxa"/>
            <w:left w:w="108" w:type="dxa"/>
            <w:bottom w:w="0" w:type="dxa"/>
            <w:right w:w="108" w:type="dxa"/>
          </w:tblCellMar>
        </w:tblPrEx>
        <w:trPr>
          <w:trHeight w:val="270" w:hRule="atLeast"/>
        </w:trPr>
        <w:tc>
          <w:tcPr>
            <w:tcW w:w="40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序号</w:t>
            </w:r>
          </w:p>
        </w:tc>
        <w:tc>
          <w:tcPr>
            <w:tcW w:w="594"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所属区域</w:t>
            </w:r>
          </w:p>
        </w:tc>
        <w:tc>
          <w:tcPr>
            <w:tcW w:w="2055"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项目名称</w:t>
            </w:r>
          </w:p>
        </w:tc>
        <w:tc>
          <w:tcPr>
            <w:tcW w:w="499"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性质</w:t>
            </w:r>
          </w:p>
        </w:tc>
        <w:tc>
          <w:tcPr>
            <w:tcW w:w="597"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投产时间</w:t>
            </w:r>
          </w:p>
        </w:tc>
        <w:tc>
          <w:tcPr>
            <w:tcW w:w="840"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变电容量MVA</w:t>
            </w:r>
          </w:p>
        </w:tc>
        <w:tc>
          <w:tcPr>
            <w:tcW w:w="740"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线路长度km</w:t>
            </w:r>
          </w:p>
        </w:tc>
        <w:tc>
          <w:tcPr>
            <w:tcW w:w="973"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变电投资（</w:t>
            </w:r>
            <w:r>
              <w:rPr>
                <w:rFonts w:hint="eastAsia" w:eastAsia="仿宋"/>
                <w:color w:val="000000"/>
                <w:kern w:val="0"/>
                <w:sz w:val="18"/>
                <w:szCs w:val="18"/>
              </w:rPr>
              <w:t>万</w:t>
            </w:r>
            <w:r>
              <w:rPr>
                <w:rFonts w:eastAsia="仿宋"/>
                <w:color w:val="000000"/>
                <w:kern w:val="0"/>
                <w:sz w:val="18"/>
                <w:szCs w:val="18"/>
              </w:rPr>
              <w:t>元）</w:t>
            </w:r>
          </w:p>
        </w:tc>
        <w:tc>
          <w:tcPr>
            <w:tcW w:w="973"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线路投资（</w:t>
            </w:r>
            <w:r>
              <w:rPr>
                <w:rFonts w:hint="eastAsia" w:eastAsia="仿宋"/>
                <w:color w:val="000000"/>
                <w:kern w:val="0"/>
                <w:sz w:val="18"/>
                <w:szCs w:val="18"/>
              </w:rPr>
              <w:t>万</w:t>
            </w:r>
            <w:r>
              <w:rPr>
                <w:rFonts w:eastAsia="仿宋"/>
                <w:color w:val="000000"/>
                <w:kern w:val="0"/>
                <w:sz w:val="18"/>
                <w:szCs w:val="18"/>
              </w:rPr>
              <w:t>元）</w:t>
            </w:r>
          </w:p>
        </w:tc>
        <w:tc>
          <w:tcPr>
            <w:tcW w:w="973"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投资合计（</w:t>
            </w:r>
            <w:r>
              <w:rPr>
                <w:rFonts w:hint="eastAsia" w:eastAsia="仿宋"/>
                <w:color w:val="000000"/>
                <w:kern w:val="0"/>
                <w:sz w:val="18"/>
                <w:szCs w:val="18"/>
              </w:rPr>
              <w:t>万</w:t>
            </w:r>
            <w:r>
              <w:rPr>
                <w:rFonts w:eastAsia="仿宋"/>
                <w:color w:val="000000"/>
                <w:kern w:val="0"/>
                <w:sz w:val="18"/>
                <w:szCs w:val="18"/>
              </w:rPr>
              <w:t>元）</w:t>
            </w:r>
          </w:p>
        </w:tc>
        <w:tc>
          <w:tcPr>
            <w:tcW w:w="594"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备注</w:t>
            </w:r>
          </w:p>
        </w:tc>
      </w:tr>
      <w:tr>
        <w:tblPrEx>
          <w:tblCellMar>
            <w:top w:w="0" w:type="dxa"/>
            <w:left w:w="108" w:type="dxa"/>
            <w:bottom w:w="0" w:type="dxa"/>
            <w:right w:w="108" w:type="dxa"/>
          </w:tblCellMar>
        </w:tblPrEx>
        <w:trPr>
          <w:trHeight w:val="90" w:hRule="atLeast"/>
        </w:trPr>
        <w:tc>
          <w:tcPr>
            <w:tcW w:w="40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w:t>
            </w:r>
          </w:p>
        </w:tc>
        <w:tc>
          <w:tcPr>
            <w:tcW w:w="594" w:type="dxa"/>
            <w:vMerge w:val="restart"/>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空港新城</w:t>
            </w:r>
          </w:p>
        </w:tc>
        <w:tc>
          <w:tcPr>
            <w:tcW w:w="205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秦汉(韩湾)~机场2#变110kV线路工程</w:t>
            </w:r>
          </w:p>
        </w:tc>
        <w:tc>
          <w:tcPr>
            <w:tcW w:w="49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新建</w:t>
            </w:r>
          </w:p>
        </w:tc>
        <w:tc>
          <w:tcPr>
            <w:tcW w:w="59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eastAsia="仿宋"/>
                <w:color w:val="000000"/>
                <w:kern w:val="0"/>
                <w:sz w:val="18"/>
                <w:szCs w:val="18"/>
                <w:lang w:eastAsia="zh-CN"/>
              </w:rPr>
            </w:pPr>
            <w:r>
              <w:rPr>
                <w:rFonts w:eastAsia="仿宋"/>
                <w:color w:val="000000"/>
                <w:kern w:val="0"/>
                <w:sz w:val="18"/>
                <w:szCs w:val="18"/>
              </w:rPr>
              <w:t>202</w:t>
            </w:r>
            <w:r>
              <w:rPr>
                <w:rFonts w:hint="eastAsia" w:eastAsia="仿宋"/>
                <w:color w:val="000000"/>
                <w:kern w:val="0"/>
                <w:sz w:val="18"/>
                <w:szCs w:val="18"/>
                <w:lang w:val="en-US" w:eastAsia="zh-CN"/>
              </w:rPr>
              <w:t>2</w:t>
            </w:r>
          </w:p>
        </w:tc>
        <w:tc>
          <w:tcPr>
            <w:tcW w:w="8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0</w:t>
            </w:r>
          </w:p>
        </w:tc>
        <w:tc>
          <w:tcPr>
            <w:tcW w:w="7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12.6</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163</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5606</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5769</w:t>
            </w:r>
          </w:p>
        </w:tc>
        <w:tc>
          <w:tcPr>
            <w:tcW w:w="59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国网</w:t>
            </w:r>
          </w:p>
        </w:tc>
      </w:tr>
      <w:tr>
        <w:tblPrEx>
          <w:tblCellMar>
            <w:top w:w="0" w:type="dxa"/>
            <w:left w:w="108" w:type="dxa"/>
            <w:bottom w:w="0" w:type="dxa"/>
            <w:right w:w="108" w:type="dxa"/>
          </w:tblCellMar>
        </w:tblPrEx>
        <w:trPr>
          <w:trHeight w:val="270" w:hRule="atLeast"/>
        </w:trPr>
        <w:tc>
          <w:tcPr>
            <w:tcW w:w="40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w:t>
            </w:r>
          </w:p>
        </w:tc>
        <w:tc>
          <w:tcPr>
            <w:tcW w:w="594"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eastAsia="仿宋"/>
                <w:color w:val="000000"/>
                <w:kern w:val="0"/>
                <w:sz w:val="18"/>
                <w:szCs w:val="18"/>
              </w:rPr>
            </w:pPr>
          </w:p>
        </w:tc>
        <w:tc>
          <w:tcPr>
            <w:tcW w:w="205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南朱刘110kV输变电工程</w:t>
            </w:r>
          </w:p>
        </w:tc>
        <w:tc>
          <w:tcPr>
            <w:tcW w:w="49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新建</w:t>
            </w:r>
          </w:p>
        </w:tc>
        <w:tc>
          <w:tcPr>
            <w:tcW w:w="59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eastAsia="仿宋"/>
                <w:color w:val="000000"/>
                <w:kern w:val="0"/>
                <w:sz w:val="18"/>
                <w:szCs w:val="18"/>
                <w:lang w:eastAsia="zh-CN"/>
              </w:rPr>
            </w:pPr>
            <w:r>
              <w:rPr>
                <w:rFonts w:eastAsia="仿宋"/>
                <w:color w:val="000000"/>
                <w:kern w:val="0"/>
                <w:sz w:val="18"/>
                <w:szCs w:val="18"/>
              </w:rPr>
              <w:t>202</w:t>
            </w:r>
            <w:r>
              <w:rPr>
                <w:rFonts w:hint="eastAsia" w:eastAsia="仿宋"/>
                <w:color w:val="000000"/>
                <w:kern w:val="0"/>
                <w:sz w:val="18"/>
                <w:szCs w:val="18"/>
                <w:lang w:val="en-US" w:eastAsia="zh-CN"/>
              </w:rPr>
              <w:t>2</w:t>
            </w:r>
          </w:p>
        </w:tc>
        <w:tc>
          <w:tcPr>
            <w:tcW w:w="8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100</w:t>
            </w:r>
          </w:p>
        </w:tc>
        <w:tc>
          <w:tcPr>
            <w:tcW w:w="7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21.4</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4747</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9595</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14342</w:t>
            </w:r>
          </w:p>
        </w:tc>
        <w:tc>
          <w:tcPr>
            <w:tcW w:w="59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国网</w:t>
            </w:r>
          </w:p>
        </w:tc>
      </w:tr>
      <w:tr>
        <w:tblPrEx>
          <w:tblCellMar>
            <w:top w:w="0" w:type="dxa"/>
            <w:left w:w="108" w:type="dxa"/>
            <w:bottom w:w="0" w:type="dxa"/>
            <w:right w:w="108" w:type="dxa"/>
          </w:tblCellMar>
        </w:tblPrEx>
        <w:trPr>
          <w:trHeight w:val="270" w:hRule="atLeast"/>
        </w:trPr>
        <w:tc>
          <w:tcPr>
            <w:tcW w:w="40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3</w:t>
            </w:r>
          </w:p>
        </w:tc>
        <w:tc>
          <w:tcPr>
            <w:tcW w:w="59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left"/>
              <w:rPr>
                <w:rFonts w:eastAsia="仿宋"/>
                <w:color w:val="000000"/>
                <w:kern w:val="0"/>
                <w:sz w:val="18"/>
                <w:szCs w:val="18"/>
              </w:rPr>
            </w:pPr>
          </w:p>
        </w:tc>
        <w:tc>
          <w:tcPr>
            <w:tcW w:w="205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池阳~机场2#变110千伏线路工程</w:t>
            </w:r>
          </w:p>
        </w:tc>
        <w:tc>
          <w:tcPr>
            <w:tcW w:w="49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新建</w:t>
            </w:r>
          </w:p>
        </w:tc>
        <w:tc>
          <w:tcPr>
            <w:tcW w:w="597"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2022</w:t>
            </w:r>
          </w:p>
        </w:tc>
        <w:tc>
          <w:tcPr>
            <w:tcW w:w="84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0</w:t>
            </w:r>
          </w:p>
        </w:tc>
        <w:tc>
          <w:tcPr>
            <w:tcW w:w="74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34</w:t>
            </w:r>
          </w:p>
        </w:tc>
        <w:tc>
          <w:tcPr>
            <w:tcW w:w="97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154</w:t>
            </w:r>
          </w:p>
        </w:tc>
        <w:tc>
          <w:tcPr>
            <w:tcW w:w="97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5516</w:t>
            </w:r>
          </w:p>
        </w:tc>
        <w:tc>
          <w:tcPr>
            <w:tcW w:w="97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5670</w:t>
            </w:r>
          </w:p>
        </w:tc>
        <w:tc>
          <w:tcPr>
            <w:tcW w:w="59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国网</w:t>
            </w:r>
          </w:p>
        </w:tc>
      </w:tr>
      <w:tr>
        <w:tblPrEx>
          <w:tblCellMar>
            <w:top w:w="0" w:type="dxa"/>
            <w:left w:w="108" w:type="dxa"/>
            <w:bottom w:w="0" w:type="dxa"/>
            <w:right w:w="108" w:type="dxa"/>
          </w:tblCellMar>
        </w:tblPrEx>
        <w:trPr>
          <w:trHeight w:val="270" w:hRule="atLeast"/>
        </w:trPr>
        <w:tc>
          <w:tcPr>
            <w:tcW w:w="40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4</w:t>
            </w:r>
          </w:p>
        </w:tc>
        <w:tc>
          <w:tcPr>
            <w:tcW w:w="59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left"/>
              <w:rPr>
                <w:rFonts w:eastAsia="仿宋"/>
                <w:color w:val="000000"/>
                <w:kern w:val="0"/>
                <w:sz w:val="18"/>
                <w:szCs w:val="18"/>
              </w:rPr>
            </w:pPr>
          </w:p>
        </w:tc>
        <w:tc>
          <w:tcPr>
            <w:tcW w:w="2055"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朱家110kV输变电工程</w:t>
            </w:r>
          </w:p>
        </w:tc>
        <w:tc>
          <w:tcPr>
            <w:tcW w:w="499"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新建</w:t>
            </w:r>
          </w:p>
        </w:tc>
        <w:tc>
          <w:tcPr>
            <w:tcW w:w="597"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2023</w:t>
            </w:r>
          </w:p>
        </w:tc>
        <w:tc>
          <w:tcPr>
            <w:tcW w:w="840"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100</w:t>
            </w:r>
          </w:p>
        </w:tc>
        <w:tc>
          <w:tcPr>
            <w:tcW w:w="740"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30</w:t>
            </w:r>
          </w:p>
        </w:tc>
        <w:tc>
          <w:tcPr>
            <w:tcW w:w="973"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4500</w:t>
            </w:r>
          </w:p>
        </w:tc>
        <w:tc>
          <w:tcPr>
            <w:tcW w:w="973"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15000</w:t>
            </w:r>
          </w:p>
        </w:tc>
        <w:tc>
          <w:tcPr>
            <w:tcW w:w="973"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19500</w:t>
            </w:r>
          </w:p>
        </w:tc>
        <w:tc>
          <w:tcPr>
            <w:tcW w:w="594"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国网</w:t>
            </w:r>
          </w:p>
        </w:tc>
      </w:tr>
      <w:tr>
        <w:tblPrEx>
          <w:tblCellMar>
            <w:top w:w="0" w:type="dxa"/>
            <w:left w:w="108" w:type="dxa"/>
            <w:bottom w:w="0" w:type="dxa"/>
            <w:right w:w="108" w:type="dxa"/>
          </w:tblCellMar>
        </w:tblPrEx>
        <w:trPr>
          <w:trHeight w:val="270" w:hRule="atLeast"/>
        </w:trPr>
        <w:tc>
          <w:tcPr>
            <w:tcW w:w="40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5</w:t>
            </w:r>
          </w:p>
        </w:tc>
        <w:tc>
          <w:tcPr>
            <w:tcW w:w="594"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eastAsia="仿宋"/>
                <w:color w:val="000000"/>
                <w:kern w:val="0"/>
                <w:sz w:val="18"/>
                <w:szCs w:val="18"/>
              </w:rPr>
            </w:pPr>
          </w:p>
        </w:tc>
        <w:tc>
          <w:tcPr>
            <w:tcW w:w="205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顺陵110kV输变电工程</w:t>
            </w:r>
          </w:p>
        </w:tc>
        <w:tc>
          <w:tcPr>
            <w:tcW w:w="49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新建</w:t>
            </w:r>
          </w:p>
        </w:tc>
        <w:tc>
          <w:tcPr>
            <w:tcW w:w="59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2023</w:t>
            </w:r>
          </w:p>
        </w:tc>
        <w:tc>
          <w:tcPr>
            <w:tcW w:w="8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100</w:t>
            </w:r>
          </w:p>
        </w:tc>
        <w:tc>
          <w:tcPr>
            <w:tcW w:w="7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22.4</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4500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11200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15700</w:t>
            </w:r>
          </w:p>
        </w:tc>
        <w:tc>
          <w:tcPr>
            <w:tcW w:w="59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空港增量</w:t>
            </w:r>
          </w:p>
        </w:tc>
      </w:tr>
      <w:tr>
        <w:tblPrEx>
          <w:tblCellMar>
            <w:top w:w="0" w:type="dxa"/>
            <w:left w:w="108" w:type="dxa"/>
            <w:bottom w:w="0" w:type="dxa"/>
            <w:right w:w="108" w:type="dxa"/>
          </w:tblCellMar>
        </w:tblPrEx>
        <w:trPr>
          <w:trHeight w:val="819" w:hRule="atLeast"/>
        </w:trPr>
        <w:tc>
          <w:tcPr>
            <w:tcW w:w="40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6</w:t>
            </w:r>
          </w:p>
        </w:tc>
        <w:tc>
          <w:tcPr>
            <w:tcW w:w="594"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eastAsia="仿宋"/>
                <w:color w:val="000000"/>
                <w:kern w:val="0"/>
                <w:sz w:val="18"/>
                <w:szCs w:val="18"/>
              </w:rPr>
            </w:pPr>
          </w:p>
        </w:tc>
        <w:tc>
          <w:tcPr>
            <w:tcW w:w="205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空港330kV变电站110kV送出工程</w:t>
            </w:r>
          </w:p>
        </w:tc>
        <w:tc>
          <w:tcPr>
            <w:tcW w:w="49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新建</w:t>
            </w:r>
          </w:p>
        </w:tc>
        <w:tc>
          <w:tcPr>
            <w:tcW w:w="59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2025</w:t>
            </w:r>
          </w:p>
        </w:tc>
        <w:tc>
          <w:tcPr>
            <w:tcW w:w="8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0</w:t>
            </w:r>
          </w:p>
        </w:tc>
        <w:tc>
          <w:tcPr>
            <w:tcW w:w="7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10000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10000</w:t>
            </w:r>
          </w:p>
        </w:tc>
        <w:tc>
          <w:tcPr>
            <w:tcW w:w="59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国网</w:t>
            </w:r>
          </w:p>
        </w:tc>
      </w:tr>
      <w:tr>
        <w:tblPrEx>
          <w:tblCellMar>
            <w:top w:w="0" w:type="dxa"/>
            <w:left w:w="108" w:type="dxa"/>
            <w:bottom w:w="0" w:type="dxa"/>
            <w:right w:w="108" w:type="dxa"/>
          </w:tblCellMar>
        </w:tblPrEx>
        <w:trPr>
          <w:trHeight w:val="403" w:hRule="atLeast"/>
        </w:trPr>
        <w:tc>
          <w:tcPr>
            <w:tcW w:w="4149"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b/>
                <w:bCs/>
                <w:color w:val="000000"/>
                <w:kern w:val="0"/>
                <w:sz w:val="18"/>
                <w:szCs w:val="18"/>
              </w:rPr>
            </w:pPr>
            <w:r>
              <w:rPr>
                <w:rFonts w:eastAsia="仿宋"/>
                <w:b/>
                <w:bCs/>
                <w:color w:val="000000"/>
                <w:kern w:val="0"/>
                <w:sz w:val="18"/>
                <w:szCs w:val="18"/>
              </w:rPr>
              <w:t>空港新城合计</w:t>
            </w:r>
          </w:p>
        </w:tc>
        <w:tc>
          <w:tcPr>
            <w:tcW w:w="8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b/>
                <w:bCs/>
                <w:color w:val="000000"/>
                <w:kern w:val="0"/>
                <w:sz w:val="18"/>
                <w:szCs w:val="18"/>
              </w:rPr>
            </w:pPr>
            <w:r>
              <w:rPr>
                <w:rFonts w:eastAsia="仿宋"/>
                <w:b/>
                <w:bCs/>
                <w:color w:val="000000"/>
                <w:kern w:val="0"/>
                <w:sz w:val="18"/>
                <w:szCs w:val="18"/>
              </w:rPr>
              <w:t>300</w:t>
            </w:r>
          </w:p>
        </w:tc>
        <w:tc>
          <w:tcPr>
            <w:tcW w:w="7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b/>
                <w:bCs/>
                <w:color w:val="000000"/>
                <w:kern w:val="0"/>
                <w:sz w:val="18"/>
                <w:szCs w:val="18"/>
              </w:rPr>
            </w:pPr>
            <w:r>
              <w:rPr>
                <w:rFonts w:eastAsia="仿宋"/>
                <w:b/>
                <w:bCs/>
                <w:color w:val="000000"/>
                <w:kern w:val="0"/>
                <w:sz w:val="18"/>
                <w:szCs w:val="18"/>
              </w:rPr>
              <w:t>140.4</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b/>
                <w:bCs/>
                <w:color w:val="000000"/>
                <w:kern w:val="0"/>
                <w:sz w:val="18"/>
                <w:szCs w:val="18"/>
              </w:rPr>
            </w:pPr>
            <w:r>
              <w:rPr>
                <w:rFonts w:eastAsia="仿宋"/>
                <w:b/>
                <w:bCs/>
                <w:color w:val="000000"/>
                <w:kern w:val="0"/>
                <w:sz w:val="18"/>
                <w:szCs w:val="18"/>
              </w:rPr>
              <w:t>14064</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b/>
                <w:bCs/>
                <w:color w:val="000000"/>
                <w:kern w:val="0"/>
                <w:sz w:val="18"/>
                <w:szCs w:val="18"/>
              </w:rPr>
            </w:pPr>
            <w:r>
              <w:rPr>
                <w:rFonts w:eastAsia="仿宋"/>
                <w:b/>
                <w:bCs/>
                <w:color w:val="000000"/>
                <w:kern w:val="0"/>
                <w:sz w:val="18"/>
                <w:szCs w:val="18"/>
              </w:rPr>
              <w:t>56917</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b/>
                <w:bCs/>
                <w:color w:val="000000"/>
                <w:kern w:val="0"/>
                <w:sz w:val="18"/>
                <w:szCs w:val="18"/>
              </w:rPr>
            </w:pPr>
            <w:r>
              <w:rPr>
                <w:rFonts w:eastAsia="仿宋"/>
                <w:b/>
                <w:bCs/>
                <w:color w:val="000000"/>
                <w:kern w:val="0"/>
                <w:sz w:val="18"/>
                <w:szCs w:val="18"/>
              </w:rPr>
              <w:t>70981</w:t>
            </w:r>
          </w:p>
        </w:tc>
        <w:tc>
          <w:tcPr>
            <w:tcW w:w="59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b/>
                <w:bCs/>
                <w:color w:val="000000"/>
                <w:kern w:val="0"/>
                <w:sz w:val="18"/>
                <w:szCs w:val="18"/>
              </w:rPr>
            </w:pPr>
            <w:r>
              <w:rPr>
                <w:rFonts w:eastAsia="仿宋"/>
                <w:b/>
                <w:bCs/>
                <w:color w:val="000000"/>
                <w:kern w:val="0"/>
                <w:sz w:val="18"/>
                <w:szCs w:val="18"/>
              </w:rPr>
              <w:t>　</w:t>
            </w:r>
          </w:p>
        </w:tc>
      </w:tr>
      <w:tr>
        <w:tblPrEx>
          <w:tblCellMar>
            <w:top w:w="0" w:type="dxa"/>
            <w:left w:w="108" w:type="dxa"/>
            <w:bottom w:w="0" w:type="dxa"/>
            <w:right w:w="108" w:type="dxa"/>
          </w:tblCellMar>
        </w:tblPrEx>
        <w:trPr>
          <w:trHeight w:val="270" w:hRule="atLeast"/>
        </w:trPr>
        <w:tc>
          <w:tcPr>
            <w:tcW w:w="40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w:t>
            </w:r>
          </w:p>
        </w:tc>
        <w:tc>
          <w:tcPr>
            <w:tcW w:w="594" w:type="dxa"/>
            <w:vMerge w:val="restart"/>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沣东新城</w:t>
            </w:r>
          </w:p>
        </w:tc>
        <w:tc>
          <w:tcPr>
            <w:tcW w:w="205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富裕110kV输变电工程</w:t>
            </w:r>
          </w:p>
        </w:tc>
        <w:tc>
          <w:tcPr>
            <w:tcW w:w="49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新建</w:t>
            </w:r>
          </w:p>
        </w:tc>
        <w:tc>
          <w:tcPr>
            <w:tcW w:w="59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eastAsia="仿宋"/>
                <w:color w:val="000000"/>
                <w:kern w:val="0"/>
                <w:sz w:val="18"/>
                <w:szCs w:val="18"/>
                <w:lang w:eastAsia="zh-CN"/>
              </w:rPr>
            </w:pPr>
            <w:r>
              <w:rPr>
                <w:rFonts w:eastAsia="仿宋"/>
                <w:color w:val="000000"/>
                <w:kern w:val="0"/>
                <w:sz w:val="18"/>
                <w:szCs w:val="18"/>
              </w:rPr>
              <w:t>202</w:t>
            </w:r>
            <w:r>
              <w:rPr>
                <w:rFonts w:hint="eastAsia" w:eastAsia="仿宋"/>
                <w:color w:val="000000"/>
                <w:kern w:val="0"/>
                <w:sz w:val="18"/>
                <w:szCs w:val="18"/>
                <w:lang w:val="en-US" w:eastAsia="zh-CN"/>
              </w:rPr>
              <w:t>2</w:t>
            </w:r>
          </w:p>
        </w:tc>
        <w:tc>
          <w:tcPr>
            <w:tcW w:w="8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100</w:t>
            </w:r>
          </w:p>
        </w:tc>
        <w:tc>
          <w:tcPr>
            <w:tcW w:w="7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11</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4433</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5500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9933</w:t>
            </w:r>
          </w:p>
        </w:tc>
        <w:tc>
          <w:tcPr>
            <w:tcW w:w="59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国网</w:t>
            </w:r>
          </w:p>
        </w:tc>
      </w:tr>
      <w:tr>
        <w:tblPrEx>
          <w:tblCellMar>
            <w:top w:w="0" w:type="dxa"/>
            <w:left w:w="108" w:type="dxa"/>
            <w:bottom w:w="0" w:type="dxa"/>
            <w:right w:w="108" w:type="dxa"/>
          </w:tblCellMar>
        </w:tblPrEx>
        <w:trPr>
          <w:trHeight w:val="270" w:hRule="atLeast"/>
        </w:trPr>
        <w:tc>
          <w:tcPr>
            <w:tcW w:w="40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w:t>
            </w:r>
          </w:p>
        </w:tc>
        <w:tc>
          <w:tcPr>
            <w:tcW w:w="594"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eastAsia="仿宋"/>
                <w:color w:val="000000"/>
                <w:kern w:val="0"/>
                <w:sz w:val="18"/>
                <w:szCs w:val="18"/>
              </w:rPr>
            </w:pPr>
          </w:p>
        </w:tc>
        <w:tc>
          <w:tcPr>
            <w:tcW w:w="205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广场110kV输变电工程</w:t>
            </w:r>
          </w:p>
        </w:tc>
        <w:tc>
          <w:tcPr>
            <w:tcW w:w="49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新建</w:t>
            </w:r>
          </w:p>
        </w:tc>
        <w:tc>
          <w:tcPr>
            <w:tcW w:w="59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Times New Roman" w:hAnsi="Times New Roman" w:eastAsia="仿宋" w:cs="Times New Roman"/>
                <w:color w:val="000000"/>
                <w:kern w:val="0"/>
                <w:sz w:val="18"/>
                <w:szCs w:val="18"/>
                <w:lang w:val="en-US" w:eastAsia="zh-CN" w:bidi="ar-SA"/>
              </w:rPr>
            </w:pPr>
            <w:r>
              <w:rPr>
                <w:rFonts w:eastAsia="仿宋"/>
                <w:color w:val="000000"/>
                <w:kern w:val="0"/>
                <w:sz w:val="18"/>
                <w:szCs w:val="18"/>
              </w:rPr>
              <w:t>2022</w:t>
            </w:r>
          </w:p>
        </w:tc>
        <w:tc>
          <w:tcPr>
            <w:tcW w:w="8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100</w:t>
            </w:r>
          </w:p>
        </w:tc>
        <w:tc>
          <w:tcPr>
            <w:tcW w:w="7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9</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4500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4032</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8532</w:t>
            </w:r>
          </w:p>
        </w:tc>
        <w:tc>
          <w:tcPr>
            <w:tcW w:w="59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国网</w:t>
            </w:r>
          </w:p>
        </w:tc>
      </w:tr>
      <w:tr>
        <w:tblPrEx>
          <w:tblCellMar>
            <w:top w:w="0" w:type="dxa"/>
            <w:left w:w="108" w:type="dxa"/>
            <w:bottom w:w="0" w:type="dxa"/>
            <w:right w:w="108" w:type="dxa"/>
          </w:tblCellMar>
        </w:tblPrEx>
        <w:trPr>
          <w:trHeight w:val="270" w:hRule="atLeast"/>
        </w:trPr>
        <w:tc>
          <w:tcPr>
            <w:tcW w:w="40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3</w:t>
            </w:r>
          </w:p>
        </w:tc>
        <w:tc>
          <w:tcPr>
            <w:tcW w:w="594"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eastAsia="仿宋"/>
                <w:color w:val="000000"/>
                <w:kern w:val="0"/>
                <w:sz w:val="18"/>
                <w:szCs w:val="18"/>
              </w:rPr>
            </w:pPr>
          </w:p>
        </w:tc>
        <w:tc>
          <w:tcPr>
            <w:tcW w:w="205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细柳110kV输变电工程</w:t>
            </w:r>
          </w:p>
        </w:tc>
        <w:tc>
          <w:tcPr>
            <w:tcW w:w="49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新建</w:t>
            </w:r>
          </w:p>
        </w:tc>
        <w:tc>
          <w:tcPr>
            <w:tcW w:w="59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Times New Roman" w:hAnsi="Times New Roman" w:eastAsia="仿宋" w:cs="Times New Roman"/>
                <w:color w:val="000000"/>
                <w:kern w:val="0"/>
                <w:sz w:val="18"/>
                <w:szCs w:val="18"/>
                <w:lang w:val="en-US" w:eastAsia="zh-CN" w:bidi="ar-SA"/>
              </w:rPr>
            </w:pPr>
            <w:r>
              <w:rPr>
                <w:rFonts w:eastAsia="仿宋"/>
                <w:color w:val="000000"/>
                <w:kern w:val="0"/>
                <w:sz w:val="18"/>
                <w:szCs w:val="18"/>
              </w:rPr>
              <w:t>202</w:t>
            </w:r>
            <w:r>
              <w:rPr>
                <w:rFonts w:hint="eastAsia" w:eastAsia="仿宋"/>
                <w:color w:val="000000"/>
                <w:kern w:val="0"/>
                <w:sz w:val="18"/>
                <w:szCs w:val="18"/>
                <w:lang w:val="en-US" w:eastAsia="zh-CN"/>
              </w:rPr>
              <w:t>3</w:t>
            </w:r>
          </w:p>
        </w:tc>
        <w:tc>
          <w:tcPr>
            <w:tcW w:w="8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100</w:t>
            </w:r>
          </w:p>
        </w:tc>
        <w:tc>
          <w:tcPr>
            <w:tcW w:w="7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8</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4500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2160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6660</w:t>
            </w:r>
          </w:p>
        </w:tc>
        <w:tc>
          <w:tcPr>
            <w:tcW w:w="59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国网</w:t>
            </w:r>
          </w:p>
        </w:tc>
      </w:tr>
      <w:tr>
        <w:tblPrEx>
          <w:tblCellMar>
            <w:top w:w="0" w:type="dxa"/>
            <w:left w:w="108" w:type="dxa"/>
            <w:bottom w:w="0" w:type="dxa"/>
            <w:right w:w="108" w:type="dxa"/>
          </w:tblCellMar>
        </w:tblPrEx>
        <w:trPr>
          <w:trHeight w:val="270" w:hRule="atLeast"/>
        </w:trPr>
        <w:tc>
          <w:tcPr>
            <w:tcW w:w="40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4</w:t>
            </w:r>
          </w:p>
        </w:tc>
        <w:tc>
          <w:tcPr>
            <w:tcW w:w="594"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eastAsia="仿宋"/>
                <w:color w:val="000000"/>
                <w:kern w:val="0"/>
                <w:sz w:val="18"/>
                <w:szCs w:val="18"/>
              </w:rPr>
            </w:pPr>
          </w:p>
        </w:tc>
        <w:tc>
          <w:tcPr>
            <w:tcW w:w="205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沣渭330kV变电站110kV送出工程</w:t>
            </w:r>
          </w:p>
        </w:tc>
        <w:tc>
          <w:tcPr>
            <w:tcW w:w="49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新建</w:t>
            </w:r>
          </w:p>
        </w:tc>
        <w:tc>
          <w:tcPr>
            <w:tcW w:w="59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2023</w:t>
            </w:r>
          </w:p>
        </w:tc>
        <w:tc>
          <w:tcPr>
            <w:tcW w:w="8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0</w:t>
            </w:r>
          </w:p>
        </w:tc>
        <w:tc>
          <w:tcPr>
            <w:tcW w:w="7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28</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14000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14000</w:t>
            </w:r>
          </w:p>
        </w:tc>
        <w:tc>
          <w:tcPr>
            <w:tcW w:w="59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国网</w:t>
            </w:r>
          </w:p>
        </w:tc>
      </w:tr>
      <w:tr>
        <w:tblPrEx>
          <w:tblCellMar>
            <w:top w:w="0" w:type="dxa"/>
            <w:left w:w="108" w:type="dxa"/>
            <w:bottom w:w="0" w:type="dxa"/>
            <w:right w:w="108" w:type="dxa"/>
          </w:tblCellMar>
        </w:tblPrEx>
        <w:trPr>
          <w:trHeight w:val="270" w:hRule="atLeast"/>
        </w:trPr>
        <w:tc>
          <w:tcPr>
            <w:tcW w:w="40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5</w:t>
            </w:r>
          </w:p>
        </w:tc>
        <w:tc>
          <w:tcPr>
            <w:tcW w:w="594"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eastAsia="仿宋"/>
                <w:color w:val="000000"/>
                <w:kern w:val="0"/>
                <w:sz w:val="18"/>
                <w:szCs w:val="18"/>
              </w:rPr>
            </w:pPr>
          </w:p>
        </w:tc>
        <w:tc>
          <w:tcPr>
            <w:tcW w:w="205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泾明110kV输变电工程</w:t>
            </w:r>
          </w:p>
        </w:tc>
        <w:tc>
          <w:tcPr>
            <w:tcW w:w="49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新建</w:t>
            </w:r>
          </w:p>
        </w:tc>
        <w:tc>
          <w:tcPr>
            <w:tcW w:w="59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2023</w:t>
            </w:r>
          </w:p>
        </w:tc>
        <w:tc>
          <w:tcPr>
            <w:tcW w:w="8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100</w:t>
            </w:r>
          </w:p>
        </w:tc>
        <w:tc>
          <w:tcPr>
            <w:tcW w:w="7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24</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4500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12000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16500</w:t>
            </w:r>
          </w:p>
        </w:tc>
        <w:tc>
          <w:tcPr>
            <w:tcW w:w="59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国网</w:t>
            </w:r>
          </w:p>
        </w:tc>
      </w:tr>
      <w:tr>
        <w:tblPrEx>
          <w:tblCellMar>
            <w:top w:w="0" w:type="dxa"/>
            <w:left w:w="108" w:type="dxa"/>
            <w:bottom w:w="0" w:type="dxa"/>
            <w:right w:w="108" w:type="dxa"/>
          </w:tblCellMar>
        </w:tblPrEx>
        <w:trPr>
          <w:trHeight w:val="270" w:hRule="atLeast"/>
        </w:trPr>
        <w:tc>
          <w:tcPr>
            <w:tcW w:w="40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6</w:t>
            </w:r>
          </w:p>
        </w:tc>
        <w:tc>
          <w:tcPr>
            <w:tcW w:w="594"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eastAsia="仿宋"/>
                <w:color w:val="000000"/>
                <w:kern w:val="0"/>
                <w:sz w:val="18"/>
                <w:szCs w:val="18"/>
              </w:rPr>
            </w:pPr>
          </w:p>
        </w:tc>
        <w:tc>
          <w:tcPr>
            <w:tcW w:w="205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陇海110kV输变电工程</w:t>
            </w:r>
          </w:p>
        </w:tc>
        <w:tc>
          <w:tcPr>
            <w:tcW w:w="49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新建</w:t>
            </w:r>
          </w:p>
        </w:tc>
        <w:tc>
          <w:tcPr>
            <w:tcW w:w="59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2025</w:t>
            </w:r>
          </w:p>
        </w:tc>
        <w:tc>
          <w:tcPr>
            <w:tcW w:w="8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100</w:t>
            </w:r>
          </w:p>
        </w:tc>
        <w:tc>
          <w:tcPr>
            <w:tcW w:w="7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4</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4500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2000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6500</w:t>
            </w:r>
          </w:p>
        </w:tc>
        <w:tc>
          <w:tcPr>
            <w:tcW w:w="59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国网</w:t>
            </w:r>
          </w:p>
        </w:tc>
      </w:tr>
      <w:tr>
        <w:tblPrEx>
          <w:tblCellMar>
            <w:top w:w="0" w:type="dxa"/>
            <w:left w:w="108" w:type="dxa"/>
            <w:bottom w:w="0" w:type="dxa"/>
            <w:right w:w="108" w:type="dxa"/>
          </w:tblCellMar>
        </w:tblPrEx>
        <w:trPr>
          <w:trHeight w:val="440" w:hRule="atLeast"/>
        </w:trPr>
        <w:tc>
          <w:tcPr>
            <w:tcW w:w="4149"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b/>
                <w:bCs/>
                <w:color w:val="000000"/>
                <w:kern w:val="0"/>
                <w:sz w:val="18"/>
                <w:szCs w:val="18"/>
              </w:rPr>
            </w:pPr>
            <w:r>
              <w:rPr>
                <w:rFonts w:eastAsia="仿宋"/>
                <w:b/>
                <w:bCs/>
                <w:color w:val="000000"/>
                <w:kern w:val="0"/>
                <w:sz w:val="18"/>
                <w:szCs w:val="18"/>
              </w:rPr>
              <w:t>沣东新城合计</w:t>
            </w:r>
          </w:p>
        </w:tc>
        <w:tc>
          <w:tcPr>
            <w:tcW w:w="8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b/>
                <w:bCs/>
                <w:color w:val="000000"/>
                <w:kern w:val="0"/>
                <w:sz w:val="18"/>
                <w:szCs w:val="18"/>
              </w:rPr>
            </w:pPr>
            <w:r>
              <w:rPr>
                <w:rFonts w:eastAsia="仿宋"/>
                <w:b/>
                <w:bCs/>
                <w:color w:val="000000"/>
                <w:kern w:val="0"/>
                <w:sz w:val="18"/>
                <w:szCs w:val="18"/>
              </w:rPr>
              <w:t>500</w:t>
            </w:r>
          </w:p>
        </w:tc>
        <w:tc>
          <w:tcPr>
            <w:tcW w:w="7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b/>
                <w:bCs/>
                <w:color w:val="000000"/>
                <w:kern w:val="0"/>
                <w:sz w:val="18"/>
                <w:szCs w:val="18"/>
              </w:rPr>
            </w:pPr>
            <w:r>
              <w:rPr>
                <w:rFonts w:eastAsia="仿宋"/>
                <w:b/>
                <w:bCs/>
                <w:color w:val="000000"/>
                <w:kern w:val="0"/>
                <w:sz w:val="18"/>
                <w:szCs w:val="18"/>
              </w:rPr>
              <w:t>84</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b/>
                <w:bCs/>
                <w:color w:val="000000"/>
                <w:kern w:val="0"/>
                <w:sz w:val="18"/>
                <w:szCs w:val="18"/>
              </w:rPr>
            </w:pPr>
            <w:r>
              <w:rPr>
                <w:rFonts w:eastAsia="仿宋"/>
                <w:b/>
                <w:bCs/>
                <w:color w:val="000000"/>
                <w:kern w:val="0"/>
                <w:sz w:val="18"/>
                <w:szCs w:val="18"/>
              </w:rPr>
              <w:t>22433</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b/>
                <w:bCs/>
                <w:color w:val="000000"/>
                <w:kern w:val="0"/>
                <w:sz w:val="18"/>
                <w:szCs w:val="18"/>
              </w:rPr>
            </w:pPr>
            <w:r>
              <w:rPr>
                <w:rFonts w:eastAsia="仿宋"/>
                <w:b/>
                <w:bCs/>
                <w:color w:val="000000"/>
                <w:kern w:val="0"/>
                <w:sz w:val="18"/>
                <w:szCs w:val="18"/>
              </w:rPr>
              <w:t>39692</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b/>
                <w:bCs/>
                <w:color w:val="000000"/>
                <w:kern w:val="0"/>
                <w:sz w:val="18"/>
                <w:szCs w:val="18"/>
              </w:rPr>
            </w:pPr>
            <w:r>
              <w:rPr>
                <w:rFonts w:eastAsia="仿宋"/>
                <w:b/>
                <w:bCs/>
                <w:color w:val="000000"/>
                <w:kern w:val="0"/>
                <w:sz w:val="18"/>
                <w:szCs w:val="18"/>
              </w:rPr>
              <w:t>62125</w:t>
            </w:r>
          </w:p>
        </w:tc>
        <w:tc>
          <w:tcPr>
            <w:tcW w:w="59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b/>
                <w:bCs/>
                <w:color w:val="000000"/>
                <w:kern w:val="0"/>
                <w:sz w:val="18"/>
                <w:szCs w:val="18"/>
              </w:rPr>
            </w:pPr>
            <w:r>
              <w:rPr>
                <w:rFonts w:eastAsia="仿宋"/>
                <w:b/>
                <w:bCs/>
                <w:color w:val="000000"/>
                <w:kern w:val="0"/>
                <w:sz w:val="18"/>
                <w:szCs w:val="18"/>
              </w:rPr>
              <w:t>　</w:t>
            </w:r>
          </w:p>
        </w:tc>
      </w:tr>
      <w:tr>
        <w:tblPrEx>
          <w:tblCellMar>
            <w:top w:w="0" w:type="dxa"/>
            <w:left w:w="108" w:type="dxa"/>
            <w:bottom w:w="0" w:type="dxa"/>
            <w:right w:w="108" w:type="dxa"/>
          </w:tblCellMar>
        </w:tblPrEx>
        <w:trPr>
          <w:trHeight w:val="270" w:hRule="atLeast"/>
        </w:trPr>
        <w:tc>
          <w:tcPr>
            <w:tcW w:w="40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w:t>
            </w:r>
          </w:p>
        </w:tc>
        <w:tc>
          <w:tcPr>
            <w:tcW w:w="594" w:type="dxa"/>
            <w:vMerge w:val="restart"/>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秦汉新城</w:t>
            </w:r>
          </w:p>
        </w:tc>
        <w:tc>
          <w:tcPr>
            <w:tcW w:w="205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秦汉330kV变电站110kV送出工程</w:t>
            </w:r>
          </w:p>
        </w:tc>
        <w:tc>
          <w:tcPr>
            <w:tcW w:w="49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新建</w:t>
            </w:r>
          </w:p>
        </w:tc>
        <w:tc>
          <w:tcPr>
            <w:tcW w:w="59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2022</w:t>
            </w:r>
          </w:p>
        </w:tc>
        <w:tc>
          <w:tcPr>
            <w:tcW w:w="8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0</w:t>
            </w:r>
          </w:p>
        </w:tc>
        <w:tc>
          <w:tcPr>
            <w:tcW w:w="7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50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25000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25000</w:t>
            </w:r>
          </w:p>
        </w:tc>
        <w:tc>
          <w:tcPr>
            <w:tcW w:w="59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国网</w:t>
            </w:r>
          </w:p>
        </w:tc>
      </w:tr>
      <w:tr>
        <w:tblPrEx>
          <w:tblCellMar>
            <w:top w:w="0" w:type="dxa"/>
            <w:left w:w="108" w:type="dxa"/>
            <w:bottom w:w="0" w:type="dxa"/>
            <w:right w:w="108" w:type="dxa"/>
          </w:tblCellMar>
        </w:tblPrEx>
        <w:trPr>
          <w:trHeight w:val="270" w:hRule="atLeast"/>
        </w:trPr>
        <w:tc>
          <w:tcPr>
            <w:tcW w:w="40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w:t>
            </w:r>
          </w:p>
        </w:tc>
        <w:tc>
          <w:tcPr>
            <w:tcW w:w="594"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eastAsia="仿宋"/>
                <w:color w:val="000000"/>
                <w:kern w:val="0"/>
                <w:sz w:val="18"/>
                <w:szCs w:val="18"/>
              </w:rPr>
            </w:pPr>
          </w:p>
        </w:tc>
        <w:tc>
          <w:tcPr>
            <w:tcW w:w="205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秦苑110kV输变电工程</w:t>
            </w:r>
          </w:p>
        </w:tc>
        <w:tc>
          <w:tcPr>
            <w:tcW w:w="49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新建</w:t>
            </w:r>
          </w:p>
        </w:tc>
        <w:tc>
          <w:tcPr>
            <w:tcW w:w="59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2023</w:t>
            </w:r>
          </w:p>
        </w:tc>
        <w:tc>
          <w:tcPr>
            <w:tcW w:w="8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100</w:t>
            </w:r>
          </w:p>
        </w:tc>
        <w:tc>
          <w:tcPr>
            <w:tcW w:w="7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8</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4500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4000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8500</w:t>
            </w:r>
          </w:p>
        </w:tc>
        <w:tc>
          <w:tcPr>
            <w:tcW w:w="59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国网</w:t>
            </w:r>
          </w:p>
        </w:tc>
      </w:tr>
      <w:tr>
        <w:tblPrEx>
          <w:tblCellMar>
            <w:top w:w="0" w:type="dxa"/>
            <w:left w:w="108" w:type="dxa"/>
            <w:bottom w:w="0" w:type="dxa"/>
            <w:right w:w="108" w:type="dxa"/>
          </w:tblCellMar>
        </w:tblPrEx>
        <w:trPr>
          <w:trHeight w:val="270" w:hRule="atLeast"/>
        </w:trPr>
        <w:tc>
          <w:tcPr>
            <w:tcW w:w="40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3</w:t>
            </w:r>
          </w:p>
        </w:tc>
        <w:tc>
          <w:tcPr>
            <w:tcW w:w="594"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eastAsia="仿宋"/>
                <w:color w:val="000000"/>
                <w:kern w:val="0"/>
                <w:sz w:val="18"/>
                <w:szCs w:val="18"/>
              </w:rPr>
            </w:pPr>
          </w:p>
        </w:tc>
        <w:tc>
          <w:tcPr>
            <w:tcW w:w="205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迎宾110kV输变电工程</w:t>
            </w:r>
          </w:p>
        </w:tc>
        <w:tc>
          <w:tcPr>
            <w:tcW w:w="49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新建</w:t>
            </w:r>
          </w:p>
        </w:tc>
        <w:tc>
          <w:tcPr>
            <w:tcW w:w="59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eastAsia="仿宋"/>
                <w:color w:val="000000"/>
                <w:kern w:val="0"/>
                <w:sz w:val="18"/>
                <w:szCs w:val="18"/>
                <w:lang w:eastAsia="zh-CN"/>
              </w:rPr>
            </w:pPr>
            <w:r>
              <w:rPr>
                <w:rFonts w:eastAsia="仿宋"/>
                <w:color w:val="000000"/>
                <w:kern w:val="0"/>
                <w:sz w:val="18"/>
                <w:szCs w:val="18"/>
              </w:rPr>
              <w:t>202</w:t>
            </w:r>
            <w:r>
              <w:rPr>
                <w:rFonts w:hint="eastAsia" w:eastAsia="仿宋"/>
                <w:color w:val="000000"/>
                <w:kern w:val="0"/>
                <w:sz w:val="18"/>
                <w:szCs w:val="18"/>
                <w:lang w:val="en-US" w:eastAsia="zh-CN"/>
              </w:rPr>
              <w:t>5</w:t>
            </w:r>
          </w:p>
        </w:tc>
        <w:tc>
          <w:tcPr>
            <w:tcW w:w="8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100</w:t>
            </w:r>
          </w:p>
        </w:tc>
        <w:tc>
          <w:tcPr>
            <w:tcW w:w="7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4500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960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5460</w:t>
            </w:r>
          </w:p>
        </w:tc>
        <w:tc>
          <w:tcPr>
            <w:tcW w:w="59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国网</w:t>
            </w:r>
          </w:p>
        </w:tc>
      </w:tr>
      <w:tr>
        <w:tblPrEx>
          <w:tblCellMar>
            <w:top w:w="0" w:type="dxa"/>
            <w:left w:w="108" w:type="dxa"/>
            <w:bottom w:w="0" w:type="dxa"/>
            <w:right w:w="108" w:type="dxa"/>
          </w:tblCellMar>
        </w:tblPrEx>
        <w:trPr>
          <w:trHeight w:val="270" w:hRule="atLeast"/>
        </w:trPr>
        <w:tc>
          <w:tcPr>
            <w:tcW w:w="40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4</w:t>
            </w:r>
          </w:p>
        </w:tc>
        <w:tc>
          <w:tcPr>
            <w:tcW w:w="594"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eastAsia="仿宋"/>
                <w:color w:val="000000"/>
                <w:kern w:val="0"/>
                <w:sz w:val="18"/>
                <w:szCs w:val="18"/>
              </w:rPr>
            </w:pPr>
          </w:p>
        </w:tc>
        <w:tc>
          <w:tcPr>
            <w:tcW w:w="205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南位110kV输变电工程</w:t>
            </w:r>
          </w:p>
        </w:tc>
        <w:tc>
          <w:tcPr>
            <w:tcW w:w="49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新建</w:t>
            </w:r>
          </w:p>
        </w:tc>
        <w:tc>
          <w:tcPr>
            <w:tcW w:w="59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2025</w:t>
            </w:r>
          </w:p>
        </w:tc>
        <w:tc>
          <w:tcPr>
            <w:tcW w:w="8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100</w:t>
            </w:r>
          </w:p>
        </w:tc>
        <w:tc>
          <w:tcPr>
            <w:tcW w:w="7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8</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4500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800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5300</w:t>
            </w:r>
          </w:p>
        </w:tc>
        <w:tc>
          <w:tcPr>
            <w:tcW w:w="59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国网</w:t>
            </w:r>
          </w:p>
        </w:tc>
      </w:tr>
      <w:tr>
        <w:tblPrEx>
          <w:tblCellMar>
            <w:top w:w="0" w:type="dxa"/>
            <w:left w:w="108" w:type="dxa"/>
            <w:bottom w:w="0" w:type="dxa"/>
            <w:right w:w="108" w:type="dxa"/>
          </w:tblCellMar>
        </w:tblPrEx>
        <w:trPr>
          <w:trHeight w:val="494" w:hRule="atLeast"/>
        </w:trPr>
        <w:tc>
          <w:tcPr>
            <w:tcW w:w="4149"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b/>
                <w:bCs/>
                <w:color w:val="000000"/>
                <w:kern w:val="0"/>
                <w:sz w:val="18"/>
                <w:szCs w:val="18"/>
              </w:rPr>
            </w:pPr>
            <w:r>
              <w:rPr>
                <w:rFonts w:eastAsia="仿宋"/>
                <w:b/>
                <w:bCs/>
                <w:color w:val="000000"/>
                <w:kern w:val="0"/>
                <w:sz w:val="18"/>
                <w:szCs w:val="18"/>
              </w:rPr>
              <w:t>秦汉新城合计</w:t>
            </w:r>
          </w:p>
        </w:tc>
        <w:tc>
          <w:tcPr>
            <w:tcW w:w="8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b/>
                <w:bCs/>
                <w:color w:val="000000"/>
                <w:kern w:val="0"/>
                <w:sz w:val="18"/>
                <w:szCs w:val="18"/>
              </w:rPr>
            </w:pPr>
            <w:r>
              <w:rPr>
                <w:rFonts w:eastAsia="仿宋"/>
                <w:b/>
                <w:bCs/>
                <w:color w:val="000000"/>
                <w:kern w:val="0"/>
                <w:sz w:val="18"/>
                <w:szCs w:val="18"/>
              </w:rPr>
              <w:t>300</w:t>
            </w:r>
          </w:p>
        </w:tc>
        <w:tc>
          <w:tcPr>
            <w:tcW w:w="7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b/>
                <w:bCs/>
                <w:color w:val="000000"/>
                <w:kern w:val="0"/>
                <w:sz w:val="18"/>
                <w:szCs w:val="18"/>
              </w:rPr>
            </w:pPr>
            <w:r>
              <w:rPr>
                <w:rFonts w:eastAsia="仿宋"/>
                <w:b/>
                <w:bCs/>
                <w:color w:val="000000"/>
                <w:kern w:val="0"/>
                <w:sz w:val="18"/>
                <w:szCs w:val="18"/>
              </w:rPr>
              <w:t>68</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b/>
                <w:bCs/>
                <w:color w:val="000000"/>
                <w:kern w:val="0"/>
                <w:sz w:val="18"/>
                <w:szCs w:val="18"/>
              </w:rPr>
            </w:pPr>
            <w:r>
              <w:rPr>
                <w:rFonts w:eastAsia="仿宋"/>
                <w:b/>
                <w:bCs/>
                <w:color w:val="000000"/>
                <w:kern w:val="0"/>
                <w:sz w:val="18"/>
                <w:szCs w:val="18"/>
              </w:rPr>
              <w:t>13500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b/>
                <w:bCs/>
                <w:color w:val="000000"/>
                <w:kern w:val="0"/>
                <w:sz w:val="18"/>
                <w:szCs w:val="18"/>
              </w:rPr>
            </w:pPr>
            <w:r>
              <w:rPr>
                <w:rFonts w:eastAsia="仿宋"/>
                <w:b/>
                <w:bCs/>
                <w:color w:val="000000"/>
                <w:kern w:val="0"/>
                <w:sz w:val="18"/>
                <w:szCs w:val="18"/>
              </w:rPr>
              <w:t>30760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b/>
                <w:bCs/>
                <w:color w:val="000000"/>
                <w:kern w:val="0"/>
                <w:sz w:val="18"/>
                <w:szCs w:val="18"/>
              </w:rPr>
            </w:pPr>
            <w:r>
              <w:rPr>
                <w:rFonts w:eastAsia="仿宋"/>
                <w:b/>
                <w:bCs/>
                <w:color w:val="000000"/>
                <w:kern w:val="0"/>
                <w:sz w:val="18"/>
                <w:szCs w:val="18"/>
              </w:rPr>
              <w:t>44260</w:t>
            </w:r>
          </w:p>
        </w:tc>
        <w:tc>
          <w:tcPr>
            <w:tcW w:w="59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b/>
                <w:bCs/>
                <w:color w:val="000000"/>
                <w:kern w:val="0"/>
                <w:sz w:val="18"/>
                <w:szCs w:val="18"/>
              </w:rPr>
            </w:pPr>
            <w:r>
              <w:rPr>
                <w:rFonts w:eastAsia="仿宋"/>
                <w:b/>
                <w:bCs/>
                <w:color w:val="000000"/>
                <w:kern w:val="0"/>
                <w:sz w:val="18"/>
                <w:szCs w:val="18"/>
              </w:rPr>
              <w:t>　</w:t>
            </w:r>
          </w:p>
        </w:tc>
      </w:tr>
      <w:tr>
        <w:tblPrEx>
          <w:tblCellMar>
            <w:top w:w="0" w:type="dxa"/>
            <w:left w:w="108" w:type="dxa"/>
            <w:bottom w:w="0" w:type="dxa"/>
            <w:right w:w="108" w:type="dxa"/>
          </w:tblCellMar>
        </w:tblPrEx>
        <w:trPr>
          <w:trHeight w:val="270" w:hRule="atLeast"/>
        </w:trPr>
        <w:tc>
          <w:tcPr>
            <w:tcW w:w="40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w:t>
            </w:r>
          </w:p>
        </w:tc>
        <w:tc>
          <w:tcPr>
            <w:tcW w:w="594" w:type="dxa"/>
            <w:vMerge w:val="restart"/>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沣西新城</w:t>
            </w:r>
          </w:p>
        </w:tc>
        <w:tc>
          <w:tcPr>
            <w:tcW w:w="205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110kV咏佳变增容改造工程</w:t>
            </w:r>
          </w:p>
        </w:tc>
        <w:tc>
          <w:tcPr>
            <w:tcW w:w="49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改造</w:t>
            </w:r>
          </w:p>
        </w:tc>
        <w:tc>
          <w:tcPr>
            <w:tcW w:w="59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2021</w:t>
            </w:r>
          </w:p>
        </w:tc>
        <w:tc>
          <w:tcPr>
            <w:tcW w:w="8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37</w:t>
            </w:r>
          </w:p>
        </w:tc>
        <w:tc>
          <w:tcPr>
            <w:tcW w:w="7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858</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858</w:t>
            </w:r>
          </w:p>
        </w:tc>
        <w:tc>
          <w:tcPr>
            <w:tcW w:w="59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国网</w:t>
            </w:r>
          </w:p>
        </w:tc>
      </w:tr>
      <w:tr>
        <w:tblPrEx>
          <w:tblCellMar>
            <w:top w:w="0" w:type="dxa"/>
            <w:left w:w="108" w:type="dxa"/>
            <w:bottom w:w="0" w:type="dxa"/>
            <w:right w:w="108" w:type="dxa"/>
          </w:tblCellMar>
        </w:tblPrEx>
        <w:trPr>
          <w:trHeight w:val="270" w:hRule="atLeast"/>
        </w:trPr>
        <w:tc>
          <w:tcPr>
            <w:tcW w:w="40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w:t>
            </w:r>
          </w:p>
        </w:tc>
        <w:tc>
          <w:tcPr>
            <w:tcW w:w="594"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eastAsia="仿宋"/>
                <w:color w:val="000000"/>
                <w:kern w:val="0"/>
                <w:sz w:val="18"/>
                <w:szCs w:val="18"/>
              </w:rPr>
            </w:pPr>
          </w:p>
        </w:tc>
        <w:tc>
          <w:tcPr>
            <w:tcW w:w="205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科创1号110kV输变电工程</w:t>
            </w:r>
          </w:p>
        </w:tc>
        <w:tc>
          <w:tcPr>
            <w:tcW w:w="49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新建</w:t>
            </w:r>
          </w:p>
        </w:tc>
        <w:tc>
          <w:tcPr>
            <w:tcW w:w="59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2021</w:t>
            </w:r>
          </w:p>
        </w:tc>
        <w:tc>
          <w:tcPr>
            <w:tcW w:w="8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100</w:t>
            </w:r>
          </w:p>
        </w:tc>
        <w:tc>
          <w:tcPr>
            <w:tcW w:w="7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13.2</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4500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6000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10500</w:t>
            </w:r>
          </w:p>
        </w:tc>
        <w:tc>
          <w:tcPr>
            <w:tcW w:w="59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沣西增量</w:t>
            </w:r>
          </w:p>
        </w:tc>
      </w:tr>
      <w:tr>
        <w:tblPrEx>
          <w:tblCellMar>
            <w:top w:w="0" w:type="dxa"/>
            <w:left w:w="108" w:type="dxa"/>
            <w:bottom w:w="0" w:type="dxa"/>
            <w:right w:w="108" w:type="dxa"/>
          </w:tblCellMar>
        </w:tblPrEx>
        <w:trPr>
          <w:trHeight w:val="270" w:hRule="atLeast"/>
        </w:trPr>
        <w:tc>
          <w:tcPr>
            <w:tcW w:w="40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3</w:t>
            </w:r>
          </w:p>
        </w:tc>
        <w:tc>
          <w:tcPr>
            <w:tcW w:w="594"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eastAsia="仿宋"/>
                <w:color w:val="000000"/>
                <w:kern w:val="0"/>
                <w:sz w:val="18"/>
                <w:szCs w:val="18"/>
              </w:rPr>
            </w:pPr>
          </w:p>
        </w:tc>
        <w:tc>
          <w:tcPr>
            <w:tcW w:w="205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宋东110kV输变电工程</w:t>
            </w:r>
          </w:p>
        </w:tc>
        <w:tc>
          <w:tcPr>
            <w:tcW w:w="49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新建</w:t>
            </w:r>
          </w:p>
        </w:tc>
        <w:tc>
          <w:tcPr>
            <w:tcW w:w="59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2022</w:t>
            </w:r>
          </w:p>
        </w:tc>
        <w:tc>
          <w:tcPr>
            <w:tcW w:w="8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100</w:t>
            </w:r>
          </w:p>
        </w:tc>
        <w:tc>
          <w:tcPr>
            <w:tcW w:w="7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1</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4500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500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5000</w:t>
            </w:r>
          </w:p>
        </w:tc>
        <w:tc>
          <w:tcPr>
            <w:tcW w:w="59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沣西增量</w:t>
            </w:r>
          </w:p>
        </w:tc>
      </w:tr>
      <w:tr>
        <w:tblPrEx>
          <w:tblCellMar>
            <w:top w:w="0" w:type="dxa"/>
            <w:left w:w="108" w:type="dxa"/>
            <w:bottom w:w="0" w:type="dxa"/>
            <w:right w:w="108" w:type="dxa"/>
          </w:tblCellMar>
        </w:tblPrEx>
        <w:trPr>
          <w:trHeight w:val="821" w:hRule="atLeast"/>
        </w:trPr>
        <w:tc>
          <w:tcPr>
            <w:tcW w:w="40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4</w:t>
            </w:r>
          </w:p>
        </w:tc>
        <w:tc>
          <w:tcPr>
            <w:tcW w:w="594"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eastAsia="仿宋"/>
                <w:color w:val="000000"/>
                <w:kern w:val="0"/>
                <w:sz w:val="18"/>
                <w:szCs w:val="18"/>
              </w:rPr>
            </w:pPr>
          </w:p>
        </w:tc>
        <w:tc>
          <w:tcPr>
            <w:tcW w:w="205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斗门110kV输变电工程</w:t>
            </w:r>
          </w:p>
        </w:tc>
        <w:tc>
          <w:tcPr>
            <w:tcW w:w="49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新建</w:t>
            </w:r>
          </w:p>
        </w:tc>
        <w:tc>
          <w:tcPr>
            <w:tcW w:w="59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hint="eastAsia" w:ascii="Times New Roman" w:hAnsi="Times New Roman" w:eastAsia="仿宋" w:cs="Times New Roman"/>
                <w:color w:val="000000"/>
                <w:kern w:val="0"/>
                <w:sz w:val="18"/>
                <w:szCs w:val="18"/>
                <w:lang w:val="en-US" w:eastAsia="zh-CN" w:bidi="ar-SA"/>
              </w:rPr>
            </w:pPr>
            <w:r>
              <w:rPr>
                <w:rFonts w:eastAsia="仿宋"/>
                <w:color w:val="000000"/>
                <w:kern w:val="0"/>
                <w:sz w:val="18"/>
                <w:szCs w:val="18"/>
              </w:rPr>
              <w:t>202</w:t>
            </w:r>
            <w:r>
              <w:rPr>
                <w:rFonts w:hint="eastAsia" w:eastAsia="仿宋"/>
                <w:color w:val="000000"/>
                <w:kern w:val="0"/>
                <w:sz w:val="18"/>
                <w:szCs w:val="18"/>
                <w:lang w:val="en-US" w:eastAsia="zh-CN"/>
              </w:rPr>
              <w:t>2</w:t>
            </w:r>
          </w:p>
        </w:tc>
        <w:tc>
          <w:tcPr>
            <w:tcW w:w="8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100</w:t>
            </w:r>
          </w:p>
        </w:tc>
        <w:tc>
          <w:tcPr>
            <w:tcW w:w="7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21.6</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4630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10800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15430</w:t>
            </w:r>
          </w:p>
        </w:tc>
        <w:tc>
          <w:tcPr>
            <w:tcW w:w="59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国网</w:t>
            </w:r>
          </w:p>
        </w:tc>
      </w:tr>
      <w:tr>
        <w:tblPrEx>
          <w:tblCellMar>
            <w:top w:w="0" w:type="dxa"/>
            <w:left w:w="108" w:type="dxa"/>
            <w:bottom w:w="0" w:type="dxa"/>
            <w:right w:w="108" w:type="dxa"/>
          </w:tblCellMar>
        </w:tblPrEx>
        <w:trPr>
          <w:trHeight w:val="270" w:hRule="atLeast"/>
        </w:trPr>
        <w:tc>
          <w:tcPr>
            <w:tcW w:w="40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5</w:t>
            </w:r>
          </w:p>
        </w:tc>
        <w:tc>
          <w:tcPr>
            <w:tcW w:w="59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left"/>
              <w:rPr>
                <w:rFonts w:eastAsia="仿宋"/>
                <w:color w:val="000000"/>
                <w:kern w:val="0"/>
                <w:sz w:val="18"/>
                <w:szCs w:val="18"/>
              </w:rPr>
            </w:pPr>
          </w:p>
        </w:tc>
        <w:tc>
          <w:tcPr>
            <w:tcW w:w="205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110kV陈阳变改造工程</w:t>
            </w:r>
          </w:p>
        </w:tc>
        <w:tc>
          <w:tcPr>
            <w:tcW w:w="49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改造</w:t>
            </w:r>
          </w:p>
        </w:tc>
        <w:tc>
          <w:tcPr>
            <w:tcW w:w="597"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hint="eastAsia" w:ascii="Times New Roman" w:hAnsi="Times New Roman" w:eastAsia="仿宋" w:cs="Times New Roman"/>
                <w:color w:val="000000"/>
                <w:kern w:val="0"/>
                <w:sz w:val="18"/>
                <w:szCs w:val="18"/>
                <w:lang w:val="en-US" w:eastAsia="zh-CN" w:bidi="ar-SA"/>
              </w:rPr>
            </w:pPr>
            <w:r>
              <w:rPr>
                <w:rFonts w:eastAsia="仿宋"/>
                <w:color w:val="000000"/>
                <w:kern w:val="0"/>
                <w:sz w:val="18"/>
                <w:szCs w:val="18"/>
              </w:rPr>
              <w:t>202</w:t>
            </w:r>
            <w:r>
              <w:rPr>
                <w:rFonts w:hint="eastAsia" w:eastAsia="仿宋"/>
                <w:color w:val="000000"/>
                <w:kern w:val="0"/>
                <w:sz w:val="18"/>
                <w:szCs w:val="18"/>
                <w:lang w:val="en-US" w:eastAsia="zh-CN"/>
              </w:rPr>
              <w:t>2</w:t>
            </w:r>
          </w:p>
        </w:tc>
        <w:tc>
          <w:tcPr>
            <w:tcW w:w="84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0</w:t>
            </w:r>
          </w:p>
        </w:tc>
        <w:tc>
          <w:tcPr>
            <w:tcW w:w="74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0</w:t>
            </w:r>
          </w:p>
        </w:tc>
        <w:tc>
          <w:tcPr>
            <w:tcW w:w="97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2327</w:t>
            </w:r>
          </w:p>
        </w:tc>
        <w:tc>
          <w:tcPr>
            <w:tcW w:w="97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0</w:t>
            </w:r>
          </w:p>
        </w:tc>
        <w:tc>
          <w:tcPr>
            <w:tcW w:w="97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2327</w:t>
            </w:r>
          </w:p>
        </w:tc>
        <w:tc>
          <w:tcPr>
            <w:tcW w:w="59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ascii="Times New Roman" w:hAnsi="Times New Roman" w:eastAsia="仿宋" w:cs="Times New Roman"/>
                <w:color w:val="000000"/>
                <w:kern w:val="0"/>
                <w:sz w:val="18"/>
                <w:szCs w:val="18"/>
                <w:lang w:val="en-US" w:eastAsia="zh-CN" w:bidi="ar-SA"/>
              </w:rPr>
            </w:pPr>
            <w:r>
              <w:rPr>
                <w:rFonts w:eastAsia="仿宋"/>
                <w:color w:val="000000"/>
                <w:kern w:val="0"/>
                <w:sz w:val="18"/>
                <w:szCs w:val="18"/>
              </w:rPr>
              <w:t>国网</w:t>
            </w:r>
          </w:p>
        </w:tc>
      </w:tr>
      <w:tr>
        <w:tblPrEx>
          <w:tblCellMar>
            <w:top w:w="0" w:type="dxa"/>
            <w:left w:w="108" w:type="dxa"/>
            <w:bottom w:w="0" w:type="dxa"/>
            <w:right w:w="108" w:type="dxa"/>
          </w:tblCellMar>
        </w:tblPrEx>
        <w:trPr>
          <w:trHeight w:val="270" w:hRule="atLeast"/>
        </w:trPr>
        <w:tc>
          <w:tcPr>
            <w:tcW w:w="40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6</w:t>
            </w:r>
          </w:p>
        </w:tc>
        <w:tc>
          <w:tcPr>
            <w:tcW w:w="59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jc w:val="left"/>
              <w:rPr>
                <w:rFonts w:eastAsia="仿宋"/>
                <w:color w:val="000000"/>
                <w:kern w:val="0"/>
                <w:sz w:val="18"/>
                <w:szCs w:val="18"/>
              </w:rPr>
            </w:pPr>
          </w:p>
        </w:tc>
        <w:tc>
          <w:tcPr>
            <w:tcW w:w="2055"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同仁110kV输变电工程</w:t>
            </w:r>
          </w:p>
        </w:tc>
        <w:tc>
          <w:tcPr>
            <w:tcW w:w="499"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新建</w:t>
            </w:r>
          </w:p>
        </w:tc>
        <w:tc>
          <w:tcPr>
            <w:tcW w:w="597"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2024</w:t>
            </w:r>
          </w:p>
        </w:tc>
        <w:tc>
          <w:tcPr>
            <w:tcW w:w="840"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100</w:t>
            </w:r>
          </w:p>
        </w:tc>
        <w:tc>
          <w:tcPr>
            <w:tcW w:w="740"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3</w:t>
            </w:r>
          </w:p>
        </w:tc>
        <w:tc>
          <w:tcPr>
            <w:tcW w:w="973"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4500</w:t>
            </w:r>
          </w:p>
        </w:tc>
        <w:tc>
          <w:tcPr>
            <w:tcW w:w="973"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1500</w:t>
            </w:r>
          </w:p>
        </w:tc>
        <w:tc>
          <w:tcPr>
            <w:tcW w:w="973"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6000</w:t>
            </w:r>
          </w:p>
        </w:tc>
        <w:tc>
          <w:tcPr>
            <w:tcW w:w="594"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国网</w:t>
            </w:r>
          </w:p>
        </w:tc>
      </w:tr>
      <w:tr>
        <w:tblPrEx>
          <w:tblCellMar>
            <w:top w:w="0" w:type="dxa"/>
            <w:left w:w="108" w:type="dxa"/>
            <w:bottom w:w="0" w:type="dxa"/>
            <w:right w:w="108" w:type="dxa"/>
          </w:tblCellMar>
        </w:tblPrEx>
        <w:trPr>
          <w:trHeight w:val="270" w:hRule="atLeast"/>
        </w:trPr>
        <w:tc>
          <w:tcPr>
            <w:tcW w:w="40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7</w:t>
            </w:r>
          </w:p>
        </w:tc>
        <w:tc>
          <w:tcPr>
            <w:tcW w:w="594"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eastAsia="仿宋"/>
                <w:color w:val="000000"/>
                <w:kern w:val="0"/>
                <w:sz w:val="18"/>
                <w:szCs w:val="18"/>
              </w:rPr>
            </w:pPr>
          </w:p>
        </w:tc>
        <w:tc>
          <w:tcPr>
            <w:tcW w:w="205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河南街110kV输变电工程</w:t>
            </w:r>
          </w:p>
        </w:tc>
        <w:tc>
          <w:tcPr>
            <w:tcW w:w="49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新建</w:t>
            </w:r>
          </w:p>
        </w:tc>
        <w:tc>
          <w:tcPr>
            <w:tcW w:w="59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2024</w:t>
            </w:r>
          </w:p>
        </w:tc>
        <w:tc>
          <w:tcPr>
            <w:tcW w:w="8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100</w:t>
            </w:r>
          </w:p>
        </w:tc>
        <w:tc>
          <w:tcPr>
            <w:tcW w:w="7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4500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10000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14500</w:t>
            </w:r>
          </w:p>
        </w:tc>
        <w:tc>
          <w:tcPr>
            <w:tcW w:w="59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国网</w:t>
            </w:r>
          </w:p>
        </w:tc>
      </w:tr>
      <w:tr>
        <w:tblPrEx>
          <w:tblCellMar>
            <w:top w:w="0" w:type="dxa"/>
            <w:left w:w="108" w:type="dxa"/>
            <w:bottom w:w="0" w:type="dxa"/>
            <w:right w:w="108" w:type="dxa"/>
          </w:tblCellMar>
        </w:tblPrEx>
        <w:trPr>
          <w:trHeight w:val="270" w:hRule="atLeast"/>
        </w:trPr>
        <w:tc>
          <w:tcPr>
            <w:tcW w:w="40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8</w:t>
            </w:r>
          </w:p>
        </w:tc>
        <w:tc>
          <w:tcPr>
            <w:tcW w:w="594"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eastAsia="仿宋"/>
                <w:color w:val="000000"/>
                <w:kern w:val="0"/>
                <w:sz w:val="18"/>
                <w:szCs w:val="18"/>
              </w:rPr>
            </w:pPr>
          </w:p>
        </w:tc>
        <w:tc>
          <w:tcPr>
            <w:tcW w:w="205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沣西2#330kV变电站110kV送出工程</w:t>
            </w:r>
          </w:p>
        </w:tc>
        <w:tc>
          <w:tcPr>
            <w:tcW w:w="49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新建</w:t>
            </w:r>
          </w:p>
        </w:tc>
        <w:tc>
          <w:tcPr>
            <w:tcW w:w="59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2025</w:t>
            </w:r>
          </w:p>
        </w:tc>
        <w:tc>
          <w:tcPr>
            <w:tcW w:w="8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0</w:t>
            </w:r>
          </w:p>
        </w:tc>
        <w:tc>
          <w:tcPr>
            <w:tcW w:w="7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23</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11500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11500</w:t>
            </w:r>
          </w:p>
        </w:tc>
        <w:tc>
          <w:tcPr>
            <w:tcW w:w="59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国网</w:t>
            </w:r>
          </w:p>
        </w:tc>
      </w:tr>
      <w:tr>
        <w:tblPrEx>
          <w:tblCellMar>
            <w:top w:w="0" w:type="dxa"/>
            <w:left w:w="108" w:type="dxa"/>
            <w:bottom w:w="0" w:type="dxa"/>
            <w:right w:w="108" w:type="dxa"/>
          </w:tblCellMar>
        </w:tblPrEx>
        <w:trPr>
          <w:trHeight w:val="270" w:hRule="atLeast"/>
        </w:trPr>
        <w:tc>
          <w:tcPr>
            <w:tcW w:w="40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9</w:t>
            </w:r>
          </w:p>
        </w:tc>
        <w:tc>
          <w:tcPr>
            <w:tcW w:w="594"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eastAsia="仿宋"/>
                <w:color w:val="000000"/>
                <w:kern w:val="0"/>
                <w:sz w:val="18"/>
                <w:szCs w:val="18"/>
              </w:rPr>
            </w:pPr>
          </w:p>
        </w:tc>
        <w:tc>
          <w:tcPr>
            <w:tcW w:w="205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材料110kV输变电工程</w:t>
            </w:r>
          </w:p>
        </w:tc>
        <w:tc>
          <w:tcPr>
            <w:tcW w:w="49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新建</w:t>
            </w:r>
          </w:p>
        </w:tc>
        <w:tc>
          <w:tcPr>
            <w:tcW w:w="59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2025</w:t>
            </w:r>
          </w:p>
        </w:tc>
        <w:tc>
          <w:tcPr>
            <w:tcW w:w="8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100</w:t>
            </w:r>
          </w:p>
        </w:tc>
        <w:tc>
          <w:tcPr>
            <w:tcW w:w="7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4</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4500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2000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6500</w:t>
            </w:r>
          </w:p>
        </w:tc>
        <w:tc>
          <w:tcPr>
            <w:tcW w:w="59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国网</w:t>
            </w:r>
          </w:p>
        </w:tc>
      </w:tr>
      <w:tr>
        <w:tblPrEx>
          <w:tblCellMar>
            <w:top w:w="0" w:type="dxa"/>
            <w:left w:w="108" w:type="dxa"/>
            <w:bottom w:w="0" w:type="dxa"/>
            <w:right w:w="108" w:type="dxa"/>
          </w:tblCellMar>
        </w:tblPrEx>
        <w:trPr>
          <w:trHeight w:val="270" w:hRule="atLeast"/>
        </w:trPr>
        <w:tc>
          <w:tcPr>
            <w:tcW w:w="40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10</w:t>
            </w:r>
          </w:p>
        </w:tc>
        <w:tc>
          <w:tcPr>
            <w:tcW w:w="594"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eastAsia="仿宋"/>
                <w:color w:val="000000"/>
                <w:kern w:val="0"/>
                <w:sz w:val="18"/>
                <w:szCs w:val="18"/>
              </w:rPr>
            </w:pPr>
          </w:p>
        </w:tc>
        <w:tc>
          <w:tcPr>
            <w:tcW w:w="205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天元110kV输变电工程</w:t>
            </w:r>
          </w:p>
        </w:tc>
        <w:tc>
          <w:tcPr>
            <w:tcW w:w="49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新建</w:t>
            </w:r>
          </w:p>
        </w:tc>
        <w:tc>
          <w:tcPr>
            <w:tcW w:w="59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2025</w:t>
            </w:r>
          </w:p>
        </w:tc>
        <w:tc>
          <w:tcPr>
            <w:tcW w:w="8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100</w:t>
            </w:r>
          </w:p>
        </w:tc>
        <w:tc>
          <w:tcPr>
            <w:tcW w:w="7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4</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4500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2000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6500</w:t>
            </w:r>
          </w:p>
        </w:tc>
        <w:tc>
          <w:tcPr>
            <w:tcW w:w="59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国网</w:t>
            </w:r>
          </w:p>
        </w:tc>
      </w:tr>
      <w:tr>
        <w:tblPrEx>
          <w:tblCellMar>
            <w:top w:w="0" w:type="dxa"/>
            <w:left w:w="108" w:type="dxa"/>
            <w:bottom w:w="0" w:type="dxa"/>
            <w:right w:w="108" w:type="dxa"/>
          </w:tblCellMar>
        </w:tblPrEx>
        <w:trPr>
          <w:trHeight w:val="270" w:hRule="atLeast"/>
        </w:trPr>
        <w:tc>
          <w:tcPr>
            <w:tcW w:w="40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11</w:t>
            </w:r>
          </w:p>
        </w:tc>
        <w:tc>
          <w:tcPr>
            <w:tcW w:w="594"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eastAsia="仿宋"/>
                <w:color w:val="000000"/>
                <w:kern w:val="0"/>
                <w:sz w:val="18"/>
                <w:szCs w:val="18"/>
              </w:rPr>
            </w:pPr>
          </w:p>
        </w:tc>
        <w:tc>
          <w:tcPr>
            <w:tcW w:w="205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商务110kV输变电工程</w:t>
            </w:r>
          </w:p>
        </w:tc>
        <w:tc>
          <w:tcPr>
            <w:tcW w:w="49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新建</w:t>
            </w:r>
          </w:p>
        </w:tc>
        <w:tc>
          <w:tcPr>
            <w:tcW w:w="59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2025</w:t>
            </w:r>
          </w:p>
        </w:tc>
        <w:tc>
          <w:tcPr>
            <w:tcW w:w="8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100</w:t>
            </w:r>
          </w:p>
        </w:tc>
        <w:tc>
          <w:tcPr>
            <w:tcW w:w="7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17.4</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4500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8700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13200</w:t>
            </w:r>
          </w:p>
        </w:tc>
        <w:tc>
          <w:tcPr>
            <w:tcW w:w="59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沣西增量</w:t>
            </w:r>
          </w:p>
        </w:tc>
      </w:tr>
      <w:tr>
        <w:tblPrEx>
          <w:tblCellMar>
            <w:top w:w="0" w:type="dxa"/>
            <w:left w:w="108" w:type="dxa"/>
            <w:bottom w:w="0" w:type="dxa"/>
            <w:right w:w="108" w:type="dxa"/>
          </w:tblCellMar>
        </w:tblPrEx>
        <w:trPr>
          <w:trHeight w:val="659" w:hRule="atLeast"/>
        </w:trPr>
        <w:tc>
          <w:tcPr>
            <w:tcW w:w="4149"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b/>
                <w:bCs/>
                <w:color w:val="000000"/>
                <w:kern w:val="0"/>
                <w:sz w:val="18"/>
                <w:szCs w:val="18"/>
              </w:rPr>
            </w:pPr>
            <w:r>
              <w:rPr>
                <w:rFonts w:eastAsia="仿宋"/>
                <w:b/>
                <w:bCs/>
                <w:color w:val="000000"/>
                <w:kern w:val="0"/>
                <w:sz w:val="18"/>
                <w:szCs w:val="18"/>
              </w:rPr>
              <w:t>沣西新城合计</w:t>
            </w:r>
          </w:p>
        </w:tc>
        <w:tc>
          <w:tcPr>
            <w:tcW w:w="8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b/>
                <w:bCs/>
                <w:color w:val="000000"/>
                <w:kern w:val="0"/>
                <w:sz w:val="18"/>
                <w:szCs w:val="18"/>
              </w:rPr>
            </w:pPr>
            <w:r>
              <w:rPr>
                <w:rFonts w:eastAsia="仿宋"/>
                <w:b/>
                <w:bCs/>
                <w:color w:val="000000"/>
                <w:kern w:val="0"/>
                <w:sz w:val="18"/>
                <w:szCs w:val="18"/>
              </w:rPr>
              <w:t>837</w:t>
            </w:r>
          </w:p>
        </w:tc>
        <w:tc>
          <w:tcPr>
            <w:tcW w:w="7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b/>
                <w:bCs/>
                <w:color w:val="000000"/>
                <w:kern w:val="0"/>
                <w:sz w:val="18"/>
                <w:szCs w:val="18"/>
              </w:rPr>
            </w:pPr>
            <w:r>
              <w:rPr>
                <w:rFonts w:eastAsia="仿宋"/>
                <w:b/>
                <w:bCs/>
                <w:color w:val="000000"/>
                <w:kern w:val="0"/>
                <w:sz w:val="18"/>
                <w:szCs w:val="18"/>
              </w:rPr>
              <w:t>107.2</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b/>
                <w:bCs/>
                <w:color w:val="000000"/>
                <w:kern w:val="0"/>
                <w:sz w:val="18"/>
                <w:szCs w:val="18"/>
              </w:rPr>
            </w:pPr>
            <w:r>
              <w:rPr>
                <w:rFonts w:eastAsia="仿宋"/>
                <w:b/>
                <w:bCs/>
                <w:color w:val="000000"/>
                <w:kern w:val="0"/>
                <w:sz w:val="18"/>
                <w:szCs w:val="18"/>
              </w:rPr>
              <w:t>39315</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b/>
                <w:bCs/>
                <w:color w:val="000000"/>
                <w:kern w:val="0"/>
                <w:sz w:val="18"/>
                <w:szCs w:val="18"/>
              </w:rPr>
            </w:pPr>
            <w:r>
              <w:rPr>
                <w:rFonts w:eastAsia="仿宋"/>
                <w:b/>
                <w:bCs/>
                <w:color w:val="000000"/>
                <w:kern w:val="0"/>
                <w:sz w:val="18"/>
                <w:szCs w:val="18"/>
              </w:rPr>
              <w:t>53000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b/>
                <w:bCs/>
                <w:color w:val="000000"/>
                <w:kern w:val="0"/>
                <w:sz w:val="18"/>
                <w:szCs w:val="18"/>
              </w:rPr>
            </w:pPr>
            <w:r>
              <w:rPr>
                <w:rFonts w:eastAsia="仿宋"/>
                <w:b/>
                <w:bCs/>
                <w:color w:val="000000"/>
                <w:kern w:val="0"/>
                <w:sz w:val="18"/>
                <w:szCs w:val="18"/>
              </w:rPr>
              <w:t>92315</w:t>
            </w:r>
          </w:p>
        </w:tc>
        <w:tc>
          <w:tcPr>
            <w:tcW w:w="59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b/>
                <w:bCs/>
                <w:color w:val="000000"/>
                <w:kern w:val="0"/>
                <w:sz w:val="18"/>
                <w:szCs w:val="18"/>
              </w:rPr>
            </w:pPr>
            <w:r>
              <w:rPr>
                <w:rFonts w:eastAsia="仿宋"/>
                <w:b/>
                <w:bCs/>
                <w:color w:val="000000"/>
                <w:kern w:val="0"/>
                <w:sz w:val="18"/>
                <w:szCs w:val="18"/>
              </w:rPr>
              <w:t>　</w:t>
            </w:r>
          </w:p>
        </w:tc>
      </w:tr>
      <w:tr>
        <w:tblPrEx>
          <w:tblCellMar>
            <w:top w:w="0" w:type="dxa"/>
            <w:left w:w="108" w:type="dxa"/>
            <w:bottom w:w="0" w:type="dxa"/>
            <w:right w:w="108" w:type="dxa"/>
          </w:tblCellMar>
        </w:tblPrEx>
        <w:trPr>
          <w:trHeight w:val="270" w:hRule="atLeast"/>
        </w:trPr>
        <w:tc>
          <w:tcPr>
            <w:tcW w:w="40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w:t>
            </w:r>
          </w:p>
        </w:tc>
        <w:tc>
          <w:tcPr>
            <w:tcW w:w="594" w:type="dxa"/>
            <w:vMerge w:val="restart"/>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泾河新城</w:t>
            </w:r>
          </w:p>
        </w:tc>
        <w:tc>
          <w:tcPr>
            <w:tcW w:w="205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110kV符瑞输变电工程</w:t>
            </w:r>
          </w:p>
        </w:tc>
        <w:tc>
          <w:tcPr>
            <w:tcW w:w="49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新建</w:t>
            </w:r>
          </w:p>
        </w:tc>
        <w:tc>
          <w:tcPr>
            <w:tcW w:w="59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2021</w:t>
            </w:r>
          </w:p>
        </w:tc>
        <w:tc>
          <w:tcPr>
            <w:tcW w:w="8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252</w:t>
            </w:r>
          </w:p>
        </w:tc>
        <w:tc>
          <w:tcPr>
            <w:tcW w:w="7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36</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6000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18000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24000</w:t>
            </w:r>
          </w:p>
        </w:tc>
        <w:tc>
          <w:tcPr>
            <w:tcW w:w="59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地电</w:t>
            </w:r>
          </w:p>
        </w:tc>
      </w:tr>
      <w:tr>
        <w:tblPrEx>
          <w:tblCellMar>
            <w:top w:w="0" w:type="dxa"/>
            <w:left w:w="108" w:type="dxa"/>
            <w:bottom w:w="0" w:type="dxa"/>
            <w:right w:w="108" w:type="dxa"/>
          </w:tblCellMar>
        </w:tblPrEx>
        <w:trPr>
          <w:trHeight w:val="270" w:hRule="atLeast"/>
        </w:trPr>
        <w:tc>
          <w:tcPr>
            <w:tcW w:w="40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w:t>
            </w:r>
          </w:p>
        </w:tc>
        <w:tc>
          <w:tcPr>
            <w:tcW w:w="594"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eastAsia="仿宋"/>
                <w:color w:val="000000"/>
                <w:kern w:val="0"/>
                <w:sz w:val="18"/>
                <w:szCs w:val="18"/>
              </w:rPr>
            </w:pPr>
          </w:p>
        </w:tc>
        <w:tc>
          <w:tcPr>
            <w:tcW w:w="205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330kV秦汉变至110kV高庄变110kV线路工程</w:t>
            </w:r>
          </w:p>
        </w:tc>
        <w:tc>
          <w:tcPr>
            <w:tcW w:w="49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新建</w:t>
            </w:r>
          </w:p>
        </w:tc>
        <w:tc>
          <w:tcPr>
            <w:tcW w:w="59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2022</w:t>
            </w:r>
          </w:p>
        </w:tc>
        <w:tc>
          <w:tcPr>
            <w:tcW w:w="8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0</w:t>
            </w:r>
          </w:p>
        </w:tc>
        <w:tc>
          <w:tcPr>
            <w:tcW w:w="7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13.1</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6550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6550</w:t>
            </w:r>
          </w:p>
        </w:tc>
        <w:tc>
          <w:tcPr>
            <w:tcW w:w="59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国网</w:t>
            </w:r>
          </w:p>
        </w:tc>
      </w:tr>
      <w:tr>
        <w:tblPrEx>
          <w:tblCellMar>
            <w:top w:w="0" w:type="dxa"/>
            <w:left w:w="108" w:type="dxa"/>
            <w:bottom w:w="0" w:type="dxa"/>
            <w:right w:w="108" w:type="dxa"/>
          </w:tblCellMar>
        </w:tblPrEx>
        <w:trPr>
          <w:trHeight w:val="270" w:hRule="atLeast"/>
        </w:trPr>
        <w:tc>
          <w:tcPr>
            <w:tcW w:w="40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3</w:t>
            </w:r>
          </w:p>
        </w:tc>
        <w:tc>
          <w:tcPr>
            <w:tcW w:w="594"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eastAsia="仿宋"/>
                <w:color w:val="000000"/>
                <w:kern w:val="0"/>
                <w:sz w:val="18"/>
                <w:szCs w:val="18"/>
              </w:rPr>
            </w:pPr>
          </w:p>
        </w:tc>
        <w:tc>
          <w:tcPr>
            <w:tcW w:w="205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110kV东风输变电工程</w:t>
            </w:r>
          </w:p>
        </w:tc>
        <w:tc>
          <w:tcPr>
            <w:tcW w:w="49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新建</w:t>
            </w:r>
          </w:p>
        </w:tc>
        <w:tc>
          <w:tcPr>
            <w:tcW w:w="59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2022</w:t>
            </w:r>
          </w:p>
        </w:tc>
        <w:tc>
          <w:tcPr>
            <w:tcW w:w="8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150</w:t>
            </w:r>
          </w:p>
        </w:tc>
        <w:tc>
          <w:tcPr>
            <w:tcW w:w="7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16.6</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4500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8300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12800</w:t>
            </w:r>
          </w:p>
        </w:tc>
        <w:tc>
          <w:tcPr>
            <w:tcW w:w="59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地电</w:t>
            </w:r>
          </w:p>
        </w:tc>
      </w:tr>
      <w:tr>
        <w:tblPrEx>
          <w:tblCellMar>
            <w:top w:w="0" w:type="dxa"/>
            <w:left w:w="108" w:type="dxa"/>
            <w:bottom w:w="0" w:type="dxa"/>
            <w:right w:w="108" w:type="dxa"/>
          </w:tblCellMar>
        </w:tblPrEx>
        <w:trPr>
          <w:trHeight w:val="270" w:hRule="atLeast"/>
        </w:trPr>
        <w:tc>
          <w:tcPr>
            <w:tcW w:w="40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4</w:t>
            </w:r>
          </w:p>
        </w:tc>
        <w:tc>
          <w:tcPr>
            <w:tcW w:w="594"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eastAsia="仿宋"/>
                <w:color w:val="000000"/>
                <w:kern w:val="0"/>
                <w:sz w:val="18"/>
                <w:szCs w:val="18"/>
              </w:rPr>
            </w:pPr>
          </w:p>
        </w:tc>
        <w:tc>
          <w:tcPr>
            <w:tcW w:w="205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110kV院士谷输变电工程</w:t>
            </w:r>
          </w:p>
        </w:tc>
        <w:tc>
          <w:tcPr>
            <w:tcW w:w="49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新建</w:t>
            </w:r>
          </w:p>
        </w:tc>
        <w:tc>
          <w:tcPr>
            <w:tcW w:w="59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2022</w:t>
            </w:r>
          </w:p>
        </w:tc>
        <w:tc>
          <w:tcPr>
            <w:tcW w:w="8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150</w:t>
            </w:r>
          </w:p>
        </w:tc>
        <w:tc>
          <w:tcPr>
            <w:tcW w:w="7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6</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4500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3000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7500</w:t>
            </w:r>
          </w:p>
        </w:tc>
        <w:tc>
          <w:tcPr>
            <w:tcW w:w="59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地电</w:t>
            </w:r>
          </w:p>
        </w:tc>
      </w:tr>
      <w:tr>
        <w:tblPrEx>
          <w:tblCellMar>
            <w:top w:w="0" w:type="dxa"/>
            <w:left w:w="108" w:type="dxa"/>
            <w:bottom w:w="0" w:type="dxa"/>
            <w:right w:w="108" w:type="dxa"/>
          </w:tblCellMar>
        </w:tblPrEx>
        <w:trPr>
          <w:trHeight w:val="270" w:hRule="atLeast"/>
        </w:trPr>
        <w:tc>
          <w:tcPr>
            <w:tcW w:w="40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5</w:t>
            </w:r>
          </w:p>
        </w:tc>
        <w:tc>
          <w:tcPr>
            <w:tcW w:w="594"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eastAsia="仿宋"/>
                <w:color w:val="000000"/>
                <w:kern w:val="0"/>
                <w:sz w:val="18"/>
                <w:szCs w:val="18"/>
              </w:rPr>
            </w:pPr>
          </w:p>
        </w:tc>
        <w:tc>
          <w:tcPr>
            <w:tcW w:w="205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110kV金田玉输变电工程</w:t>
            </w:r>
          </w:p>
        </w:tc>
        <w:tc>
          <w:tcPr>
            <w:tcW w:w="49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新建</w:t>
            </w:r>
          </w:p>
        </w:tc>
        <w:tc>
          <w:tcPr>
            <w:tcW w:w="59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2022</w:t>
            </w:r>
          </w:p>
        </w:tc>
        <w:tc>
          <w:tcPr>
            <w:tcW w:w="8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100</w:t>
            </w:r>
          </w:p>
        </w:tc>
        <w:tc>
          <w:tcPr>
            <w:tcW w:w="7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4500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5000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9500</w:t>
            </w:r>
          </w:p>
        </w:tc>
        <w:tc>
          <w:tcPr>
            <w:tcW w:w="59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地电</w:t>
            </w:r>
          </w:p>
        </w:tc>
      </w:tr>
      <w:tr>
        <w:tblPrEx>
          <w:tblCellMar>
            <w:top w:w="0" w:type="dxa"/>
            <w:left w:w="108" w:type="dxa"/>
            <w:bottom w:w="0" w:type="dxa"/>
            <w:right w:w="108" w:type="dxa"/>
          </w:tblCellMar>
        </w:tblPrEx>
        <w:trPr>
          <w:trHeight w:val="270" w:hRule="atLeast"/>
        </w:trPr>
        <w:tc>
          <w:tcPr>
            <w:tcW w:w="40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6</w:t>
            </w:r>
          </w:p>
        </w:tc>
        <w:tc>
          <w:tcPr>
            <w:tcW w:w="594"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eastAsia="仿宋"/>
                <w:color w:val="000000"/>
                <w:kern w:val="0"/>
                <w:sz w:val="18"/>
                <w:szCs w:val="18"/>
              </w:rPr>
            </w:pPr>
          </w:p>
        </w:tc>
        <w:tc>
          <w:tcPr>
            <w:tcW w:w="205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泾河330kV变电站110kV送出工程</w:t>
            </w:r>
          </w:p>
        </w:tc>
        <w:tc>
          <w:tcPr>
            <w:tcW w:w="49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新建</w:t>
            </w:r>
          </w:p>
        </w:tc>
        <w:tc>
          <w:tcPr>
            <w:tcW w:w="59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2023</w:t>
            </w:r>
          </w:p>
        </w:tc>
        <w:tc>
          <w:tcPr>
            <w:tcW w:w="8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0</w:t>
            </w:r>
          </w:p>
        </w:tc>
        <w:tc>
          <w:tcPr>
            <w:tcW w:w="7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3.6</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1800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1800</w:t>
            </w:r>
          </w:p>
        </w:tc>
        <w:tc>
          <w:tcPr>
            <w:tcW w:w="59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地电</w:t>
            </w:r>
          </w:p>
        </w:tc>
      </w:tr>
      <w:tr>
        <w:tblPrEx>
          <w:tblCellMar>
            <w:top w:w="0" w:type="dxa"/>
            <w:left w:w="108" w:type="dxa"/>
            <w:bottom w:w="0" w:type="dxa"/>
            <w:right w:w="108" w:type="dxa"/>
          </w:tblCellMar>
        </w:tblPrEx>
        <w:trPr>
          <w:trHeight w:val="270" w:hRule="atLeast"/>
        </w:trPr>
        <w:tc>
          <w:tcPr>
            <w:tcW w:w="40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7</w:t>
            </w:r>
          </w:p>
        </w:tc>
        <w:tc>
          <w:tcPr>
            <w:tcW w:w="594"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eastAsia="仿宋"/>
                <w:color w:val="000000"/>
                <w:kern w:val="0"/>
                <w:sz w:val="18"/>
                <w:szCs w:val="18"/>
              </w:rPr>
            </w:pPr>
          </w:p>
        </w:tc>
        <w:tc>
          <w:tcPr>
            <w:tcW w:w="205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110kV茯茶输变电工程</w:t>
            </w:r>
          </w:p>
        </w:tc>
        <w:tc>
          <w:tcPr>
            <w:tcW w:w="49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新建</w:t>
            </w:r>
          </w:p>
        </w:tc>
        <w:tc>
          <w:tcPr>
            <w:tcW w:w="59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2023</w:t>
            </w:r>
          </w:p>
        </w:tc>
        <w:tc>
          <w:tcPr>
            <w:tcW w:w="8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100</w:t>
            </w:r>
          </w:p>
        </w:tc>
        <w:tc>
          <w:tcPr>
            <w:tcW w:w="7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4500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5000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9500</w:t>
            </w:r>
          </w:p>
        </w:tc>
        <w:tc>
          <w:tcPr>
            <w:tcW w:w="59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地电</w:t>
            </w:r>
          </w:p>
        </w:tc>
      </w:tr>
      <w:tr>
        <w:tblPrEx>
          <w:tblCellMar>
            <w:top w:w="0" w:type="dxa"/>
            <w:left w:w="108" w:type="dxa"/>
            <w:bottom w:w="0" w:type="dxa"/>
            <w:right w:w="108" w:type="dxa"/>
          </w:tblCellMar>
        </w:tblPrEx>
        <w:trPr>
          <w:trHeight w:val="270" w:hRule="atLeast"/>
        </w:trPr>
        <w:tc>
          <w:tcPr>
            <w:tcW w:w="404"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8</w:t>
            </w:r>
          </w:p>
        </w:tc>
        <w:tc>
          <w:tcPr>
            <w:tcW w:w="594" w:type="dxa"/>
            <w:vMerge w:val="continue"/>
            <w:tcBorders>
              <w:top w:val="nil"/>
              <w:left w:val="single" w:color="auto" w:sz="4" w:space="0"/>
              <w:bottom w:val="single" w:color="auto" w:sz="4" w:space="0"/>
              <w:right w:val="single" w:color="auto" w:sz="4" w:space="0"/>
            </w:tcBorders>
            <w:vAlign w:val="center"/>
          </w:tcPr>
          <w:p>
            <w:pPr>
              <w:widowControl/>
              <w:spacing w:line="240" w:lineRule="auto"/>
              <w:jc w:val="left"/>
              <w:rPr>
                <w:rFonts w:eastAsia="仿宋"/>
                <w:color w:val="000000"/>
                <w:kern w:val="0"/>
                <w:sz w:val="18"/>
                <w:szCs w:val="18"/>
              </w:rPr>
            </w:pPr>
          </w:p>
        </w:tc>
        <w:tc>
          <w:tcPr>
            <w:tcW w:w="2055"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110kV花池渡输变电工程</w:t>
            </w:r>
          </w:p>
        </w:tc>
        <w:tc>
          <w:tcPr>
            <w:tcW w:w="499"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新建</w:t>
            </w:r>
          </w:p>
        </w:tc>
        <w:tc>
          <w:tcPr>
            <w:tcW w:w="597"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2024</w:t>
            </w:r>
          </w:p>
        </w:tc>
        <w:tc>
          <w:tcPr>
            <w:tcW w:w="8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150</w:t>
            </w:r>
          </w:p>
        </w:tc>
        <w:tc>
          <w:tcPr>
            <w:tcW w:w="7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27.7</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4500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13850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18350</w:t>
            </w:r>
          </w:p>
        </w:tc>
        <w:tc>
          <w:tcPr>
            <w:tcW w:w="594"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color w:val="000000"/>
                <w:kern w:val="0"/>
                <w:sz w:val="18"/>
                <w:szCs w:val="18"/>
              </w:rPr>
            </w:pPr>
            <w:r>
              <w:rPr>
                <w:rFonts w:eastAsia="仿宋"/>
                <w:color w:val="000000"/>
                <w:kern w:val="0"/>
                <w:sz w:val="18"/>
                <w:szCs w:val="18"/>
              </w:rPr>
              <w:t>地电</w:t>
            </w:r>
          </w:p>
        </w:tc>
      </w:tr>
      <w:tr>
        <w:tblPrEx>
          <w:tblCellMar>
            <w:top w:w="0" w:type="dxa"/>
            <w:left w:w="108" w:type="dxa"/>
            <w:bottom w:w="0" w:type="dxa"/>
            <w:right w:w="108" w:type="dxa"/>
          </w:tblCellMar>
        </w:tblPrEx>
        <w:trPr>
          <w:trHeight w:val="629" w:hRule="atLeast"/>
        </w:trPr>
        <w:tc>
          <w:tcPr>
            <w:tcW w:w="4149"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b/>
                <w:bCs/>
                <w:color w:val="000000"/>
                <w:kern w:val="0"/>
                <w:sz w:val="18"/>
                <w:szCs w:val="18"/>
              </w:rPr>
            </w:pPr>
            <w:r>
              <w:rPr>
                <w:rFonts w:eastAsia="仿宋"/>
                <w:b/>
                <w:bCs/>
                <w:color w:val="000000"/>
                <w:kern w:val="0"/>
                <w:sz w:val="18"/>
                <w:szCs w:val="18"/>
              </w:rPr>
              <w:t>泾河新城合计</w:t>
            </w:r>
          </w:p>
        </w:tc>
        <w:tc>
          <w:tcPr>
            <w:tcW w:w="8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b/>
                <w:bCs/>
                <w:color w:val="000000"/>
                <w:kern w:val="0"/>
                <w:sz w:val="18"/>
                <w:szCs w:val="18"/>
              </w:rPr>
            </w:pPr>
            <w:r>
              <w:rPr>
                <w:rFonts w:eastAsia="仿宋"/>
                <w:b/>
                <w:bCs/>
                <w:color w:val="000000"/>
                <w:kern w:val="0"/>
                <w:sz w:val="18"/>
                <w:szCs w:val="18"/>
              </w:rPr>
              <w:t>902</w:t>
            </w:r>
          </w:p>
        </w:tc>
        <w:tc>
          <w:tcPr>
            <w:tcW w:w="7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b/>
                <w:bCs/>
                <w:color w:val="000000"/>
                <w:kern w:val="0"/>
                <w:sz w:val="18"/>
                <w:szCs w:val="18"/>
              </w:rPr>
            </w:pPr>
            <w:r>
              <w:rPr>
                <w:rFonts w:eastAsia="仿宋"/>
                <w:b/>
                <w:bCs/>
                <w:color w:val="000000"/>
                <w:kern w:val="0"/>
                <w:sz w:val="18"/>
                <w:szCs w:val="18"/>
              </w:rPr>
              <w:t>123</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b/>
                <w:bCs/>
                <w:color w:val="000000"/>
                <w:kern w:val="0"/>
                <w:sz w:val="18"/>
                <w:szCs w:val="18"/>
              </w:rPr>
            </w:pPr>
            <w:r>
              <w:rPr>
                <w:rFonts w:eastAsia="仿宋"/>
                <w:b/>
                <w:bCs/>
                <w:color w:val="000000"/>
                <w:kern w:val="0"/>
                <w:sz w:val="18"/>
                <w:szCs w:val="18"/>
              </w:rPr>
              <w:t>28500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b/>
                <w:bCs/>
                <w:color w:val="000000"/>
                <w:kern w:val="0"/>
                <w:sz w:val="18"/>
                <w:szCs w:val="18"/>
              </w:rPr>
            </w:pPr>
            <w:r>
              <w:rPr>
                <w:rFonts w:eastAsia="仿宋"/>
                <w:b/>
                <w:bCs/>
                <w:color w:val="000000"/>
                <w:kern w:val="0"/>
                <w:sz w:val="18"/>
                <w:szCs w:val="18"/>
              </w:rPr>
              <w:t>61500</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b/>
                <w:bCs/>
                <w:color w:val="000000"/>
                <w:kern w:val="0"/>
                <w:sz w:val="18"/>
                <w:szCs w:val="18"/>
              </w:rPr>
            </w:pPr>
            <w:r>
              <w:rPr>
                <w:rFonts w:eastAsia="仿宋"/>
                <w:b/>
                <w:bCs/>
                <w:color w:val="000000"/>
                <w:kern w:val="0"/>
                <w:sz w:val="18"/>
                <w:szCs w:val="18"/>
              </w:rPr>
              <w:t>90000</w:t>
            </w:r>
          </w:p>
        </w:tc>
        <w:tc>
          <w:tcPr>
            <w:tcW w:w="594" w:type="dxa"/>
            <w:tcBorders>
              <w:top w:val="nil"/>
              <w:left w:val="nil"/>
              <w:bottom w:val="single" w:color="auto" w:sz="4" w:space="0"/>
              <w:right w:val="single" w:color="auto" w:sz="4" w:space="0"/>
            </w:tcBorders>
            <w:shd w:val="clear" w:color="auto" w:fill="auto"/>
            <w:vAlign w:val="bottom"/>
          </w:tcPr>
          <w:p>
            <w:pPr>
              <w:widowControl/>
              <w:spacing w:line="240" w:lineRule="auto"/>
              <w:jc w:val="left"/>
              <w:rPr>
                <w:rFonts w:eastAsia="仿宋"/>
                <w:color w:val="000000"/>
                <w:kern w:val="0"/>
                <w:sz w:val="18"/>
                <w:szCs w:val="18"/>
              </w:rPr>
            </w:pPr>
            <w:r>
              <w:rPr>
                <w:rFonts w:eastAsia="仿宋"/>
                <w:color w:val="000000"/>
                <w:kern w:val="0"/>
                <w:sz w:val="18"/>
                <w:szCs w:val="18"/>
              </w:rPr>
              <w:t>　</w:t>
            </w:r>
          </w:p>
        </w:tc>
      </w:tr>
      <w:tr>
        <w:tblPrEx>
          <w:tblCellMar>
            <w:top w:w="0" w:type="dxa"/>
            <w:left w:w="108" w:type="dxa"/>
            <w:bottom w:w="0" w:type="dxa"/>
            <w:right w:w="108" w:type="dxa"/>
          </w:tblCellMar>
        </w:tblPrEx>
        <w:trPr>
          <w:trHeight w:val="654" w:hRule="atLeast"/>
        </w:trPr>
        <w:tc>
          <w:tcPr>
            <w:tcW w:w="4149"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jc w:val="center"/>
              <w:rPr>
                <w:rFonts w:eastAsia="仿宋"/>
                <w:b/>
                <w:bCs/>
                <w:color w:val="000000"/>
                <w:kern w:val="0"/>
                <w:sz w:val="18"/>
                <w:szCs w:val="18"/>
              </w:rPr>
            </w:pPr>
            <w:r>
              <w:rPr>
                <w:rFonts w:eastAsia="仿宋"/>
                <w:b/>
                <w:bCs/>
                <w:color w:val="000000"/>
                <w:kern w:val="0"/>
                <w:sz w:val="18"/>
                <w:szCs w:val="18"/>
              </w:rPr>
              <w:t>西咸新区总计</w:t>
            </w:r>
          </w:p>
        </w:tc>
        <w:tc>
          <w:tcPr>
            <w:tcW w:w="8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b/>
                <w:bCs/>
                <w:color w:val="000000"/>
                <w:kern w:val="0"/>
                <w:sz w:val="18"/>
                <w:szCs w:val="18"/>
              </w:rPr>
            </w:pPr>
            <w:r>
              <w:rPr>
                <w:rFonts w:eastAsia="仿宋"/>
                <w:b/>
                <w:bCs/>
                <w:color w:val="000000"/>
                <w:kern w:val="0"/>
                <w:sz w:val="18"/>
                <w:szCs w:val="18"/>
              </w:rPr>
              <w:t>2839</w:t>
            </w:r>
          </w:p>
        </w:tc>
        <w:tc>
          <w:tcPr>
            <w:tcW w:w="740"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b/>
                <w:bCs/>
                <w:color w:val="000000"/>
                <w:kern w:val="0"/>
                <w:sz w:val="18"/>
                <w:szCs w:val="18"/>
              </w:rPr>
            </w:pPr>
            <w:r>
              <w:rPr>
                <w:rFonts w:eastAsia="仿宋"/>
                <w:b/>
                <w:bCs/>
                <w:color w:val="000000"/>
                <w:kern w:val="0"/>
                <w:sz w:val="18"/>
                <w:szCs w:val="18"/>
              </w:rPr>
              <w:t>522.6</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b/>
                <w:bCs/>
                <w:color w:val="000000"/>
                <w:kern w:val="0"/>
                <w:sz w:val="18"/>
                <w:szCs w:val="18"/>
              </w:rPr>
            </w:pPr>
            <w:r>
              <w:rPr>
                <w:rFonts w:eastAsia="仿宋"/>
                <w:b/>
                <w:bCs/>
                <w:color w:val="000000"/>
                <w:kern w:val="0"/>
                <w:sz w:val="18"/>
                <w:szCs w:val="18"/>
              </w:rPr>
              <w:t>117812</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b/>
                <w:bCs/>
                <w:color w:val="000000"/>
                <w:kern w:val="0"/>
                <w:sz w:val="18"/>
                <w:szCs w:val="18"/>
              </w:rPr>
            </w:pPr>
            <w:r>
              <w:rPr>
                <w:rFonts w:eastAsia="仿宋"/>
                <w:b/>
                <w:bCs/>
                <w:color w:val="000000"/>
                <w:kern w:val="0"/>
                <w:sz w:val="18"/>
                <w:szCs w:val="18"/>
              </w:rPr>
              <w:t>241869</w:t>
            </w:r>
          </w:p>
        </w:tc>
        <w:tc>
          <w:tcPr>
            <w:tcW w:w="973" w:type="dxa"/>
            <w:tcBorders>
              <w:top w:val="nil"/>
              <w:left w:val="nil"/>
              <w:bottom w:val="single" w:color="auto" w:sz="4" w:space="0"/>
              <w:right w:val="single" w:color="auto" w:sz="4" w:space="0"/>
            </w:tcBorders>
            <w:shd w:val="clear" w:color="auto" w:fill="auto"/>
            <w:vAlign w:val="center"/>
          </w:tcPr>
          <w:p>
            <w:pPr>
              <w:widowControl/>
              <w:spacing w:line="240" w:lineRule="auto"/>
              <w:jc w:val="center"/>
              <w:rPr>
                <w:rFonts w:eastAsia="仿宋"/>
                <w:b/>
                <w:bCs/>
                <w:color w:val="000000"/>
                <w:kern w:val="0"/>
                <w:sz w:val="18"/>
                <w:szCs w:val="18"/>
              </w:rPr>
            </w:pPr>
            <w:r>
              <w:rPr>
                <w:rFonts w:eastAsia="仿宋"/>
                <w:b/>
                <w:bCs/>
                <w:color w:val="000000"/>
                <w:kern w:val="0"/>
                <w:sz w:val="18"/>
                <w:szCs w:val="18"/>
              </w:rPr>
              <w:t>359681</w:t>
            </w:r>
          </w:p>
        </w:tc>
        <w:tc>
          <w:tcPr>
            <w:tcW w:w="594" w:type="dxa"/>
            <w:tcBorders>
              <w:top w:val="nil"/>
              <w:left w:val="nil"/>
              <w:bottom w:val="single" w:color="auto" w:sz="4" w:space="0"/>
              <w:right w:val="single" w:color="auto" w:sz="4" w:space="0"/>
            </w:tcBorders>
            <w:shd w:val="clear" w:color="auto" w:fill="auto"/>
            <w:vAlign w:val="bottom"/>
          </w:tcPr>
          <w:p>
            <w:pPr>
              <w:widowControl/>
              <w:spacing w:line="240" w:lineRule="auto"/>
              <w:jc w:val="left"/>
              <w:rPr>
                <w:rFonts w:eastAsia="仿宋"/>
                <w:color w:val="000000"/>
                <w:kern w:val="0"/>
                <w:sz w:val="18"/>
                <w:szCs w:val="18"/>
              </w:rPr>
            </w:pPr>
            <w:r>
              <w:rPr>
                <w:rFonts w:eastAsia="仿宋"/>
                <w:color w:val="000000"/>
                <w:kern w:val="0"/>
                <w:sz w:val="18"/>
                <w:szCs w:val="18"/>
              </w:rPr>
              <w:t>　</w:t>
            </w:r>
          </w:p>
        </w:tc>
      </w:tr>
    </w:tbl>
    <w:p>
      <w:pPr>
        <w:pStyle w:val="150"/>
        <w:ind w:firstLine="0" w:firstLineChars="0"/>
      </w:pPr>
    </w:p>
    <w:p>
      <w:pPr>
        <w:pStyle w:val="150"/>
        <w:ind w:firstLine="0" w:firstLineChars="0"/>
      </w:pPr>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lang w:val="en-US" w:eastAsia="zh-CN"/>
        </w:rPr>
      </w:pPr>
      <w:bookmarkStart w:id="1219" w:name="_Toc8281"/>
      <w:bookmarkStart w:id="1220" w:name="_Toc74041265"/>
      <w:r>
        <w:rPr>
          <w:rFonts w:hint="eastAsia" w:ascii="黑体" w:hAnsi="黑体" w:eastAsia="黑体" w:cs="黑体"/>
          <w:b w:val="0"/>
          <w:bCs w:val="0"/>
          <w:sz w:val="32"/>
          <w:szCs w:val="32"/>
          <w:lang w:val="en-US" w:eastAsia="zh-CN"/>
        </w:rPr>
        <w:t>10千伏电网投资</w:t>
      </w:r>
      <w:bookmarkEnd w:id="1219"/>
      <w:bookmarkEnd w:id="1220"/>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十四五”期间，西咸新区10千伏电网投资估算约10.23亿元。其中：国家电网西咸新区供电公司10千伏电网投资估算约5.579亿元；地方电力集团10千伏电网投资估算约3.093亿元；沣西新城增量电网10千伏电网投资估算约1.128亿元；空港新城增量电网10千伏电网投资估算约0.43亿元。</w:t>
      </w:r>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lang w:val="en-US" w:eastAsia="zh-CN"/>
        </w:rPr>
      </w:pPr>
      <w:bookmarkStart w:id="1221" w:name="_Toc74041270"/>
      <w:bookmarkStart w:id="1222" w:name="_Toc17479"/>
      <w:r>
        <w:rPr>
          <w:rFonts w:hint="eastAsia" w:ascii="黑体" w:hAnsi="黑体" w:eastAsia="黑体" w:cs="黑体"/>
          <w:b w:val="0"/>
          <w:bCs w:val="0"/>
          <w:sz w:val="32"/>
          <w:szCs w:val="32"/>
          <w:lang w:val="en-US" w:eastAsia="zh-CN"/>
        </w:rPr>
        <w:t>投资汇总</w:t>
      </w:r>
      <w:bookmarkEnd w:id="1221"/>
      <w:bookmarkEnd w:id="1222"/>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“十四五”期间，西咸新区电网建设共需投资73.93亿元，其中330千伏项目投资27.73亿元，占总投资37.5%；110千伏项目投资35.97亿元，占总投资48.7%。10千伏项目投资10.23亿元，占总投资13.8%。</w:t>
      </w:r>
    </w:p>
    <w:p>
      <w:pPr>
        <w:pStyle w:val="150"/>
        <w:ind w:firstLine="560"/>
      </w:pPr>
    </w:p>
    <w:p>
      <w:pPr>
        <w:pStyle w:val="4"/>
        <w:keepNext/>
        <w:keepLines/>
        <w:pageBreakBefore/>
        <w:widowControl w:val="0"/>
        <w:kinsoku/>
        <w:wordWrap/>
        <w:overflowPunct/>
        <w:topLinePunct w:val="0"/>
        <w:autoSpaceDE/>
        <w:autoSpaceDN/>
        <w:bidi w:val="0"/>
        <w:adjustRightInd/>
        <w:snapToGrid/>
        <w:spacing w:before="157" w:beforeLines="50" w:after="157" w:afterLines="50" w:line="560" w:lineRule="exact"/>
        <w:textAlignment w:val="auto"/>
        <w:rPr>
          <w:rFonts w:eastAsia="仿宋"/>
          <w:sz w:val="44"/>
          <w:szCs w:val="44"/>
        </w:rPr>
      </w:pPr>
      <w:bookmarkStart w:id="1223" w:name="_Toc74041271"/>
      <w:bookmarkStart w:id="1224" w:name="_Toc16088"/>
      <w:r>
        <w:rPr>
          <w:rFonts w:eastAsia="仿宋"/>
          <w:sz w:val="44"/>
          <w:szCs w:val="44"/>
        </w:rPr>
        <w:t>规划</w:t>
      </w:r>
      <w:bookmarkEnd w:id="1198"/>
      <w:bookmarkEnd w:id="1199"/>
      <w:bookmarkEnd w:id="1200"/>
      <w:r>
        <w:rPr>
          <w:rFonts w:eastAsia="仿宋"/>
          <w:sz w:val="44"/>
          <w:szCs w:val="44"/>
        </w:rPr>
        <w:t>成效分析</w:t>
      </w:r>
      <w:bookmarkEnd w:id="1223"/>
      <w:bookmarkEnd w:id="1224"/>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lang w:val="en-US" w:eastAsia="zh-CN"/>
        </w:rPr>
      </w:pPr>
      <w:bookmarkStart w:id="1225" w:name="_Toc5062"/>
      <w:bookmarkStart w:id="1226" w:name="_Toc74041272"/>
      <w:bookmarkStart w:id="1227" w:name="_Toc10244"/>
      <w:bookmarkStart w:id="1228" w:name="_Toc394000310"/>
      <w:bookmarkStart w:id="1229" w:name="_Toc451937355"/>
      <w:bookmarkStart w:id="1230" w:name="_Toc285645689"/>
      <w:r>
        <w:rPr>
          <w:rFonts w:hint="eastAsia" w:ascii="黑体" w:hAnsi="黑体" w:eastAsia="黑体" w:cs="黑体"/>
          <w:b w:val="0"/>
          <w:bCs w:val="0"/>
          <w:sz w:val="32"/>
          <w:szCs w:val="32"/>
          <w:lang w:val="en-US" w:eastAsia="zh-CN"/>
        </w:rPr>
        <w:t>技术成效分析</w:t>
      </w:r>
      <w:bookmarkEnd w:id="1225"/>
      <w:bookmarkEnd w:id="1226"/>
      <w:bookmarkEnd w:id="1227"/>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规划方案实施后，西咸新区电网整体规划指标较现状有了显著提高，均达到或超过《配电网规划设计技术导则》的要求，详见下表。</w:t>
      </w:r>
    </w:p>
    <w:p>
      <w:pPr>
        <w:pStyle w:val="150"/>
        <w:keepNext w:val="0"/>
        <w:keepLines w:val="0"/>
        <w:pageBreakBefore w:val="0"/>
        <w:widowControl w:val="0"/>
        <w:kinsoku/>
        <w:wordWrap/>
        <w:overflowPunct/>
        <w:topLinePunct w:val="0"/>
        <w:autoSpaceDE/>
        <w:autoSpaceDN/>
        <w:bidi w:val="0"/>
        <w:adjustRightInd w:val="0"/>
        <w:snapToGrid w:val="0"/>
        <w:spacing w:line="560" w:lineRule="exact"/>
        <w:ind w:firstLine="0" w:firstLineChars="0"/>
        <w:jc w:val="center"/>
        <w:textAlignment w:val="auto"/>
        <w:rPr>
          <w:rFonts w:hint="eastAsia" w:ascii="黑体" w:hAnsi="黑体" w:eastAsia="黑体" w:cs="黑体"/>
          <w:b w:val="0"/>
          <w:bCs w:val="0"/>
          <w:kern w:val="0"/>
          <w:sz w:val="28"/>
          <w:szCs w:val="28"/>
          <w:lang w:val="en-US" w:eastAsia="zh-CN" w:bidi="ar-SA"/>
        </w:rPr>
      </w:pPr>
      <w:r>
        <w:rPr>
          <w:rFonts w:hint="eastAsia" w:ascii="黑体" w:hAnsi="黑体" w:eastAsia="黑体" w:cs="黑体"/>
          <w:b w:val="0"/>
          <w:bCs w:val="0"/>
          <w:kern w:val="0"/>
          <w:sz w:val="28"/>
          <w:szCs w:val="28"/>
          <w:lang w:val="en-US" w:eastAsia="zh-CN" w:bidi="ar-SA"/>
        </w:rPr>
        <w:t>表12-1     110千伏及以下电网整体规划评价</w:t>
      </w:r>
    </w:p>
    <w:tbl>
      <w:tblPr>
        <w:tblStyle w:val="88"/>
        <w:tblW w:w="9056"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0" w:type="dxa"/>
          <w:bottom w:w="0" w:type="dxa"/>
          <w:right w:w="0" w:type="dxa"/>
        </w:tblCellMar>
      </w:tblPr>
      <w:tblGrid>
        <w:gridCol w:w="3263"/>
        <w:gridCol w:w="2083"/>
        <w:gridCol w:w="1855"/>
        <w:gridCol w:w="1855"/>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3" w:hRule="atLeast"/>
          <w:tblHeader/>
          <w:jc w:val="center"/>
        </w:trPr>
        <w:tc>
          <w:tcPr>
            <w:tcW w:w="5346" w:type="dxa"/>
            <w:gridSpan w:val="2"/>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项目名称</w:t>
            </w:r>
          </w:p>
        </w:tc>
        <w:tc>
          <w:tcPr>
            <w:tcW w:w="1855"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2020</w:t>
            </w:r>
          </w:p>
        </w:tc>
        <w:tc>
          <w:tcPr>
            <w:tcW w:w="1855"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2025</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3" w:hRule="atLeast"/>
          <w:jc w:val="center"/>
        </w:trPr>
        <w:tc>
          <w:tcPr>
            <w:tcW w:w="5346" w:type="dxa"/>
            <w:gridSpan w:val="2"/>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供电可靠率（%）</w:t>
            </w:r>
          </w:p>
        </w:tc>
        <w:tc>
          <w:tcPr>
            <w:tcW w:w="1855"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99.846</w:t>
            </w:r>
          </w:p>
        </w:tc>
        <w:tc>
          <w:tcPr>
            <w:tcW w:w="1855"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99.965</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3" w:hRule="atLeast"/>
          <w:jc w:val="center"/>
        </w:trPr>
        <w:tc>
          <w:tcPr>
            <w:tcW w:w="5346" w:type="dxa"/>
            <w:gridSpan w:val="2"/>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330千伏容载比</w:t>
            </w:r>
          </w:p>
        </w:tc>
        <w:tc>
          <w:tcPr>
            <w:tcW w:w="1855"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1.8</w:t>
            </w:r>
          </w:p>
        </w:tc>
        <w:tc>
          <w:tcPr>
            <w:tcW w:w="1855"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2.31</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3" w:hRule="atLeast"/>
          <w:jc w:val="center"/>
        </w:trPr>
        <w:tc>
          <w:tcPr>
            <w:tcW w:w="5346" w:type="dxa"/>
            <w:gridSpan w:val="2"/>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110千伏容载比</w:t>
            </w:r>
          </w:p>
        </w:tc>
        <w:tc>
          <w:tcPr>
            <w:tcW w:w="1855"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2.57</w:t>
            </w:r>
          </w:p>
        </w:tc>
        <w:tc>
          <w:tcPr>
            <w:tcW w:w="1855"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2.45</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196" w:hRule="atLeast"/>
          <w:jc w:val="center"/>
        </w:trPr>
        <w:tc>
          <w:tcPr>
            <w:tcW w:w="3263" w:type="dxa"/>
            <w:vMerge w:val="restart"/>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110千伏电网结构占比（%）</w:t>
            </w:r>
          </w:p>
        </w:tc>
        <w:tc>
          <w:tcPr>
            <w:tcW w:w="2083"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链式结构</w:t>
            </w:r>
          </w:p>
        </w:tc>
        <w:tc>
          <w:tcPr>
            <w:tcW w:w="1855"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50.85</w:t>
            </w:r>
          </w:p>
        </w:tc>
        <w:tc>
          <w:tcPr>
            <w:tcW w:w="1855"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84.07</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3" w:hRule="atLeast"/>
          <w:jc w:val="center"/>
        </w:trPr>
        <w:tc>
          <w:tcPr>
            <w:tcW w:w="3263" w:type="dxa"/>
            <w:vMerge w:val="continue"/>
            <w:shd w:val="clear" w:color="auto" w:fill="FFFFFF"/>
            <w:vAlign w:val="center"/>
          </w:tcPr>
          <w:p>
            <w:pPr>
              <w:pStyle w:val="152"/>
              <w:rPr>
                <w:rFonts w:hint="eastAsia" w:ascii="方正仿宋_GB2312" w:hAnsi="方正仿宋_GB2312" w:eastAsia="方正仿宋_GB2312" w:cs="方正仿宋_GB2312"/>
                <w:sz w:val="21"/>
                <w:szCs w:val="21"/>
              </w:rPr>
            </w:pPr>
          </w:p>
        </w:tc>
        <w:tc>
          <w:tcPr>
            <w:tcW w:w="2083"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双辐射</w:t>
            </w:r>
          </w:p>
        </w:tc>
        <w:tc>
          <w:tcPr>
            <w:tcW w:w="1855"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33.9</w:t>
            </w:r>
          </w:p>
        </w:tc>
        <w:tc>
          <w:tcPr>
            <w:tcW w:w="1855"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10.62</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3" w:hRule="atLeast"/>
          <w:jc w:val="center"/>
        </w:trPr>
        <w:tc>
          <w:tcPr>
            <w:tcW w:w="3263" w:type="dxa"/>
            <w:vMerge w:val="continue"/>
            <w:shd w:val="clear" w:color="auto" w:fill="FFFFFF"/>
            <w:vAlign w:val="center"/>
          </w:tcPr>
          <w:p>
            <w:pPr>
              <w:pStyle w:val="152"/>
              <w:rPr>
                <w:rFonts w:hint="eastAsia" w:ascii="方正仿宋_GB2312" w:hAnsi="方正仿宋_GB2312" w:eastAsia="方正仿宋_GB2312" w:cs="方正仿宋_GB2312"/>
                <w:sz w:val="21"/>
                <w:szCs w:val="21"/>
              </w:rPr>
            </w:pPr>
          </w:p>
        </w:tc>
        <w:tc>
          <w:tcPr>
            <w:tcW w:w="2083"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其他</w:t>
            </w:r>
          </w:p>
        </w:tc>
        <w:tc>
          <w:tcPr>
            <w:tcW w:w="1855"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15.25</w:t>
            </w:r>
          </w:p>
        </w:tc>
        <w:tc>
          <w:tcPr>
            <w:tcW w:w="1855"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5.31</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283" w:hRule="atLeast"/>
          <w:jc w:val="center"/>
        </w:trPr>
        <w:tc>
          <w:tcPr>
            <w:tcW w:w="5346" w:type="dxa"/>
            <w:gridSpan w:val="2"/>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110千伏主变“N-1”通过率（%）</w:t>
            </w:r>
          </w:p>
        </w:tc>
        <w:tc>
          <w:tcPr>
            <w:tcW w:w="1855"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70.21</w:t>
            </w:r>
          </w:p>
        </w:tc>
        <w:tc>
          <w:tcPr>
            <w:tcW w:w="1855"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100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3" w:hRule="atLeast"/>
          <w:jc w:val="center"/>
        </w:trPr>
        <w:tc>
          <w:tcPr>
            <w:tcW w:w="5346" w:type="dxa"/>
            <w:gridSpan w:val="2"/>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110千伏线路“N-1”通过率（%）</w:t>
            </w:r>
          </w:p>
        </w:tc>
        <w:tc>
          <w:tcPr>
            <w:tcW w:w="1855"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94.92</w:t>
            </w:r>
          </w:p>
        </w:tc>
        <w:tc>
          <w:tcPr>
            <w:tcW w:w="1855"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99.12</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3" w:hRule="atLeast"/>
          <w:jc w:val="center"/>
        </w:trPr>
        <w:tc>
          <w:tcPr>
            <w:tcW w:w="5346" w:type="dxa"/>
            <w:gridSpan w:val="2"/>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电缆化率（%）</w:t>
            </w:r>
          </w:p>
        </w:tc>
        <w:tc>
          <w:tcPr>
            <w:tcW w:w="1855" w:type="dxa"/>
            <w:shd w:val="clear" w:color="auto" w:fill="auto"/>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32.59</w:t>
            </w:r>
          </w:p>
        </w:tc>
        <w:tc>
          <w:tcPr>
            <w:tcW w:w="1855"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90.56</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3" w:hRule="atLeast"/>
          <w:jc w:val="center"/>
        </w:trPr>
        <w:tc>
          <w:tcPr>
            <w:tcW w:w="5346" w:type="dxa"/>
            <w:gridSpan w:val="2"/>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绝缘化率（%）</w:t>
            </w:r>
          </w:p>
        </w:tc>
        <w:tc>
          <w:tcPr>
            <w:tcW w:w="1855" w:type="dxa"/>
            <w:shd w:val="clear" w:color="auto" w:fill="auto"/>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91.5</w:t>
            </w:r>
          </w:p>
        </w:tc>
        <w:tc>
          <w:tcPr>
            <w:tcW w:w="1855"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100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3" w:hRule="atLeast"/>
          <w:jc w:val="center"/>
        </w:trPr>
        <w:tc>
          <w:tcPr>
            <w:tcW w:w="5346" w:type="dxa"/>
            <w:gridSpan w:val="2"/>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10千伏联络率（%）</w:t>
            </w:r>
          </w:p>
        </w:tc>
        <w:tc>
          <w:tcPr>
            <w:tcW w:w="1855" w:type="dxa"/>
            <w:shd w:val="clear" w:color="auto" w:fill="auto"/>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50.7</w:t>
            </w:r>
          </w:p>
        </w:tc>
        <w:tc>
          <w:tcPr>
            <w:tcW w:w="1855"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93.6</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83" w:hRule="atLeast"/>
          <w:jc w:val="center"/>
        </w:trPr>
        <w:tc>
          <w:tcPr>
            <w:tcW w:w="5346" w:type="dxa"/>
            <w:gridSpan w:val="2"/>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10千伏线路N-1通过率（%）</w:t>
            </w:r>
          </w:p>
        </w:tc>
        <w:tc>
          <w:tcPr>
            <w:tcW w:w="1855" w:type="dxa"/>
            <w:shd w:val="clear" w:color="auto" w:fill="auto"/>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40</w:t>
            </w:r>
          </w:p>
        </w:tc>
        <w:tc>
          <w:tcPr>
            <w:tcW w:w="1855"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88.5</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283" w:hRule="atLeast"/>
          <w:jc w:val="center"/>
        </w:trPr>
        <w:tc>
          <w:tcPr>
            <w:tcW w:w="5346" w:type="dxa"/>
            <w:gridSpan w:val="2"/>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供电半径（公里）</w:t>
            </w:r>
          </w:p>
        </w:tc>
        <w:tc>
          <w:tcPr>
            <w:tcW w:w="1855"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4.5</w:t>
            </w:r>
          </w:p>
        </w:tc>
        <w:tc>
          <w:tcPr>
            <w:tcW w:w="1855"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2.82</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283" w:hRule="atLeast"/>
          <w:jc w:val="center"/>
        </w:trPr>
        <w:tc>
          <w:tcPr>
            <w:tcW w:w="5346" w:type="dxa"/>
            <w:gridSpan w:val="2"/>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配电自动化覆盖率（%）</w:t>
            </w:r>
          </w:p>
        </w:tc>
        <w:tc>
          <w:tcPr>
            <w:tcW w:w="1855"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52.09</w:t>
            </w:r>
          </w:p>
        </w:tc>
        <w:tc>
          <w:tcPr>
            <w:tcW w:w="1855" w:type="dxa"/>
            <w:shd w:val="clear" w:color="auto" w:fill="FFFFFF"/>
            <w:vAlign w:val="center"/>
          </w:tcPr>
          <w:p>
            <w:pPr>
              <w:pStyle w:val="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100</w:t>
            </w:r>
          </w:p>
        </w:tc>
      </w:tr>
    </w:tbl>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通过对西咸电网进行合理规划，变电站布点分布更趋于合理，网架结构更加坚强，供电可靠性大大提高，调度更加灵活，电网的安全、稳定和经济运行得以进一步完善和提高，初步建成清洁高效、智能可靠、网架规范、坚强灵活的西咸新区新型城市电网，基本实现规划目标。</w:t>
      </w:r>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hint="eastAsia" w:ascii="仿宋_GB2312" w:hAnsi="仿宋_GB2312" w:eastAsia="仿宋_GB2312" w:cs="仿宋_GB2312"/>
          <w:sz w:val="32"/>
          <w:szCs w:val="32"/>
        </w:rPr>
      </w:pPr>
      <w:bookmarkStart w:id="1231" w:name="_Toc36799606"/>
      <w:bookmarkEnd w:id="1231"/>
      <w:bookmarkStart w:id="1232" w:name="_Toc36799604"/>
      <w:bookmarkEnd w:id="1232"/>
      <w:bookmarkStart w:id="1233" w:name="_Toc36799605"/>
      <w:bookmarkEnd w:id="1233"/>
      <w:bookmarkStart w:id="1234" w:name="_Toc74041273"/>
      <w:bookmarkStart w:id="1235" w:name="_Toc37416260"/>
      <w:bookmarkStart w:id="1236" w:name="_Toc36799607"/>
      <w:bookmarkStart w:id="1237" w:name="_Toc37168122"/>
      <w:bookmarkStart w:id="1238" w:name="_Toc59974004"/>
      <w:bookmarkStart w:id="1239" w:name="_Toc11385"/>
      <w:r>
        <w:rPr>
          <w:rFonts w:hint="eastAsia" w:ascii="仿宋_GB2312" w:hAnsi="仿宋_GB2312" w:eastAsia="仿宋_GB2312" w:cs="仿宋_GB2312"/>
          <w:sz w:val="32"/>
          <w:szCs w:val="32"/>
        </w:rPr>
        <w:t>安全可靠供电方面</w:t>
      </w:r>
      <w:bookmarkEnd w:id="1234"/>
      <w:bookmarkEnd w:id="1235"/>
      <w:bookmarkEnd w:id="1236"/>
      <w:bookmarkEnd w:id="1237"/>
      <w:bookmarkEnd w:id="1238"/>
      <w:bookmarkEnd w:id="1239"/>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1.110千伏电网</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一是110千伏变电站供电范围划分更加合理，各站负载率趋于均衡。按分站负荷预测结果至2025年西咸电网110千伏变电站负载率分布处于45%-65%之间，均不存在重载与轻载站。至饱和年，通过变电站布点优化调整，10千伏电网网格化规划，负荷饱和年330千伏变电站负载路保持在55%-65%附近，110千伏变电站负载率保持在50%-60%附近，变电站负荷分布更均衡，布点更加合理，在设备全面满足N-1运行的前提下，设备利用率更高，全面支撑西咸新区经济社会发展；二是电网更加安全可靠，提升了优质供电服务水平。实现2025年供电可靠率达到99.965%，综合电压合格率达到99.98%；至规划远景2035年，供电可靠率达到99.999%，综合电压合格率达到99.99%，电网建设达到世界领先水平，保障了西咸新区可靠、优质的电能质量，提升了供电服务水平；三是电网网架得到充分优化和完善，联络通道条数大幅度增加，负荷转供能力逐年提升。2020年链式结构线路占比50.85%，2025年增加到84.1%，且每条双链结构链入变电站2-3台，根据本轮规划建设标准，完全双链结构中的110千伏变电站均能实现负荷转供至对侧330千伏变电站，网架结构大范围优化，电网发展逐步向目标网架迈进。至2035年双链式结构线路占比将达95.07%,全面实现目标网架。</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2.10千伏电网</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bookmarkStart w:id="1240" w:name="OLE_LINK4"/>
      <w:r>
        <w:rPr>
          <w:rFonts w:hint="eastAsia" w:ascii="仿宋_GB2312" w:hAnsi="仿宋_GB2312" w:eastAsia="仿宋_GB2312" w:cs="仿宋_GB2312"/>
          <w:sz w:val="32"/>
          <w:szCs w:val="32"/>
          <w:lang w:val="en-US" w:eastAsia="zh-CN"/>
        </w:rPr>
        <w:t>“十四五”规划结束时</w:t>
      </w:r>
      <w:bookmarkEnd w:id="1240"/>
      <w:r>
        <w:rPr>
          <w:rFonts w:hint="eastAsia" w:ascii="仿宋_GB2312" w:hAnsi="仿宋_GB2312" w:eastAsia="仿宋_GB2312" w:cs="仿宋_GB2312"/>
          <w:sz w:val="32"/>
          <w:szCs w:val="32"/>
          <w:lang w:val="en-US" w:eastAsia="zh-CN"/>
        </w:rPr>
        <w:t>，配网供电能力得到大幅提升，配网网架得到明显改善，线路的拉手率以及N-1满足率大幅度增加，设备装备水平得到提升，高耗能配变得到全面更换，高损配变被消灭。10千伏线路配网自动化覆盖率100%，配网故障查处能力得到快速提高。</w:t>
      </w:r>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hint="eastAsia" w:ascii="仿宋_GB2312" w:hAnsi="仿宋_GB2312" w:eastAsia="仿宋_GB2312" w:cs="仿宋_GB2312"/>
          <w:sz w:val="32"/>
          <w:szCs w:val="32"/>
        </w:rPr>
      </w:pPr>
      <w:bookmarkStart w:id="1241" w:name="_Toc36799608"/>
      <w:bookmarkStart w:id="1242" w:name="_Toc74041274"/>
      <w:bookmarkStart w:id="1243" w:name="_Toc59974005"/>
      <w:bookmarkStart w:id="1244" w:name="_Toc4576"/>
      <w:bookmarkStart w:id="1245" w:name="_Toc37416261"/>
      <w:bookmarkStart w:id="1246" w:name="_Toc37168123"/>
      <w:r>
        <w:rPr>
          <w:rFonts w:hint="eastAsia" w:ascii="仿宋_GB2312" w:hAnsi="仿宋_GB2312" w:eastAsia="仿宋_GB2312" w:cs="仿宋_GB2312"/>
          <w:sz w:val="32"/>
          <w:szCs w:val="32"/>
        </w:rPr>
        <w:t>解决薄弱问题方面</w:t>
      </w:r>
      <w:bookmarkEnd w:id="1241"/>
      <w:bookmarkEnd w:id="1242"/>
      <w:bookmarkEnd w:id="1243"/>
      <w:bookmarkEnd w:id="1244"/>
      <w:bookmarkEnd w:id="1245"/>
      <w:bookmarkEnd w:id="1246"/>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1.110-35千伏电网问题解决情况</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“十四五”期间，现状110-35千伏电网存在的15项电网事故风险通过多项新建和改造工程完全解决。</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网架结构大幅度优化，消除电网结构隐患。通过规划的330千伏变电站110千伏送出工程全面优化电网结构。消除当前因电网结构薄弱，导致的2项五级电网事故风险及1项6级电网事故风险，110千伏公网变之间的110千伏线路N-1通过率100%。通过330千伏沣渭110千伏送出工程优化110千伏电网结构，解决了由于结构不合理导致的沣统阿断面存在的5级事故风险；通过330千伏西郊变110千伏送出工程优化110千伏电网结构，解决了沣桥断面存在的5级事故风险；通过330千伏秦汉变110千伏送出工程，解决了沣肖线T接变电站过多，运行方式不灵活导致存在的6级电网事故风险，通过线路改接，消除了所有T接线路。</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变电站布点位置及建设时序更加合理，消除重载变电站及不满足N-1运行主变。通过110千伏变电站布点优化，在负荷集中区布置110千伏变电站，通过加强与负载重或不满足N-1运行主变的10千伏联络，满足经济社会发展需要的同时，解决目前14台主变由于负载过重或缺少10千伏负荷转供通道导致的不满足N-1运行的问题。大幅度提高了电网供电能力和供电可靠性。</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三是优化了电压序列，35千伏电网逐步退出运行。针对35千伏马王变重载、供电可靠性低的问题，通过规划的110千伏斗门变来解决，并将35千伏马王变适时退出运行或改造为10千伏开关站。</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2.10千伏电网问题解决情况</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 xml:space="preserve"> “十四五”期间，对运行年限长的断路器以及配变进行更换；对存在开关操作机构锈蚀、分合指示不清晰、配变漏油、丝具老旧、刀闸锈蚀拉合困难等问题进行全面解决；对设备安全隐患进行全面治理；对架空线路“三跨”隐患进行整治；改造高损配变，更换高耗能配变，消灭高损配变；开展卡脖子线路改造，对运行超过30年老旧线路进行改造。“十四五”规划结束时，10千伏设备健康水平将得到明显提升。</w:t>
      </w:r>
    </w:p>
    <w:p>
      <w:pPr>
        <w:pStyle w:val="6"/>
        <w:keepNext/>
        <w:keepLines/>
        <w:pageBreakBefore w:val="0"/>
        <w:widowControl w:val="0"/>
        <w:kinsoku/>
        <w:wordWrap/>
        <w:overflowPunct/>
        <w:topLinePunct w:val="0"/>
        <w:autoSpaceDE/>
        <w:autoSpaceDN/>
        <w:bidi w:val="0"/>
        <w:adjustRightInd/>
        <w:snapToGrid/>
        <w:spacing w:before="120" w:after="120" w:line="560" w:lineRule="exact"/>
        <w:ind w:left="0"/>
        <w:textAlignment w:val="auto"/>
        <w:rPr>
          <w:rFonts w:eastAsia="仿宋"/>
          <w:sz w:val="32"/>
          <w:szCs w:val="32"/>
        </w:rPr>
      </w:pPr>
      <w:bookmarkStart w:id="1247" w:name="_Toc74041275"/>
      <w:bookmarkStart w:id="1248" w:name="_Toc36799610"/>
      <w:bookmarkStart w:id="1249" w:name="_Toc37416262"/>
      <w:bookmarkStart w:id="1250" w:name="_Toc37168124"/>
      <w:bookmarkStart w:id="1251" w:name="_Toc7236"/>
      <w:bookmarkStart w:id="1252" w:name="_Toc59974006"/>
      <w:r>
        <w:rPr>
          <w:rFonts w:eastAsia="仿宋"/>
          <w:sz w:val="32"/>
          <w:szCs w:val="32"/>
        </w:rPr>
        <w:t>提高智能化水平方面</w:t>
      </w:r>
      <w:bookmarkEnd w:id="1247"/>
      <w:bookmarkEnd w:id="1248"/>
      <w:bookmarkEnd w:id="1249"/>
      <w:bookmarkEnd w:id="1250"/>
      <w:bookmarkEnd w:id="1251"/>
      <w:bookmarkEnd w:id="1252"/>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通过配电自动化规划项目实施后，有效提升配电安全经济运行水平和服务水平，配电自动化工程建成后，故障查找判断时间大大下降，故障隔离时间有效减少，预计故障停电时间可以下降30%以上，不仅提高了供电服务水平，而且多供电量。利用配电自动化的实时数据，调控运维人员可以及时掌握配网负荷，对过负荷现象可以通过负荷均衡等手段提前化解。可以避免过早的进行分网，提高设备利用率，延长设施使用年限。自动化系统的各种功能，可以提升企业经济效益。建设基于集“调、控一体化”的配电自动化系统，提高电网集约化、精益化管理水平，提升企业综合效益，为提高配网管理提供了有效的技术支持手段。系统建成后，电网的调度和监控管理将得到很大提升。至2025年新区配电自动化覆盖率100%。</w:t>
      </w:r>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lang w:val="en-US" w:eastAsia="zh-CN"/>
        </w:rPr>
      </w:pPr>
      <w:bookmarkStart w:id="1253" w:name="_Toc253565051"/>
      <w:bookmarkEnd w:id="1253"/>
      <w:bookmarkStart w:id="1254" w:name="_Toc37168126"/>
      <w:bookmarkEnd w:id="1254"/>
      <w:bookmarkStart w:id="1255" w:name="_Toc306956329"/>
      <w:bookmarkStart w:id="1256" w:name="_Toc307054144"/>
      <w:bookmarkStart w:id="1257" w:name="_Toc253745615"/>
      <w:bookmarkStart w:id="1258" w:name="_Toc20482"/>
      <w:bookmarkStart w:id="1259" w:name="_Toc306766368"/>
      <w:bookmarkStart w:id="1260" w:name="_Toc306780389"/>
      <w:bookmarkStart w:id="1261" w:name="_Toc8201"/>
      <w:bookmarkStart w:id="1262" w:name="_Toc253595441"/>
      <w:bookmarkStart w:id="1263" w:name="_Toc252891852"/>
      <w:bookmarkStart w:id="1264" w:name="_Toc253585710"/>
      <w:bookmarkStart w:id="1265" w:name="_Toc74041276"/>
      <w:r>
        <w:rPr>
          <w:rFonts w:hint="eastAsia" w:ascii="黑体" w:hAnsi="黑体" w:eastAsia="黑体" w:cs="黑体"/>
          <w:b w:val="0"/>
          <w:bCs w:val="0"/>
          <w:sz w:val="32"/>
          <w:szCs w:val="32"/>
          <w:lang w:val="en-US" w:eastAsia="zh-CN"/>
        </w:rPr>
        <w:t>社会效益分析</w:t>
      </w:r>
      <w:bookmarkEnd w:id="1255"/>
      <w:bookmarkEnd w:id="1256"/>
      <w:bookmarkEnd w:id="1257"/>
      <w:bookmarkEnd w:id="1258"/>
      <w:bookmarkEnd w:id="1259"/>
      <w:bookmarkEnd w:id="1260"/>
      <w:bookmarkEnd w:id="1261"/>
      <w:bookmarkEnd w:id="1262"/>
      <w:bookmarkEnd w:id="1263"/>
      <w:bookmarkEnd w:id="1264"/>
      <w:bookmarkEnd w:id="1265"/>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1.完善电力网络</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通过规划、建设和改造，整个电网无论是网络结构上还是供电质量和效率方面都会有相当大的完善与提高。</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（1）在网架结构方面，根据规划，西咸电网将逐步形成结构清晰合理的骨干网架，适应性加强。规划方案实施后，电网络的运行完全符合安全、稳定、经济的要求，调度方式灵活。</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（2）在供电可靠性方面，通过对电网架结构的规划过程，基于N-1的原则，线路的互供能力增强；使变电站分布更符合负荷分布的需要，减少事故次数，供电可靠性得到提高，使用户的用电连续性得到保证。</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（3）在网络电能损耗方面，合理的分布电源点，有效减小供电半径，均匀分配负荷，都将对降着网络结构日益完善，供电线路长度大为缩短，线路截面分布情况合理低电网电能损耗起到积极作用。</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（4）在电能质量方面，将使电网电压质量得到明显提高。</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2.提高供电企业效益</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降低网损、增强供电能力、提高供电可靠性及供电质量都与提高经济效益密切相关。此次规划通过对电网的建设与改造，在优化网架结构，提高供电可靠性的同时，也将有效提高企业的经济效益。网损的降低、停电时间的减少、供电可靠性及供电质量的不断提高，不仅为用户提供了优质的电能，更为企业降低了运营成本，从而提高企业经济效益。</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在管理方面，完善了硬件设备，提高了供电质量和供电效率，反过来必然会推动供电企业主动的提高自身管理水平和人员素质，以适应扩大企业规模，进一步发展的要求。</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3.增大整体社会效益</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供电企业在实现企业经济效益增长的同时，也承担着向社会供电的责任和义务，因此，不断完善自身的服务观念和服务水平，是必然要求。同时，供电企业的不断发展与服务质量的提高，也将对社会的发展和人民生活水平的提高起到促进作用。</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（1）加大对电网络的建设力度，符合国家加大基础设施建设、扩大内需、拉动经济增长的宏观战略，它将带动社会中的经济增长，如：有效的推动电器制造业、建筑业的发展，提高社会就业率等等。</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（2）在网架结构方面，方案实施后，电网的运行完全满足安全、稳定、经济的要求，调度方式灵活。供电可靠性的提高，保障了社会和经济的稳定发展。</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（3）在电能质量方面，随着网络结构日益完善，无论对保证企业用电的安全性，还是促进居民生活水平的提高，都起到一定的作用。</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（4）电网规划中采用新设备和新技术，将对减少城市电磁污染、提高土地利用率，增加绿化、协调环境作业较大贡献。</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（5）通过电网的规划、建设和改造，节能降耗，有利于节省有限的资源，也有利于保护环境和可持续发展。</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4.节能减排功效</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以下从节能减排、对地区经济拉动等方面具体分析本次规划对当地社会效益的促进作用。</w:t>
      </w:r>
    </w:p>
    <w:p>
      <w:pPr>
        <w:widowControl/>
        <w:spacing w:line="240" w:lineRule="auto"/>
        <w:jc w:val="left"/>
        <w:rPr>
          <w:rFonts w:eastAsia="仿宋"/>
          <w:sz w:val="28"/>
          <w:szCs w:val="32"/>
        </w:rPr>
      </w:pPr>
    </w:p>
    <w:p>
      <w:pPr>
        <w:pStyle w:val="4"/>
        <w:keepNext/>
        <w:keepLines/>
        <w:pageBreakBefore/>
        <w:widowControl w:val="0"/>
        <w:kinsoku/>
        <w:wordWrap/>
        <w:overflowPunct/>
        <w:topLinePunct w:val="0"/>
        <w:autoSpaceDE/>
        <w:autoSpaceDN/>
        <w:bidi w:val="0"/>
        <w:adjustRightInd/>
        <w:snapToGrid/>
        <w:spacing w:before="157" w:beforeLines="50" w:after="157" w:afterLines="50" w:line="560" w:lineRule="exact"/>
        <w:textAlignment w:val="auto"/>
        <w:rPr>
          <w:rFonts w:eastAsia="仿宋"/>
          <w:sz w:val="44"/>
          <w:szCs w:val="44"/>
        </w:rPr>
      </w:pPr>
      <w:bookmarkStart w:id="1266" w:name="_Toc3916"/>
      <w:bookmarkStart w:id="1267" w:name="_Toc74041277"/>
      <w:r>
        <w:rPr>
          <w:rFonts w:eastAsia="仿宋"/>
          <w:sz w:val="44"/>
          <w:szCs w:val="44"/>
        </w:rPr>
        <w:t>环境影响</w:t>
      </w:r>
      <w:bookmarkEnd w:id="1266"/>
      <w:bookmarkEnd w:id="1267"/>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为适应经济发展和社会进步的需要，电网建设呈现急速发展的态势，110千伏、330千伏变电站和线路已逐步深入到负荷中心。高压输变电设施在为城市供电带来现代文明的同时，也产生了一些环境问题。</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高压、超高压输变电工程的环境影响，一般包括对生态环境的影响、水土流失的影响，选线选址与相关规划的符合性和相容性，电磁环境影响，甚至景观影响等等。但是，当高压、超高压输变电工程建成投入运行后，其电磁现象成为主要的环境影响问题。从电磁角度主要有工频电、磁场，无线电干扰，电晕噪声等，从频率上说，这几方面覆盖了从低频50Hz到高频上百兆赫兹的范围，直流输电还存在离子流和合成场。电场、磁场和无线电干扰均可能对人们的生活环境和生活质量，甚至安全与健康产生一定的影响，但是只要采取一定的技术措施，是可以降低影响程度的。</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2015年实施的《建设项目环境保护分类管理名录》规定：500千伏及以上建设项目以及涉及环境敏感区的 330千伏及以上要编制环境影响报告书；其它（不含100千伏以下）要编制环境影响报告表。国家环保局发布的《建设项目环境保护设施竣工验收管理规定》建设项目要进行环保的竣工验收。高压、超高压输变电工程的环境影响及评价纳入了法制化管理。</w:t>
      </w:r>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lang w:val="en-US" w:eastAsia="zh-CN"/>
        </w:rPr>
      </w:pPr>
      <w:bookmarkStart w:id="1268" w:name="_Toc9676"/>
      <w:bookmarkStart w:id="1269" w:name="_Toc67923921"/>
      <w:bookmarkStart w:id="1270" w:name="_Toc74041278"/>
      <w:r>
        <w:rPr>
          <w:rFonts w:hint="eastAsia" w:ascii="黑体" w:hAnsi="黑体" w:eastAsia="黑体" w:cs="黑体"/>
          <w:b w:val="0"/>
          <w:bCs w:val="0"/>
          <w:sz w:val="32"/>
          <w:szCs w:val="32"/>
          <w:lang w:val="en-US" w:eastAsia="zh-CN"/>
        </w:rPr>
        <w:t>环境保护评价依据及标准</w:t>
      </w:r>
      <w:bookmarkEnd w:id="1268"/>
      <w:bookmarkEnd w:id="1269"/>
      <w:bookmarkEnd w:id="1270"/>
      <w:r>
        <w:rPr>
          <w:rFonts w:hint="eastAsia" w:ascii="黑体" w:hAnsi="黑体" w:eastAsia="黑体" w:cs="黑体"/>
          <w:b w:val="0"/>
          <w:bCs w:val="0"/>
          <w:sz w:val="32"/>
          <w:szCs w:val="32"/>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 xml:space="preserve">根据相关的国家环境保护法律法规、相关的省市环境保护法规、采用的技术导则要求， </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 xml:space="preserve">城网规划设计应在噪声、工频电场和磁场、高频电磁波、通讯干扰、环境影响的评价等方面满足相关的要求。 </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1.</w:t>
      </w:r>
      <w:r>
        <w:rPr>
          <w:rFonts w:hint="default" w:ascii="仿宋_GB2312" w:hAnsi="仿宋_GB2312" w:eastAsia="仿宋_GB2312" w:cs="仿宋_GB2312"/>
          <w:sz w:val="32"/>
          <w:szCs w:val="32"/>
          <w:lang w:val="en-US" w:eastAsia="zh-CN"/>
        </w:rPr>
        <w:t xml:space="preserve">噪声标准 </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根据《声环境质量标准》（GB3096-2008），各类变、配电室运行时厂界噪声不应高于如下环境噪声标准值，见下表：</w:t>
      </w:r>
    </w:p>
    <w:p>
      <w:pPr>
        <w:keepNext w:val="0"/>
        <w:keepLines w:val="0"/>
        <w:pageBreakBefore w:val="0"/>
        <w:widowControl w:val="0"/>
        <w:kinsoku/>
        <w:wordWrap/>
        <w:overflowPunct/>
        <w:topLinePunct w:val="0"/>
        <w:autoSpaceDE/>
        <w:autoSpaceDN/>
        <w:bidi w:val="0"/>
        <w:adjustRightInd w:val="0"/>
        <w:snapToGrid w:val="0"/>
        <w:spacing w:line="560" w:lineRule="exact"/>
        <w:ind w:firstLine="560" w:firstLineChars="200"/>
        <w:jc w:val="center"/>
        <w:textAlignment w:val="auto"/>
        <w:rPr>
          <w:rFonts w:hint="eastAsia" w:ascii="黑体" w:hAnsi="黑体" w:eastAsia="黑体" w:cs="黑体"/>
          <w:b w:val="0"/>
          <w:bCs w:val="0"/>
          <w:kern w:val="0"/>
          <w:sz w:val="28"/>
          <w:szCs w:val="28"/>
          <w:lang w:val="en-US" w:eastAsia="zh-CN" w:bidi="ar-SA"/>
        </w:rPr>
      </w:pPr>
      <w:r>
        <w:rPr>
          <w:rFonts w:hint="eastAsia" w:ascii="黑体" w:hAnsi="黑体" w:eastAsia="黑体" w:cs="黑体"/>
          <w:b w:val="0"/>
          <w:bCs w:val="0"/>
          <w:kern w:val="0"/>
          <w:sz w:val="28"/>
          <w:szCs w:val="28"/>
          <w:lang w:val="en-US" w:eastAsia="zh-CN" w:bidi="ar-SA"/>
        </w:rPr>
        <w:t>表13-1   环境噪声限值   单位：dB（安）</w:t>
      </w:r>
    </w:p>
    <w:tbl>
      <w:tblPr>
        <w:tblStyle w:val="88"/>
        <w:tblW w:w="8259" w:type="dxa"/>
        <w:jc w:val="center"/>
        <w:tblLayout w:type="fixed"/>
        <w:tblCellMar>
          <w:top w:w="0" w:type="dxa"/>
          <w:left w:w="108" w:type="dxa"/>
          <w:bottom w:w="0" w:type="dxa"/>
          <w:right w:w="108" w:type="dxa"/>
        </w:tblCellMar>
      </w:tblPr>
      <w:tblGrid>
        <w:gridCol w:w="851"/>
        <w:gridCol w:w="2100"/>
        <w:gridCol w:w="2615"/>
        <w:gridCol w:w="2693"/>
      </w:tblGrid>
      <w:tr>
        <w:tblPrEx>
          <w:tblCellMar>
            <w:top w:w="0" w:type="dxa"/>
            <w:left w:w="108" w:type="dxa"/>
            <w:bottom w:w="0" w:type="dxa"/>
            <w:right w:w="108" w:type="dxa"/>
          </w:tblCellMar>
        </w:tblPrEx>
        <w:trPr>
          <w:trHeight w:val="467" w:hRule="atLeast"/>
          <w:jc w:val="center"/>
        </w:trPr>
        <w:tc>
          <w:tcPr>
            <w:tcW w:w="2951" w:type="dxa"/>
            <w:gridSpan w:val="2"/>
            <w:vMerge w:val="restart"/>
            <w:tcBorders>
              <w:top w:val="single" w:color="000000" w:sz="4" w:space="0"/>
              <w:left w:val="single" w:color="000000" w:sz="4" w:space="0"/>
              <w:bottom w:val="single" w:color="000000" w:sz="4" w:space="0"/>
              <w:right w:val="single" w:color="000000" w:sz="4" w:space="0"/>
              <w:tl2br w:val="single" w:color="000000" w:sz="4" w:space="0"/>
            </w:tcBorders>
            <w:vAlign w:val="center"/>
          </w:tcPr>
          <w:p>
            <w:pPr>
              <w:adjustRightInd w:val="0"/>
              <w:snapToGrid w:val="0"/>
              <w:spacing w:line="240" w:lineRule="auto"/>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 xml:space="preserve">                    时段</w:t>
            </w:r>
            <w:r>
              <w:rPr>
                <w:rFonts w:hint="eastAsia" w:ascii="方正仿宋_GB2312" w:hAnsi="方正仿宋_GB2312" w:eastAsia="方正仿宋_GB2312" w:cs="方正仿宋_GB2312"/>
                <w:sz w:val="21"/>
                <w:szCs w:val="21"/>
              </w:rPr>
              <w:br w:type="textWrapping"/>
            </w:r>
            <w:r>
              <w:rPr>
                <w:rFonts w:hint="eastAsia" w:ascii="方正仿宋_GB2312" w:hAnsi="方正仿宋_GB2312" w:eastAsia="方正仿宋_GB2312" w:cs="方正仿宋_GB2312"/>
                <w:sz w:val="21"/>
                <w:szCs w:val="21"/>
              </w:rPr>
              <w:t xml:space="preserve"> 声环境类别  </w:t>
            </w:r>
          </w:p>
        </w:tc>
        <w:tc>
          <w:tcPr>
            <w:tcW w:w="2615" w:type="dxa"/>
            <w:vMerge w:val="restart"/>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昼夜6:00-22:00</w:t>
            </w:r>
          </w:p>
        </w:tc>
        <w:tc>
          <w:tcPr>
            <w:tcW w:w="2693" w:type="dxa"/>
            <w:vMerge w:val="restart"/>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夜间22:00-6:00</w:t>
            </w:r>
          </w:p>
        </w:tc>
      </w:tr>
      <w:tr>
        <w:tblPrEx>
          <w:tblCellMar>
            <w:top w:w="0" w:type="dxa"/>
            <w:left w:w="108" w:type="dxa"/>
            <w:bottom w:w="0" w:type="dxa"/>
            <w:right w:w="108" w:type="dxa"/>
          </w:tblCellMar>
        </w:tblPrEx>
        <w:trPr>
          <w:trHeight w:val="567" w:hRule="atLeast"/>
          <w:jc w:val="center"/>
        </w:trPr>
        <w:tc>
          <w:tcPr>
            <w:tcW w:w="2951" w:type="dxa"/>
            <w:gridSpan w:val="2"/>
            <w:vMerge w:val="continue"/>
            <w:tcBorders>
              <w:top w:val="single" w:color="000000" w:sz="4" w:space="0"/>
              <w:left w:val="single" w:color="000000" w:sz="4" w:space="0"/>
              <w:bottom w:val="single" w:color="000000" w:sz="4" w:space="0"/>
              <w:right w:val="single" w:color="000000" w:sz="4" w:space="0"/>
              <w:tl2br w:val="single" w:color="000000" w:sz="4" w:space="0"/>
            </w:tcBorders>
            <w:vAlign w:val="center"/>
          </w:tcPr>
          <w:p>
            <w:pPr>
              <w:adjustRightInd w:val="0"/>
              <w:snapToGrid w:val="0"/>
              <w:spacing w:line="240" w:lineRule="auto"/>
              <w:rPr>
                <w:rFonts w:hint="eastAsia" w:ascii="方正仿宋_GB2312" w:hAnsi="方正仿宋_GB2312" w:eastAsia="方正仿宋_GB2312" w:cs="方正仿宋_GB2312"/>
                <w:sz w:val="21"/>
                <w:szCs w:val="21"/>
              </w:rPr>
            </w:pPr>
          </w:p>
        </w:tc>
        <w:tc>
          <w:tcPr>
            <w:tcW w:w="2615" w:type="dxa"/>
            <w:vMerge w:val="continue"/>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rPr>
                <w:rFonts w:hint="eastAsia" w:ascii="方正仿宋_GB2312" w:hAnsi="方正仿宋_GB2312" w:eastAsia="方正仿宋_GB2312" w:cs="方正仿宋_GB2312"/>
                <w:sz w:val="21"/>
                <w:szCs w:val="21"/>
              </w:rPr>
            </w:pPr>
          </w:p>
        </w:tc>
        <w:tc>
          <w:tcPr>
            <w:tcW w:w="2693" w:type="dxa"/>
            <w:vMerge w:val="continue"/>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rPr>
                <w:rFonts w:hint="eastAsia" w:ascii="方正仿宋_GB2312" w:hAnsi="方正仿宋_GB2312" w:eastAsia="方正仿宋_GB2312" w:cs="方正仿宋_GB2312"/>
                <w:sz w:val="21"/>
                <w:szCs w:val="21"/>
              </w:rPr>
            </w:pPr>
          </w:p>
        </w:tc>
      </w:tr>
      <w:tr>
        <w:tblPrEx>
          <w:tblCellMar>
            <w:top w:w="0" w:type="dxa"/>
            <w:left w:w="108" w:type="dxa"/>
            <w:bottom w:w="0" w:type="dxa"/>
            <w:right w:w="108" w:type="dxa"/>
          </w:tblCellMar>
        </w:tblPrEx>
        <w:trPr>
          <w:trHeight w:val="346" w:hRule="atLeast"/>
          <w:jc w:val="center"/>
        </w:trPr>
        <w:tc>
          <w:tcPr>
            <w:tcW w:w="2951"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0类</w:t>
            </w:r>
          </w:p>
        </w:tc>
        <w:tc>
          <w:tcPr>
            <w:tcW w:w="2615"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50</w:t>
            </w:r>
          </w:p>
        </w:tc>
        <w:tc>
          <w:tcPr>
            <w:tcW w:w="269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40</w:t>
            </w:r>
          </w:p>
        </w:tc>
      </w:tr>
      <w:tr>
        <w:tblPrEx>
          <w:tblCellMar>
            <w:top w:w="0" w:type="dxa"/>
            <w:left w:w="108" w:type="dxa"/>
            <w:bottom w:w="0" w:type="dxa"/>
            <w:right w:w="108" w:type="dxa"/>
          </w:tblCellMar>
        </w:tblPrEx>
        <w:trPr>
          <w:trHeight w:val="346" w:hRule="atLeast"/>
          <w:jc w:val="center"/>
        </w:trPr>
        <w:tc>
          <w:tcPr>
            <w:tcW w:w="2951"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1类</w:t>
            </w:r>
          </w:p>
        </w:tc>
        <w:tc>
          <w:tcPr>
            <w:tcW w:w="2615"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55</w:t>
            </w:r>
          </w:p>
        </w:tc>
        <w:tc>
          <w:tcPr>
            <w:tcW w:w="269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45</w:t>
            </w:r>
          </w:p>
        </w:tc>
      </w:tr>
      <w:tr>
        <w:tblPrEx>
          <w:tblCellMar>
            <w:top w:w="0" w:type="dxa"/>
            <w:left w:w="108" w:type="dxa"/>
            <w:bottom w:w="0" w:type="dxa"/>
            <w:right w:w="108" w:type="dxa"/>
          </w:tblCellMar>
        </w:tblPrEx>
        <w:trPr>
          <w:trHeight w:val="346" w:hRule="atLeast"/>
          <w:jc w:val="center"/>
        </w:trPr>
        <w:tc>
          <w:tcPr>
            <w:tcW w:w="2951"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2类</w:t>
            </w:r>
          </w:p>
        </w:tc>
        <w:tc>
          <w:tcPr>
            <w:tcW w:w="2615"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60</w:t>
            </w:r>
          </w:p>
        </w:tc>
        <w:tc>
          <w:tcPr>
            <w:tcW w:w="269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50</w:t>
            </w:r>
          </w:p>
        </w:tc>
      </w:tr>
      <w:tr>
        <w:tblPrEx>
          <w:tblCellMar>
            <w:top w:w="0" w:type="dxa"/>
            <w:left w:w="108" w:type="dxa"/>
            <w:bottom w:w="0" w:type="dxa"/>
            <w:right w:w="108" w:type="dxa"/>
          </w:tblCellMar>
        </w:tblPrEx>
        <w:trPr>
          <w:trHeight w:val="70" w:hRule="atLeast"/>
          <w:jc w:val="center"/>
        </w:trPr>
        <w:tc>
          <w:tcPr>
            <w:tcW w:w="2951"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3类</w:t>
            </w:r>
          </w:p>
        </w:tc>
        <w:tc>
          <w:tcPr>
            <w:tcW w:w="2615"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65</w:t>
            </w:r>
          </w:p>
        </w:tc>
        <w:tc>
          <w:tcPr>
            <w:tcW w:w="269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55</w:t>
            </w:r>
          </w:p>
        </w:tc>
      </w:tr>
      <w:tr>
        <w:tblPrEx>
          <w:tblCellMar>
            <w:top w:w="0" w:type="dxa"/>
            <w:left w:w="108" w:type="dxa"/>
            <w:bottom w:w="0" w:type="dxa"/>
            <w:right w:w="108" w:type="dxa"/>
          </w:tblCellMar>
        </w:tblPrEx>
        <w:trPr>
          <w:trHeight w:val="346" w:hRule="atLeast"/>
          <w:jc w:val="center"/>
        </w:trPr>
        <w:tc>
          <w:tcPr>
            <w:tcW w:w="851" w:type="dxa"/>
            <w:vMerge w:val="restart"/>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4类</w:t>
            </w:r>
          </w:p>
        </w:tc>
        <w:tc>
          <w:tcPr>
            <w:tcW w:w="21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4A类</w:t>
            </w:r>
          </w:p>
        </w:tc>
        <w:tc>
          <w:tcPr>
            <w:tcW w:w="2615"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70</w:t>
            </w:r>
          </w:p>
        </w:tc>
        <w:tc>
          <w:tcPr>
            <w:tcW w:w="269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55</w:t>
            </w:r>
          </w:p>
        </w:tc>
      </w:tr>
      <w:tr>
        <w:tblPrEx>
          <w:tblCellMar>
            <w:top w:w="0" w:type="dxa"/>
            <w:left w:w="108" w:type="dxa"/>
            <w:bottom w:w="0" w:type="dxa"/>
            <w:right w:w="108" w:type="dxa"/>
          </w:tblCellMar>
        </w:tblPrEx>
        <w:trPr>
          <w:trHeight w:val="357" w:hRule="atLeast"/>
          <w:jc w:val="center"/>
        </w:trPr>
        <w:tc>
          <w:tcPr>
            <w:tcW w:w="851" w:type="dxa"/>
            <w:vMerge w:val="continue"/>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jc w:val="center"/>
              <w:rPr>
                <w:rFonts w:hint="eastAsia" w:ascii="方正仿宋_GB2312" w:hAnsi="方正仿宋_GB2312" w:eastAsia="方正仿宋_GB2312" w:cs="方正仿宋_GB2312"/>
                <w:sz w:val="21"/>
                <w:szCs w:val="21"/>
              </w:rPr>
            </w:pPr>
          </w:p>
        </w:tc>
        <w:tc>
          <w:tcPr>
            <w:tcW w:w="210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4b类</w:t>
            </w:r>
          </w:p>
        </w:tc>
        <w:tc>
          <w:tcPr>
            <w:tcW w:w="2615"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70</w:t>
            </w:r>
          </w:p>
        </w:tc>
        <w:tc>
          <w:tcPr>
            <w:tcW w:w="269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60</w:t>
            </w:r>
          </w:p>
        </w:tc>
      </w:tr>
    </w:tbl>
    <w:p>
      <w:pPr>
        <w:adjustRightInd w:val="0"/>
        <w:snapToGrid w:val="0"/>
        <w:ind w:firstLine="420" w:firstLineChars="200"/>
        <w:rPr>
          <w:rFonts w:eastAsia="仿宋"/>
          <w:sz w:val="21"/>
          <w:szCs w:val="21"/>
        </w:rPr>
      </w:pPr>
      <w:r>
        <w:rPr>
          <w:rFonts w:eastAsia="仿宋"/>
          <w:sz w:val="21"/>
          <w:szCs w:val="21"/>
        </w:rPr>
        <w:t>注：0 类声环境功能区：指康复疗养区等特别需要安静的区域；1 类声环境功能区：指以居民住宅、医疗卫生、文化教育、科研设计、行政办公为主要功能，需要保持安静的区域；2 类声环境功能区：指以商业金融、集市贸易为主要功能，或者居住、商业、工业混杂，需要维护住宅安静的区域；3 类声环境功能区：指以工业生产、仓储物流为主要功能，需防止工业噪声对周围环境产生严重影响的区域；4 类声环境功能区：指交通干线两 侧一定距离之内，需要防止交通噪声对周围环境产生严重影响的区域，包括 4</w:t>
      </w:r>
      <w:r>
        <w:rPr>
          <w:rFonts w:hint="eastAsia" w:eastAsia="仿宋"/>
          <w:sz w:val="21"/>
          <w:szCs w:val="21"/>
        </w:rPr>
        <w:t>A</w:t>
      </w:r>
      <w:r>
        <w:rPr>
          <w:rFonts w:eastAsia="仿宋"/>
          <w:sz w:val="21"/>
          <w:szCs w:val="21"/>
        </w:rPr>
        <w:t xml:space="preserve"> 类和 4b 类两种类型。4安 类为高速公路、一级公路、二级公路、城市快速路、城市主干路、城市次干路、城市轨道交通（地面段） 、内河航 道两侧区域；4b 类为铁路干线两侧区域。 </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 xml:space="preserve">2.工频电场和磁场 </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 xml:space="preserve">（1）变电站、配电室、箱式变、杠变、架空（电缆）线路等输、变、配电设备的工频电场与磁场标准应满足相关国家标准的要求。 </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 xml:space="preserve">（2）按照《作业场所工频电场卫生标准》（GB16203）中的有关规定，输、变、配电设备运行时产生的工频电场 8 小时最高容许值为 5千伏/m。 </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（3）按照国家环保行业标准《500千伏 超高压送变电工程电场环境影响评价技术规定（HT/T24）中的有关规定，居民区工频电场评价标准宜为 4千伏/m。输、变、配电设备运行时产生的工频磁场，不应超过 0.1mT（100μT）。</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 xml:space="preserve">3.无线电干扰限值 </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 xml:space="preserve">根据《高压交流架空线路无线电干扰限值》（GB15707）的有关规定，无线电干扰限值如下表所示。 </w:t>
      </w:r>
    </w:p>
    <w:p>
      <w:pPr>
        <w:keepNext w:val="0"/>
        <w:keepLines w:val="0"/>
        <w:pageBreakBefore w:val="0"/>
        <w:widowControl w:val="0"/>
        <w:kinsoku/>
        <w:wordWrap/>
        <w:overflowPunct/>
        <w:topLinePunct w:val="0"/>
        <w:autoSpaceDE/>
        <w:autoSpaceDN/>
        <w:bidi w:val="0"/>
        <w:adjustRightInd w:val="0"/>
        <w:snapToGrid w:val="0"/>
        <w:spacing w:line="560" w:lineRule="exact"/>
        <w:ind w:firstLine="560" w:firstLineChars="200"/>
        <w:jc w:val="center"/>
        <w:textAlignment w:val="auto"/>
        <w:rPr>
          <w:rFonts w:hint="eastAsia" w:ascii="黑体" w:hAnsi="黑体" w:eastAsia="黑体" w:cs="黑体"/>
          <w:b w:val="0"/>
          <w:bCs w:val="0"/>
          <w:kern w:val="0"/>
          <w:sz w:val="28"/>
          <w:szCs w:val="28"/>
          <w:lang w:val="en-US" w:eastAsia="zh-CN" w:bidi="ar-SA"/>
        </w:rPr>
      </w:pPr>
      <w:r>
        <w:rPr>
          <w:rFonts w:hint="eastAsia" w:ascii="黑体" w:hAnsi="黑体" w:eastAsia="黑体" w:cs="黑体"/>
          <w:b w:val="0"/>
          <w:bCs w:val="0"/>
          <w:kern w:val="0"/>
          <w:sz w:val="28"/>
          <w:szCs w:val="28"/>
          <w:lang w:val="en-US" w:eastAsia="zh-CN" w:bidi="ar-SA"/>
        </w:rPr>
        <w:t>表13-2  无线电干扰限值（距边导线投影 20m 处）</w:t>
      </w:r>
    </w:p>
    <w:tbl>
      <w:tblPr>
        <w:tblStyle w:val="88"/>
        <w:tblW w:w="6678" w:type="dxa"/>
        <w:jc w:val="center"/>
        <w:tblLayout w:type="fixed"/>
        <w:tblCellMar>
          <w:top w:w="0" w:type="dxa"/>
          <w:left w:w="108" w:type="dxa"/>
          <w:bottom w:w="0" w:type="dxa"/>
          <w:right w:w="108" w:type="dxa"/>
        </w:tblCellMar>
      </w:tblPr>
      <w:tblGrid>
        <w:gridCol w:w="3135"/>
        <w:gridCol w:w="1181"/>
        <w:gridCol w:w="1181"/>
        <w:gridCol w:w="1181"/>
      </w:tblGrid>
      <w:tr>
        <w:tblPrEx>
          <w:tblCellMar>
            <w:top w:w="0" w:type="dxa"/>
            <w:left w:w="108" w:type="dxa"/>
            <w:bottom w:w="0" w:type="dxa"/>
            <w:right w:w="108" w:type="dxa"/>
          </w:tblCellMar>
        </w:tblPrEx>
        <w:trPr>
          <w:trHeight w:val="471" w:hRule="atLeast"/>
          <w:jc w:val="center"/>
        </w:trPr>
        <w:tc>
          <w:tcPr>
            <w:tcW w:w="3135"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电压（千伏）</w:t>
            </w:r>
          </w:p>
        </w:tc>
        <w:tc>
          <w:tcPr>
            <w:tcW w:w="118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110</w:t>
            </w:r>
          </w:p>
        </w:tc>
        <w:tc>
          <w:tcPr>
            <w:tcW w:w="118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220-330</w:t>
            </w:r>
          </w:p>
        </w:tc>
        <w:tc>
          <w:tcPr>
            <w:tcW w:w="118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500</w:t>
            </w:r>
          </w:p>
        </w:tc>
      </w:tr>
      <w:tr>
        <w:tblPrEx>
          <w:tblCellMar>
            <w:top w:w="0" w:type="dxa"/>
            <w:left w:w="108" w:type="dxa"/>
            <w:bottom w:w="0" w:type="dxa"/>
            <w:right w:w="108" w:type="dxa"/>
          </w:tblCellMar>
        </w:tblPrEx>
        <w:trPr>
          <w:trHeight w:val="499" w:hRule="atLeast"/>
          <w:jc w:val="center"/>
        </w:trPr>
        <w:tc>
          <w:tcPr>
            <w:tcW w:w="3135"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无线电干扰限值dB（uV/m）</w:t>
            </w:r>
          </w:p>
        </w:tc>
        <w:tc>
          <w:tcPr>
            <w:tcW w:w="118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46</w:t>
            </w:r>
          </w:p>
        </w:tc>
        <w:tc>
          <w:tcPr>
            <w:tcW w:w="118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53</w:t>
            </w:r>
          </w:p>
        </w:tc>
        <w:tc>
          <w:tcPr>
            <w:tcW w:w="118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55</w:t>
            </w:r>
          </w:p>
        </w:tc>
      </w:tr>
    </w:tbl>
    <w:p>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sz w:val="32"/>
          <w:szCs w:val="32"/>
          <w:lang w:val="en-US" w:eastAsia="zh-CN"/>
        </w:rPr>
      </w:pPr>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lang w:val="en-US" w:eastAsia="zh-CN"/>
        </w:rPr>
      </w:pPr>
      <w:bookmarkStart w:id="1271" w:name="_Toc22401"/>
      <w:bookmarkStart w:id="1272" w:name="_Toc67923923"/>
      <w:bookmarkStart w:id="1273" w:name="_Toc74041280"/>
      <w:r>
        <w:rPr>
          <w:rFonts w:hint="eastAsia" w:ascii="黑体" w:hAnsi="黑体" w:eastAsia="黑体" w:cs="黑体"/>
          <w:b w:val="0"/>
          <w:bCs w:val="0"/>
          <w:sz w:val="32"/>
          <w:szCs w:val="32"/>
          <w:lang w:val="en-US" w:eastAsia="zh-CN"/>
        </w:rPr>
        <w:t>变电站电磁环境影响及分析</w:t>
      </w:r>
      <w:bookmarkEnd w:id="1271"/>
      <w:bookmarkEnd w:id="1272"/>
      <w:bookmarkEnd w:id="1273"/>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一般而言，高压变电站对环境的影响主要是电磁影响和噪声影响，电磁环境影响包括工频电场和工频磁场，工频电场和工频磁场对环境的影响主要分为两类，一是对人体的影响，另一类是对电器设备的影响。</w:t>
      </w:r>
    </w:p>
    <w:p>
      <w:pPr>
        <w:keepNext w:val="0"/>
        <w:keepLines w:val="0"/>
        <w:pageBreakBefore w:val="0"/>
        <w:widowControl w:val="0"/>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 xml:space="preserve">预防措施： </w:t>
      </w:r>
    </w:p>
    <w:p>
      <w:pPr>
        <w:keepNext w:val="0"/>
        <w:keepLines w:val="0"/>
        <w:pageBreakBefore w:val="0"/>
        <w:widowControl w:val="0"/>
        <w:numPr>
          <w:ilvl w:val="0"/>
          <w:numId w:val="24"/>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 xml:space="preserve">变电站设计中，应尽量多采用三相设备，减少分相设备的使用，多采用全户内布置的型式，高压设备多选择 GIS 成套装置。 </w:t>
      </w:r>
    </w:p>
    <w:p>
      <w:pPr>
        <w:keepNext w:val="0"/>
        <w:keepLines w:val="0"/>
        <w:pageBreakBefore w:val="0"/>
        <w:widowControl w:val="0"/>
        <w:numPr>
          <w:ilvl w:val="0"/>
          <w:numId w:val="24"/>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 xml:space="preserve">选择恰当的接入系统方式和地理位置。城区变电站的进出线在穿越居民区和人口稠密的地段时，应尽量采用电力电缆的方式或三相架空屏蔽线的方式来降低电磁辐射。在变电站选址时，要充分考虑电磁辐射对环境的影响，尽量避开敏感区。 </w:t>
      </w:r>
    </w:p>
    <w:p>
      <w:pPr>
        <w:keepNext w:val="0"/>
        <w:keepLines w:val="0"/>
        <w:pageBreakBefore w:val="0"/>
        <w:widowControl w:val="0"/>
        <w:numPr>
          <w:ilvl w:val="0"/>
          <w:numId w:val="24"/>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 xml:space="preserve">保证变电站与周边建筑物的距离满足低于电磁辐射影响的标准规定的限值的要求。在满足城市规划要求的前提条件下，结合自身特点，尽可能与周边建筑物保持充裕的安全距离。 </w:t>
      </w:r>
    </w:p>
    <w:p>
      <w:pPr>
        <w:keepNext w:val="0"/>
        <w:keepLines w:val="0"/>
        <w:pageBreakBefore w:val="0"/>
        <w:widowControl w:val="0"/>
        <w:numPr>
          <w:ilvl w:val="0"/>
          <w:numId w:val="24"/>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 xml:space="preserve">选择技术性能先进、产品质量优、节能型、符合环境保护规定、尽可能无油化的电气设备。 </w:t>
      </w:r>
    </w:p>
    <w:p>
      <w:pPr>
        <w:keepNext w:val="0"/>
        <w:keepLines w:val="0"/>
        <w:pageBreakBefore w:val="0"/>
        <w:widowControl w:val="0"/>
        <w:numPr>
          <w:ilvl w:val="0"/>
          <w:numId w:val="24"/>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 xml:space="preserve">采用综合自动化微机监控的无人值班运行方式。 </w:t>
      </w:r>
    </w:p>
    <w:p>
      <w:pPr>
        <w:keepNext w:val="0"/>
        <w:keepLines w:val="0"/>
        <w:pageBreakBefore w:val="0"/>
        <w:widowControl w:val="0"/>
        <w:numPr>
          <w:ilvl w:val="0"/>
          <w:numId w:val="24"/>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在高压变电站周围种植绿化带。</w:t>
      </w:r>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lang w:val="en-US" w:eastAsia="zh-CN"/>
        </w:rPr>
      </w:pPr>
      <w:bookmarkStart w:id="1274" w:name="_Toc11796"/>
      <w:bookmarkStart w:id="1275" w:name="_Toc74041281"/>
      <w:bookmarkStart w:id="1276" w:name="_Toc67923924"/>
      <w:bookmarkStart w:id="1277" w:name="_Toc13926"/>
      <w:r>
        <w:rPr>
          <w:rFonts w:hint="eastAsia" w:ascii="黑体" w:hAnsi="黑体" w:eastAsia="黑体" w:cs="黑体"/>
          <w:b w:val="0"/>
          <w:bCs w:val="0"/>
          <w:sz w:val="32"/>
          <w:szCs w:val="32"/>
          <w:lang w:val="en-US" w:eastAsia="zh-CN"/>
        </w:rPr>
        <w:t>变电站噪音影响及分析</w:t>
      </w:r>
      <w:bookmarkEnd w:id="1274"/>
      <w:bookmarkEnd w:id="1275"/>
      <w:bookmarkEnd w:id="1276"/>
      <w:bookmarkEnd w:id="1277"/>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 xml:space="preserve">变电站噪声影响主要来自于变压器运行时产生的电磁噪声和机械噪声。电磁噪声主要是由硅钢片的磁致伸缩和绕组中的电磁力引起的，机械噪声则是设备振动、冷却风扇运转引起的。变电站噪声排放标准如下： </w:t>
      </w:r>
    </w:p>
    <w:p>
      <w:pPr>
        <w:keepNext w:val="0"/>
        <w:keepLines w:val="0"/>
        <w:pageBreakBefore w:val="0"/>
        <w:widowControl w:val="0"/>
        <w:numPr>
          <w:ilvl w:val="0"/>
          <w:numId w:val="25"/>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 xml:space="preserve">施工期噪声执行《建筑施工场界噪声排放标准》(GB12523-2011)。 </w:t>
      </w:r>
    </w:p>
    <w:p>
      <w:pPr>
        <w:keepNext w:val="0"/>
        <w:keepLines w:val="0"/>
        <w:pageBreakBefore w:val="0"/>
        <w:widowControl w:val="0"/>
        <w:numPr>
          <w:ilvl w:val="0"/>
          <w:numId w:val="25"/>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变电站厂界噪声根据变电站所处声功能区及当地生态环境部门规定，执行《工业企业厂界环境噪声排放标准》(GB12348-2008)中相应标准。</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噪声影响预防措施：合理选择相导线结构以降低可听噪声水平，选用噪声水平达到国家规定允许的范围内的设备。</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治理途径：新建变电站采用低噪声设备，在有条件的情况下，将现有的高噪声变压器逐步更换为低噪声变压器，也可采取其他治理技术降低噪声对环境的影响噪声治理主要分3种情况，即噪声源治理、传播途径治理和个人防护。</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变电站噪声一般从噪声源和传播途径两方面进行治理，降低变压器本身的噪声是最有效、最彻底的治理途径，但噪声源治理技术难度大，甚至需要设备的技术改进和优化；传播途径治理主要是采取隔声、吸声技术，在变压器外部采取消声或隔声措施，使噪声在传播到受声点的过程中衰减，降低到达受声点的噪声强度。</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 xml:space="preserve">治理方案： </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1.电磁性噪声治理。对变压器本身的降噪，一方面可以用高导磁的硅钢片，采用步进搭接工艺使磁致伸缩减小，以降低铁芯的工作磁密；另一方面可以通过完善铁芯和引线的夹持结构，在铁芯表面涂环氧漆和加橡皮垫，采用避开共振区的结构设计、加大油箱箱壁厚度、加固油箱和附件等措施减缓并吸收磁致伸缩产生的振动能量。</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风扇机械性噪声治理。降低冷却装置噪声的手段主要有:选用大流量低扬程的油泵和通风流量大、风压小的低速风扇(在可能的情况下尽量采用自冷方式)，出现风扇有轴偏、振动现象时，应及时更换，降低风扇噪声。</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3.壁面吸声、隔声屏治理技术。当声能传到吸声、隔声材料的表面时，吸声材料可以将声能转化为热能和振动能。室内变压器噪声在内壁反射，形成混响声场，在室内墙面涂覆吸声材料或装吸声砖、板，以增加墙面的吸声系数，减小室内噪声，同时安装隔声门、消声百叶窗和消声通风口。</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4.隔声罩治理技术。由于城市市区内部分变电站距周围居民住宅较近，加之变压器发出的低频噪声随距离的增加衰减得较慢，采用隔声治理的效果相对较差，环境噪声水平很难达到45～50 dB的限值，若采用集中散热方式，将变压器本体封闭于隔声间或隔声罩内，其降噪效果可达20～30dB，完全可以达到环保限值。封闭变压器的高位通风口正对居民楼，对居民影响比较大，可在通风口加装消声装置，同时改变通风口方向。</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5.对新建变电站，在变压器订货时对噪声指标应有相应的要求并做到严格验收。为限制噪声，可考虑采取变压器本体与散热器分体布置形式，将本体封闭于室内，彻底解决噪声问题。对于市区内变电站均采用全户内变电站建设，可以极大减少噪音对环境的影响。</w:t>
      </w:r>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lang w:val="en-US" w:eastAsia="zh-CN"/>
        </w:rPr>
      </w:pPr>
      <w:bookmarkStart w:id="1278" w:name="_Toc67923925"/>
      <w:bookmarkStart w:id="1279" w:name="_Toc25145"/>
      <w:bookmarkStart w:id="1280" w:name="_Toc8796"/>
      <w:bookmarkStart w:id="1281" w:name="_Toc74041282"/>
      <w:r>
        <w:rPr>
          <w:rFonts w:hint="eastAsia" w:ascii="黑体" w:hAnsi="黑体" w:eastAsia="黑体" w:cs="黑体"/>
          <w:b w:val="0"/>
          <w:bCs w:val="0"/>
          <w:sz w:val="32"/>
          <w:szCs w:val="32"/>
          <w:lang w:val="en-US" w:eastAsia="zh-CN"/>
        </w:rPr>
        <w:t>变电站建筑物与环境的协调</w:t>
      </w:r>
      <w:bookmarkEnd w:id="1278"/>
      <w:bookmarkEnd w:id="1279"/>
      <w:bookmarkEnd w:id="1280"/>
      <w:bookmarkEnd w:id="1281"/>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根据《城市电力规划》规定“城市变电站的外型，建筑风格应与周围环境、景观、市容风貌相协调”，变电站建筑特别是处于城市中心的室内站还需要与周围建筑、道路相呼应配合，考虑和地形、绿化等基地环境的协调一致，使建筑物与周边环境完整统一、配置适当，满足城市规划的总体需要。</w:t>
      </w:r>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lang w:val="en-US" w:eastAsia="zh-CN"/>
        </w:rPr>
      </w:pPr>
      <w:bookmarkStart w:id="1282" w:name="_Toc20654"/>
      <w:bookmarkStart w:id="1283" w:name="_Toc31468"/>
      <w:bookmarkStart w:id="1284" w:name="_Toc74041283"/>
      <w:bookmarkStart w:id="1285" w:name="_Toc1237"/>
      <w:bookmarkStart w:id="1286" w:name="_Toc67923926"/>
      <w:r>
        <w:rPr>
          <w:rFonts w:hint="eastAsia" w:ascii="黑体" w:hAnsi="黑体" w:eastAsia="黑体" w:cs="黑体"/>
          <w:b w:val="0"/>
          <w:bCs w:val="0"/>
          <w:sz w:val="32"/>
          <w:szCs w:val="32"/>
          <w:lang w:val="en-US" w:eastAsia="zh-CN"/>
        </w:rPr>
        <w:t>输电线路环境影响分析及措施</w:t>
      </w:r>
      <w:bookmarkEnd w:id="1282"/>
      <w:bookmarkEnd w:id="1283"/>
      <w:bookmarkEnd w:id="1284"/>
      <w:bookmarkEnd w:id="1285"/>
      <w:bookmarkEnd w:id="1286"/>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 xml:space="preserve">1.输电线路的环境影响 </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 xml:space="preserve">输电线路在运行过程电磁场对环境影响因素主要有下列三个方面： </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 xml:space="preserve">（1）输电线路下方及附近的电磁场对人、动植物的影响； </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（2）输电线路干扰波对邻近无线电装置产生影响；</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 xml:space="preserve">（3）高压线路电晕可听噪声。 </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 xml:space="preserve">另外，高压线路也对外部环境美观产生影响，同时，在线路施工中也会对环境、水土、土地占用产生影响。 </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 xml:space="preserve">2.输电线路电磁辐射防治措施 </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 xml:space="preserve">预防措施：线路尽可能远离或避开居民区、环境敏感区；合理选择路径方案，使所选路径环境影响最小；在线路设计中严格按规程执行，适当选用塔型、塔高，以尽量减少路径走廊宽度及降低线路走廊下的电磁场强度；选用先进施工方法以减少树木的砍伐。 </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 xml:space="preserve">治理途径：对工程设计中或建成投运后，仍不能满足要求的，应加隔离墙。 </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 xml:space="preserve">3.输电线路通过林区的环保措施 </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 xml:space="preserve">为节约林木资源，减少对植被的破坏，输电线路跨越树林一般均要求采用高跨方案（特殊情况可采用砍伐），根据各种树木最高自然生长高度，确定跨越树林对地距离及杆塔的呼称高。 </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 xml:space="preserve">4.架空线路与环境的协调 </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 xml:space="preserve">架空线路更要注意其外观对环境美感的影响，可以考虑在布局规划中考虑采用美观的杆塔外形（如钢管、钢管组合塔、窄基塔）。 </w:t>
      </w:r>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lang w:val="en-US" w:eastAsia="zh-CN"/>
        </w:rPr>
      </w:pPr>
      <w:bookmarkStart w:id="1287" w:name="_Toc67923927"/>
      <w:bookmarkStart w:id="1288" w:name="_Toc74041284"/>
      <w:bookmarkStart w:id="1289" w:name="_Toc15170"/>
      <w:r>
        <w:rPr>
          <w:rFonts w:hint="eastAsia" w:ascii="黑体" w:hAnsi="黑体" w:eastAsia="黑体" w:cs="黑体"/>
          <w:b w:val="0"/>
          <w:bCs w:val="0"/>
          <w:sz w:val="32"/>
          <w:szCs w:val="32"/>
          <w:lang w:val="en-US" w:eastAsia="zh-CN"/>
        </w:rPr>
        <w:t>规划建议</w:t>
      </w:r>
      <w:bookmarkEnd w:id="1287"/>
      <w:bookmarkEnd w:id="1288"/>
      <w:bookmarkEnd w:id="1289"/>
      <w:r>
        <w:rPr>
          <w:rFonts w:hint="eastAsia" w:ascii="黑体" w:hAnsi="黑体" w:eastAsia="黑体" w:cs="黑体"/>
          <w:b w:val="0"/>
          <w:bCs w:val="0"/>
          <w:sz w:val="32"/>
          <w:szCs w:val="32"/>
          <w:lang w:val="en-US" w:eastAsia="zh-CN"/>
        </w:rPr>
        <w:t xml:space="preserve"> </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 xml:space="preserve">1.电网规划及变电站布局 </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 xml:space="preserve">在输变电选址选线以及施工过程中，设立生态保护制度，尽量优化布局，避开生态功能区。 </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 xml:space="preserve">输变电线路方面，在中心城区可以尽量考虑使用电缆输电；在城区外围使用架空线路要保证架空线路的高度。 </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 xml:space="preserve">2.噪声污染控制 </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 xml:space="preserve">在设计过程阶段，优化变电站平面布置；在设备选型阶段，选择低噪声设备。110千伏 变电站选用设备的噪声水平应控制在 60dBA～65dBA 以下，使整个变电站的噪声水平满足规范要求。 </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 xml:space="preserve">3.生态环境影响控制 </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在输变电建设全过程设置生态保护以及生态补偿机制。</w:t>
      </w:r>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lang w:val="en-US" w:eastAsia="zh-CN"/>
        </w:rPr>
      </w:pPr>
      <w:bookmarkStart w:id="1290" w:name="_Toc67923928"/>
      <w:bookmarkStart w:id="1291" w:name="_Toc32289"/>
      <w:bookmarkStart w:id="1292" w:name="_Toc74041285"/>
      <w:r>
        <w:rPr>
          <w:rFonts w:hint="eastAsia" w:ascii="黑体" w:hAnsi="黑体" w:eastAsia="黑体" w:cs="黑体"/>
          <w:b w:val="0"/>
          <w:bCs w:val="0"/>
          <w:sz w:val="32"/>
          <w:szCs w:val="32"/>
          <w:lang w:val="en-US" w:eastAsia="zh-CN"/>
        </w:rPr>
        <w:t>措施</w:t>
      </w:r>
      <w:bookmarkEnd w:id="1290"/>
      <w:bookmarkEnd w:id="1291"/>
      <w:bookmarkEnd w:id="1292"/>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1.遵守法规和履行环保程序</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在电网规划、设计、建设和运行各个阶段认真履行环保程序，是保障电网顺利发展的重要环节，可以认为遵守法规和履行环保程序是保护电力企业利益的前提。</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国家电网系统各级领导要重视环保工作，重视输变电工程的环境影响评价和环境监测，并且在人力、经费上加以保障，使环保工作落实到实处，保证电网建设与运行满足现行各项环保标准，也树立电网企业在环保方面的良好形象。</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2.加强科普宣传</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由于对输变电工程产生的电磁场的误解，加上媒体误导和炒作，使得普通百姓心存担忧，甚至恐慌，这对处理输变电工程的环境纠纷很不利。加强科普宣传，以消除误解和恐慌：1）完整地介绍WHO的看法和观点、ICNIRP的研究及其导则的规定；2）让百姓了解输变电工程产生的电磁场的特性和水平，从而正确引导百姓理解低频电磁场和高频电磁场的差别、电磁环境和核辐射的差别。</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3.规范测量方法</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工频电场很容易受邻近物体的影响而产生畸变，尤其是在凸出地面的物体的顶部或尖角附近，场强会很强、且集中。由前述已知，在导线的正下方地面上0～2m之间电场垂直分量主要随水平位置而变化，它随高度的变化很小，在导线的正下方电场的水平分量很小，这表明在这一范围的电场是均匀场或近似均匀场，这时的测量是比较准确的，也不会因测量仪放置位置的微小变化而变化测量读数。但是在畸变场中的测量就不同了，一是在畸变场中测量仪的尺寸影响较大；二是在畸变场中测量仪位置变化，测量读数就明显变化。所以在畸变场中存在测量不一致的问题。</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由于目前出现的邻近输电线路的民房的屋顶和阳台的工频电场测量读数超标的情况，其超标范围又很有限，所以规范测量方法，尤其在存在畸变场的情况下，对解决或缓解畸变场引发的环境纠纷，是非常有益的，也是必要的。</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4.选线、选址时尽可能避让环境敏感目标</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在设计优化和终勘定位过程中，对于敏感区域可采用全数字化摄影测量、全球卫星定位系统（GPS）等高新技术，尽可能避让环境保护敏感目标，从源头上减缓工程建设对环境的影响。为保证线路附近居民的正常生活环境，对电磁环境不能满足标准要求的，则予以拆迁。</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5.采取低场强的技术措施</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从目前的标准看，工频磁场的环保指标比输电线路下实际情况有较大裕度，所以工频磁场不是输变电工程环保问题所在，但是某些情况下降低输电线路下方的工频电场则是必须的。</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采用同杆多回架设，并且逆相序导线排列是降低工频电场的技术措施。</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在环境敏感地段采用架空屏蔽线，可以降低线下工频电场。根据具体情况架设单根、双根或多根屏蔽线，并且屏蔽线的排列不同，可以获得不同的降低效果。</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另外，采取局部导线紧凑化排列，采用导线三角（尤其是倒三角）排列，适当提高导线高度，都可以在不同程度上降低地面场强。</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6.积极开展电网环保新问题研究</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输变电工程的电磁环境影响还有需要研究的新问题，如直流输电的合成电场评价，离子流分布和离子流吸附灰尘的污染，天气变化对电场分布和人体作用的影响，对畸变电场的预估模型，以及暂态电击的评价等等。</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 w:hAnsi="仿宋" w:eastAsia="仿宋" w:cs="仿宋"/>
          <w:kern w:val="2"/>
          <w:sz w:val="32"/>
          <w:szCs w:val="32"/>
          <w:lang w:val="en-US" w:eastAsia="zh-CN" w:bidi="ar-SA"/>
        </w:rPr>
      </w:pPr>
      <w:r>
        <w:rPr>
          <w:rFonts w:hint="eastAsia" w:ascii="仿宋_GB2312" w:hAnsi="仿宋_GB2312" w:eastAsia="仿宋_GB2312" w:cs="仿宋_GB2312"/>
          <w:kern w:val="2"/>
          <w:sz w:val="32"/>
          <w:szCs w:val="32"/>
          <w:lang w:val="en-US" w:eastAsia="zh-CN" w:bidi="ar-SA"/>
        </w:rPr>
        <w:t>不仅如此，还应努力跟踪环保发展的新动向，因为环保问题是随社会的发展和人们生活的进步而发展的问题，因此积极开展电网环保新问题研究，使电网环保工作由被动变为主动。</w:t>
      </w:r>
    </w:p>
    <w:p>
      <w:pPr>
        <w:pStyle w:val="150"/>
        <w:ind w:firstLine="560"/>
        <w:rPr>
          <w:szCs w:val="32"/>
        </w:rPr>
      </w:pPr>
    </w:p>
    <w:p>
      <w:pPr>
        <w:pStyle w:val="150"/>
        <w:ind w:firstLine="560"/>
        <w:rPr>
          <w:szCs w:val="32"/>
        </w:rPr>
      </w:pPr>
    </w:p>
    <w:bookmarkEnd w:id="1228"/>
    <w:bookmarkEnd w:id="1229"/>
    <w:bookmarkEnd w:id="1230"/>
    <w:p>
      <w:pPr>
        <w:pStyle w:val="4"/>
        <w:keepNext/>
        <w:keepLines/>
        <w:pageBreakBefore/>
        <w:widowControl w:val="0"/>
        <w:kinsoku/>
        <w:wordWrap/>
        <w:overflowPunct/>
        <w:topLinePunct w:val="0"/>
        <w:autoSpaceDE/>
        <w:autoSpaceDN/>
        <w:bidi w:val="0"/>
        <w:adjustRightInd/>
        <w:snapToGrid/>
        <w:spacing w:before="157" w:beforeLines="50" w:after="157" w:afterLines="50" w:line="560" w:lineRule="exact"/>
        <w:textAlignment w:val="auto"/>
        <w:rPr>
          <w:rFonts w:eastAsia="仿宋"/>
          <w:sz w:val="44"/>
          <w:szCs w:val="44"/>
        </w:rPr>
      </w:pPr>
      <w:bookmarkStart w:id="1293" w:name="_Toc74041286"/>
      <w:bookmarkStart w:id="1294" w:name="_Toc75"/>
      <w:r>
        <w:rPr>
          <w:rFonts w:eastAsia="仿宋"/>
          <w:sz w:val="44"/>
          <w:szCs w:val="44"/>
        </w:rPr>
        <w:t>主要结论</w:t>
      </w:r>
      <w:bookmarkEnd w:id="1293"/>
      <w:bookmarkEnd w:id="1294"/>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lang w:val="en-US" w:eastAsia="zh-CN"/>
        </w:rPr>
      </w:pPr>
      <w:bookmarkStart w:id="1295" w:name="_Toc401785993"/>
      <w:bookmarkStart w:id="1296" w:name="_Toc401763951"/>
      <w:bookmarkStart w:id="1297" w:name="_Toc401762647"/>
      <w:bookmarkStart w:id="1298" w:name="_Toc74041288"/>
      <w:bookmarkStart w:id="1299" w:name="_Toc59974010"/>
      <w:bookmarkStart w:id="1300" w:name="_Toc22056"/>
      <w:r>
        <w:rPr>
          <w:rFonts w:hint="eastAsia" w:ascii="黑体" w:hAnsi="黑体" w:eastAsia="黑体" w:cs="黑体"/>
          <w:b w:val="0"/>
          <w:bCs w:val="0"/>
          <w:sz w:val="32"/>
          <w:szCs w:val="32"/>
          <w:lang w:val="en-US" w:eastAsia="zh-CN"/>
        </w:rPr>
        <w:t>电力电量</w:t>
      </w:r>
      <w:bookmarkEnd w:id="1295"/>
      <w:bookmarkEnd w:id="1296"/>
      <w:bookmarkEnd w:id="1297"/>
      <w:bookmarkEnd w:id="1298"/>
      <w:bookmarkEnd w:id="1299"/>
      <w:bookmarkEnd w:id="1300"/>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bookmarkStart w:id="1301" w:name="_Toc285645699"/>
      <w:bookmarkStart w:id="1302" w:name="_Toc401785994"/>
      <w:bookmarkStart w:id="1303" w:name="_Toc401763952"/>
      <w:bookmarkStart w:id="1304" w:name="_Toc401762648"/>
      <w:r>
        <w:rPr>
          <w:rFonts w:hint="eastAsia" w:ascii="仿宋_GB2312" w:hAnsi="仿宋_GB2312" w:eastAsia="仿宋_GB2312" w:cs="仿宋_GB2312"/>
          <w:kern w:val="2"/>
          <w:sz w:val="32"/>
          <w:szCs w:val="32"/>
          <w:lang w:val="en-US" w:eastAsia="zh-CN" w:bidi="ar-SA"/>
        </w:rPr>
        <w:t>本次规划预测西咸电网2025年最大负荷为2444兆瓦，西咸电网“十四五”负荷年均增长率为22.3%。</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预测西咸新区2025年全社会用电量为90亿千瓦时，西咸电网“十四五”电量年均增长率为14.87%。</w:t>
      </w:r>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lang w:val="en-US" w:eastAsia="zh-CN"/>
        </w:rPr>
      </w:pPr>
      <w:bookmarkStart w:id="1305" w:name="_Toc18803"/>
      <w:bookmarkStart w:id="1306" w:name="_Toc74041289"/>
      <w:bookmarkStart w:id="1307" w:name="_Toc59974011"/>
      <w:r>
        <w:rPr>
          <w:rFonts w:hint="eastAsia" w:ascii="黑体" w:hAnsi="黑体" w:eastAsia="黑体" w:cs="黑体"/>
          <w:b w:val="0"/>
          <w:bCs w:val="0"/>
          <w:sz w:val="32"/>
          <w:szCs w:val="32"/>
          <w:lang w:val="en-US" w:eastAsia="zh-CN"/>
        </w:rPr>
        <w:t>电网建设</w:t>
      </w:r>
      <w:bookmarkEnd w:id="1301"/>
      <w:r>
        <w:rPr>
          <w:rFonts w:hint="eastAsia" w:ascii="黑体" w:hAnsi="黑体" w:eastAsia="黑体" w:cs="黑体"/>
          <w:b w:val="0"/>
          <w:bCs w:val="0"/>
          <w:sz w:val="32"/>
          <w:szCs w:val="32"/>
          <w:lang w:val="en-US" w:eastAsia="zh-CN"/>
        </w:rPr>
        <w:t>规模</w:t>
      </w:r>
      <w:bookmarkEnd w:id="1302"/>
      <w:bookmarkEnd w:id="1303"/>
      <w:bookmarkEnd w:id="1304"/>
      <w:bookmarkEnd w:id="1305"/>
      <w:bookmarkEnd w:id="1306"/>
      <w:bookmarkEnd w:id="1307"/>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1.330千伏电网</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十四五”期间，西咸新区规划新建5座330千伏变电站，包括：咸阳东（秦汉）330千伏变电站、沣渭330千伏变电站、泾河330千伏变电站、沣西#2 330千伏变电站、空港330千伏变电站，新增变电容量3600兆伏安，新建线路长度268.4公里。2026~2035年规划新建330千伏变电站1座，新增容量720兆伏安，新建线路长度6公里。</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2.110千伏电网</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“十四五”期间，西咸新区电网总计新建变电站25座，增容变电站1座，新增变电容量2839兆伏安。新建线路522.6公里。</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其中：空港新城新建变电站3座，新增变电容量300兆伏安，新建线路140.4公里；沣东新城新建变电站5座，新增变电容量500兆伏安，新建线路84公里；秦汉新城新建变电站3座，新增变电容量300兆伏安，新建线路68公里；沣西新城新建变电站8座，增容1座，新增变电容量837兆伏安，新建线路107.2公里；泾河新城新建变电站6座，新增变电容量902兆伏安，新建线路123公里。</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3.10千伏电网</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“十四五”期间，西咸新区电网新建10千伏主干线路734.392公里，其中：电缆线路624.622公里，架空线路109.77公里。</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4.容载比</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到2025年，西咸新区330千伏电网容载比将达到2.31，110千伏电网容载比将达到2.45。</w:t>
      </w:r>
    </w:p>
    <w:p>
      <w:pPr>
        <w:pStyle w:val="5"/>
        <w:keepNext/>
        <w:keepLines/>
        <w:pageBreakBefore w:val="0"/>
        <w:widowControl w:val="0"/>
        <w:kinsoku/>
        <w:wordWrap/>
        <w:overflowPunct/>
        <w:topLinePunct w:val="0"/>
        <w:autoSpaceDE/>
        <w:autoSpaceDN/>
        <w:bidi w:val="0"/>
        <w:adjustRightInd/>
        <w:snapToGrid/>
        <w:spacing w:before="157" w:beforeLines="50" w:after="157" w:afterLines="50" w:line="560" w:lineRule="exact"/>
        <w:ind w:left="0"/>
        <w:textAlignment w:val="auto"/>
        <w:rPr>
          <w:rFonts w:hint="eastAsia" w:ascii="黑体" w:hAnsi="黑体" w:eastAsia="黑体" w:cs="黑体"/>
          <w:b w:val="0"/>
          <w:bCs w:val="0"/>
          <w:sz w:val="32"/>
          <w:szCs w:val="32"/>
          <w:lang w:val="en-US" w:eastAsia="zh-CN"/>
        </w:rPr>
      </w:pPr>
      <w:bookmarkStart w:id="1308" w:name="_Toc74041290"/>
      <w:bookmarkStart w:id="1309" w:name="_Toc59974012"/>
      <w:bookmarkStart w:id="1310" w:name="_Toc13083"/>
      <w:r>
        <w:rPr>
          <w:rFonts w:hint="eastAsia" w:ascii="黑体" w:hAnsi="黑体" w:eastAsia="黑体" w:cs="黑体"/>
          <w:b w:val="0"/>
          <w:bCs w:val="0"/>
          <w:sz w:val="32"/>
          <w:szCs w:val="32"/>
          <w:lang w:val="en-US" w:eastAsia="zh-CN"/>
        </w:rPr>
        <w:t>投资估算</w:t>
      </w:r>
      <w:bookmarkEnd w:id="1308"/>
      <w:bookmarkEnd w:id="1309"/>
      <w:bookmarkEnd w:id="1310"/>
    </w:p>
    <w:p>
      <w:pPr>
        <w:pStyle w:val="150"/>
        <w:ind w:firstLine="560"/>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“十四五”期间，西咸新区电网建设共需投资73.93亿元，其中330千伏项目投资27.73亿元，占总投资37.5%；110千伏项目投资35.97亿元，占总投资48.7%；10千伏项目投资10.23亿元，占总投资13.8%。</w:t>
      </w:r>
    </w:p>
    <w:p>
      <w:pPr>
        <w:pStyle w:val="150"/>
        <w:ind w:firstLine="560"/>
      </w:pPr>
    </w:p>
    <w:bookmarkEnd w:id="57"/>
    <w:bookmarkEnd w:id="58"/>
    <w:bookmarkEnd w:id="882"/>
    <w:bookmarkEnd w:id="883"/>
    <w:bookmarkEnd w:id="884"/>
    <w:p>
      <w:pPr>
        <w:pStyle w:val="4"/>
        <w:keepNext/>
        <w:keepLines/>
        <w:pageBreakBefore/>
        <w:widowControl w:val="0"/>
        <w:numPr>
          <w:ilvl w:val="0"/>
          <w:numId w:val="0"/>
        </w:numPr>
        <w:kinsoku/>
        <w:wordWrap/>
        <w:overflowPunct/>
        <w:topLinePunct w:val="0"/>
        <w:autoSpaceDE/>
        <w:autoSpaceDN/>
        <w:bidi w:val="0"/>
        <w:adjustRightInd/>
        <w:snapToGrid/>
        <w:spacing w:before="157" w:beforeLines="50" w:after="157" w:afterLines="50" w:line="560" w:lineRule="exact"/>
        <w:ind w:leftChars="0"/>
        <w:textAlignment w:val="auto"/>
        <w:rPr>
          <w:rFonts w:eastAsia="仿宋"/>
          <w:sz w:val="44"/>
          <w:szCs w:val="44"/>
        </w:rPr>
      </w:pPr>
      <w:bookmarkStart w:id="1311" w:name="_Toc74041292"/>
      <w:bookmarkStart w:id="1312" w:name="_Toc1277"/>
      <w:r>
        <w:rPr>
          <w:rFonts w:eastAsia="仿宋"/>
          <w:sz w:val="44"/>
          <w:szCs w:val="44"/>
        </w:rPr>
        <w:t>附图：</w:t>
      </w:r>
      <w:bookmarkEnd w:id="1311"/>
      <w:bookmarkEnd w:id="1312"/>
    </w:p>
    <w:p>
      <w:pPr>
        <w:pStyle w:val="150"/>
        <w:ind w:firstLine="0" w:firstLineChars="0"/>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附图1 西咸新区2020年35千伏及以上电网地理接线示意图</w:t>
      </w:r>
    </w:p>
    <w:p>
      <w:pPr>
        <w:pStyle w:val="150"/>
        <w:ind w:firstLine="0" w:firstLineChars="0"/>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附图2 西咸新区2021年35千伏及以上电网地理接线示意图</w:t>
      </w:r>
    </w:p>
    <w:p>
      <w:pPr>
        <w:pStyle w:val="150"/>
        <w:ind w:firstLine="0" w:firstLineChars="0"/>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附图3 西咸新区2022年35千伏及以上电网地理接线示意图</w:t>
      </w:r>
    </w:p>
    <w:p>
      <w:pPr>
        <w:pStyle w:val="150"/>
        <w:ind w:firstLine="0" w:firstLineChars="0"/>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附图4 西咸新区2023年35千伏及以上电网地理接线示意图</w:t>
      </w:r>
    </w:p>
    <w:p>
      <w:pPr>
        <w:pStyle w:val="150"/>
        <w:ind w:firstLine="0" w:firstLineChars="0"/>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附图5 西咸新区2024年35千伏及以上电网地理接线示意图</w:t>
      </w:r>
    </w:p>
    <w:p>
      <w:pPr>
        <w:pStyle w:val="150"/>
        <w:ind w:firstLine="0" w:firstLineChars="0"/>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附图6 西咸新区2025年35千伏及以上电网地理接线示意图</w:t>
      </w:r>
    </w:p>
    <w:sectPr>
      <w:footerReference r:id="rId9" w:type="default"/>
      <w:pgSz w:w="11906" w:h="16838"/>
      <w:pgMar w:top="1440" w:right="1440" w:bottom="1440" w:left="1440" w:header="851" w:footer="992" w:gutter="0"/>
      <w:pgBorders>
        <w:top w:val="none" w:sz="0" w:space="0"/>
        <w:left w:val="none" w:sz="0" w:space="0"/>
        <w:bottom w:val="none" w:sz="0" w:space="0"/>
        <w:right w:val="none" w:sz="0" w:space="0"/>
      </w:pgBorders>
      <w:pgNumType w:fmt="numberInDash"/>
      <w:cols w:space="425" w:num="1"/>
      <w:docGrid w:type="linesAndChars"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FFFBC295-129E-4EF4-BB3A-F8A17EEF5DB1}"/>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auto"/>
    <w:pitch w:val="default"/>
    <w:sig w:usb0="800002BF" w:usb1="38CF7CFA" w:usb2="00000016" w:usb3="00000000" w:csb0="00040001" w:csb1="00000000"/>
    <w:embedRegular r:id="rId2" w:fontKey="{86BAF422-D219-4F82-A2E7-0336A59F482E}"/>
  </w:font>
  <w:font w:name="仿宋_GB2312">
    <w:panose1 w:val="02010609030101010101"/>
    <w:charset w:val="86"/>
    <w:family w:val="modern"/>
    <w:pitch w:val="default"/>
    <w:sig w:usb0="00000001" w:usb1="080E0000" w:usb2="00000000" w:usb3="00000000" w:csb0="00040000" w:csb1="00000000"/>
    <w:embedRegular r:id="rId3" w:fontKey="{17D46544-8CBD-4B17-B77D-3E3951A79F87}"/>
  </w:font>
  <w:font w:name="Arial Unicode MS">
    <w:altName w:val="宋体"/>
    <w:panose1 w:val="020B0604020202020204"/>
    <w:charset w:val="86"/>
    <w:family w:val="swiss"/>
    <w:pitch w:val="default"/>
    <w:sig w:usb0="00000000" w:usb1="00000000" w:usb2="0000003F" w:usb3="00000000" w:csb0="603F01FF" w:csb1="FFFF0000"/>
  </w:font>
  <w:font w:name="Verdana">
    <w:panose1 w:val="020B0604030504040204"/>
    <w:charset w:val="00"/>
    <w:family w:val="swiss"/>
    <w:pitch w:val="default"/>
    <w:sig w:usb0="A00006FF" w:usb1="4000205B" w:usb2="00000010" w:usb3="00000000" w:csb0="2000019F" w:csb1="00000000"/>
  </w:font>
  <w:font w:name="Tahoma">
    <w:panose1 w:val="020B0604030504040204"/>
    <w:charset w:val="00"/>
    <w:family w:val="swiss"/>
    <w:pitch w:val="default"/>
    <w:sig w:usb0="E1002EFF" w:usb1="C000605B" w:usb2="00000029" w:usb3="00000000" w:csb0="200101FF" w:csb1="20280000"/>
  </w:font>
  <w:font w:name="楷体_GB2312">
    <w:panose1 w:val="02010609030101010101"/>
    <w:charset w:val="86"/>
    <w:family w:val="modern"/>
    <w:pitch w:val="default"/>
    <w:sig w:usb0="00000001" w:usb1="080E0000" w:usb2="00000000" w:usb3="00000000" w:csb0="00040000" w:csb1="00000000"/>
  </w:font>
  <w:font w:name="ST Song">
    <w:altName w:val="宋体"/>
    <w:panose1 w:val="00000000000000000000"/>
    <w:charset w:val="86"/>
    <w:family w:val="auto"/>
    <w:pitch w:val="default"/>
    <w:sig w:usb0="00000000" w:usb1="00000000" w:usb2="00000010" w:usb3="00000000" w:csb0="00040000" w:csb1="00000000"/>
  </w:font>
  <w:font w:name="华文细黑">
    <w:altName w:val="微软雅黑"/>
    <w:panose1 w:val="02010600040101010101"/>
    <w:charset w:val="86"/>
    <w:family w:val="auto"/>
    <w:pitch w:val="default"/>
    <w:sig w:usb0="00000000" w:usb1="00000000" w:usb2="00000000" w:usb3="00000000" w:csb0="0004009F" w:csb1="DFD70000"/>
  </w:font>
  <w:font w:name="微软雅黑">
    <w:panose1 w:val="020B0503020204020204"/>
    <w:charset w:val="86"/>
    <w:family w:val="auto"/>
    <w:pitch w:val="default"/>
    <w:sig w:usb0="80000287" w:usb1="2ACF3C50" w:usb2="00000016" w:usb3="00000000" w:csb0="0004001F" w:csb1="00000000"/>
    <w:embedRegular r:id="rId4" w:fontKey="{5CC191F8-1CF3-4C35-9A7E-E2B387066A33}"/>
  </w:font>
  <w:font w:name="幼圆">
    <w:altName w:val="宋体"/>
    <w:panose1 w:val="02010509060101010101"/>
    <w:charset w:val="86"/>
    <w:family w:val="modern"/>
    <w:pitch w:val="default"/>
    <w:sig w:usb0="00000000" w:usb1="00000000" w:usb2="00000000" w:usb3="00000000" w:csb0="00040000" w:csb1="00000000"/>
  </w:font>
  <w:font w:name="Plotter">
    <w:altName w:val="仿宋_GB2312"/>
    <w:panose1 w:val="00000000000000000000"/>
    <w:charset w:val="00"/>
    <w:family w:val="auto"/>
    <w:pitch w:val="default"/>
    <w:sig w:usb0="00000000" w:usb1="00000000" w:usb2="0000006E" w:usb3="00000000" w:csb0="81763D14" w:csb1="BFF7D18D"/>
  </w:font>
  <w:font w:name="#?">
    <w:altName w:val="宋体"/>
    <w:panose1 w:val="00000000000000000000"/>
    <w:charset w:val="86"/>
    <w:family w:val="auto"/>
    <w:pitch w:val="default"/>
    <w:sig w:usb0="00000000" w:usb1="00000000" w:usb2="00000010" w:usb3="00000000" w:csb0="00040000" w:csb1="00000000"/>
  </w:font>
  <w:font w:name="Garamond">
    <w:altName w:val="PMingLiU-ExtB"/>
    <w:panose1 w:val="02020404030301010803"/>
    <w:charset w:val="00"/>
    <w:family w:val="roman"/>
    <w:pitch w:val="default"/>
    <w:sig w:usb0="00000000" w:usb1="00000000" w:usb2="00000000" w:usb3="00000000" w:csb0="0000009F" w:csb1="DFD70000"/>
  </w:font>
  <w:font w:name="PMingLiU-ExtB">
    <w:panose1 w:val="02020500000000000000"/>
    <w:charset w:val="88"/>
    <w:family w:val="auto"/>
    <w:pitch w:val="default"/>
    <w:sig w:usb0="8000002F" w:usb1="02000008" w:usb2="00000000" w:usb3="00000000" w:csb0="00100001" w:csb1="00000000"/>
  </w:font>
  <w:font w:name="ˎ̥">
    <w:altName w:val="喵大叔楷书"/>
    <w:panose1 w:val="00000000000000000000"/>
    <w:charset w:val="00"/>
    <w:family w:val="auto"/>
    <w:pitch w:val="default"/>
    <w:sig w:usb0="00000000" w:usb1="00000000" w:usb2="00000000" w:usb3="00000000" w:csb0="00040001" w:csb1="00000000"/>
  </w:font>
  <w:font w:name="喵大叔楷书">
    <w:panose1 w:val="02000503000000000000"/>
    <w:charset w:val="86"/>
    <w:family w:val="auto"/>
    <w:pitch w:val="default"/>
    <w:sig w:usb0="8000002F" w:usb1="084164F8" w:usb2="00000012" w:usb3="00000000" w:csb0="00040001" w:csb1="00000000"/>
  </w:font>
  <w:font w:name="Cambria">
    <w:panose1 w:val="02040503050406030204"/>
    <w:charset w:val="00"/>
    <w:family w:val="roman"/>
    <w:pitch w:val="default"/>
    <w:sig w:usb0="E00006FF" w:usb1="420024FF" w:usb2="02000000" w:usb3="00000000" w:csb0="2000019F" w:csb1="00000000"/>
  </w:font>
  <w:font w:name="五">
    <w:altName w:val="宋体"/>
    <w:panose1 w:val="00000000000000000000"/>
    <w:charset w:val="86"/>
    <w:family w:val="auto"/>
    <w:pitch w:val="default"/>
    <w:sig w:usb0="00000000" w:usb1="00000000" w:usb2="00000010" w:usb3="00000000" w:csb0="00040000" w:csb1="00000000"/>
  </w:font>
  <w:font w:name="E-F1">
    <w:altName w:val="Malgun Gothic"/>
    <w:panose1 w:val="00000000000000000000"/>
    <w:charset w:val="81"/>
    <w:family w:val="auto"/>
    <w:pitch w:val="default"/>
    <w:sig w:usb0="00000000" w:usb1="00000000" w:usb2="00000033" w:usb3="00000000" w:csb0="00080000" w:csb1="00000000"/>
  </w:font>
  <w:font w:name="Malgun Gothic">
    <w:panose1 w:val="020B0503020000020004"/>
    <w:charset w:val="81"/>
    <w:family w:val="auto"/>
    <w:pitch w:val="default"/>
    <w:sig w:usb0="9000002F" w:usb1="29D77CFB" w:usb2="00000012" w:usb3="00000000" w:csb0="00080001" w:csb1="00000000"/>
  </w:font>
  <w:font w:name="EU-F1">
    <w:altName w:val="宋体"/>
    <w:panose1 w:val="00000000000000000000"/>
    <w:charset w:val="86"/>
    <w:family w:val="script"/>
    <w:pitch w:val="default"/>
    <w:sig w:usb0="00000000" w:usb1="00000000" w:usb2="00000010" w:usb3="00000000" w:csb0="00040000" w:csb1="00000000"/>
  </w:font>
  <w:font w:name="华文中宋">
    <w:altName w:val="宋体"/>
    <w:panose1 w:val="02010600040101010101"/>
    <w:charset w:val="86"/>
    <w:family w:val="auto"/>
    <w:pitch w:val="default"/>
    <w:sig w:usb0="00000000" w:usb1="00000000" w:usb2="00000000" w:usb3="00000000" w:csb0="0004009F" w:csb1="DFD70000"/>
  </w:font>
  <w:font w:name="细宋体">
    <w:altName w:val="宋体"/>
    <w:panose1 w:val="00000000000000000000"/>
    <w:charset w:val="86"/>
    <w:family w:val="auto"/>
    <w:pitch w:val="default"/>
    <w:sig w:usb0="00000000" w:usb1="00000000" w:usb2="00000010" w:usb3="00000000" w:csb0="00040000" w:csb1="00000000"/>
  </w:font>
  <w:font w:name="方正小标宋简体">
    <w:panose1 w:val="02010601030101010101"/>
    <w:charset w:val="86"/>
    <w:family w:val="auto"/>
    <w:pitch w:val="default"/>
    <w:sig w:usb0="00000001" w:usb1="080E0000" w:usb2="00000000" w:usb3="00000000" w:csb0="00040000" w:csb1="00000000"/>
    <w:embedRegular r:id="rId5" w:fontKey="{06CCA988-2D10-4403-883A-265C369398D9}"/>
  </w:font>
  <w:font w:name="楷体">
    <w:panose1 w:val="02010609060101010101"/>
    <w:charset w:val="86"/>
    <w:family w:val="auto"/>
    <w:pitch w:val="default"/>
    <w:sig w:usb0="800002BF" w:usb1="38CF7CFA" w:usb2="00000016" w:usb3="00000000" w:csb0="00040001" w:csb1="00000000"/>
    <w:embedRegular r:id="rId6" w:fontKey="{CD973C84-A989-4EC4-8857-D08AA50BEA07}"/>
  </w:font>
  <w:font w:name="方正仿宋_GB2312">
    <w:panose1 w:val="02000000000000000000"/>
    <w:charset w:val="86"/>
    <w:family w:val="auto"/>
    <w:pitch w:val="default"/>
    <w:sig w:usb0="A00002BF" w:usb1="184F6CFA" w:usb2="00000012" w:usb3="00000000" w:csb0="00040001" w:csb1="00000000"/>
    <w:embedRegular r:id="rId7" w:fontKey="{A952A7B6-5D02-47B8-BB5F-74CDBD866F62}"/>
  </w:font>
  <w:font w:name="方正楷体_GB2312">
    <w:panose1 w:val="02000000000000000000"/>
    <w:charset w:val="86"/>
    <w:family w:val="auto"/>
    <w:pitch w:val="default"/>
    <w:sig w:usb0="A00002BF" w:usb1="184F6CFA" w:usb2="00000012" w:usb3="00000000" w:csb0="00040001" w:csb1="00000000"/>
    <w:embedRegular r:id="rId8" w:fontKey="{355E555E-FD02-456E-9A55-26A1EBC2A657}"/>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5"/>
      <w:jc w:val="center"/>
    </w:pPr>
    <w:r>
      <w:rPr>
        <w:sz w:val="18"/>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55"/>
                            <w:rPr>
                              <w:rFonts w:hint="eastAsia" w:ascii="宋体" w:hAnsi="宋体" w:eastAsia="宋体" w:cs="宋体"/>
                              <w:sz w:val="28"/>
                              <w:szCs w:val="28"/>
                              <w:lang w:eastAsia="zh-CN"/>
                            </w:rPr>
                          </w:pPr>
                          <w:r>
                            <w:rPr>
                              <w:rFonts w:hint="eastAsia" w:ascii="宋体" w:hAnsi="宋体" w:eastAsia="宋体" w:cs="宋体"/>
                              <w:sz w:val="28"/>
                              <w:szCs w:val="28"/>
                              <w:lang w:eastAsia="zh-CN"/>
                            </w:rPr>
                            <w:fldChar w:fldCharType="begin"/>
                          </w:r>
                          <w:r>
                            <w:rPr>
                              <w:rFonts w:hint="eastAsia" w:ascii="宋体" w:hAnsi="宋体" w:eastAsia="宋体" w:cs="宋体"/>
                              <w:sz w:val="28"/>
                              <w:szCs w:val="28"/>
                              <w:lang w:eastAsia="zh-CN"/>
                            </w:rPr>
                            <w:instrText xml:space="preserve"> PAGE  \* MERGEFORMAT </w:instrText>
                          </w:r>
                          <w:r>
                            <w:rPr>
                              <w:rFonts w:hint="eastAsia" w:ascii="宋体" w:hAnsi="宋体" w:eastAsia="宋体" w:cs="宋体"/>
                              <w:sz w:val="28"/>
                              <w:szCs w:val="28"/>
                              <w:lang w:eastAsia="zh-CN"/>
                            </w:rPr>
                            <w:fldChar w:fldCharType="separate"/>
                          </w:r>
                          <w:r>
                            <w:rPr>
                              <w:rFonts w:hint="eastAsia" w:ascii="宋体" w:hAnsi="宋体" w:eastAsia="宋体" w:cs="宋体"/>
                              <w:sz w:val="28"/>
                              <w:szCs w:val="28"/>
                              <w:lang w:eastAsia="zh-CN"/>
                            </w:rPr>
                            <w:t>1</w:t>
                          </w:r>
                          <w:r>
                            <w:rPr>
                              <w:rFonts w:hint="eastAsia" w:ascii="宋体" w:hAnsi="宋体" w:eastAsia="宋体" w:cs="宋体"/>
                              <w:sz w:val="28"/>
                              <w:szCs w:val="28"/>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KVIPQyAgAAY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pUg9DICAABhBAAADgAAAAAAAAABACAAAAAfAQAAZHJzL2Uyb0RvYy54bWxQSwUG&#10;AAAAAAYABgBZAQAAwwUAAAAA&#10;">
              <v:fill on="f" focussize="0,0"/>
              <v:stroke on="f" weight="0.5pt"/>
              <v:imagedata o:title=""/>
              <o:lock v:ext="edit" aspectratio="f"/>
              <v:textbox inset="0mm,0mm,0mm,0mm" style="mso-fit-shape-to-text:t;">
                <w:txbxContent>
                  <w:p>
                    <w:pPr>
                      <w:pStyle w:val="55"/>
                      <w:rPr>
                        <w:rFonts w:hint="eastAsia" w:ascii="宋体" w:hAnsi="宋体" w:eastAsia="宋体" w:cs="宋体"/>
                        <w:sz w:val="28"/>
                        <w:szCs w:val="28"/>
                        <w:lang w:eastAsia="zh-CN"/>
                      </w:rPr>
                    </w:pPr>
                    <w:r>
                      <w:rPr>
                        <w:rFonts w:hint="eastAsia" w:ascii="宋体" w:hAnsi="宋体" w:eastAsia="宋体" w:cs="宋体"/>
                        <w:sz w:val="28"/>
                        <w:szCs w:val="28"/>
                        <w:lang w:eastAsia="zh-CN"/>
                      </w:rPr>
                      <w:fldChar w:fldCharType="begin"/>
                    </w:r>
                    <w:r>
                      <w:rPr>
                        <w:rFonts w:hint="eastAsia" w:ascii="宋体" w:hAnsi="宋体" w:eastAsia="宋体" w:cs="宋体"/>
                        <w:sz w:val="28"/>
                        <w:szCs w:val="28"/>
                        <w:lang w:eastAsia="zh-CN"/>
                      </w:rPr>
                      <w:instrText xml:space="preserve"> PAGE  \* MERGEFORMAT </w:instrText>
                    </w:r>
                    <w:r>
                      <w:rPr>
                        <w:rFonts w:hint="eastAsia" w:ascii="宋体" w:hAnsi="宋体" w:eastAsia="宋体" w:cs="宋体"/>
                        <w:sz w:val="28"/>
                        <w:szCs w:val="28"/>
                        <w:lang w:eastAsia="zh-CN"/>
                      </w:rPr>
                      <w:fldChar w:fldCharType="separate"/>
                    </w:r>
                    <w:r>
                      <w:rPr>
                        <w:rFonts w:hint="eastAsia" w:ascii="宋体" w:hAnsi="宋体" w:eastAsia="宋体" w:cs="宋体"/>
                        <w:sz w:val="28"/>
                        <w:szCs w:val="28"/>
                        <w:lang w:eastAsia="zh-CN"/>
                      </w:rPr>
                      <w:t>1</w:t>
                    </w:r>
                    <w:r>
                      <w:rPr>
                        <w:rFonts w:hint="eastAsia" w:ascii="宋体" w:hAnsi="宋体" w:eastAsia="宋体" w:cs="宋体"/>
                        <w:sz w:val="28"/>
                        <w:szCs w:val="28"/>
                        <w:lang w:eastAsia="zh-CN"/>
                      </w:rPr>
                      <w:fldChar w:fldCharType="end"/>
                    </w:r>
                  </w:p>
                </w:txbxContent>
              </v:textbox>
            </v:shape>
          </w:pict>
        </mc:Fallback>
      </mc:AlternateContent>
    </w:r>
  </w:p>
  <w:p>
    <w:pPr>
      <w:pStyle w:val="5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5"/>
      <w:jc w:val="center"/>
      <w:rPr>
        <w:sz w:val="21"/>
        <w:szCs w:val="21"/>
      </w:rPr>
    </w:pPr>
    <w:r>
      <w:rPr>
        <w:sz w:val="21"/>
      </w:rP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55"/>
                            <w:rPr>
                              <w:rFonts w:hint="eastAsia" w:eastAsia="宋体"/>
                              <w:lang w:eastAsia="zh-CN"/>
                            </w:rPr>
                          </w:pPr>
                          <w:r>
                            <w:rPr>
                              <w:rFonts w:hint="eastAsia" w:ascii="宋体" w:hAnsi="宋体" w:eastAsia="宋体" w:cs="宋体"/>
                              <w:sz w:val="28"/>
                              <w:szCs w:val="28"/>
                              <w:lang w:eastAsia="zh-CN"/>
                            </w:rPr>
                            <w:fldChar w:fldCharType="begin"/>
                          </w:r>
                          <w:r>
                            <w:rPr>
                              <w:rFonts w:hint="eastAsia" w:ascii="宋体" w:hAnsi="宋体" w:eastAsia="宋体" w:cs="宋体"/>
                              <w:sz w:val="28"/>
                              <w:szCs w:val="28"/>
                              <w:lang w:eastAsia="zh-CN"/>
                            </w:rPr>
                            <w:instrText xml:space="preserve"> PAGE  \* MERGEFORMAT </w:instrText>
                          </w:r>
                          <w:r>
                            <w:rPr>
                              <w:rFonts w:hint="eastAsia" w:ascii="宋体" w:hAnsi="宋体" w:eastAsia="宋体" w:cs="宋体"/>
                              <w:sz w:val="28"/>
                              <w:szCs w:val="28"/>
                              <w:lang w:eastAsia="zh-CN"/>
                            </w:rPr>
                            <w:fldChar w:fldCharType="separate"/>
                          </w:r>
                          <w:r>
                            <w:rPr>
                              <w:rFonts w:hint="eastAsia" w:ascii="宋体" w:hAnsi="宋体" w:eastAsia="宋体" w:cs="宋体"/>
                              <w:sz w:val="28"/>
                              <w:szCs w:val="28"/>
                              <w:lang w:eastAsia="zh-CN"/>
                            </w:rPr>
                            <w:t>5</w:t>
                          </w:r>
                          <w:r>
                            <w:rPr>
                              <w:rFonts w:hint="eastAsia" w:ascii="宋体" w:hAnsi="宋体" w:eastAsia="宋体" w:cs="宋体"/>
                              <w:sz w:val="28"/>
                              <w:szCs w:val="28"/>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v:fill on="f" focussize="0,0"/>
              <v:stroke on="f" weight="0.5pt"/>
              <v:imagedata o:title=""/>
              <o:lock v:ext="edit" aspectratio="f"/>
              <v:textbox inset="0mm,0mm,0mm,0mm" style="mso-fit-shape-to-text:t;">
                <w:txbxContent>
                  <w:p>
                    <w:pPr>
                      <w:pStyle w:val="55"/>
                      <w:rPr>
                        <w:rFonts w:hint="eastAsia" w:eastAsia="宋体"/>
                        <w:lang w:eastAsia="zh-CN"/>
                      </w:rPr>
                    </w:pPr>
                    <w:r>
                      <w:rPr>
                        <w:rFonts w:hint="eastAsia" w:ascii="宋体" w:hAnsi="宋体" w:eastAsia="宋体" w:cs="宋体"/>
                        <w:sz w:val="28"/>
                        <w:szCs w:val="28"/>
                        <w:lang w:eastAsia="zh-CN"/>
                      </w:rPr>
                      <w:fldChar w:fldCharType="begin"/>
                    </w:r>
                    <w:r>
                      <w:rPr>
                        <w:rFonts w:hint="eastAsia" w:ascii="宋体" w:hAnsi="宋体" w:eastAsia="宋体" w:cs="宋体"/>
                        <w:sz w:val="28"/>
                        <w:szCs w:val="28"/>
                        <w:lang w:eastAsia="zh-CN"/>
                      </w:rPr>
                      <w:instrText xml:space="preserve"> PAGE  \* MERGEFORMAT </w:instrText>
                    </w:r>
                    <w:r>
                      <w:rPr>
                        <w:rFonts w:hint="eastAsia" w:ascii="宋体" w:hAnsi="宋体" w:eastAsia="宋体" w:cs="宋体"/>
                        <w:sz w:val="28"/>
                        <w:szCs w:val="28"/>
                        <w:lang w:eastAsia="zh-CN"/>
                      </w:rPr>
                      <w:fldChar w:fldCharType="separate"/>
                    </w:r>
                    <w:r>
                      <w:rPr>
                        <w:rFonts w:hint="eastAsia" w:ascii="宋体" w:hAnsi="宋体" w:eastAsia="宋体" w:cs="宋体"/>
                        <w:sz w:val="28"/>
                        <w:szCs w:val="28"/>
                        <w:lang w:eastAsia="zh-CN"/>
                      </w:rPr>
                      <w:t>5</w:t>
                    </w:r>
                    <w:r>
                      <w:rPr>
                        <w:rFonts w:hint="eastAsia" w:ascii="宋体" w:hAnsi="宋体" w:eastAsia="宋体" w:cs="宋体"/>
                        <w:sz w:val="28"/>
                        <w:szCs w:val="28"/>
                        <w:lang w:eastAsia="zh-CN"/>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3"/>
      <w:ind w:right="360" w:firstLine="480"/>
      <w:jc w:val="center"/>
      <w:rPr>
        <w:rFonts w:ascii="黑体" w:eastAsia="黑体"/>
        <w:sz w:val="24"/>
        <w:szCs w:val="24"/>
      </w:rPr>
    </w:pPr>
    <w:r>
      <w:rPr>
        <w:sz w:val="24"/>
      </w:rPr>
      <mc:AlternateContent>
        <mc:Choice Requires="wps">
          <w:drawing>
            <wp:anchor distT="0" distB="0" distL="114300" distR="114300" simplePos="0" relativeHeight="251661312" behindDoc="0" locked="0" layoutInCell="1" allowOverlap="1">
              <wp:simplePos x="0" y="0"/>
              <wp:positionH relativeFrom="margin">
                <wp:align>outside</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55"/>
                            <w:rPr>
                              <w:rFonts w:hint="eastAsia" w:ascii="宋体" w:hAnsi="宋体" w:eastAsia="宋体" w:cs="宋体"/>
                              <w:sz w:val="28"/>
                              <w:szCs w:val="28"/>
                              <w:lang w:eastAsia="zh-CN"/>
                            </w:rPr>
                          </w:pPr>
                          <w:r>
                            <w:rPr>
                              <w:rFonts w:hint="eastAsia" w:ascii="宋体" w:hAnsi="宋体" w:eastAsia="宋体" w:cs="宋体"/>
                              <w:sz w:val="28"/>
                              <w:szCs w:val="28"/>
                              <w:lang w:eastAsia="zh-CN"/>
                            </w:rPr>
                            <w:fldChar w:fldCharType="begin"/>
                          </w:r>
                          <w:r>
                            <w:rPr>
                              <w:rFonts w:hint="eastAsia" w:ascii="宋体" w:hAnsi="宋体" w:eastAsia="宋体" w:cs="宋体"/>
                              <w:sz w:val="28"/>
                              <w:szCs w:val="28"/>
                              <w:lang w:eastAsia="zh-CN"/>
                            </w:rPr>
                            <w:instrText xml:space="preserve"> PAGE  \* MERGEFORMAT </w:instrText>
                          </w:r>
                          <w:r>
                            <w:rPr>
                              <w:rFonts w:hint="eastAsia" w:ascii="宋体" w:hAnsi="宋体" w:eastAsia="宋体" w:cs="宋体"/>
                              <w:sz w:val="28"/>
                              <w:szCs w:val="28"/>
                              <w:lang w:eastAsia="zh-CN"/>
                            </w:rPr>
                            <w:fldChar w:fldCharType="separate"/>
                          </w:r>
                          <w:r>
                            <w:rPr>
                              <w:rFonts w:hint="eastAsia" w:ascii="宋体" w:hAnsi="宋体" w:eastAsia="宋体" w:cs="宋体"/>
                              <w:sz w:val="28"/>
                              <w:szCs w:val="28"/>
                              <w:lang w:eastAsia="zh-CN"/>
                            </w:rPr>
                            <w:t>101</w:t>
                          </w:r>
                          <w:r>
                            <w:rPr>
                              <w:rFonts w:hint="eastAsia" w:ascii="宋体" w:hAnsi="宋体" w:eastAsia="宋体" w:cs="宋体"/>
                              <w:sz w:val="28"/>
                              <w:szCs w:val="28"/>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sAOHox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rADh6MQIAAGMEAAAOAAAAAAAAAAEAIAAAAB8BAABkcnMvZTJvRG9jLnhtbFBLBQYA&#10;AAAABgAGAFkBAADCBQAAAAA=&#10;">
              <v:fill on="f" focussize="0,0"/>
              <v:stroke on="f" weight="0.5pt"/>
              <v:imagedata o:title=""/>
              <o:lock v:ext="edit" aspectratio="f"/>
              <v:textbox inset="0mm,0mm,0mm,0mm" style="mso-fit-shape-to-text:t;">
                <w:txbxContent>
                  <w:p>
                    <w:pPr>
                      <w:pStyle w:val="55"/>
                      <w:rPr>
                        <w:rFonts w:hint="eastAsia" w:ascii="宋体" w:hAnsi="宋体" w:eastAsia="宋体" w:cs="宋体"/>
                        <w:sz w:val="28"/>
                        <w:szCs w:val="28"/>
                        <w:lang w:eastAsia="zh-CN"/>
                      </w:rPr>
                    </w:pPr>
                    <w:r>
                      <w:rPr>
                        <w:rFonts w:hint="eastAsia" w:ascii="宋体" w:hAnsi="宋体" w:eastAsia="宋体" w:cs="宋体"/>
                        <w:sz w:val="28"/>
                        <w:szCs w:val="28"/>
                        <w:lang w:eastAsia="zh-CN"/>
                      </w:rPr>
                      <w:fldChar w:fldCharType="begin"/>
                    </w:r>
                    <w:r>
                      <w:rPr>
                        <w:rFonts w:hint="eastAsia" w:ascii="宋体" w:hAnsi="宋体" w:eastAsia="宋体" w:cs="宋体"/>
                        <w:sz w:val="28"/>
                        <w:szCs w:val="28"/>
                        <w:lang w:eastAsia="zh-CN"/>
                      </w:rPr>
                      <w:instrText xml:space="preserve"> PAGE  \* MERGEFORMAT </w:instrText>
                    </w:r>
                    <w:r>
                      <w:rPr>
                        <w:rFonts w:hint="eastAsia" w:ascii="宋体" w:hAnsi="宋体" w:eastAsia="宋体" w:cs="宋体"/>
                        <w:sz w:val="28"/>
                        <w:szCs w:val="28"/>
                        <w:lang w:eastAsia="zh-CN"/>
                      </w:rPr>
                      <w:fldChar w:fldCharType="separate"/>
                    </w:r>
                    <w:r>
                      <w:rPr>
                        <w:rFonts w:hint="eastAsia" w:ascii="宋体" w:hAnsi="宋体" w:eastAsia="宋体" w:cs="宋体"/>
                        <w:sz w:val="28"/>
                        <w:szCs w:val="28"/>
                        <w:lang w:eastAsia="zh-CN"/>
                      </w:rPr>
                      <w:t>101</w:t>
                    </w:r>
                    <w:r>
                      <w:rPr>
                        <w:rFonts w:hint="eastAsia" w:ascii="宋体" w:hAnsi="宋体" w:eastAsia="宋体" w:cs="宋体"/>
                        <w:sz w:val="28"/>
                        <w:szCs w:val="28"/>
                        <w:lang w:eastAsia="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360" w:lineRule="auto"/>
      <w:ind w:right="480" w:rightChars="200"/>
      <w:rPr>
        <w:rFonts w:eastAsia="黑体"/>
        <w:sz w:val="18"/>
        <w:szCs w:val="1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89C3C67"/>
    <w:multiLevelType w:val="singleLevel"/>
    <w:tmpl w:val="889C3C67"/>
    <w:lvl w:ilvl="0" w:tentative="0">
      <w:start w:val="1"/>
      <w:numFmt w:val="decimal"/>
      <w:lvlText w:val="%1."/>
      <w:lvlJc w:val="left"/>
      <w:pPr>
        <w:tabs>
          <w:tab w:val="left" w:pos="312"/>
        </w:tabs>
      </w:pPr>
    </w:lvl>
  </w:abstractNum>
  <w:abstractNum w:abstractNumId="1">
    <w:nsid w:val="8BCC6356"/>
    <w:multiLevelType w:val="singleLevel"/>
    <w:tmpl w:val="8BCC6356"/>
    <w:lvl w:ilvl="0" w:tentative="0">
      <w:start w:val="1"/>
      <w:numFmt w:val="decimal"/>
      <w:lvlText w:val="%1."/>
      <w:lvlJc w:val="left"/>
      <w:pPr>
        <w:tabs>
          <w:tab w:val="left" w:pos="312"/>
        </w:tabs>
      </w:pPr>
    </w:lvl>
  </w:abstractNum>
  <w:abstractNum w:abstractNumId="2">
    <w:nsid w:val="D289240F"/>
    <w:multiLevelType w:val="singleLevel"/>
    <w:tmpl w:val="D289240F"/>
    <w:lvl w:ilvl="0" w:tentative="0">
      <w:start w:val="3"/>
      <w:numFmt w:val="decimal"/>
      <w:lvlText w:val="%1."/>
      <w:lvlJc w:val="left"/>
      <w:pPr>
        <w:tabs>
          <w:tab w:val="left" w:pos="312"/>
        </w:tabs>
      </w:pPr>
    </w:lvl>
  </w:abstractNum>
  <w:abstractNum w:abstractNumId="3">
    <w:nsid w:val="FFFFFF7C"/>
    <w:multiLevelType w:val="singleLevel"/>
    <w:tmpl w:val="FFFFFF7C"/>
    <w:lvl w:ilvl="0" w:tentative="0">
      <w:start w:val="1"/>
      <w:numFmt w:val="decimal"/>
      <w:pStyle w:val="65"/>
      <w:lvlText w:val="%1."/>
      <w:lvlJc w:val="left"/>
      <w:pPr>
        <w:tabs>
          <w:tab w:val="left" w:pos="2040"/>
        </w:tabs>
        <w:ind w:left="2040" w:leftChars="800" w:hanging="360" w:hangingChars="200"/>
      </w:pPr>
    </w:lvl>
  </w:abstractNum>
  <w:abstractNum w:abstractNumId="4">
    <w:nsid w:val="FFFFFF7D"/>
    <w:multiLevelType w:val="singleLevel"/>
    <w:tmpl w:val="FFFFFF7D"/>
    <w:lvl w:ilvl="0" w:tentative="0">
      <w:start w:val="1"/>
      <w:numFmt w:val="decimal"/>
      <w:pStyle w:val="47"/>
      <w:lvlText w:val="%1."/>
      <w:lvlJc w:val="left"/>
      <w:pPr>
        <w:tabs>
          <w:tab w:val="left" w:pos="1620"/>
        </w:tabs>
        <w:ind w:left="1620" w:leftChars="600" w:hanging="360" w:hangingChars="200"/>
      </w:pPr>
    </w:lvl>
  </w:abstractNum>
  <w:abstractNum w:abstractNumId="5">
    <w:nsid w:val="FFFFFF7E"/>
    <w:multiLevelType w:val="singleLevel"/>
    <w:tmpl w:val="FFFFFF7E"/>
    <w:lvl w:ilvl="0" w:tentative="0">
      <w:start w:val="1"/>
      <w:numFmt w:val="decimal"/>
      <w:pStyle w:val="36"/>
      <w:lvlText w:val="%1."/>
      <w:lvlJc w:val="left"/>
      <w:pPr>
        <w:tabs>
          <w:tab w:val="left" w:pos="1200"/>
        </w:tabs>
        <w:ind w:left="1200" w:leftChars="400" w:hanging="360" w:hangingChars="200"/>
      </w:pPr>
    </w:lvl>
  </w:abstractNum>
  <w:abstractNum w:abstractNumId="6">
    <w:nsid w:val="FFFFFF7F"/>
    <w:multiLevelType w:val="singleLevel"/>
    <w:tmpl w:val="FFFFFF7F"/>
    <w:lvl w:ilvl="0" w:tentative="0">
      <w:start w:val="1"/>
      <w:numFmt w:val="decimal"/>
      <w:pStyle w:val="15"/>
      <w:lvlText w:val="%1."/>
      <w:lvlJc w:val="left"/>
      <w:pPr>
        <w:tabs>
          <w:tab w:val="left" w:pos="780"/>
        </w:tabs>
        <w:ind w:left="780" w:leftChars="200" w:hanging="360" w:hangingChars="200"/>
      </w:pPr>
    </w:lvl>
  </w:abstractNum>
  <w:abstractNum w:abstractNumId="7">
    <w:nsid w:val="FFFFFF80"/>
    <w:multiLevelType w:val="singleLevel"/>
    <w:tmpl w:val="FFFFFF80"/>
    <w:lvl w:ilvl="0" w:tentative="0">
      <w:start w:val="1"/>
      <w:numFmt w:val="bullet"/>
      <w:pStyle w:val="46"/>
      <w:lvlText w:val=""/>
      <w:lvlJc w:val="left"/>
      <w:pPr>
        <w:tabs>
          <w:tab w:val="left" w:pos="2040"/>
        </w:tabs>
        <w:ind w:left="2040" w:leftChars="800" w:hanging="360" w:hangingChars="200"/>
      </w:pPr>
      <w:rPr>
        <w:rFonts w:hint="default" w:ascii="Wingdings" w:hAnsi="Wingdings"/>
      </w:rPr>
    </w:lvl>
  </w:abstractNum>
  <w:abstractNum w:abstractNumId="8">
    <w:nsid w:val="FFFFFF81"/>
    <w:multiLevelType w:val="singleLevel"/>
    <w:tmpl w:val="FFFFFF81"/>
    <w:lvl w:ilvl="0" w:tentative="0">
      <w:start w:val="1"/>
      <w:numFmt w:val="bullet"/>
      <w:pStyle w:val="18"/>
      <w:lvlText w:val=""/>
      <w:lvlJc w:val="left"/>
      <w:pPr>
        <w:tabs>
          <w:tab w:val="left" w:pos="1620"/>
        </w:tabs>
        <w:ind w:left="1620" w:leftChars="600" w:hanging="360" w:hangingChars="200"/>
      </w:pPr>
      <w:rPr>
        <w:rFonts w:hint="default" w:ascii="Wingdings" w:hAnsi="Wingdings"/>
      </w:rPr>
    </w:lvl>
  </w:abstractNum>
  <w:abstractNum w:abstractNumId="9">
    <w:nsid w:val="FFFFFF82"/>
    <w:multiLevelType w:val="singleLevel"/>
    <w:tmpl w:val="FFFFFF82"/>
    <w:lvl w:ilvl="0" w:tentative="0">
      <w:start w:val="1"/>
      <w:numFmt w:val="bullet"/>
      <w:pStyle w:val="33"/>
      <w:lvlText w:val=""/>
      <w:lvlJc w:val="left"/>
      <w:pPr>
        <w:tabs>
          <w:tab w:val="left" w:pos="1200"/>
        </w:tabs>
        <w:ind w:left="1200" w:leftChars="400" w:hanging="360" w:hangingChars="200"/>
      </w:pPr>
      <w:rPr>
        <w:rFonts w:hint="default" w:ascii="Wingdings" w:hAnsi="Wingdings"/>
      </w:rPr>
    </w:lvl>
  </w:abstractNum>
  <w:abstractNum w:abstractNumId="10">
    <w:nsid w:val="FFFFFF83"/>
    <w:multiLevelType w:val="singleLevel"/>
    <w:tmpl w:val="FFFFFF83"/>
    <w:lvl w:ilvl="0" w:tentative="0">
      <w:start w:val="1"/>
      <w:numFmt w:val="bullet"/>
      <w:pStyle w:val="40"/>
      <w:lvlText w:val=""/>
      <w:lvlJc w:val="left"/>
      <w:pPr>
        <w:tabs>
          <w:tab w:val="left" w:pos="780"/>
        </w:tabs>
        <w:ind w:left="780" w:leftChars="200" w:hanging="360" w:hangingChars="200"/>
      </w:pPr>
      <w:rPr>
        <w:rFonts w:hint="default" w:ascii="Wingdings" w:hAnsi="Wingdings"/>
      </w:rPr>
    </w:lvl>
  </w:abstractNum>
  <w:abstractNum w:abstractNumId="11">
    <w:nsid w:val="FFFFFF88"/>
    <w:multiLevelType w:val="singleLevel"/>
    <w:tmpl w:val="FFFFFF88"/>
    <w:lvl w:ilvl="0" w:tentative="0">
      <w:start w:val="1"/>
      <w:numFmt w:val="decimal"/>
      <w:pStyle w:val="21"/>
      <w:lvlText w:val="%1."/>
      <w:lvlJc w:val="left"/>
      <w:pPr>
        <w:tabs>
          <w:tab w:val="left" w:pos="360"/>
        </w:tabs>
        <w:ind w:left="360" w:hanging="360" w:hangingChars="200"/>
      </w:pPr>
    </w:lvl>
  </w:abstractNum>
  <w:abstractNum w:abstractNumId="12">
    <w:nsid w:val="FFFFFF89"/>
    <w:multiLevelType w:val="singleLevel"/>
    <w:tmpl w:val="FFFFFF89"/>
    <w:lvl w:ilvl="0" w:tentative="0">
      <w:start w:val="1"/>
      <w:numFmt w:val="bullet"/>
      <w:pStyle w:val="24"/>
      <w:lvlText w:val=""/>
      <w:lvlJc w:val="left"/>
      <w:pPr>
        <w:tabs>
          <w:tab w:val="left" w:pos="360"/>
        </w:tabs>
        <w:ind w:left="360" w:hanging="360" w:hangingChars="200"/>
      </w:pPr>
      <w:rPr>
        <w:rFonts w:hint="default" w:ascii="Wingdings" w:hAnsi="Wingdings"/>
      </w:rPr>
    </w:lvl>
  </w:abstractNum>
  <w:abstractNum w:abstractNumId="13">
    <w:nsid w:val="035A37A8"/>
    <w:multiLevelType w:val="multilevel"/>
    <w:tmpl w:val="035A37A8"/>
    <w:lvl w:ilvl="0" w:tentative="0">
      <w:start w:val="1"/>
      <w:numFmt w:val="decimal"/>
      <w:lvlText w:val="%1)"/>
      <w:lvlJc w:val="left"/>
      <w:pPr>
        <w:tabs>
          <w:tab w:val="left" w:pos="900"/>
        </w:tabs>
        <w:ind w:left="900" w:hanging="42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pStyle w:val="330"/>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4">
    <w:nsid w:val="036F7661"/>
    <w:multiLevelType w:val="multilevel"/>
    <w:tmpl w:val="036F7661"/>
    <w:lvl w:ilvl="0" w:tentative="0">
      <w:start w:val="1"/>
      <w:numFmt w:val="decimal"/>
      <w:lvlText w:val="%1)"/>
      <w:lvlJc w:val="left"/>
      <w:pPr>
        <w:tabs>
          <w:tab w:val="left" w:pos="900"/>
        </w:tabs>
        <w:ind w:left="900" w:hanging="420"/>
      </w:pPr>
      <w:rPr>
        <w:rFonts w:hint="eastAsia"/>
      </w:rPr>
    </w:lvl>
    <w:lvl w:ilvl="1" w:tentative="0">
      <w:start w:val="1"/>
      <w:numFmt w:val="lowerLetter"/>
      <w:pStyle w:val="321"/>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5">
    <w:nsid w:val="084C07D1"/>
    <w:multiLevelType w:val="multilevel"/>
    <w:tmpl w:val="084C07D1"/>
    <w:lvl w:ilvl="0" w:tentative="0">
      <w:start w:val="1"/>
      <w:numFmt w:val="decimal"/>
      <w:lvlText w:val="%1"/>
      <w:lvlJc w:val="left"/>
      <w:pPr>
        <w:ind w:left="425" w:hanging="425"/>
      </w:pPr>
      <w:rPr>
        <w:rFonts w:hint="eastAsia"/>
      </w:rPr>
    </w:lvl>
    <w:lvl w:ilvl="1" w:tentative="0">
      <w:start w:val="1"/>
      <w:numFmt w:val="decimal"/>
      <w:lvlText w:val="%1.%2"/>
      <w:lvlJc w:val="left"/>
      <w:pPr>
        <w:ind w:left="992" w:hanging="567"/>
      </w:pPr>
      <w:rPr>
        <w:rFonts w:hint="eastAsia"/>
      </w:rPr>
    </w:lvl>
    <w:lvl w:ilvl="2" w:tentative="0">
      <w:start w:val="1"/>
      <w:numFmt w:val="decimal"/>
      <w:lvlText w:val="%1.%2.%3"/>
      <w:lvlJc w:val="left"/>
      <w:pPr>
        <w:ind w:left="1418" w:hanging="567"/>
      </w:pPr>
      <w:rPr>
        <w:rFonts w:hint="eastAsia"/>
      </w:rPr>
    </w:lvl>
    <w:lvl w:ilvl="3" w:tentative="0">
      <w:start w:val="1"/>
      <w:numFmt w:val="decimal"/>
      <w:lvlText w:val="6.%2.2.%4"/>
      <w:lvlJc w:val="left"/>
      <w:pPr>
        <w:ind w:left="1276"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6">
    <w:nsid w:val="0B336405"/>
    <w:multiLevelType w:val="multilevel"/>
    <w:tmpl w:val="0B336405"/>
    <w:lvl w:ilvl="0" w:tentative="0">
      <w:start w:val="1"/>
      <w:numFmt w:val="decimal"/>
      <w:pStyle w:val="592"/>
      <w:lvlText w:val="%1"/>
      <w:lvlJc w:val="left"/>
      <w:pPr>
        <w:tabs>
          <w:tab w:val="left" w:pos="425"/>
        </w:tabs>
        <w:ind w:left="425" w:hanging="425"/>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571"/>
        </w:tabs>
        <w:ind w:left="1418" w:hanging="567"/>
      </w:pPr>
    </w:lvl>
    <w:lvl w:ilvl="3" w:tentative="0">
      <w:start w:val="1"/>
      <w:numFmt w:val="decimal"/>
      <w:lvlText w:val="%1.%2.%3.%4"/>
      <w:lvlJc w:val="left"/>
      <w:pPr>
        <w:tabs>
          <w:tab w:val="left" w:pos="2356"/>
        </w:tabs>
        <w:ind w:left="1984" w:hanging="708"/>
      </w:pPr>
    </w:lvl>
    <w:lvl w:ilvl="4" w:tentative="0">
      <w:start w:val="1"/>
      <w:numFmt w:val="decimal"/>
      <w:lvlText w:val="%1.%2.%3.%4.%5"/>
      <w:lvlJc w:val="left"/>
      <w:pPr>
        <w:tabs>
          <w:tab w:val="left" w:pos="3141"/>
        </w:tabs>
        <w:ind w:left="2551" w:hanging="850"/>
      </w:pPr>
    </w:lvl>
    <w:lvl w:ilvl="5" w:tentative="0">
      <w:start w:val="1"/>
      <w:numFmt w:val="decimal"/>
      <w:lvlText w:val="%1.%2.%3.%4.%5.%6"/>
      <w:lvlJc w:val="left"/>
      <w:pPr>
        <w:tabs>
          <w:tab w:val="left" w:pos="3566"/>
        </w:tabs>
        <w:ind w:left="3260" w:hanging="1134"/>
      </w:pPr>
    </w:lvl>
    <w:lvl w:ilvl="6" w:tentative="0">
      <w:start w:val="1"/>
      <w:numFmt w:val="decimal"/>
      <w:lvlText w:val="%1.%2.%3.%4.%5.%6.%7"/>
      <w:lvlJc w:val="left"/>
      <w:pPr>
        <w:tabs>
          <w:tab w:val="left" w:pos="4351"/>
        </w:tabs>
        <w:ind w:left="3827" w:hanging="1276"/>
      </w:pPr>
    </w:lvl>
    <w:lvl w:ilvl="7" w:tentative="0">
      <w:start w:val="1"/>
      <w:numFmt w:val="decimal"/>
      <w:lvlText w:val="%1.%2.%3.%4.%5.%6.%7.%8"/>
      <w:lvlJc w:val="left"/>
      <w:pPr>
        <w:tabs>
          <w:tab w:val="left" w:pos="4776"/>
        </w:tabs>
        <w:ind w:left="4394" w:hanging="1418"/>
      </w:pPr>
    </w:lvl>
    <w:lvl w:ilvl="8" w:tentative="0">
      <w:start w:val="1"/>
      <w:numFmt w:val="decimal"/>
      <w:lvlText w:val="%1.%2.%3.%4.%5.%6.%7.%8.%9"/>
      <w:lvlJc w:val="left"/>
      <w:pPr>
        <w:tabs>
          <w:tab w:val="left" w:pos="5562"/>
        </w:tabs>
        <w:ind w:left="5102" w:hanging="1700"/>
      </w:pPr>
    </w:lvl>
  </w:abstractNum>
  <w:abstractNum w:abstractNumId="17">
    <w:nsid w:val="17B35ABE"/>
    <w:multiLevelType w:val="multilevel"/>
    <w:tmpl w:val="17B35ABE"/>
    <w:lvl w:ilvl="0" w:tentative="0">
      <w:start w:val="1"/>
      <w:numFmt w:val="decimal"/>
      <w:pStyle w:val="331"/>
      <w:lvlText w:val="%1)"/>
      <w:lvlJc w:val="left"/>
      <w:pPr>
        <w:tabs>
          <w:tab w:val="left" w:pos="900"/>
        </w:tabs>
        <w:ind w:left="900" w:hanging="42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8">
    <w:nsid w:val="1D211FCF"/>
    <w:multiLevelType w:val="multilevel"/>
    <w:tmpl w:val="1D211FCF"/>
    <w:lvl w:ilvl="0" w:tentative="0">
      <w:start w:val="1"/>
      <w:numFmt w:val="decimal"/>
      <w:pStyle w:val="668"/>
      <w:lvlText w:val="%1."/>
      <w:lvlJc w:val="left"/>
      <w:pPr>
        <w:tabs>
          <w:tab w:val="left" w:pos="425"/>
        </w:tabs>
        <w:ind w:left="425" w:hanging="425"/>
      </w:pPr>
    </w:lvl>
    <w:lvl w:ilvl="1" w:tentative="0">
      <w:start w:val="1"/>
      <w:numFmt w:val="decimal"/>
      <w:lvlText w:val="%1.%2."/>
      <w:lvlJc w:val="left"/>
      <w:pPr>
        <w:tabs>
          <w:tab w:val="left" w:pos="567"/>
        </w:tabs>
        <w:ind w:left="567" w:hanging="567"/>
      </w:pPr>
    </w:lvl>
    <w:lvl w:ilvl="2" w:tentative="0">
      <w:start w:val="1"/>
      <w:numFmt w:val="decimal"/>
      <w:lvlText w:val="%1.%2.%3."/>
      <w:lvlJc w:val="left"/>
      <w:pPr>
        <w:tabs>
          <w:tab w:val="left" w:pos="709"/>
        </w:tabs>
        <w:ind w:left="709" w:hanging="709"/>
      </w:pPr>
    </w:lvl>
    <w:lvl w:ilvl="3" w:tentative="0">
      <w:start w:val="1"/>
      <w:numFmt w:val="decimal"/>
      <w:lvlText w:val="%1.%2.%3.%4."/>
      <w:lvlJc w:val="left"/>
      <w:pPr>
        <w:tabs>
          <w:tab w:val="left" w:pos="851"/>
        </w:tabs>
        <w:ind w:left="851" w:hanging="851"/>
      </w:pPr>
    </w:lvl>
    <w:lvl w:ilvl="4" w:tentative="0">
      <w:start w:val="1"/>
      <w:numFmt w:val="decimal"/>
      <w:lvlText w:val="%1.%2.%3.%4.%5."/>
      <w:lvlJc w:val="left"/>
      <w:pPr>
        <w:tabs>
          <w:tab w:val="left" w:pos="992"/>
        </w:tabs>
        <w:ind w:left="992" w:hanging="992"/>
      </w:pPr>
    </w:lvl>
    <w:lvl w:ilvl="5" w:tentative="0">
      <w:start w:val="1"/>
      <w:numFmt w:val="decimal"/>
      <w:lvlText w:val="%1.%2.%3.%4.%5.%6."/>
      <w:lvlJc w:val="left"/>
      <w:pPr>
        <w:tabs>
          <w:tab w:val="left" w:pos="1134"/>
        </w:tabs>
        <w:ind w:left="1134" w:hanging="1134"/>
      </w:pPr>
    </w:lvl>
    <w:lvl w:ilvl="6" w:tentative="0">
      <w:start w:val="1"/>
      <w:numFmt w:val="decimal"/>
      <w:lvlText w:val="%1.%2.%3.%4.%5.%6.%7."/>
      <w:lvlJc w:val="left"/>
      <w:pPr>
        <w:tabs>
          <w:tab w:val="left" w:pos="1276"/>
        </w:tabs>
        <w:ind w:left="1276" w:hanging="1276"/>
      </w:pPr>
    </w:lvl>
    <w:lvl w:ilvl="7" w:tentative="0">
      <w:start w:val="1"/>
      <w:numFmt w:val="decimal"/>
      <w:lvlText w:val="%1.%2.%3.%4.%5.%6.%7.%8."/>
      <w:lvlJc w:val="left"/>
      <w:pPr>
        <w:tabs>
          <w:tab w:val="left" w:pos="1418"/>
        </w:tabs>
        <w:ind w:left="1418" w:hanging="1418"/>
      </w:pPr>
    </w:lvl>
    <w:lvl w:ilvl="8" w:tentative="0">
      <w:start w:val="1"/>
      <w:numFmt w:val="decimal"/>
      <w:lvlText w:val="%1.%2.%3.%4.%5.%6.%7.%8.%9."/>
      <w:lvlJc w:val="left"/>
      <w:pPr>
        <w:tabs>
          <w:tab w:val="left" w:pos="1559"/>
        </w:tabs>
        <w:ind w:left="1559" w:hanging="1559"/>
      </w:pPr>
    </w:lvl>
  </w:abstractNum>
  <w:abstractNum w:abstractNumId="19">
    <w:nsid w:val="2087126D"/>
    <w:multiLevelType w:val="multilevel"/>
    <w:tmpl w:val="2087126D"/>
    <w:lvl w:ilvl="0" w:tentative="0">
      <w:start w:val="1"/>
      <w:numFmt w:val="decimal"/>
      <w:pStyle w:val="1153"/>
      <w:lvlText w:val="%1)"/>
      <w:lvlJc w:val="left"/>
      <w:pPr>
        <w:ind w:left="1020" w:hanging="420"/>
      </w:pPr>
    </w:lvl>
    <w:lvl w:ilvl="1" w:tentative="0">
      <w:start w:val="6"/>
      <w:numFmt w:val="decimal"/>
      <w:isLgl/>
      <w:lvlText w:val="%1.%2"/>
      <w:lvlJc w:val="left"/>
      <w:pPr>
        <w:ind w:left="1320" w:hanging="720"/>
      </w:pPr>
    </w:lvl>
    <w:lvl w:ilvl="2" w:tentative="0">
      <w:start w:val="1"/>
      <w:numFmt w:val="decimal"/>
      <w:isLgl/>
      <w:lvlText w:val="%1.%2.%3"/>
      <w:lvlJc w:val="left"/>
      <w:pPr>
        <w:ind w:left="1320" w:hanging="720"/>
      </w:pPr>
    </w:lvl>
    <w:lvl w:ilvl="3" w:tentative="0">
      <w:start w:val="1"/>
      <w:numFmt w:val="decimal"/>
      <w:isLgl/>
      <w:lvlText w:val="%1.%2.%3.%4"/>
      <w:lvlJc w:val="left"/>
      <w:pPr>
        <w:ind w:left="1680" w:hanging="1080"/>
      </w:pPr>
    </w:lvl>
    <w:lvl w:ilvl="4" w:tentative="0">
      <w:start w:val="1"/>
      <w:numFmt w:val="decimal"/>
      <w:isLgl/>
      <w:lvlText w:val="%1.%2.%3.%4.%5"/>
      <w:lvlJc w:val="left"/>
      <w:pPr>
        <w:ind w:left="2040" w:hanging="1440"/>
      </w:pPr>
    </w:lvl>
    <w:lvl w:ilvl="5" w:tentative="0">
      <w:start w:val="1"/>
      <w:numFmt w:val="decimal"/>
      <w:isLgl/>
      <w:lvlText w:val="%1.%2.%3.%4.%5.%6"/>
      <w:lvlJc w:val="left"/>
      <w:pPr>
        <w:ind w:left="2040" w:hanging="1440"/>
      </w:pPr>
    </w:lvl>
    <w:lvl w:ilvl="6" w:tentative="0">
      <w:start w:val="1"/>
      <w:numFmt w:val="decimal"/>
      <w:isLgl/>
      <w:lvlText w:val="%1.%2.%3.%4.%5.%6.%7"/>
      <w:lvlJc w:val="left"/>
      <w:pPr>
        <w:ind w:left="2400" w:hanging="1800"/>
      </w:pPr>
    </w:lvl>
    <w:lvl w:ilvl="7" w:tentative="0">
      <w:start w:val="1"/>
      <w:numFmt w:val="decimal"/>
      <w:isLgl/>
      <w:lvlText w:val="%1.%2.%3.%4.%5.%6.%7.%8"/>
      <w:lvlJc w:val="left"/>
      <w:pPr>
        <w:ind w:left="2760" w:hanging="2160"/>
      </w:pPr>
    </w:lvl>
    <w:lvl w:ilvl="8" w:tentative="0">
      <w:start w:val="1"/>
      <w:numFmt w:val="decimal"/>
      <w:isLgl/>
      <w:lvlText w:val="%1.%2.%3.%4.%5.%6.%7.%8.%9"/>
      <w:lvlJc w:val="left"/>
      <w:pPr>
        <w:ind w:left="2760" w:hanging="2160"/>
      </w:pPr>
    </w:lvl>
  </w:abstractNum>
  <w:abstractNum w:abstractNumId="20">
    <w:nsid w:val="28CB2CEF"/>
    <w:multiLevelType w:val="multilevel"/>
    <w:tmpl w:val="28CB2CEF"/>
    <w:lvl w:ilvl="0" w:tentative="0">
      <w:start w:val="1"/>
      <w:numFmt w:val="decimal"/>
      <w:pStyle w:val="405"/>
      <w:lvlText w:val="%1、"/>
      <w:lvlJc w:val="left"/>
      <w:pPr>
        <w:tabs>
          <w:tab w:val="left" w:pos="720"/>
        </w:tabs>
        <w:ind w:left="720" w:hanging="72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1">
    <w:nsid w:val="401347DD"/>
    <w:multiLevelType w:val="multilevel"/>
    <w:tmpl w:val="401347DD"/>
    <w:lvl w:ilvl="0" w:tentative="0">
      <w:start w:val="1"/>
      <w:numFmt w:val="decimal"/>
      <w:pStyle w:val="4"/>
      <w:suff w:val="nothing"/>
      <w:lvlText w:val="%1  "/>
      <w:lvlJc w:val="left"/>
      <w:pPr>
        <w:ind w:left="0" w:firstLine="0"/>
      </w:pPr>
      <w:rPr>
        <w:rFonts w:hint="eastAsia"/>
      </w:rPr>
    </w:lvl>
    <w:lvl w:ilvl="1" w:tentative="0">
      <w:start w:val="1"/>
      <w:numFmt w:val="decimal"/>
      <w:pStyle w:val="5"/>
      <w:isLgl/>
      <w:suff w:val="nothing"/>
      <w:lvlText w:val="%1.%2  "/>
      <w:lvlJc w:val="left"/>
      <w:pPr>
        <w:ind w:left="142" w:firstLine="0"/>
      </w:pPr>
      <w:rPr>
        <w:rFonts w:hint="default" w:ascii="黑体" w:hAnsi="黑体" w:eastAsia="黑体" w:cs="黑体"/>
        <w:sz w:val="32"/>
        <w:szCs w:val="32"/>
      </w:rPr>
    </w:lvl>
    <w:lvl w:ilvl="2" w:tentative="0">
      <w:start w:val="1"/>
      <w:numFmt w:val="decimal"/>
      <w:pStyle w:val="6"/>
      <w:isLgl/>
      <w:suff w:val="nothing"/>
      <w:lvlText w:val="%1.%2.%3  "/>
      <w:lvlJc w:val="left"/>
      <w:pPr>
        <w:ind w:left="709" w:firstLine="0"/>
      </w:pPr>
      <w:rPr>
        <w:rFonts w:hint="default" w:ascii="仿宋" w:hAnsi="仿宋" w:eastAsia="仿宋" w:cs="仿宋"/>
        <w:sz w:val="32"/>
        <w:szCs w:val="32"/>
      </w:rPr>
    </w:lvl>
    <w:lvl w:ilvl="3" w:tentative="0">
      <w:start w:val="1"/>
      <w:numFmt w:val="decimal"/>
      <w:pStyle w:val="7"/>
      <w:lvlText w:val="%4）"/>
      <w:lvlJc w:val="left"/>
      <w:pPr>
        <w:ind w:left="0" w:firstLine="0"/>
      </w:pPr>
      <w:rPr>
        <w:rFonts w:hint="eastAsia"/>
      </w:rPr>
    </w:lvl>
    <w:lvl w:ilvl="4" w:tentative="0">
      <w:start w:val="1"/>
      <w:numFmt w:val="decimal"/>
      <w:lvlRestart w:val="1"/>
      <w:pStyle w:val="8"/>
      <w:isLgl/>
      <w:suff w:val="nothing"/>
      <w:lvlText w:val="表%1-%5  "/>
      <w:lvlJc w:val="left"/>
      <w:pPr>
        <w:ind w:left="4111" w:firstLine="0"/>
      </w:pPr>
      <w:rPr>
        <w:rFonts w:hint="eastAsia"/>
        <w:sz w:val="21"/>
        <w:szCs w:val="21"/>
      </w:rPr>
    </w:lvl>
    <w:lvl w:ilvl="5" w:tentative="0">
      <w:start w:val="1"/>
      <w:numFmt w:val="decimal"/>
      <w:lvlRestart w:val="1"/>
      <w:pStyle w:val="9"/>
      <w:isLgl/>
      <w:suff w:val="nothing"/>
      <w:lvlText w:val="图%1-%6  "/>
      <w:lvlJc w:val="left"/>
      <w:pPr>
        <w:ind w:left="3260" w:firstLine="0"/>
      </w:pPr>
      <w:rPr>
        <w:rFonts w:hint="eastAsia"/>
      </w:rPr>
    </w:lvl>
    <w:lvl w:ilvl="6" w:tentative="0">
      <w:start w:val="1"/>
      <w:numFmt w:val="none"/>
      <w:pStyle w:val="10"/>
      <w:suff w:val="nothing"/>
      <w:lvlText w:val=""/>
      <w:lvlJc w:val="left"/>
      <w:pPr>
        <w:ind w:left="0" w:firstLine="0"/>
      </w:pPr>
      <w:rPr>
        <w:rFonts w:hint="eastAsia"/>
      </w:rPr>
    </w:lvl>
    <w:lvl w:ilvl="7" w:tentative="0">
      <w:start w:val="1"/>
      <w:numFmt w:val="none"/>
      <w:pStyle w:val="11"/>
      <w:suff w:val="nothing"/>
      <w:lvlText w:val=""/>
      <w:lvlJc w:val="left"/>
      <w:pPr>
        <w:ind w:left="0" w:firstLine="0"/>
      </w:pPr>
      <w:rPr>
        <w:rFonts w:hint="eastAsia"/>
      </w:rPr>
    </w:lvl>
    <w:lvl w:ilvl="8" w:tentative="0">
      <w:start w:val="1"/>
      <w:numFmt w:val="none"/>
      <w:pStyle w:val="12"/>
      <w:suff w:val="nothing"/>
      <w:lvlText w:val=""/>
      <w:lvlJc w:val="left"/>
      <w:pPr>
        <w:ind w:left="0" w:firstLine="0"/>
      </w:pPr>
      <w:rPr>
        <w:rFonts w:hint="eastAsia"/>
      </w:rPr>
    </w:lvl>
  </w:abstractNum>
  <w:abstractNum w:abstractNumId="22">
    <w:nsid w:val="49EB0725"/>
    <w:multiLevelType w:val="multilevel"/>
    <w:tmpl w:val="49EB0725"/>
    <w:lvl w:ilvl="0" w:tentative="0">
      <w:start w:val="1"/>
      <w:numFmt w:val="bullet"/>
      <w:pStyle w:val="780"/>
      <w:lvlText w:val=""/>
      <w:lvlJc w:val="left"/>
      <w:pPr>
        <w:tabs>
          <w:tab w:val="left" w:pos="420"/>
        </w:tabs>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23">
    <w:nsid w:val="569D19B7"/>
    <w:multiLevelType w:val="multilevel"/>
    <w:tmpl w:val="569D19B7"/>
    <w:lvl w:ilvl="0" w:tentative="0">
      <w:start w:val="1"/>
      <w:numFmt w:val="bullet"/>
      <w:pStyle w:val="421"/>
      <w:lvlText w:val=""/>
      <w:lvlJc w:val="left"/>
      <w:pPr>
        <w:tabs>
          <w:tab w:val="left" w:pos="990"/>
        </w:tabs>
        <w:ind w:left="990" w:hanging="420"/>
      </w:pPr>
      <w:rPr>
        <w:rFonts w:hint="default" w:ascii="Wingdings" w:hAnsi="Wingdings"/>
      </w:rPr>
    </w:lvl>
    <w:lvl w:ilvl="1" w:tentative="0">
      <w:start w:val="1"/>
      <w:numFmt w:val="bullet"/>
      <w:lvlText w:val=""/>
      <w:lvlJc w:val="left"/>
      <w:pPr>
        <w:tabs>
          <w:tab w:val="left" w:pos="1410"/>
        </w:tabs>
        <w:ind w:left="1410" w:hanging="420"/>
      </w:pPr>
      <w:rPr>
        <w:rFonts w:hint="default" w:ascii="Wingdings" w:hAnsi="Wingdings"/>
      </w:rPr>
    </w:lvl>
    <w:lvl w:ilvl="2" w:tentative="0">
      <w:start w:val="1"/>
      <w:numFmt w:val="bullet"/>
      <w:lvlText w:val=""/>
      <w:lvlJc w:val="left"/>
      <w:pPr>
        <w:tabs>
          <w:tab w:val="left" w:pos="1830"/>
        </w:tabs>
        <w:ind w:left="1830" w:hanging="420"/>
      </w:pPr>
      <w:rPr>
        <w:rFonts w:hint="default" w:ascii="Wingdings" w:hAnsi="Wingdings"/>
      </w:rPr>
    </w:lvl>
    <w:lvl w:ilvl="3" w:tentative="0">
      <w:start w:val="1"/>
      <w:numFmt w:val="bullet"/>
      <w:lvlText w:val=""/>
      <w:lvlJc w:val="left"/>
      <w:pPr>
        <w:tabs>
          <w:tab w:val="left" w:pos="2250"/>
        </w:tabs>
        <w:ind w:left="2250" w:hanging="420"/>
      </w:pPr>
      <w:rPr>
        <w:rFonts w:hint="default" w:ascii="Wingdings" w:hAnsi="Wingdings"/>
      </w:rPr>
    </w:lvl>
    <w:lvl w:ilvl="4" w:tentative="0">
      <w:start w:val="1"/>
      <w:numFmt w:val="bullet"/>
      <w:lvlText w:val=""/>
      <w:lvlJc w:val="left"/>
      <w:pPr>
        <w:tabs>
          <w:tab w:val="left" w:pos="2670"/>
        </w:tabs>
        <w:ind w:left="2670" w:hanging="420"/>
      </w:pPr>
      <w:rPr>
        <w:rFonts w:hint="default" w:ascii="Wingdings" w:hAnsi="Wingdings"/>
      </w:rPr>
    </w:lvl>
    <w:lvl w:ilvl="5" w:tentative="0">
      <w:start w:val="1"/>
      <w:numFmt w:val="bullet"/>
      <w:lvlText w:val=""/>
      <w:lvlJc w:val="left"/>
      <w:pPr>
        <w:tabs>
          <w:tab w:val="left" w:pos="3090"/>
        </w:tabs>
        <w:ind w:left="3090" w:hanging="420"/>
      </w:pPr>
      <w:rPr>
        <w:rFonts w:hint="default" w:ascii="Wingdings" w:hAnsi="Wingdings"/>
      </w:rPr>
    </w:lvl>
    <w:lvl w:ilvl="6" w:tentative="0">
      <w:start w:val="1"/>
      <w:numFmt w:val="bullet"/>
      <w:lvlText w:val=""/>
      <w:lvlJc w:val="left"/>
      <w:pPr>
        <w:tabs>
          <w:tab w:val="left" w:pos="3510"/>
        </w:tabs>
        <w:ind w:left="3510" w:hanging="420"/>
      </w:pPr>
      <w:rPr>
        <w:rFonts w:hint="default" w:ascii="Wingdings" w:hAnsi="Wingdings"/>
      </w:rPr>
    </w:lvl>
    <w:lvl w:ilvl="7" w:tentative="0">
      <w:start w:val="1"/>
      <w:numFmt w:val="bullet"/>
      <w:lvlText w:val=""/>
      <w:lvlJc w:val="left"/>
      <w:pPr>
        <w:tabs>
          <w:tab w:val="left" w:pos="3930"/>
        </w:tabs>
        <w:ind w:left="3930" w:hanging="420"/>
      </w:pPr>
      <w:rPr>
        <w:rFonts w:hint="default" w:ascii="Wingdings" w:hAnsi="Wingdings"/>
      </w:rPr>
    </w:lvl>
    <w:lvl w:ilvl="8" w:tentative="0">
      <w:start w:val="1"/>
      <w:numFmt w:val="bullet"/>
      <w:lvlText w:val=""/>
      <w:lvlJc w:val="left"/>
      <w:pPr>
        <w:tabs>
          <w:tab w:val="left" w:pos="4350"/>
        </w:tabs>
        <w:ind w:left="4350" w:hanging="420"/>
      </w:pPr>
      <w:rPr>
        <w:rFonts w:hint="default" w:ascii="Wingdings" w:hAnsi="Wingdings"/>
      </w:rPr>
    </w:lvl>
  </w:abstractNum>
  <w:abstractNum w:abstractNumId="24">
    <w:nsid w:val="76CB1EE5"/>
    <w:multiLevelType w:val="multilevel"/>
    <w:tmpl w:val="76CB1EE5"/>
    <w:lvl w:ilvl="0" w:tentative="0">
      <w:start w:val="1"/>
      <w:numFmt w:val="decimal"/>
      <w:lvlText w:val="%1)"/>
      <w:lvlJc w:val="left"/>
      <w:pPr>
        <w:tabs>
          <w:tab w:val="left" w:pos="900"/>
        </w:tabs>
        <w:ind w:left="900" w:hanging="420"/>
      </w:pPr>
      <w:rPr>
        <w:rFonts w:hint="eastAsia"/>
      </w:rPr>
    </w:lvl>
    <w:lvl w:ilvl="1" w:tentative="0">
      <w:start w:val="1"/>
      <w:numFmt w:val="lowerLetter"/>
      <w:pStyle w:val="449"/>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pStyle w:val="329"/>
      <w:lvlText w:val="%6."/>
      <w:lvlJc w:val="right"/>
      <w:pPr>
        <w:tabs>
          <w:tab w:val="left" w:pos="2520"/>
        </w:tabs>
        <w:ind w:left="2520" w:hanging="420"/>
      </w:pPr>
    </w:lvl>
    <w:lvl w:ilvl="6" w:tentative="0">
      <w:start w:val="1"/>
      <w:numFmt w:val="decimal"/>
      <w:pStyle w:val="444"/>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21"/>
  </w:num>
  <w:num w:numId="2">
    <w:abstractNumId w:val="6"/>
  </w:num>
  <w:num w:numId="3">
    <w:abstractNumId w:val="8"/>
  </w:num>
  <w:num w:numId="4">
    <w:abstractNumId w:val="11"/>
  </w:num>
  <w:num w:numId="5">
    <w:abstractNumId w:val="12"/>
  </w:num>
  <w:num w:numId="6">
    <w:abstractNumId w:val="9"/>
  </w:num>
  <w:num w:numId="7">
    <w:abstractNumId w:val="5"/>
  </w:num>
  <w:num w:numId="8">
    <w:abstractNumId w:val="10"/>
  </w:num>
  <w:num w:numId="9">
    <w:abstractNumId w:val="7"/>
  </w:num>
  <w:num w:numId="10">
    <w:abstractNumId w:val="4"/>
  </w:num>
  <w:num w:numId="11">
    <w:abstractNumId w:val="3"/>
  </w:num>
  <w:num w:numId="12">
    <w:abstractNumId w:val="14"/>
  </w:num>
  <w:num w:numId="13">
    <w:abstractNumId w:val="24"/>
  </w:num>
  <w:num w:numId="14">
    <w:abstractNumId w:val="13"/>
  </w:num>
  <w:num w:numId="15">
    <w:abstractNumId w:val="17"/>
  </w:num>
  <w:num w:numId="16">
    <w:abstractNumId w:val="20"/>
  </w:num>
  <w:num w:numId="17">
    <w:abstractNumId w:val="23"/>
  </w:num>
  <w:num w:numId="18">
    <w:abstractNumId w:val="16"/>
  </w:num>
  <w:num w:numId="19">
    <w:abstractNumId w:val="18"/>
  </w:num>
  <w:num w:numId="20">
    <w:abstractNumId w:val="22"/>
  </w:num>
  <w:num w:numId="21">
    <w:abstractNumId w:val="19"/>
  </w:num>
  <w:num w:numId="22">
    <w:abstractNumId w:val="2"/>
  </w:num>
  <w:num w:numId="23">
    <w:abstractNumId w:val="15"/>
  </w:num>
  <w:num w:numId="24">
    <w:abstractNumId w:val="0"/>
  </w:num>
  <w:num w:numId="2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1"/>
  <w:bordersDoNotSurroundFooter w:val="1"/>
  <w:hideSpellingErrors/>
  <w:documentProtection w:enforcement="0"/>
  <w:defaultTabStop w:val="0"/>
  <w:drawingGridHorizontalSpacing w:val="120"/>
  <w:drawingGridVerticalSpacing w:val="163"/>
  <w:displayHorizontalDrawingGridEvery w:val="2"/>
  <w:displayVerticalDrawingGridEvery w:val="2"/>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C46C5"/>
    <w:rsid w:val="0000154D"/>
    <w:rsid w:val="00007DD3"/>
    <w:rsid w:val="00011EAC"/>
    <w:rsid w:val="00022B6E"/>
    <w:rsid w:val="00023FEC"/>
    <w:rsid w:val="000270F8"/>
    <w:rsid w:val="00035D54"/>
    <w:rsid w:val="000367EB"/>
    <w:rsid w:val="0003711B"/>
    <w:rsid w:val="000429D6"/>
    <w:rsid w:val="00056226"/>
    <w:rsid w:val="00061A78"/>
    <w:rsid w:val="00062F49"/>
    <w:rsid w:val="0006405A"/>
    <w:rsid w:val="000661B4"/>
    <w:rsid w:val="000825F5"/>
    <w:rsid w:val="00084D95"/>
    <w:rsid w:val="00085F56"/>
    <w:rsid w:val="000873B7"/>
    <w:rsid w:val="00095832"/>
    <w:rsid w:val="0009739E"/>
    <w:rsid w:val="000A1AB1"/>
    <w:rsid w:val="000B070C"/>
    <w:rsid w:val="000B5127"/>
    <w:rsid w:val="000C43A5"/>
    <w:rsid w:val="000C60E2"/>
    <w:rsid w:val="000D7DE8"/>
    <w:rsid w:val="000D7DEA"/>
    <w:rsid w:val="000E0E8C"/>
    <w:rsid w:val="000E1C13"/>
    <w:rsid w:val="000E568C"/>
    <w:rsid w:val="000F2DE7"/>
    <w:rsid w:val="000F378D"/>
    <w:rsid w:val="0010290A"/>
    <w:rsid w:val="001063DB"/>
    <w:rsid w:val="001077AE"/>
    <w:rsid w:val="00117802"/>
    <w:rsid w:val="00127534"/>
    <w:rsid w:val="00144403"/>
    <w:rsid w:val="00150586"/>
    <w:rsid w:val="00150B3E"/>
    <w:rsid w:val="001516CE"/>
    <w:rsid w:val="00152754"/>
    <w:rsid w:val="00153605"/>
    <w:rsid w:val="00155150"/>
    <w:rsid w:val="00162756"/>
    <w:rsid w:val="001664CC"/>
    <w:rsid w:val="00167104"/>
    <w:rsid w:val="001707DA"/>
    <w:rsid w:val="00191286"/>
    <w:rsid w:val="001956E1"/>
    <w:rsid w:val="00195DBD"/>
    <w:rsid w:val="001A1BE9"/>
    <w:rsid w:val="001A36F4"/>
    <w:rsid w:val="001A3F7E"/>
    <w:rsid w:val="001A482D"/>
    <w:rsid w:val="001B0222"/>
    <w:rsid w:val="001B3D03"/>
    <w:rsid w:val="001D2D8F"/>
    <w:rsid w:val="001D3021"/>
    <w:rsid w:val="001D4952"/>
    <w:rsid w:val="001D6A69"/>
    <w:rsid w:val="001E3948"/>
    <w:rsid w:val="001E55E6"/>
    <w:rsid w:val="001E580D"/>
    <w:rsid w:val="001E7DAB"/>
    <w:rsid w:val="001F5791"/>
    <w:rsid w:val="001F7AE4"/>
    <w:rsid w:val="001F7DD5"/>
    <w:rsid w:val="002133E9"/>
    <w:rsid w:val="002172A0"/>
    <w:rsid w:val="00217774"/>
    <w:rsid w:val="00221D87"/>
    <w:rsid w:val="0022314A"/>
    <w:rsid w:val="00224E1E"/>
    <w:rsid w:val="002314BE"/>
    <w:rsid w:val="0023276C"/>
    <w:rsid w:val="00234550"/>
    <w:rsid w:val="00261B10"/>
    <w:rsid w:val="00262203"/>
    <w:rsid w:val="00271505"/>
    <w:rsid w:val="00275604"/>
    <w:rsid w:val="002776FF"/>
    <w:rsid w:val="00277A7C"/>
    <w:rsid w:val="002801B3"/>
    <w:rsid w:val="00285EB3"/>
    <w:rsid w:val="00293E97"/>
    <w:rsid w:val="002A4D24"/>
    <w:rsid w:val="002A78B9"/>
    <w:rsid w:val="002B06B5"/>
    <w:rsid w:val="002B1196"/>
    <w:rsid w:val="002B689D"/>
    <w:rsid w:val="002B794A"/>
    <w:rsid w:val="002C223C"/>
    <w:rsid w:val="002C3B2E"/>
    <w:rsid w:val="002C4AAB"/>
    <w:rsid w:val="002C65EF"/>
    <w:rsid w:val="002C7C8F"/>
    <w:rsid w:val="002D4627"/>
    <w:rsid w:val="002D69EE"/>
    <w:rsid w:val="002E45BD"/>
    <w:rsid w:val="002F420F"/>
    <w:rsid w:val="00304C08"/>
    <w:rsid w:val="00310C7F"/>
    <w:rsid w:val="00313430"/>
    <w:rsid w:val="00321F38"/>
    <w:rsid w:val="00337351"/>
    <w:rsid w:val="00340A44"/>
    <w:rsid w:val="0034633B"/>
    <w:rsid w:val="003473CC"/>
    <w:rsid w:val="00350231"/>
    <w:rsid w:val="003514B1"/>
    <w:rsid w:val="003528FC"/>
    <w:rsid w:val="0036603D"/>
    <w:rsid w:val="003660AB"/>
    <w:rsid w:val="003708B7"/>
    <w:rsid w:val="00375F70"/>
    <w:rsid w:val="00384BD5"/>
    <w:rsid w:val="003918DA"/>
    <w:rsid w:val="003A2679"/>
    <w:rsid w:val="003A4202"/>
    <w:rsid w:val="003A435B"/>
    <w:rsid w:val="003B6DA8"/>
    <w:rsid w:val="003C06D2"/>
    <w:rsid w:val="003C0EA4"/>
    <w:rsid w:val="003C2E25"/>
    <w:rsid w:val="003C3170"/>
    <w:rsid w:val="003C35CB"/>
    <w:rsid w:val="003C3A27"/>
    <w:rsid w:val="003C46C9"/>
    <w:rsid w:val="003D24DB"/>
    <w:rsid w:val="003D5A20"/>
    <w:rsid w:val="003E1EB2"/>
    <w:rsid w:val="003E281B"/>
    <w:rsid w:val="003E40DE"/>
    <w:rsid w:val="003E6F9E"/>
    <w:rsid w:val="003F0374"/>
    <w:rsid w:val="003F36B5"/>
    <w:rsid w:val="003F3F95"/>
    <w:rsid w:val="003F7810"/>
    <w:rsid w:val="003F7AA4"/>
    <w:rsid w:val="00404EFE"/>
    <w:rsid w:val="00406C94"/>
    <w:rsid w:val="0041326D"/>
    <w:rsid w:val="00415150"/>
    <w:rsid w:val="004223B0"/>
    <w:rsid w:val="004420FA"/>
    <w:rsid w:val="004502B4"/>
    <w:rsid w:val="00451828"/>
    <w:rsid w:val="00460D1F"/>
    <w:rsid w:val="00464A0C"/>
    <w:rsid w:val="00477147"/>
    <w:rsid w:val="004778FE"/>
    <w:rsid w:val="00483741"/>
    <w:rsid w:val="004855BC"/>
    <w:rsid w:val="00485886"/>
    <w:rsid w:val="0049211C"/>
    <w:rsid w:val="00495ED1"/>
    <w:rsid w:val="00497C1E"/>
    <w:rsid w:val="004A2313"/>
    <w:rsid w:val="004A3308"/>
    <w:rsid w:val="004A33F4"/>
    <w:rsid w:val="004A3F84"/>
    <w:rsid w:val="004B1242"/>
    <w:rsid w:val="004B1937"/>
    <w:rsid w:val="004B4164"/>
    <w:rsid w:val="004B62BD"/>
    <w:rsid w:val="004C7111"/>
    <w:rsid w:val="004D4D5F"/>
    <w:rsid w:val="004E3340"/>
    <w:rsid w:val="004E5C0B"/>
    <w:rsid w:val="004F3C79"/>
    <w:rsid w:val="004F5BD5"/>
    <w:rsid w:val="005001A3"/>
    <w:rsid w:val="00507987"/>
    <w:rsid w:val="005135DC"/>
    <w:rsid w:val="005139C9"/>
    <w:rsid w:val="00513DB3"/>
    <w:rsid w:val="00513FCD"/>
    <w:rsid w:val="0052557F"/>
    <w:rsid w:val="00531D6B"/>
    <w:rsid w:val="00534F56"/>
    <w:rsid w:val="00537755"/>
    <w:rsid w:val="005379E2"/>
    <w:rsid w:val="00541E7C"/>
    <w:rsid w:val="00556277"/>
    <w:rsid w:val="0056153C"/>
    <w:rsid w:val="0056635C"/>
    <w:rsid w:val="00575920"/>
    <w:rsid w:val="00581FC1"/>
    <w:rsid w:val="0058659F"/>
    <w:rsid w:val="00587B7F"/>
    <w:rsid w:val="005A2994"/>
    <w:rsid w:val="005A4145"/>
    <w:rsid w:val="005A50EB"/>
    <w:rsid w:val="005B2DC5"/>
    <w:rsid w:val="005B37D0"/>
    <w:rsid w:val="005B7AB2"/>
    <w:rsid w:val="005C2054"/>
    <w:rsid w:val="005C4071"/>
    <w:rsid w:val="005C423C"/>
    <w:rsid w:val="005D6196"/>
    <w:rsid w:val="005D6466"/>
    <w:rsid w:val="005E24DA"/>
    <w:rsid w:val="005E3928"/>
    <w:rsid w:val="005E55F1"/>
    <w:rsid w:val="005F0D60"/>
    <w:rsid w:val="006044EB"/>
    <w:rsid w:val="0060519D"/>
    <w:rsid w:val="00606508"/>
    <w:rsid w:val="00610719"/>
    <w:rsid w:val="006127C9"/>
    <w:rsid w:val="00616303"/>
    <w:rsid w:val="006166F3"/>
    <w:rsid w:val="00634133"/>
    <w:rsid w:val="0063602C"/>
    <w:rsid w:val="00642EEF"/>
    <w:rsid w:val="0065510C"/>
    <w:rsid w:val="0067303A"/>
    <w:rsid w:val="00673EF8"/>
    <w:rsid w:val="006778EB"/>
    <w:rsid w:val="00682733"/>
    <w:rsid w:val="006827B0"/>
    <w:rsid w:val="00683717"/>
    <w:rsid w:val="006931B7"/>
    <w:rsid w:val="00694D40"/>
    <w:rsid w:val="006A2911"/>
    <w:rsid w:val="006A3592"/>
    <w:rsid w:val="006A78B0"/>
    <w:rsid w:val="006A7D18"/>
    <w:rsid w:val="006B4E78"/>
    <w:rsid w:val="006B5F9D"/>
    <w:rsid w:val="006C0015"/>
    <w:rsid w:val="006C1F0B"/>
    <w:rsid w:val="006C4630"/>
    <w:rsid w:val="006C4C1C"/>
    <w:rsid w:val="006D6EE1"/>
    <w:rsid w:val="006E1F6F"/>
    <w:rsid w:val="006E4C75"/>
    <w:rsid w:val="006E5464"/>
    <w:rsid w:val="006F6CF7"/>
    <w:rsid w:val="00704049"/>
    <w:rsid w:val="007119C5"/>
    <w:rsid w:val="00714A8C"/>
    <w:rsid w:val="00720D94"/>
    <w:rsid w:val="00725A34"/>
    <w:rsid w:val="0072768F"/>
    <w:rsid w:val="00730392"/>
    <w:rsid w:val="0074265B"/>
    <w:rsid w:val="00745B99"/>
    <w:rsid w:val="007465CD"/>
    <w:rsid w:val="007469A6"/>
    <w:rsid w:val="00747723"/>
    <w:rsid w:val="00750C27"/>
    <w:rsid w:val="00763370"/>
    <w:rsid w:val="00766573"/>
    <w:rsid w:val="007737B5"/>
    <w:rsid w:val="007761A1"/>
    <w:rsid w:val="007775BD"/>
    <w:rsid w:val="007865AF"/>
    <w:rsid w:val="007936BA"/>
    <w:rsid w:val="0079456F"/>
    <w:rsid w:val="007952BF"/>
    <w:rsid w:val="007A3504"/>
    <w:rsid w:val="007A482E"/>
    <w:rsid w:val="007A751A"/>
    <w:rsid w:val="007B232E"/>
    <w:rsid w:val="007B6B9A"/>
    <w:rsid w:val="007C3167"/>
    <w:rsid w:val="007C6E00"/>
    <w:rsid w:val="007D40CD"/>
    <w:rsid w:val="007E2B50"/>
    <w:rsid w:val="007E4F38"/>
    <w:rsid w:val="007F12A0"/>
    <w:rsid w:val="00803A8F"/>
    <w:rsid w:val="008107F7"/>
    <w:rsid w:val="008110B7"/>
    <w:rsid w:val="00811FFD"/>
    <w:rsid w:val="00816555"/>
    <w:rsid w:val="00825C58"/>
    <w:rsid w:val="008277EC"/>
    <w:rsid w:val="008303D5"/>
    <w:rsid w:val="00834847"/>
    <w:rsid w:val="00834E9B"/>
    <w:rsid w:val="00835E77"/>
    <w:rsid w:val="0084622F"/>
    <w:rsid w:val="00850DDA"/>
    <w:rsid w:val="008534DE"/>
    <w:rsid w:val="0085696F"/>
    <w:rsid w:val="008741D1"/>
    <w:rsid w:val="0088561B"/>
    <w:rsid w:val="0088772E"/>
    <w:rsid w:val="00891ADF"/>
    <w:rsid w:val="008941C1"/>
    <w:rsid w:val="008B6A99"/>
    <w:rsid w:val="008C2353"/>
    <w:rsid w:val="008C3CB7"/>
    <w:rsid w:val="008D4E56"/>
    <w:rsid w:val="008D5181"/>
    <w:rsid w:val="008D5991"/>
    <w:rsid w:val="008E2C5B"/>
    <w:rsid w:val="008E6544"/>
    <w:rsid w:val="008F244C"/>
    <w:rsid w:val="00903F58"/>
    <w:rsid w:val="0090597E"/>
    <w:rsid w:val="00906ABD"/>
    <w:rsid w:val="0091019F"/>
    <w:rsid w:val="00911FB8"/>
    <w:rsid w:val="0091541D"/>
    <w:rsid w:val="00917370"/>
    <w:rsid w:val="009331E3"/>
    <w:rsid w:val="00933686"/>
    <w:rsid w:val="0094221C"/>
    <w:rsid w:val="00942257"/>
    <w:rsid w:val="00943CCD"/>
    <w:rsid w:val="009477A8"/>
    <w:rsid w:val="0095443A"/>
    <w:rsid w:val="00962B8C"/>
    <w:rsid w:val="009719BE"/>
    <w:rsid w:val="009742B3"/>
    <w:rsid w:val="009948CE"/>
    <w:rsid w:val="009966F0"/>
    <w:rsid w:val="009B0030"/>
    <w:rsid w:val="009B0184"/>
    <w:rsid w:val="009B2408"/>
    <w:rsid w:val="009B68B6"/>
    <w:rsid w:val="009C0AB5"/>
    <w:rsid w:val="009C20E1"/>
    <w:rsid w:val="009C528A"/>
    <w:rsid w:val="009C63F4"/>
    <w:rsid w:val="009D1925"/>
    <w:rsid w:val="009D5D36"/>
    <w:rsid w:val="009E5396"/>
    <w:rsid w:val="009E753A"/>
    <w:rsid w:val="00A05379"/>
    <w:rsid w:val="00A0745E"/>
    <w:rsid w:val="00A10435"/>
    <w:rsid w:val="00A20862"/>
    <w:rsid w:val="00A25D96"/>
    <w:rsid w:val="00A32315"/>
    <w:rsid w:val="00A45566"/>
    <w:rsid w:val="00A5166A"/>
    <w:rsid w:val="00A56FCC"/>
    <w:rsid w:val="00A6298E"/>
    <w:rsid w:val="00A6394C"/>
    <w:rsid w:val="00A6465E"/>
    <w:rsid w:val="00A6614D"/>
    <w:rsid w:val="00A72AC5"/>
    <w:rsid w:val="00A80B86"/>
    <w:rsid w:val="00A81C7D"/>
    <w:rsid w:val="00A861BA"/>
    <w:rsid w:val="00A921CF"/>
    <w:rsid w:val="00A9562C"/>
    <w:rsid w:val="00A9757C"/>
    <w:rsid w:val="00AA1435"/>
    <w:rsid w:val="00AA1518"/>
    <w:rsid w:val="00AA2F62"/>
    <w:rsid w:val="00AA6C99"/>
    <w:rsid w:val="00AC1E95"/>
    <w:rsid w:val="00AC31BF"/>
    <w:rsid w:val="00AC46C5"/>
    <w:rsid w:val="00AC5331"/>
    <w:rsid w:val="00AD4437"/>
    <w:rsid w:val="00AD4906"/>
    <w:rsid w:val="00AE28CA"/>
    <w:rsid w:val="00AE4C2A"/>
    <w:rsid w:val="00B017B9"/>
    <w:rsid w:val="00B0561E"/>
    <w:rsid w:val="00B156A6"/>
    <w:rsid w:val="00B15A26"/>
    <w:rsid w:val="00B1739F"/>
    <w:rsid w:val="00B203A1"/>
    <w:rsid w:val="00B27A9E"/>
    <w:rsid w:val="00B31F54"/>
    <w:rsid w:val="00B4028A"/>
    <w:rsid w:val="00B719CE"/>
    <w:rsid w:val="00B76042"/>
    <w:rsid w:val="00B826B8"/>
    <w:rsid w:val="00B8481E"/>
    <w:rsid w:val="00B854A6"/>
    <w:rsid w:val="00B944E0"/>
    <w:rsid w:val="00B96DA6"/>
    <w:rsid w:val="00BA116B"/>
    <w:rsid w:val="00BA39E2"/>
    <w:rsid w:val="00BA693B"/>
    <w:rsid w:val="00BB5AE2"/>
    <w:rsid w:val="00BB78FC"/>
    <w:rsid w:val="00BB7F0E"/>
    <w:rsid w:val="00BC47B9"/>
    <w:rsid w:val="00BD78CB"/>
    <w:rsid w:val="00BF0708"/>
    <w:rsid w:val="00BF1EC4"/>
    <w:rsid w:val="00BF7BB2"/>
    <w:rsid w:val="00BF7BB5"/>
    <w:rsid w:val="00C04D6F"/>
    <w:rsid w:val="00C07A14"/>
    <w:rsid w:val="00C20130"/>
    <w:rsid w:val="00C20C68"/>
    <w:rsid w:val="00C25F6E"/>
    <w:rsid w:val="00C308B6"/>
    <w:rsid w:val="00C4071E"/>
    <w:rsid w:val="00C43567"/>
    <w:rsid w:val="00C44B8F"/>
    <w:rsid w:val="00C51783"/>
    <w:rsid w:val="00C51BEC"/>
    <w:rsid w:val="00C52987"/>
    <w:rsid w:val="00C606BE"/>
    <w:rsid w:val="00C609E2"/>
    <w:rsid w:val="00C61A2E"/>
    <w:rsid w:val="00C76F37"/>
    <w:rsid w:val="00C81A52"/>
    <w:rsid w:val="00C828F2"/>
    <w:rsid w:val="00C86158"/>
    <w:rsid w:val="00C9525D"/>
    <w:rsid w:val="00C97F3E"/>
    <w:rsid w:val="00CA6581"/>
    <w:rsid w:val="00CA785F"/>
    <w:rsid w:val="00CB033E"/>
    <w:rsid w:val="00CB315A"/>
    <w:rsid w:val="00CC3273"/>
    <w:rsid w:val="00CC47B1"/>
    <w:rsid w:val="00CD23A0"/>
    <w:rsid w:val="00CD750F"/>
    <w:rsid w:val="00D05FBD"/>
    <w:rsid w:val="00D1367C"/>
    <w:rsid w:val="00D1751B"/>
    <w:rsid w:val="00D23A72"/>
    <w:rsid w:val="00D31886"/>
    <w:rsid w:val="00D31D6A"/>
    <w:rsid w:val="00D34F36"/>
    <w:rsid w:val="00D3586E"/>
    <w:rsid w:val="00D361E0"/>
    <w:rsid w:val="00D368AA"/>
    <w:rsid w:val="00D40BFF"/>
    <w:rsid w:val="00D41801"/>
    <w:rsid w:val="00D44BA2"/>
    <w:rsid w:val="00D4658C"/>
    <w:rsid w:val="00D46853"/>
    <w:rsid w:val="00D52659"/>
    <w:rsid w:val="00D57BCA"/>
    <w:rsid w:val="00D745EE"/>
    <w:rsid w:val="00D7798D"/>
    <w:rsid w:val="00D876E4"/>
    <w:rsid w:val="00D9267B"/>
    <w:rsid w:val="00DA24D3"/>
    <w:rsid w:val="00DB3E2A"/>
    <w:rsid w:val="00DD5CB3"/>
    <w:rsid w:val="00DE6D90"/>
    <w:rsid w:val="00DF0517"/>
    <w:rsid w:val="00DF10C7"/>
    <w:rsid w:val="00DF7A06"/>
    <w:rsid w:val="00E0021D"/>
    <w:rsid w:val="00E027E4"/>
    <w:rsid w:val="00E102C3"/>
    <w:rsid w:val="00E11CE5"/>
    <w:rsid w:val="00E1283E"/>
    <w:rsid w:val="00E143E6"/>
    <w:rsid w:val="00E24C33"/>
    <w:rsid w:val="00E35C04"/>
    <w:rsid w:val="00E43159"/>
    <w:rsid w:val="00E43CC3"/>
    <w:rsid w:val="00E47FD4"/>
    <w:rsid w:val="00E50204"/>
    <w:rsid w:val="00E60AD3"/>
    <w:rsid w:val="00E61F4B"/>
    <w:rsid w:val="00E63F79"/>
    <w:rsid w:val="00E647DA"/>
    <w:rsid w:val="00E66A54"/>
    <w:rsid w:val="00E7265A"/>
    <w:rsid w:val="00E744F6"/>
    <w:rsid w:val="00E7645D"/>
    <w:rsid w:val="00E77A5B"/>
    <w:rsid w:val="00E82DA8"/>
    <w:rsid w:val="00EA1F3C"/>
    <w:rsid w:val="00EA2432"/>
    <w:rsid w:val="00EC1715"/>
    <w:rsid w:val="00EC37F4"/>
    <w:rsid w:val="00EC4585"/>
    <w:rsid w:val="00ED2735"/>
    <w:rsid w:val="00ED3473"/>
    <w:rsid w:val="00ED7027"/>
    <w:rsid w:val="00EE2E7D"/>
    <w:rsid w:val="00EE74E1"/>
    <w:rsid w:val="00EE7C8D"/>
    <w:rsid w:val="00EF1DC1"/>
    <w:rsid w:val="00EF1EA1"/>
    <w:rsid w:val="00EF220C"/>
    <w:rsid w:val="00EF3B39"/>
    <w:rsid w:val="00EF651C"/>
    <w:rsid w:val="00EF7DC5"/>
    <w:rsid w:val="00F02B4E"/>
    <w:rsid w:val="00F02CC2"/>
    <w:rsid w:val="00F035DA"/>
    <w:rsid w:val="00F0562C"/>
    <w:rsid w:val="00F10E1D"/>
    <w:rsid w:val="00F14B14"/>
    <w:rsid w:val="00F209EE"/>
    <w:rsid w:val="00F231AA"/>
    <w:rsid w:val="00F231AC"/>
    <w:rsid w:val="00F40B29"/>
    <w:rsid w:val="00F57612"/>
    <w:rsid w:val="00F66B40"/>
    <w:rsid w:val="00F71178"/>
    <w:rsid w:val="00F82736"/>
    <w:rsid w:val="00F828C6"/>
    <w:rsid w:val="00F93D68"/>
    <w:rsid w:val="00FA2525"/>
    <w:rsid w:val="00FB05B9"/>
    <w:rsid w:val="00FB164C"/>
    <w:rsid w:val="00FB2BAF"/>
    <w:rsid w:val="00FB6D42"/>
    <w:rsid w:val="00FC1BC7"/>
    <w:rsid w:val="00FC4919"/>
    <w:rsid w:val="00FC76F1"/>
    <w:rsid w:val="00FC7BA6"/>
    <w:rsid w:val="00FD2C12"/>
    <w:rsid w:val="00FD52F5"/>
    <w:rsid w:val="00FE2590"/>
    <w:rsid w:val="00FE3408"/>
    <w:rsid w:val="00FE669F"/>
    <w:rsid w:val="00FE7102"/>
    <w:rsid w:val="00FF0B18"/>
    <w:rsid w:val="00FF1A54"/>
    <w:rsid w:val="00FF65B6"/>
    <w:rsid w:val="025D30D8"/>
    <w:rsid w:val="03FA7F07"/>
    <w:rsid w:val="04D75376"/>
    <w:rsid w:val="04E13D80"/>
    <w:rsid w:val="05B21204"/>
    <w:rsid w:val="0AC84991"/>
    <w:rsid w:val="0CAD29ED"/>
    <w:rsid w:val="0D4511C5"/>
    <w:rsid w:val="104A3C5F"/>
    <w:rsid w:val="19842183"/>
    <w:rsid w:val="1B4937EF"/>
    <w:rsid w:val="1D577566"/>
    <w:rsid w:val="2001644A"/>
    <w:rsid w:val="21D52B81"/>
    <w:rsid w:val="257C1656"/>
    <w:rsid w:val="27F12C2B"/>
    <w:rsid w:val="2E285B28"/>
    <w:rsid w:val="2E4723B6"/>
    <w:rsid w:val="2F2B3842"/>
    <w:rsid w:val="3221771F"/>
    <w:rsid w:val="35D75554"/>
    <w:rsid w:val="36743762"/>
    <w:rsid w:val="377E2A5C"/>
    <w:rsid w:val="37C144CE"/>
    <w:rsid w:val="38884433"/>
    <w:rsid w:val="3AA754F9"/>
    <w:rsid w:val="43CC165C"/>
    <w:rsid w:val="43F1417A"/>
    <w:rsid w:val="46AC35B8"/>
    <w:rsid w:val="46AD4F09"/>
    <w:rsid w:val="496109C9"/>
    <w:rsid w:val="49A7499A"/>
    <w:rsid w:val="4FE10075"/>
    <w:rsid w:val="5145278F"/>
    <w:rsid w:val="55362FDF"/>
    <w:rsid w:val="55B10F14"/>
    <w:rsid w:val="5676710F"/>
    <w:rsid w:val="59FA071C"/>
    <w:rsid w:val="5E683852"/>
    <w:rsid w:val="60027039"/>
    <w:rsid w:val="61656FE6"/>
    <w:rsid w:val="6277650F"/>
    <w:rsid w:val="64A076BC"/>
    <w:rsid w:val="690024A6"/>
    <w:rsid w:val="74BD3116"/>
    <w:rsid w:val="7B29277B"/>
    <w:rsid w:val="7B724235"/>
    <w:rsid w:val="7C7B18CC"/>
    <w:rsid w:val="7D727FCD"/>
    <w:rsid w:val="FF3DDF1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t" stroke="t">
      <v:fill type="gradient" on="t" angle="90" focussize="0f,0f" focusposition="0f,0f">
        <o:fill type="gradientUnscaled" v:ext="backwardCompatible"/>
      </v:fill>
      <v:stroke weight="1.25pt" color="#739CC3"/>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99" w:semiHidden="0" w:name="footnote text"/>
    <w:lsdException w:qFormat="1" w:unhideWhenUsed="0" w:uiPriority="99" w:semiHidden="0" w:name="annotation text"/>
    <w:lsdException w:qFormat="1" w:unhideWhenUsed="0" w:uiPriority="99" w:semiHidden="0" w:name="header"/>
    <w:lsdException w:qFormat="1" w:unhideWhenUsed="0" w:uiPriority="99" w:semiHidden="0" w:name="footer"/>
    <w:lsdException w:qFormat="1" w:unhideWhenUsed="0" w:uiPriority="0" w:semiHidden="0" w:name="index heading"/>
    <w:lsdException w:qFormat="1" w:unhideWhenUsed="0" w:uiPriority="0" w:semiHidden="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qFormat="1" w:unhideWhenUsed="0" w:uiPriority="99" w:semiHidden="0" w:name="footnote reference"/>
    <w:lsdException w:qFormat="1" w:unhideWhenUsed="0" w:uiPriority="99" w:semiHidden="0" w:name="annotation reference"/>
    <w:lsdException w:qFormat="1" w:unhideWhenUsed="0" w:uiPriority="0" w:semiHidden="0" w:name="line number"/>
    <w:lsdException w:qFormat="1" w:unhideWhenUsed="0" w:uiPriority="0" w:semiHidden="0" w:name="page number"/>
    <w:lsdException w:qFormat="1"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99"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0" w:semiHidden="0" w:name="Emphasis"/>
    <w:lsdException w:qFormat="1" w:unhideWhenUsed="0" w:uiPriority="99" w:semiHidden="0" w:name="Document Map"/>
    <w:lsdException w:qFormat="1" w:unhideWhenUsed="0" w:uiPriority="0" w:semiHidden="0" w:name="Plain Text"/>
    <w:lsdException w:qFormat="1" w:unhideWhenUsed="0" w:uiPriority="0" w:semiHidden="0" w:name="E-mail Signature"/>
    <w:lsdException w:qFormat="1" w:uiPriority="99" w:semiHidden="0" w:name="Normal (Web)"/>
    <w:lsdException w:qFormat="1" w:unhideWhenUsed="0" w:uiPriority="0" w:semiHidden="0" w:name="HTML Acronym"/>
    <w:lsdException w:qFormat="1"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99"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iPriority="99" w:name="Normal Table"/>
    <w:lsdException w:qFormat="1" w:unhideWhenUsed="0"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288" w:lineRule="auto"/>
      <w:jc w:val="both"/>
    </w:pPr>
    <w:rPr>
      <w:rFonts w:ascii="Times New Roman" w:hAnsi="Times New Roman" w:eastAsia="宋体" w:cs="Times New Roman"/>
      <w:kern w:val="2"/>
      <w:sz w:val="24"/>
      <w:szCs w:val="24"/>
      <w:lang w:val="en-US" w:eastAsia="zh-CN" w:bidi="ar-SA"/>
    </w:rPr>
  </w:style>
  <w:style w:type="paragraph" w:styleId="4">
    <w:name w:val="heading 1"/>
    <w:basedOn w:val="1"/>
    <w:next w:val="1"/>
    <w:link w:val="109"/>
    <w:qFormat/>
    <w:uiPriority w:val="0"/>
    <w:pPr>
      <w:keepNext/>
      <w:keepLines/>
      <w:pageBreakBefore/>
      <w:numPr>
        <w:ilvl w:val="0"/>
        <w:numId w:val="1"/>
      </w:numPr>
      <w:spacing w:beforeLines="50" w:afterLines="50" w:line="360" w:lineRule="auto"/>
      <w:jc w:val="left"/>
      <w:outlineLvl w:val="0"/>
    </w:pPr>
    <w:rPr>
      <w:b/>
      <w:bCs/>
      <w:kern w:val="44"/>
      <w:sz w:val="36"/>
      <w:szCs w:val="44"/>
    </w:rPr>
  </w:style>
  <w:style w:type="paragraph" w:styleId="5">
    <w:name w:val="heading 2"/>
    <w:basedOn w:val="1"/>
    <w:next w:val="1"/>
    <w:link w:val="110"/>
    <w:qFormat/>
    <w:uiPriority w:val="0"/>
    <w:pPr>
      <w:keepNext/>
      <w:keepLines/>
      <w:numPr>
        <w:ilvl w:val="1"/>
        <w:numId w:val="1"/>
      </w:numPr>
      <w:spacing w:beforeLines="50" w:afterLines="50" w:line="360" w:lineRule="auto"/>
      <w:outlineLvl w:val="1"/>
    </w:pPr>
    <w:rPr>
      <w:b/>
      <w:bCs/>
      <w:sz w:val="28"/>
      <w:szCs w:val="32"/>
    </w:rPr>
  </w:style>
  <w:style w:type="paragraph" w:styleId="6">
    <w:name w:val="heading 3"/>
    <w:basedOn w:val="1"/>
    <w:next w:val="1"/>
    <w:link w:val="111"/>
    <w:qFormat/>
    <w:uiPriority w:val="0"/>
    <w:pPr>
      <w:keepNext/>
      <w:keepLines/>
      <w:numPr>
        <w:ilvl w:val="2"/>
        <w:numId w:val="1"/>
      </w:numPr>
      <w:spacing w:beforeLines="50" w:afterLines="50" w:line="360" w:lineRule="auto"/>
      <w:jc w:val="left"/>
      <w:outlineLvl w:val="2"/>
    </w:pPr>
    <w:rPr>
      <w:b/>
      <w:bCs/>
      <w:sz w:val="28"/>
      <w:szCs w:val="32"/>
    </w:rPr>
  </w:style>
  <w:style w:type="paragraph" w:styleId="7">
    <w:name w:val="heading 4"/>
    <w:basedOn w:val="1"/>
    <w:next w:val="1"/>
    <w:link w:val="112"/>
    <w:qFormat/>
    <w:uiPriority w:val="0"/>
    <w:pPr>
      <w:keepNext/>
      <w:keepLines/>
      <w:numPr>
        <w:ilvl w:val="3"/>
        <w:numId w:val="1"/>
      </w:numPr>
      <w:spacing w:beforeLines="50" w:afterLines="50" w:line="360" w:lineRule="auto"/>
      <w:outlineLvl w:val="3"/>
    </w:pPr>
    <w:rPr>
      <w:b/>
      <w:bCs/>
      <w:sz w:val="28"/>
      <w:szCs w:val="28"/>
    </w:rPr>
  </w:style>
  <w:style w:type="paragraph" w:styleId="8">
    <w:name w:val="heading 5"/>
    <w:basedOn w:val="1"/>
    <w:next w:val="1"/>
    <w:link w:val="113"/>
    <w:qFormat/>
    <w:uiPriority w:val="0"/>
    <w:pPr>
      <w:keepNext/>
      <w:keepLines/>
      <w:numPr>
        <w:ilvl w:val="4"/>
        <w:numId w:val="1"/>
      </w:numPr>
      <w:spacing w:line="240" w:lineRule="auto"/>
      <w:jc w:val="center"/>
      <w:outlineLvl w:val="4"/>
    </w:pPr>
    <w:rPr>
      <w:b/>
      <w:bCs/>
      <w:sz w:val="21"/>
      <w:szCs w:val="28"/>
    </w:rPr>
  </w:style>
  <w:style w:type="paragraph" w:styleId="9">
    <w:name w:val="heading 6"/>
    <w:basedOn w:val="1"/>
    <w:next w:val="1"/>
    <w:link w:val="114"/>
    <w:qFormat/>
    <w:uiPriority w:val="0"/>
    <w:pPr>
      <w:numPr>
        <w:ilvl w:val="5"/>
        <w:numId w:val="1"/>
      </w:numPr>
      <w:spacing w:after="100" w:afterAutospacing="1" w:line="240" w:lineRule="auto"/>
      <w:ind w:left="0"/>
      <w:jc w:val="center"/>
      <w:outlineLvl w:val="5"/>
    </w:pPr>
    <w:rPr>
      <w:b/>
      <w:bCs/>
      <w:sz w:val="21"/>
    </w:rPr>
  </w:style>
  <w:style w:type="paragraph" w:styleId="10">
    <w:name w:val="heading 7"/>
    <w:basedOn w:val="1"/>
    <w:next w:val="1"/>
    <w:link w:val="115"/>
    <w:qFormat/>
    <w:uiPriority w:val="0"/>
    <w:pPr>
      <w:keepNext/>
      <w:keepLines/>
      <w:numPr>
        <w:ilvl w:val="6"/>
        <w:numId w:val="1"/>
      </w:numPr>
      <w:spacing w:before="240" w:after="64" w:line="320" w:lineRule="auto"/>
      <w:outlineLvl w:val="6"/>
    </w:pPr>
    <w:rPr>
      <w:b/>
      <w:bCs/>
    </w:rPr>
  </w:style>
  <w:style w:type="paragraph" w:styleId="11">
    <w:name w:val="heading 8"/>
    <w:basedOn w:val="1"/>
    <w:next w:val="1"/>
    <w:link w:val="116"/>
    <w:qFormat/>
    <w:uiPriority w:val="0"/>
    <w:pPr>
      <w:keepNext/>
      <w:keepLines/>
      <w:numPr>
        <w:ilvl w:val="7"/>
        <w:numId w:val="1"/>
      </w:numPr>
      <w:spacing w:before="240" w:after="64" w:line="320" w:lineRule="auto"/>
      <w:outlineLvl w:val="7"/>
    </w:pPr>
    <w:rPr>
      <w:rFonts w:ascii="Arial" w:hAnsi="Arial" w:eastAsia="黑体"/>
    </w:rPr>
  </w:style>
  <w:style w:type="paragraph" w:styleId="12">
    <w:name w:val="heading 9"/>
    <w:basedOn w:val="1"/>
    <w:next w:val="1"/>
    <w:link w:val="117"/>
    <w:qFormat/>
    <w:uiPriority w:val="0"/>
    <w:pPr>
      <w:keepNext/>
      <w:keepLines/>
      <w:numPr>
        <w:ilvl w:val="8"/>
        <w:numId w:val="1"/>
      </w:numPr>
      <w:spacing w:before="240" w:after="64" w:line="320" w:lineRule="auto"/>
      <w:outlineLvl w:val="8"/>
    </w:pPr>
    <w:rPr>
      <w:rFonts w:ascii="Arial" w:hAnsi="Arial" w:eastAsia="黑体"/>
      <w:sz w:val="21"/>
      <w:szCs w:val="21"/>
    </w:rPr>
  </w:style>
  <w:style w:type="character" w:default="1" w:styleId="90">
    <w:name w:val="Default Paragraph Font"/>
    <w:semiHidden/>
    <w:unhideWhenUsed/>
    <w:qFormat/>
    <w:uiPriority w:val="1"/>
  </w:style>
  <w:style w:type="table" w:default="1" w:styleId="88">
    <w:name w:val="Normal Table"/>
    <w:semiHidden/>
    <w:unhideWhenUsed/>
    <w:qFormat/>
    <w:uiPriority w:val="99"/>
    <w:tblPr>
      <w:tblCellMar>
        <w:top w:w="0" w:type="dxa"/>
        <w:left w:w="108" w:type="dxa"/>
        <w:bottom w:w="0" w:type="dxa"/>
        <w:right w:w="108" w:type="dxa"/>
      </w:tblCellMar>
    </w:tblPr>
  </w:style>
  <w:style w:type="paragraph" w:styleId="2">
    <w:name w:val="Normal Indent"/>
    <w:basedOn w:val="1"/>
    <w:link w:val="108"/>
    <w:qFormat/>
    <w:uiPriority w:val="0"/>
    <w:pPr>
      <w:spacing w:line="360" w:lineRule="auto"/>
      <w:ind w:firstLine="200" w:firstLineChars="200"/>
    </w:pPr>
  </w:style>
  <w:style w:type="paragraph" w:styleId="3">
    <w:name w:val="macro"/>
    <w:link w:val="118"/>
    <w:qFormat/>
    <w:uiPriority w:val="0"/>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hAnsi="Courier New" w:eastAsia="宋体" w:cs="Times New Roman"/>
      <w:kern w:val="2"/>
      <w:sz w:val="24"/>
      <w:lang w:val="en-US" w:eastAsia="zh-CN" w:bidi="ar-SA"/>
    </w:rPr>
  </w:style>
  <w:style w:type="paragraph" w:styleId="13">
    <w:name w:val="List 3"/>
    <w:basedOn w:val="1"/>
    <w:qFormat/>
    <w:uiPriority w:val="0"/>
    <w:pPr>
      <w:spacing w:line="360" w:lineRule="auto"/>
      <w:ind w:left="100" w:leftChars="400" w:hanging="200" w:hangingChars="200"/>
    </w:pPr>
    <w:rPr>
      <w:rFonts w:ascii="仿宋_GB2312" w:hAnsi="仿宋_GB2312" w:eastAsia="仿宋_GB2312"/>
      <w:sz w:val="28"/>
      <w:szCs w:val="20"/>
    </w:rPr>
  </w:style>
  <w:style w:type="paragraph" w:styleId="14">
    <w:name w:val="toc 7"/>
    <w:basedOn w:val="1"/>
    <w:next w:val="1"/>
    <w:qFormat/>
    <w:uiPriority w:val="39"/>
    <w:pPr>
      <w:ind w:left="1440"/>
      <w:jc w:val="left"/>
    </w:pPr>
    <w:rPr>
      <w:rFonts w:ascii="Calibri" w:hAnsi="Calibri"/>
      <w:sz w:val="18"/>
      <w:szCs w:val="18"/>
    </w:rPr>
  </w:style>
  <w:style w:type="paragraph" w:styleId="15">
    <w:name w:val="List Number 2"/>
    <w:basedOn w:val="1"/>
    <w:qFormat/>
    <w:uiPriority w:val="0"/>
    <w:pPr>
      <w:numPr>
        <w:ilvl w:val="0"/>
        <w:numId w:val="2"/>
      </w:numPr>
      <w:spacing w:line="360" w:lineRule="auto"/>
    </w:pPr>
    <w:rPr>
      <w:rFonts w:ascii="仿宋_GB2312" w:hAnsi="仿宋_GB2312" w:eastAsia="仿宋_GB2312"/>
      <w:sz w:val="28"/>
      <w:szCs w:val="20"/>
    </w:rPr>
  </w:style>
  <w:style w:type="paragraph" w:styleId="16">
    <w:name w:val="table of authorities"/>
    <w:basedOn w:val="1"/>
    <w:next w:val="1"/>
    <w:qFormat/>
    <w:uiPriority w:val="0"/>
    <w:pPr>
      <w:spacing w:line="500" w:lineRule="exact"/>
      <w:ind w:left="420" w:leftChars="200" w:firstLine="200" w:firstLineChars="200"/>
    </w:pPr>
    <w:rPr>
      <w:sz w:val="28"/>
    </w:rPr>
  </w:style>
  <w:style w:type="paragraph" w:styleId="17">
    <w:name w:val="Note Heading"/>
    <w:basedOn w:val="1"/>
    <w:next w:val="1"/>
    <w:link w:val="119"/>
    <w:qFormat/>
    <w:uiPriority w:val="0"/>
    <w:pPr>
      <w:spacing w:line="360" w:lineRule="auto"/>
      <w:ind w:firstLine="200" w:firstLineChars="200"/>
      <w:jc w:val="center"/>
    </w:pPr>
    <w:rPr>
      <w:rFonts w:ascii="仿宋_GB2312" w:hAnsi="仿宋_GB2312" w:eastAsia="仿宋_GB2312"/>
      <w:sz w:val="28"/>
      <w:szCs w:val="20"/>
    </w:rPr>
  </w:style>
  <w:style w:type="paragraph" w:styleId="18">
    <w:name w:val="List Bullet 4"/>
    <w:basedOn w:val="1"/>
    <w:qFormat/>
    <w:uiPriority w:val="0"/>
    <w:pPr>
      <w:numPr>
        <w:ilvl w:val="0"/>
        <w:numId w:val="3"/>
      </w:numPr>
      <w:spacing w:line="360" w:lineRule="auto"/>
    </w:pPr>
    <w:rPr>
      <w:rFonts w:ascii="仿宋_GB2312" w:hAnsi="仿宋_GB2312" w:eastAsia="仿宋_GB2312"/>
      <w:sz w:val="28"/>
      <w:szCs w:val="20"/>
    </w:rPr>
  </w:style>
  <w:style w:type="paragraph" w:styleId="19">
    <w:name w:val="index 8"/>
    <w:basedOn w:val="1"/>
    <w:next w:val="1"/>
    <w:qFormat/>
    <w:uiPriority w:val="0"/>
    <w:pPr>
      <w:spacing w:line="500" w:lineRule="exact"/>
      <w:ind w:left="2240" w:hanging="280" w:firstLineChars="200"/>
      <w:jc w:val="left"/>
    </w:pPr>
    <w:rPr>
      <w:sz w:val="20"/>
      <w:szCs w:val="20"/>
    </w:rPr>
  </w:style>
  <w:style w:type="paragraph" w:styleId="20">
    <w:name w:val="E-mail Signature"/>
    <w:basedOn w:val="1"/>
    <w:link w:val="120"/>
    <w:qFormat/>
    <w:uiPriority w:val="0"/>
    <w:pPr>
      <w:spacing w:line="360" w:lineRule="auto"/>
      <w:ind w:firstLine="200" w:firstLineChars="200"/>
    </w:pPr>
    <w:rPr>
      <w:rFonts w:ascii="仿宋_GB2312" w:hAnsi="仿宋_GB2312" w:eastAsia="仿宋_GB2312"/>
      <w:sz w:val="28"/>
      <w:szCs w:val="20"/>
    </w:rPr>
  </w:style>
  <w:style w:type="paragraph" w:styleId="21">
    <w:name w:val="List Number"/>
    <w:basedOn w:val="1"/>
    <w:qFormat/>
    <w:uiPriority w:val="0"/>
    <w:pPr>
      <w:numPr>
        <w:ilvl w:val="0"/>
        <w:numId w:val="4"/>
      </w:numPr>
      <w:spacing w:line="360" w:lineRule="auto"/>
    </w:pPr>
    <w:rPr>
      <w:rFonts w:ascii="仿宋_GB2312" w:hAnsi="仿宋_GB2312" w:eastAsia="仿宋_GB2312"/>
      <w:sz w:val="28"/>
      <w:szCs w:val="20"/>
    </w:rPr>
  </w:style>
  <w:style w:type="paragraph" w:styleId="22">
    <w:name w:val="caption"/>
    <w:basedOn w:val="1"/>
    <w:next w:val="1"/>
    <w:link w:val="121"/>
    <w:qFormat/>
    <w:uiPriority w:val="0"/>
    <w:pPr>
      <w:spacing w:line="360" w:lineRule="auto"/>
      <w:jc w:val="center"/>
    </w:pPr>
    <w:rPr>
      <w:rFonts w:ascii="Arial" w:hAnsi="Arial"/>
      <w:b/>
      <w:sz w:val="21"/>
      <w:szCs w:val="20"/>
    </w:rPr>
  </w:style>
  <w:style w:type="paragraph" w:styleId="23">
    <w:name w:val="index 5"/>
    <w:basedOn w:val="1"/>
    <w:next w:val="1"/>
    <w:qFormat/>
    <w:uiPriority w:val="0"/>
    <w:pPr>
      <w:spacing w:line="500" w:lineRule="exact"/>
      <w:ind w:left="1400" w:hanging="280" w:firstLineChars="200"/>
      <w:jc w:val="left"/>
    </w:pPr>
    <w:rPr>
      <w:sz w:val="20"/>
      <w:szCs w:val="20"/>
    </w:rPr>
  </w:style>
  <w:style w:type="paragraph" w:styleId="24">
    <w:name w:val="List Bullet"/>
    <w:basedOn w:val="1"/>
    <w:qFormat/>
    <w:uiPriority w:val="0"/>
    <w:pPr>
      <w:numPr>
        <w:ilvl w:val="0"/>
        <w:numId w:val="5"/>
      </w:numPr>
      <w:spacing w:line="360" w:lineRule="auto"/>
    </w:pPr>
    <w:rPr>
      <w:rFonts w:ascii="仿宋_GB2312" w:hAnsi="仿宋_GB2312" w:eastAsia="仿宋_GB2312"/>
      <w:sz w:val="28"/>
      <w:szCs w:val="20"/>
    </w:rPr>
  </w:style>
  <w:style w:type="paragraph" w:styleId="25">
    <w:name w:val="envelope address"/>
    <w:basedOn w:val="1"/>
    <w:qFormat/>
    <w:uiPriority w:val="0"/>
    <w:pPr>
      <w:snapToGrid w:val="0"/>
      <w:spacing w:line="360" w:lineRule="auto"/>
      <w:ind w:left="100" w:leftChars="1400" w:firstLine="200" w:firstLineChars="200"/>
    </w:pPr>
    <w:rPr>
      <w:rFonts w:ascii="Arial" w:hAnsi="Arial" w:eastAsia="仿宋_GB2312" w:cs="Arial"/>
    </w:rPr>
  </w:style>
  <w:style w:type="paragraph" w:styleId="26">
    <w:name w:val="Document Map"/>
    <w:basedOn w:val="1"/>
    <w:link w:val="122"/>
    <w:qFormat/>
    <w:uiPriority w:val="99"/>
    <w:pPr>
      <w:shd w:val="clear" w:color="auto" w:fill="000080"/>
    </w:pPr>
  </w:style>
  <w:style w:type="paragraph" w:styleId="27">
    <w:name w:val="toa heading"/>
    <w:basedOn w:val="1"/>
    <w:next w:val="16"/>
    <w:qFormat/>
    <w:uiPriority w:val="0"/>
    <w:pPr>
      <w:keepNext/>
      <w:spacing w:before="240" w:after="120" w:line="360" w:lineRule="exact"/>
    </w:pPr>
    <w:rPr>
      <w:rFonts w:ascii="Arial" w:hAnsi="Arial"/>
      <w:b/>
      <w:kern w:val="28"/>
      <w:sz w:val="28"/>
      <w:szCs w:val="20"/>
    </w:rPr>
  </w:style>
  <w:style w:type="paragraph" w:styleId="28">
    <w:name w:val="annotation text"/>
    <w:basedOn w:val="1"/>
    <w:link w:val="123"/>
    <w:qFormat/>
    <w:uiPriority w:val="99"/>
    <w:pPr>
      <w:spacing w:line="240" w:lineRule="auto"/>
      <w:jc w:val="left"/>
    </w:pPr>
    <w:rPr>
      <w:szCs w:val="21"/>
    </w:rPr>
  </w:style>
  <w:style w:type="paragraph" w:styleId="29">
    <w:name w:val="index 6"/>
    <w:basedOn w:val="1"/>
    <w:next w:val="1"/>
    <w:qFormat/>
    <w:uiPriority w:val="0"/>
    <w:pPr>
      <w:spacing w:line="500" w:lineRule="exact"/>
      <w:ind w:left="1680" w:hanging="280" w:firstLineChars="200"/>
      <w:jc w:val="left"/>
    </w:pPr>
    <w:rPr>
      <w:sz w:val="20"/>
      <w:szCs w:val="20"/>
    </w:rPr>
  </w:style>
  <w:style w:type="paragraph" w:styleId="30">
    <w:name w:val="Salutation"/>
    <w:basedOn w:val="1"/>
    <w:next w:val="1"/>
    <w:link w:val="124"/>
    <w:qFormat/>
    <w:uiPriority w:val="0"/>
    <w:pPr>
      <w:spacing w:line="360" w:lineRule="auto"/>
      <w:ind w:firstLine="200" w:firstLineChars="200"/>
    </w:pPr>
    <w:rPr>
      <w:rFonts w:ascii="仿宋_GB2312" w:hAnsi="仿宋_GB2312" w:eastAsia="仿宋_GB2312"/>
      <w:sz w:val="28"/>
      <w:szCs w:val="20"/>
    </w:rPr>
  </w:style>
  <w:style w:type="paragraph" w:styleId="31">
    <w:name w:val="Body Text 3"/>
    <w:basedOn w:val="1"/>
    <w:link w:val="125"/>
    <w:qFormat/>
    <w:uiPriority w:val="0"/>
    <w:pPr>
      <w:spacing w:after="120" w:line="360" w:lineRule="auto"/>
      <w:ind w:firstLine="200" w:firstLineChars="200"/>
    </w:pPr>
    <w:rPr>
      <w:rFonts w:ascii="仿宋_GB2312" w:hAnsi="仿宋_GB2312" w:eastAsia="仿宋_GB2312"/>
      <w:sz w:val="16"/>
      <w:szCs w:val="16"/>
    </w:rPr>
  </w:style>
  <w:style w:type="paragraph" w:styleId="32">
    <w:name w:val="Closing"/>
    <w:basedOn w:val="1"/>
    <w:link w:val="126"/>
    <w:qFormat/>
    <w:uiPriority w:val="0"/>
    <w:pPr>
      <w:spacing w:line="360" w:lineRule="auto"/>
      <w:ind w:left="100" w:leftChars="2100" w:firstLine="200" w:firstLineChars="200"/>
    </w:pPr>
    <w:rPr>
      <w:rFonts w:ascii="仿宋_GB2312" w:hAnsi="仿宋_GB2312" w:eastAsia="仿宋_GB2312"/>
      <w:sz w:val="28"/>
      <w:szCs w:val="20"/>
    </w:rPr>
  </w:style>
  <w:style w:type="paragraph" w:styleId="33">
    <w:name w:val="List Bullet 3"/>
    <w:basedOn w:val="1"/>
    <w:qFormat/>
    <w:uiPriority w:val="0"/>
    <w:pPr>
      <w:numPr>
        <w:ilvl w:val="0"/>
        <w:numId w:val="6"/>
      </w:numPr>
      <w:spacing w:line="360" w:lineRule="auto"/>
    </w:pPr>
    <w:rPr>
      <w:rFonts w:ascii="仿宋_GB2312" w:hAnsi="仿宋_GB2312" w:eastAsia="仿宋_GB2312"/>
      <w:sz w:val="28"/>
      <w:szCs w:val="20"/>
    </w:rPr>
  </w:style>
  <w:style w:type="paragraph" w:styleId="34">
    <w:name w:val="Body Text"/>
    <w:basedOn w:val="1"/>
    <w:link w:val="127"/>
    <w:qFormat/>
    <w:uiPriority w:val="99"/>
    <w:pPr>
      <w:spacing w:line="240" w:lineRule="auto"/>
      <w:jc w:val="center"/>
    </w:pPr>
    <w:rPr>
      <w:sz w:val="21"/>
    </w:rPr>
  </w:style>
  <w:style w:type="paragraph" w:styleId="35">
    <w:name w:val="Body Text Indent"/>
    <w:basedOn w:val="1"/>
    <w:link w:val="128"/>
    <w:qFormat/>
    <w:uiPriority w:val="0"/>
    <w:pPr>
      <w:spacing w:line="240" w:lineRule="auto"/>
      <w:ind w:firstLine="560" w:firstLineChars="200"/>
    </w:pPr>
    <w:rPr>
      <w:sz w:val="28"/>
    </w:rPr>
  </w:style>
  <w:style w:type="paragraph" w:styleId="36">
    <w:name w:val="List Number 3"/>
    <w:basedOn w:val="1"/>
    <w:qFormat/>
    <w:uiPriority w:val="0"/>
    <w:pPr>
      <w:numPr>
        <w:ilvl w:val="0"/>
        <w:numId w:val="7"/>
      </w:numPr>
      <w:spacing w:line="360" w:lineRule="auto"/>
    </w:pPr>
    <w:rPr>
      <w:rFonts w:ascii="仿宋_GB2312" w:hAnsi="仿宋_GB2312" w:eastAsia="仿宋_GB2312"/>
      <w:sz w:val="28"/>
      <w:szCs w:val="20"/>
    </w:rPr>
  </w:style>
  <w:style w:type="paragraph" w:styleId="37">
    <w:name w:val="List 2"/>
    <w:basedOn w:val="1"/>
    <w:qFormat/>
    <w:uiPriority w:val="0"/>
    <w:pPr>
      <w:spacing w:line="360" w:lineRule="auto"/>
      <w:ind w:left="100" w:leftChars="200" w:hanging="200" w:hangingChars="200"/>
    </w:pPr>
    <w:rPr>
      <w:rFonts w:ascii="仿宋_GB2312" w:hAnsi="仿宋_GB2312" w:eastAsia="仿宋_GB2312"/>
      <w:sz w:val="28"/>
      <w:szCs w:val="20"/>
    </w:rPr>
  </w:style>
  <w:style w:type="paragraph" w:styleId="38">
    <w:name w:val="List Continue"/>
    <w:basedOn w:val="1"/>
    <w:qFormat/>
    <w:uiPriority w:val="0"/>
    <w:pPr>
      <w:spacing w:after="120" w:line="360" w:lineRule="auto"/>
      <w:ind w:left="420" w:leftChars="200" w:firstLine="200" w:firstLineChars="200"/>
    </w:pPr>
    <w:rPr>
      <w:rFonts w:ascii="仿宋_GB2312" w:hAnsi="仿宋_GB2312" w:eastAsia="仿宋_GB2312"/>
      <w:sz w:val="28"/>
      <w:szCs w:val="20"/>
    </w:rPr>
  </w:style>
  <w:style w:type="paragraph" w:styleId="39">
    <w:name w:val="Block Text"/>
    <w:basedOn w:val="1"/>
    <w:qFormat/>
    <w:uiPriority w:val="0"/>
    <w:pPr>
      <w:spacing w:after="120" w:line="360" w:lineRule="auto"/>
      <w:ind w:left="1440" w:leftChars="700" w:right="1440" w:rightChars="700" w:firstLine="200" w:firstLineChars="200"/>
    </w:pPr>
    <w:rPr>
      <w:rFonts w:ascii="仿宋_GB2312" w:hAnsi="仿宋_GB2312" w:eastAsia="仿宋_GB2312"/>
      <w:sz w:val="28"/>
      <w:szCs w:val="20"/>
    </w:rPr>
  </w:style>
  <w:style w:type="paragraph" w:styleId="40">
    <w:name w:val="List Bullet 2"/>
    <w:basedOn w:val="1"/>
    <w:qFormat/>
    <w:uiPriority w:val="0"/>
    <w:pPr>
      <w:widowControl/>
      <w:numPr>
        <w:ilvl w:val="0"/>
        <w:numId w:val="8"/>
      </w:numPr>
      <w:tabs>
        <w:tab w:val="left" w:pos="1920"/>
        <w:tab w:val="clear" w:pos="780"/>
      </w:tabs>
      <w:spacing w:line="240" w:lineRule="auto"/>
      <w:ind w:left="1560" w:leftChars="0" w:firstLine="0" w:firstLineChars="0"/>
      <w:jc w:val="left"/>
    </w:pPr>
    <w:rPr>
      <w:rFonts w:ascii="Arial" w:hAnsi="Arial"/>
      <w:kern w:val="0"/>
      <w:sz w:val="20"/>
      <w:szCs w:val="20"/>
      <w:lang w:eastAsia="en-US"/>
    </w:rPr>
  </w:style>
  <w:style w:type="paragraph" w:styleId="41">
    <w:name w:val="HTML Address"/>
    <w:basedOn w:val="1"/>
    <w:link w:val="129"/>
    <w:qFormat/>
    <w:uiPriority w:val="0"/>
    <w:pPr>
      <w:spacing w:line="360" w:lineRule="auto"/>
      <w:ind w:firstLine="200" w:firstLineChars="200"/>
    </w:pPr>
    <w:rPr>
      <w:rFonts w:ascii="仿宋_GB2312" w:hAnsi="仿宋_GB2312" w:eastAsia="仿宋_GB2312"/>
      <w:i/>
      <w:iCs/>
      <w:sz w:val="28"/>
      <w:szCs w:val="20"/>
    </w:rPr>
  </w:style>
  <w:style w:type="paragraph" w:styleId="42">
    <w:name w:val="index 4"/>
    <w:basedOn w:val="1"/>
    <w:next w:val="1"/>
    <w:qFormat/>
    <w:uiPriority w:val="0"/>
    <w:pPr>
      <w:spacing w:line="240" w:lineRule="auto"/>
      <w:ind w:left="600" w:leftChars="600"/>
    </w:pPr>
    <w:rPr>
      <w:sz w:val="21"/>
      <w:szCs w:val="21"/>
    </w:rPr>
  </w:style>
  <w:style w:type="paragraph" w:styleId="43">
    <w:name w:val="toc 5"/>
    <w:basedOn w:val="1"/>
    <w:next w:val="1"/>
    <w:qFormat/>
    <w:uiPriority w:val="39"/>
    <w:pPr>
      <w:ind w:left="960"/>
      <w:jc w:val="left"/>
    </w:pPr>
    <w:rPr>
      <w:rFonts w:ascii="Calibri" w:hAnsi="Calibri"/>
      <w:sz w:val="18"/>
      <w:szCs w:val="18"/>
    </w:rPr>
  </w:style>
  <w:style w:type="paragraph" w:styleId="44">
    <w:name w:val="toc 3"/>
    <w:basedOn w:val="1"/>
    <w:next w:val="1"/>
    <w:qFormat/>
    <w:uiPriority w:val="39"/>
    <w:pPr>
      <w:ind w:left="480"/>
      <w:jc w:val="left"/>
    </w:pPr>
    <w:rPr>
      <w:iCs/>
      <w:sz w:val="20"/>
      <w:szCs w:val="20"/>
    </w:rPr>
  </w:style>
  <w:style w:type="paragraph" w:styleId="45">
    <w:name w:val="Plain Text"/>
    <w:basedOn w:val="1"/>
    <w:link w:val="130"/>
    <w:qFormat/>
    <w:uiPriority w:val="0"/>
    <w:pPr>
      <w:spacing w:line="360" w:lineRule="auto"/>
      <w:ind w:firstLine="420"/>
    </w:pPr>
    <w:rPr>
      <w:rFonts w:ascii="宋体" w:hAnsi="Courier New"/>
      <w:sz w:val="21"/>
      <w:szCs w:val="21"/>
    </w:rPr>
  </w:style>
  <w:style w:type="paragraph" w:styleId="46">
    <w:name w:val="List Bullet 5"/>
    <w:basedOn w:val="1"/>
    <w:qFormat/>
    <w:uiPriority w:val="0"/>
    <w:pPr>
      <w:numPr>
        <w:ilvl w:val="0"/>
        <w:numId w:val="9"/>
      </w:numPr>
      <w:spacing w:line="360" w:lineRule="auto"/>
    </w:pPr>
    <w:rPr>
      <w:rFonts w:ascii="仿宋_GB2312" w:hAnsi="仿宋_GB2312" w:eastAsia="仿宋_GB2312"/>
      <w:sz w:val="28"/>
      <w:szCs w:val="20"/>
    </w:rPr>
  </w:style>
  <w:style w:type="paragraph" w:styleId="47">
    <w:name w:val="List Number 4"/>
    <w:basedOn w:val="1"/>
    <w:qFormat/>
    <w:uiPriority w:val="0"/>
    <w:pPr>
      <w:numPr>
        <w:ilvl w:val="0"/>
        <w:numId w:val="10"/>
      </w:numPr>
      <w:spacing w:line="360" w:lineRule="auto"/>
    </w:pPr>
    <w:rPr>
      <w:rFonts w:ascii="仿宋_GB2312" w:hAnsi="仿宋_GB2312" w:eastAsia="仿宋_GB2312"/>
      <w:sz w:val="28"/>
      <w:szCs w:val="20"/>
    </w:rPr>
  </w:style>
  <w:style w:type="paragraph" w:styleId="48">
    <w:name w:val="toc 8"/>
    <w:basedOn w:val="1"/>
    <w:next w:val="1"/>
    <w:qFormat/>
    <w:uiPriority w:val="39"/>
    <w:pPr>
      <w:ind w:left="1680"/>
      <w:jc w:val="left"/>
    </w:pPr>
    <w:rPr>
      <w:rFonts w:ascii="Calibri" w:hAnsi="Calibri"/>
      <w:sz w:val="18"/>
      <w:szCs w:val="18"/>
    </w:rPr>
  </w:style>
  <w:style w:type="paragraph" w:styleId="49">
    <w:name w:val="index 3"/>
    <w:basedOn w:val="1"/>
    <w:next w:val="1"/>
    <w:qFormat/>
    <w:uiPriority w:val="0"/>
    <w:pPr>
      <w:spacing w:line="500" w:lineRule="exact"/>
      <w:ind w:left="840" w:hanging="280" w:firstLineChars="200"/>
      <w:jc w:val="left"/>
    </w:pPr>
    <w:rPr>
      <w:sz w:val="20"/>
      <w:szCs w:val="20"/>
    </w:rPr>
  </w:style>
  <w:style w:type="paragraph" w:styleId="50">
    <w:name w:val="Date"/>
    <w:basedOn w:val="1"/>
    <w:next w:val="1"/>
    <w:link w:val="131"/>
    <w:qFormat/>
    <w:uiPriority w:val="0"/>
    <w:pPr>
      <w:autoSpaceDE w:val="0"/>
      <w:autoSpaceDN w:val="0"/>
      <w:adjustRightInd w:val="0"/>
      <w:spacing w:line="240" w:lineRule="auto"/>
    </w:pPr>
    <w:rPr>
      <w:rFonts w:ascii="宋体"/>
      <w:kern w:val="0"/>
      <w:sz w:val="28"/>
      <w:szCs w:val="20"/>
    </w:rPr>
  </w:style>
  <w:style w:type="paragraph" w:styleId="51">
    <w:name w:val="Body Text Indent 2"/>
    <w:basedOn w:val="1"/>
    <w:link w:val="132"/>
    <w:qFormat/>
    <w:uiPriority w:val="0"/>
    <w:pPr>
      <w:spacing w:after="120" w:line="480" w:lineRule="auto"/>
      <w:ind w:left="420" w:leftChars="200"/>
    </w:pPr>
    <w:rPr>
      <w:sz w:val="21"/>
      <w:szCs w:val="20"/>
    </w:rPr>
  </w:style>
  <w:style w:type="paragraph" w:styleId="52">
    <w:name w:val="endnote text"/>
    <w:basedOn w:val="1"/>
    <w:link w:val="133"/>
    <w:qFormat/>
    <w:uiPriority w:val="0"/>
    <w:pPr>
      <w:snapToGrid w:val="0"/>
      <w:spacing w:line="240" w:lineRule="auto"/>
      <w:jc w:val="left"/>
    </w:pPr>
  </w:style>
  <w:style w:type="paragraph" w:styleId="53">
    <w:name w:val="List Continue 5"/>
    <w:basedOn w:val="1"/>
    <w:qFormat/>
    <w:uiPriority w:val="0"/>
    <w:pPr>
      <w:spacing w:after="120" w:line="360" w:lineRule="auto"/>
      <w:ind w:left="2100" w:leftChars="1000" w:firstLine="200" w:firstLineChars="200"/>
    </w:pPr>
    <w:rPr>
      <w:rFonts w:ascii="仿宋_GB2312" w:hAnsi="仿宋_GB2312" w:eastAsia="仿宋_GB2312"/>
      <w:sz w:val="28"/>
      <w:szCs w:val="20"/>
    </w:rPr>
  </w:style>
  <w:style w:type="paragraph" w:styleId="54">
    <w:name w:val="Balloon Text"/>
    <w:basedOn w:val="1"/>
    <w:link w:val="134"/>
    <w:qFormat/>
    <w:uiPriority w:val="99"/>
    <w:pPr>
      <w:spacing w:line="240" w:lineRule="auto"/>
    </w:pPr>
    <w:rPr>
      <w:sz w:val="18"/>
      <w:szCs w:val="18"/>
    </w:rPr>
  </w:style>
  <w:style w:type="paragraph" w:styleId="55">
    <w:name w:val="footer"/>
    <w:basedOn w:val="1"/>
    <w:link w:val="135"/>
    <w:qFormat/>
    <w:uiPriority w:val="99"/>
    <w:pPr>
      <w:tabs>
        <w:tab w:val="center" w:pos="4153"/>
        <w:tab w:val="right" w:pos="8306"/>
      </w:tabs>
      <w:snapToGrid w:val="0"/>
      <w:spacing w:line="240" w:lineRule="auto"/>
      <w:jc w:val="left"/>
    </w:pPr>
    <w:rPr>
      <w:sz w:val="18"/>
      <w:szCs w:val="18"/>
    </w:rPr>
  </w:style>
  <w:style w:type="paragraph" w:styleId="56">
    <w:name w:val="envelope return"/>
    <w:basedOn w:val="1"/>
    <w:qFormat/>
    <w:uiPriority w:val="0"/>
    <w:pPr>
      <w:snapToGrid w:val="0"/>
      <w:spacing w:line="360" w:lineRule="auto"/>
      <w:ind w:firstLine="200" w:firstLineChars="200"/>
    </w:pPr>
    <w:rPr>
      <w:rFonts w:ascii="Arial" w:hAnsi="Arial" w:eastAsia="仿宋_GB2312" w:cs="Arial"/>
      <w:sz w:val="28"/>
      <w:szCs w:val="20"/>
    </w:rPr>
  </w:style>
  <w:style w:type="paragraph" w:styleId="57">
    <w:name w:val="header"/>
    <w:basedOn w:val="1"/>
    <w:link w:val="136"/>
    <w:qFormat/>
    <w:uiPriority w:val="99"/>
    <w:pPr>
      <w:pBdr>
        <w:bottom w:val="single" w:color="auto" w:sz="6" w:space="1"/>
      </w:pBdr>
      <w:tabs>
        <w:tab w:val="center" w:pos="4153"/>
        <w:tab w:val="right" w:pos="8306"/>
      </w:tabs>
      <w:snapToGrid w:val="0"/>
      <w:spacing w:line="240" w:lineRule="auto"/>
      <w:jc w:val="center"/>
    </w:pPr>
    <w:rPr>
      <w:sz w:val="18"/>
      <w:szCs w:val="18"/>
    </w:rPr>
  </w:style>
  <w:style w:type="paragraph" w:styleId="58">
    <w:name w:val="Signature"/>
    <w:basedOn w:val="1"/>
    <w:link w:val="137"/>
    <w:qFormat/>
    <w:uiPriority w:val="0"/>
    <w:pPr>
      <w:spacing w:line="360" w:lineRule="auto"/>
      <w:ind w:left="100" w:leftChars="2100" w:firstLine="200" w:firstLineChars="200"/>
    </w:pPr>
    <w:rPr>
      <w:rFonts w:ascii="仿宋_GB2312" w:hAnsi="仿宋_GB2312" w:eastAsia="仿宋_GB2312"/>
      <w:sz w:val="28"/>
      <w:szCs w:val="20"/>
    </w:rPr>
  </w:style>
  <w:style w:type="paragraph" w:styleId="59">
    <w:name w:val="toc 1"/>
    <w:basedOn w:val="1"/>
    <w:next w:val="1"/>
    <w:qFormat/>
    <w:uiPriority w:val="39"/>
    <w:pPr>
      <w:spacing w:before="120" w:after="120"/>
      <w:jc w:val="left"/>
    </w:pPr>
    <w:rPr>
      <w:b/>
      <w:bCs/>
      <w:sz w:val="20"/>
      <w:szCs w:val="20"/>
    </w:rPr>
  </w:style>
  <w:style w:type="paragraph" w:styleId="60">
    <w:name w:val="List Continue 4"/>
    <w:basedOn w:val="1"/>
    <w:qFormat/>
    <w:uiPriority w:val="0"/>
    <w:pPr>
      <w:spacing w:after="120" w:line="360" w:lineRule="auto"/>
      <w:ind w:left="1680" w:leftChars="800" w:firstLine="200" w:firstLineChars="200"/>
    </w:pPr>
    <w:rPr>
      <w:rFonts w:ascii="仿宋_GB2312" w:hAnsi="仿宋_GB2312" w:eastAsia="仿宋_GB2312"/>
      <w:sz w:val="28"/>
      <w:szCs w:val="20"/>
    </w:rPr>
  </w:style>
  <w:style w:type="paragraph" w:styleId="61">
    <w:name w:val="toc 4"/>
    <w:basedOn w:val="1"/>
    <w:next w:val="1"/>
    <w:qFormat/>
    <w:uiPriority w:val="39"/>
    <w:pPr>
      <w:ind w:left="720"/>
      <w:jc w:val="left"/>
    </w:pPr>
    <w:rPr>
      <w:rFonts w:ascii="Calibri" w:hAnsi="Calibri"/>
      <w:sz w:val="18"/>
      <w:szCs w:val="18"/>
    </w:rPr>
  </w:style>
  <w:style w:type="paragraph" w:styleId="62">
    <w:name w:val="index heading"/>
    <w:basedOn w:val="1"/>
    <w:next w:val="63"/>
    <w:qFormat/>
    <w:uiPriority w:val="0"/>
    <w:pPr>
      <w:spacing w:before="120" w:after="120" w:line="500" w:lineRule="exact"/>
      <w:ind w:firstLine="200" w:firstLineChars="200"/>
      <w:jc w:val="left"/>
    </w:pPr>
    <w:rPr>
      <w:b/>
      <w:bCs/>
      <w:i/>
      <w:iCs/>
      <w:sz w:val="20"/>
      <w:szCs w:val="20"/>
    </w:rPr>
  </w:style>
  <w:style w:type="paragraph" w:styleId="63">
    <w:name w:val="index 1"/>
    <w:basedOn w:val="1"/>
    <w:next w:val="1"/>
    <w:unhideWhenUsed/>
    <w:qFormat/>
    <w:uiPriority w:val="0"/>
    <w:pPr>
      <w:spacing w:line="326" w:lineRule="auto"/>
    </w:pPr>
    <w:rPr>
      <w:rFonts w:ascii="宋体" w:hAnsi="宋体"/>
      <w:szCs w:val="20"/>
    </w:rPr>
  </w:style>
  <w:style w:type="paragraph" w:styleId="64">
    <w:name w:val="Subtitle"/>
    <w:basedOn w:val="1"/>
    <w:link w:val="138"/>
    <w:qFormat/>
    <w:uiPriority w:val="0"/>
    <w:pPr>
      <w:spacing w:before="240" w:after="60" w:line="312" w:lineRule="atLeast"/>
      <w:ind w:firstLine="200" w:firstLineChars="200"/>
      <w:jc w:val="center"/>
      <w:outlineLvl w:val="1"/>
    </w:pPr>
    <w:rPr>
      <w:rFonts w:ascii="Arial" w:hAnsi="Arial"/>
      <w:b/>
      <w:bCs/>
      <w:kern w:val="28"/>
      <w:sz w:val="32"/>
      <w:szCs w:val="32"/>
    </w:rPr>
  </w:style>
  <w:style w:type="paragraph" w:styleId="65">
    <w:name w:val="List Number 5"/>
    <w:basedOn w:val="1"/>
    <w:qFormat/>
    <w:uiPriority w:val="0"/>
    <w:pPr>
      <w:numPr>
        <w:ilvl w:val="0"/>
        <w:numId w:val="11"/>
      </w:numPr>
      <w:spacing w:line="360" w:lineRule="auto"/>
    </w:pPr>
    <w:rPr>
      <w:rFonts w:ascii="仿宋_GB2312" w:hAnsi="仿宋_GB2312" w:eastAsia="仿宋_GB2312"/>
      <w:sz w:val="28"/>
      <w:szCs w:val="20"/>
    </w:rPr>
  </w:style>
  <w:style w:type="paragraph" w:styleId="66">
    <w:name w:val="List"/>
    <w:basedOn w:val="1"/>
    <w:qFormat/>
    <w:uiPriority w:val="0"/>
    <w:pPr>
      <w:spacing w:line="360" w:lineRule="auto"/>
      <w:ind w:left="200" w:hanging="200" w:hangingChars="200"/>
    </w:pPr>
    <w:rPr>
      <w:rFonts w:ascii="仿宋_GB2312" w:hAnsi="仿宋_GB2312" w:eastAsia="仿宋_GB2312"/>
      <w:sz w:val="28"/>
      <w:szCs w:val="20"/>
    </w:rPr>
  </w:style>
  <w:style w:type="paragraph" w:styleId="67">
    <w:name w:val="footnote text"/>
    <w:basedOn w:val="1"/>
    <w:link w:val="139"/>
    <w:qFormat/>
    <w:uiPriority w:val="99"/>
    <w:pPr>
      <w:snapToGrid w:val="0"/>
      <w:spacing w:line="240" w:lineRule="auto"/>
      <w:jc w:val="left"/>
    </w:pPr>
    <w:rPr>
      <w:sz w:val="18"/>
      <w:szCs w:val="18"/>
    </w:rPr>
  </w:style>
  <w:style w:type="paragraph" w:styleId="68">
    <w:name w:val="toc 6"/>
    <w:basedOn w:val="1"/>
    <w:next w:val="1"/>
    <w:qFormat/>
    <w:uiPriority w:val="39"/>
    <w:pPr>
      <w:ind w:left="1200"/>
      <w:jc w:val="left"/>
    </w:pPr>
    <w:rPr>
      <w:rFonts w:ascii="Calibri" w:hAnsi="Calibri"/>
      <w:sz w:val="18"/>
      <w:szCs w:val="18"/>
    </w:rPr>
  </w:style>
  <w:style w:type="paragraph" w:styleId="69">
    <w:name w:val="List 5"/>
    <w:basedOn w:val="1"/>
    <w:qFormat/>
    <w:uiPriority w:val="0"/>
    <w:pPr>
      <w:spacing w:line="360" w:lineRule="auto"/>
      <w:ind w:left="100" w:leftChars="800" w:hanging="200" w:hangingChars="200"/>
    </w:pPr>
    <w:rPr>
      <w:rFonts w:ascii="仿宋_GB2312" w:hAnsi="仿宋_GB2312" w:eastAsia="仿宋_GB2312"/>
      <w:sz w:val="28"/>
      <w:szCs w:val="20"/>
    </w:rPr>
  </w:style>
  <w:style w:type="paragraph" w:styleId="70">
    <w:name w:val="Body Text Indent 3"/>
    <w:basedOn w:val="1"/>
    <w:link w:val="140"/>
    <w:qFormat/>
    <w:uiPriority w:val="0"/>
    <w:pPr>
      <w:spacing w:line="400" w:lineRule="atLeast"/>
      <w:ind w:firstLine="560" w:firstLineChars="200"/>
    </w:pPr>
    <w:rPr>
      <w:sz w:val="28"/>
    </w:rPr>
  </w:style>
  <w:style w:type="paragraph" w:styleId="71">
    <w:name w:val="index 7"/>
    <w:basedOn w:val="1"/>
    <w:next w:val="1"/>
    <w:qFormat/>
    <w:uiPriority w:val="0"/>
    <w:pPr>
      <w:tabs>
        <w:tab w:val="left" w:pos="0"/>
        <w:tab w:val="center" w:pos="4423"/>
        <w:tab w:val="right" w:pos="8845"/>
      </w:tabs>
      <w:snapToGrid w:val="0"/>
      <w:spacing w:line="300" w:lineRule="auto"/>
      <w:ind w:firstLine="480" w:firstLineChars="200"/>
    </w:pPr>
    <w:rPr>
      <w:rFonts w:ascii="仿宋_GB2312" w:hAnsi="宋体" w:eastAsia="仿宋_GB2312"/>
      <w:color w:val="000000"/>
    </w:rPr>
  </w:style>
  <w:style w:type="paragraph" w:styleId="72">
    <w:name w:val="index 9"/>
    <w:basedOn w:val="1"/>
    <w:next w:val="1"/>
    <w:qFormat/>
    <w:uiPriority w:val="0"/>
    <w:pPr>
      <w:spacing w:line="500" w:lineRule="exact"/>
      <w:ind w:left="2520" w:hanging="280" w:firstLineChars="200"/>
      <w:jc w:val="left"/>
    </w:pPr>
    <w:rPr>
      <w:sz w:val="20"/>
      <w:szCs w:val="20"/>
    </w:rPr>
  </w:style>
  <w:style w:type="paragraph" w:styleId="73">
    <w:name w:val="table of figures"/>
    <w:basedOn w:val="1"/>
    <w:next w:val="1"/>
    <w:qFormat/>
    <w:uiPriority w:val="0"/>
    <w:pPr>
      <w:ind w:left="200" w:leftChars="200" w:hanging="200" w:hangingChars="200"/>
    </w:pPr>
    <w:rPr>
      <w:szCs w:val="28"/>
    </w:rPr>
  </w:style>
  <w:style w:type="paragraph" w:styleId="74">
    <w:name w:val="toc 2"/>
    <w:basedOn w:val="1"/>
    <w:next w:val="1"/>
    <w:qFormat/>
    <w:uiPriority w:val="39"/>
    <w:pPr>
      <w:tabs>
        <w:tab w:val="right" w:leader="dot" w:pos="8495"/>
      </w:tabs>
      <w:spacing w:line="360" w:lineRule="auto"/>
      <w:ind w:left="238"/>
      <w:jc w:val="left"/>
    </w:pPr>
    <w:rPr>
      <w:sz w:val="20"/>
      <w:szCs w:val="20"/>
    </w:rPr>
  </w:style>
  <w:style w:type="paragraph" w:styleId="75">
    <w:name w:val="toc 9"/>
    <w:basedOn w:val="1"/>
    <w:next w:val="1"/>
    <w:qFormat/>
    <w:uiPriority w:val="39"/>
    <w:pPr>
      <w:ind w:left="1920"/>
      <w:jc w:val="left"/>
    </w:pPr>
    <w:rPr>
      <w:rFonts w:ascii="Calibri" w:hAnsi="Calibri"/>
      <w:sz w:val="18"/>
      <w:szCs w:val="18"/>
    </w:rPr>
  </w:style>
  <w:style w:type="paragraph" w:styleId="76">
    <w:name w:val="Body Text 2"/>
    <w:basedOn w:val="1"/>
    <w:link w:val="141"/>
    <w:qFormat/>
    <w:uiPriority w:val="0"/>
    <w:pPr>
      <w:spacing w:after="120" w:line="480" w:lineRule="auto"/>
      <w:ind w:firstLine="200" w:firstLineChars="200"/>
    </w:pPr>
    <w:rPr>
      <w:rFonts w:ascii="仿宋_GB2312" w:hAnsi="仿宋_GB2312" w:eastAsia="仿宋_GB2312"/>
      <w:sz w:val="28"/>
      <w:szCs w:val="20"/>
    </w:rPr>
  </w:style>
  <w:style w:type="paragraph" w:styleId="77">
    <w:name w:val="List 4"/>
    <w:basedOn w:val="1"/>
    <w:qFormat/>
    <w:uiPriority w:val="0"/>
    <w:pPr>
      <w:spacing w:line="360" w:lineRule="auto"/>
      <w:ind w:left="100" w:leftChars="600" w:hanging="200" w:hangingChars="200"/>
    </w:pPr>
    <w:rPr>
      <w:rFonts w:ascii="仿宋_GB2312" w:hAnsi="仿宋_GB2312" w:eastAsia="仿宋_GB2312"/>
      <w:sz w:val="28"/>
      <w:szCs w:val="20"/>
    </w:rPr>
  </w:style>
  <w:style w:type="paragraph" w:styleId="78">
    <w:name w:val="List Continue 2"/>
    <w:basedOn w:val="1"/>
    <w:qFormat/>
    <w:uiPriority w:val="0"/>
    <w:pPr>
      <w:spacing w:after="120" w:line="360" w:lineRule="auto"/>
      <w:ind w:left="840" w:leftChars="400" w:firstLine="200" w:firstLineChars="200"/>
    </w:pPr>
    <w:rPr>
      <w:rFonts w:ascii="仿宋_GB2312" w:hAnsi="仿宋_GB2312" w:eastAsia="仿宋_GB2312"/>
      <w:sz w:val="28"/>
      <w:szCs w:val="20"/>
    </w:rPr>
  </w:style>
  <w:style w:type="paragraph" w:styleId="79">
    <w:name w:val="Message Header"/>
    <w:basedOn w:val="1"/>
    <w:link w:val="142"/>
    <w:qFormat/>
    <w:uiPriority w:val="0"/>
    <w:pPr>
      <w:pBdr>
        <w:top w:val="single" w:color="auto" w:sz="6" w:space="1"/>
        <w:left w:val="single" w:color="auto" w:sz="6" w:space="1"/>
        <w:bottom w:val="single" w:color="auto" w:sz="6" w:space="1"/>
        <w:right w:val="single" w:color="auto" w:sz="6" w:space="1"/>
      </w:pBdr>
      <w:shd w:val="pct20" w:color="auto" w:fill="auto"/>
      <w:spacing w:line="360" w:lineRule="auto"/>
      <w:ind w:left="1080" w:leftChars="500" w:hanging="1080" w:hangingChars="500"/>
    </w:pPr>
    <w:rPr>
      <w:rFonts w:ascii="Arial" w:hAnsi="Arial" w:eastAsia="仿宋_GB2312"/>
    </w:rPr>
  </w:style>
  <w:style w:type="paragraph" w:styleId="80">
    <w:name w:val="HTML Preformatted"/>
    <w:basedOn w:val="1"/>
    <w:link w:val="143"/>
    <w:qFormat/>
    <w:uiPriority w:val="99"/>
    <w:pPr>
      <w:spacing w:line="360" w:lineRule="auto"/>
      <w:ind w:firstLine="200" w:firstLineChars="200"/>
    </w:pPr>
    <w:rPr>
      <w:rFonts w:ascii="Courier New" w:hAnsi="Courier New" w:eastAsia="仿宋_GB2312"/>
      <w:sz w:val="20"/>
      <w:szCs w:val="20"/>
    </w:rPr>
  </w:style>
  <w:style w:type="paragraph" w:styleId="81">
    <w:name w:val="Normal (Web)"/>
    <w:basedOn w:val="1"/>
    <w:unhideWhenUsed/>
    <w:qFormat/>
    <w:uiPriority w:val="99"/>
    <w:pPr>
      <w:widowControl/>
      <w:spacing w:before="100" w:beforeAutospacing="1" w:after="100" w:afterAutospacing="1" w:line="240" w:lineRule="auto"/>
      <w:jc w:val="left"/>
    </w:pPr>
    <w:rPr>
      <w:rFonts w:ascii="宋体" w:hAnsi="宋体" w:cs="宋体"/>
      <w:kern w:val="0"/>
    </w:rPr>
  </w:style>
  <w:style w:type="paragraph" w:styleId="82">
    <w:name w:val="List Continue 3"/>
    <w:basedOn w:val="1"/>
    <w:qFormat/>
    <w:uiPriority w:val="0"/>
    <w:pPr>
      <w:spacing w:after="120" w:line="360" w:lineRule="auto"/>
      <w:ind w:left="1260" w:leftChars="600" w:firstLine="200" w:firstLineChars="200"/>
    </w:pPr>
    <w:rPr>
      <w:rFonts w:ascii="仿宋_GB2312" w:hAnsi="仿宋_GB2312" w:eastAsia="仿宋_GB2312"/>
      <w:sz w:val="28"/>
      <w:szCs w:val="20"/>
    </w:rPr>
  </w:style>
  <w:style w:type="paragraph" w:styleId="83">
    <w:name w:val="index 2"/>
    <w:basedOn w:val="1"/>
    <w:next w:val="1"/>
    <w:qFormat/>
    <w:uiPriority w:val="0"/>
    <w:pPr>
      <w:spacing w:line="500" w:lineRule="exact"/>
      <w:ind w:left="560" w:hanging="280" w:firstLineChars="200"/>
      <w:jc w:val="left"/>
    </w:pPr>
    <w:rPr>
      <w:sz w:val="20"/>
      <w:szCs w:val="20"/>
    </w:rPr>
  </w:style>
  <w:style w:type="paragraph" w:styleId="84">
    <w:name w:val="Title"/>
    <w:basedOn w:val="1"/>
    <w:link w:val="144"/>
    <w:qFormat/>
    <w:uiPriority w:val="0"/>
    <w:pPr>
      <w:tabs>
        <w:tab w:val="left" w:pos="0"/>
        <w:tab w:val="center" w:pos="4423"/>
        <w:tab w:val="right" w:pos="8845"/>
      </w:tabs>
      <w:snapToGrid w:val="0"/>
      <w:spacing w:before="240" w:after="60" w:line="300" w:lineRule="auto"/>
      <w:ind w:firstLine="480" w:firstLineChars="200"/>
      <w:jc w:val="center"/>
      <w:outlineLvl w:val="0"/>
    </w:pPr>
    <w:rPr>
      <w:rFonts w:ascii="仿宋_GB2312" w:hAnsi="宋体" w:eastAsia="黑体"/>
      <w:b/>
      <w:bCs/>
      <w:color w:val="000000"/>
      <w:sz w:val="32"/>
      <w:szCs w:val="32"/>
    </w:rPr>
  </w:style>
  <w:style w:type="paragraph" w:styleId="85">
    <w:name w:val="annotation subject"/>
    <w:basedOn w:val="28"/>
    <w:next w:val="28"/>
    <w:link w:val="145"/>
    <w:qFormat/>
    <w:uiPriority w:val="99"/>
    <w:rPr>
      <w:b/>
      <w:bCs/>
    </w:rPr>
  </w:style>
  <w:style w:type="paragraph" w:styleId="86">
    <w:name w:val="Body Text First Indent"/>
    <w:basedOn w:val="34"/>
    <w:link w:val="146"/>
    <w:qFormat/>
    <w:uiPriority w:val="0"/>
    <w:pPr>
      <w:spacing w:after="120" w:line="360" w:lineRule="auto"/>
      <w:ind w:firstLine="420" w:firstLineChars="100"/>
      <w:jc w:val="both"/>
    </w:pPr>
    <w:rPr>
      <w:rFonts w:ascii="仿宋_GB2312" w:hAnsi="仿宋_GB2312" w:eastAsia="仿宋_GB2312"/>
      <w:sz w:val="28"/>
    </w:rPr>
  </w:style>
  <w:style w:type="paragraph" w:styleId="87">
    <w:name w:val="Body Text First Indent 2"/>
    <w:basedOn w:val="35"/>
    <w:link w:val="147"/>
    <w:qFormat/>
    <w:uiPriority w:val="0"/>
    <w:pPr>
      <w:spacing w:after="120" w:line="360" w:lineRule="auto"/>
      <w:ind w:left="420" w:leftChars="200" w:firstLine="420"/>
    </w:pPr>
    <w:rPr>
      <w:rFonts w:ascii="仿宋_GB2312" w:hAnsi="仿宋_GB2312" w:eastAsia="仿宋_GB2312"/>
    </w:rPr>
  </w:style>
  <w:style w:type="table" w:styleId="89">
    <w:name w:val="Table Grid"/>
    <w:basedOn w:val="8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tcBorders>
        <w:top w:val="single" w:color="auto" w:sz="4" w:space="0"/>
        <w:left w:val="single" w:color="auto" w:sz="4" w:space="0"/>
        <w:bottom w:val="single" w:color="auto" w:sz="4" w:space="0"/>
        <w:right w:val="single" w:color="auto" w:sz="4" w:space="0"/>
      </w:tcBorders>
    </w:tcPr>
  </w:style>
  <w:style w:type="character" w:styleId="91">
    <w:name w:val="Strong"/>
    <w:qFormat/>
    <w:uiPriority w:val="22"/>
    <w:rPr>
      <w:rFonts w:eastAsia="仿宋_GB2312" w:cs="Arial"/>
      <w:b/>
      <w:bCs/>
      <w:kern w:val="2"/>
      <w:sz w:val="21"/>
      <w:szCs w:val="72"/>
      <w:lang w:val="en-US" w:eastAsia="zh-CN" w:bidi="ar-SA"/>
    </w:rPr>
  </w:style>
  <w:style w:type="character" w:styleId="92">
    <w:name w:val="endnote reference"/>
    <w:qFormat/>
    <w:uiPriority w:val="0"/>
    <w:rPr>
      <w:vertAlign w:val="superscript"/>
    </w:rPr>
  </w:style>
  <w:style w:type="character" w:styleId="93">
    <w:name w:val="page number"/>
    <w:qFormat/>
    <w:uiPriority w:val="0"/>
  </w:style>
  <w:style w:type="character" w:styleId="94">
    <w:name w:val="FollowedHyperlink"/>
    <w:unhideWhenUsed/>
    <w:qFormat/>
    <w:uiPriority w:val="99"/>
    <w:rPr>
      <w:color w:val="800080"/>
      <w:u w:val="single"/>
    </w:rPr>
  </w:style>
  <w:style w:type="character" w:styleId="95">
    <w:name w:val="Emphasis"/>
    <w:qFormat/>
    <w:uiPriority w:val="0"/>
    <w:rPr>
      <w:rFonts w:eastAsia="仿宋_GB2312" w:cs="Arial"/>
      <w:i/>
      <w:iCs/>
      <w:kern w:val="2"/>
      <w:sz w:val="21"/>
      <w:szCs w:val="72"/>
      <w:lang w:val="en-US" w:eastAsia="zh-CN" w:bidi="ar-SA"/>
    </w:rPr>
  </w:style>
  <w:style w:type="character" w:styleId="96">
    <w:name w:val="line number"/>
    <w:qFormat/>
    <w:uiPriority w:val="0"/>
    <w:rPr>
      <w:rFonts w:eastAsia="仿宋_GB2312" w:cs="Arial"/>
      <w:kern w:val="2"/>
      <w:sz w:val="21"/>
      <w:szCs w:val="72"/>
      <w:lang w:val="en-US" w:eastAsia="zh-CN" w:bidi="ar-SA"/>
    </w:rPr>
  </w:style>
  <w:style w:type="character" w:styleId="97">
    <w:name w:val="HTML Definition"/>
    <w:qFormat/>
    <w:uiPriority w:val="0"/>
    <w:rPr>
      <w:rFonts w:eastAsia="仿宋_GB2312" w:cs="Arial"/>
      <w:i/>
      <w:iCs/>
      <w:kern w:val="2"/>
      <w:sz w:val="21"/>
      <w:szCs w:val="72"/>
      <w:lang w:val="en-US" w:eastAsia="zh-CN" w:bidi="ar-SA"/>
    </w:rPr>
  </w:style>
  <w:style w:type="character" w:styleId="98">
    <w:name w:val="HTML Typewriter"/>
    <w:qFormat/>
    <w:uiPriority w:val="0"/>
    <w:rPr>
      <w:rFonts w:ascii="Courier New" w:hAnsi="Courier New" w:eastAsia="仿宋_GB2312" w:cs="Courier New"/>
      <w:kern w:val="2"/>
      <w:sz w:val="20"/>
      <w:szCs w:val="20"/>
      <w:lang w:val="en-US" w:eastAsia="zh-CN" w:bidi="ar-SA"/>
    </w:rPr>
  </w:style>
  <w:style w:type="character" w:styleId="99">
    <w:name w:val="HTML Acronym"/>
    <w:qFormat/>
    <w:uiPriority w:val="0"/>
    <w:rPr>
      <w:rFonts w:eastAsia="仿宋_GB2312" w:cs="Arial"/>
      <w:kern w:val="2"/>
      <w:sz w:val="21"/>
      <w:szCs w:val="72"/>
      <w:lang w:val="en-US" w:eastAsia="zh-CN" w:bidi="ar-SA"/>
    </w:rPr>
  </w:style>
  <w:style w:type="character" w:styleId="100">
    <w:name w:val="HTML Variable"/>
    <w:qFormat/>
    <w:uiPriority w:val="0"/>
    <w:rPr>
      <w:rFonts w:eastAsia="仿宋_GB2312" w:cs="Arial"/>
      <w:i/>
      <w:iCs/>
      <w:kern w:val="2"/>
      <w:sz w:val="21"/>
      <w:szCs w:val="72"/>
      <w:lang w:val="en-US" w:eastAsia="zh-CN" w:bidi="ar-SA"/>
    </w:rPr>
  </w:style>
  <w:style w:type="character" w:styleId="101">
    <w:name w:val="Hyperlink"/>
    <w:unhideWhenUsed/>
    <w:qFormat/>
    <w:uiPriority w:val="99"/>
    <w:rPr>
      <w:color w:val="0000FF"/>
      <w:u w:val="single"/>
    </w:rPr>
  </w:style>
  <w:style w:type="character" w:styleId="102">
    <w:name w:val="HTML Code"/>
    <w:qFormat/>
    <w:uiPriority w:val="0"/>
    <w:rPr>
      <w:rFonts w:ascii="Courier New" w:hAnsi="Courier New" w:eastAsia="仿宋_GB2312" w:cs="Courier New"/>
      <w:kern w:val="2"/>
      <w:sz w:val="20"/>
      <w:szCs w:val="20"/>
      <w:lang w:val="en-US" w:eastAsia="zh-CN" w:bidi="ar-SA"/>
    </w:rPr>
  </w:style>
  <w:style w:type="character" w:styleId="103">
    <w:name w:val="annotation reference"/>
    <w:qFormat/>
    <w:uiPriority w:val="99"/>
    <w:rPr>
      <w:sz w:val="21"/>
      <w:szCs w:val="21"/>
    </w:rPr>
  </w:style>
  <w:style w:type="character" w:styleId="104">
    <w:name w:val="HTML Cite"/>
    <w:qFormat/>
    <w:uiPriority w:val="0"/>
    <w:rPr>
      <w:rFonts w:eastAsia="仿宋_GB2312" w:cs="Arial"/>
      <w:i/>
      <w:iCs/>
      <w:kern w:val="2"/>
      <w:sz w:val="21"/>
      <w:szCs w:val="72"/>
      <w:lang w:val="en-US" w:eastAsia="zh-CN" w:bidi="ar-SA"/>
    </w:rPr>
  </w:style>
  <w:style w:type="character" w:styleId="105">
    <w:name w:val="footnote reference"/>
    <w:qFormat/>
    <w:uiPriority w:val="99"/>
    <w:rPr>
      <w:rFonts w:eastAsia="宋体" w:cs="Arial"/>
      <w:kern w:val="2"/>
      <w:sz w:val="21"/>
      <w:szCs w:val="72"/>
      <w:vertAlign w:val="superscript"/>
      <w:lang w:val="en-US" w:eastAsia="zh-CN" w:bidi="ar-SA"/>
    </w:rPr>
  </w:style>
  <w:style w:type="character" w:styleId="106">
    <w:name w:val="HTML Keyboard"/>
    <w:qFormat/>
    <w:uiPriority w:val="0"/>
    <w:rPr>
      <w:rFonts w:ascii="Courier New" w:hAnsi="Courier New" w:eastAsia="仿宋_GB2312" w:cs="Courier New"/>
      <w:kern w:val="2"/>
      <w:sz w:val="20"/>
      <w:szCs w:val="20"/>
      <w:lang w:val="en-US" w:eastAsia="zh-CN" w:bidi="ar-SA"/>
    </w:rPr>
  </w:style>
  <w:style w:type="character" w:styleId="107">
    <w:name w:val="HTML Sample"/>
    <w:qFormat/>
    <w:uiPriority w:val="0"/>
    <w:rPr>
      <w:rFonts w:ascii="Courier New" w:hAnsi="Courier New" w:eastAsia="仿宋_GB2312" w:cs="Courier New"/>
      <w:kern w:val="2"/>
      <w:sz w:val="21"/>
      <w:szCs w:val="72"/>
      <w:lang w:val="en-US" w:eastAsia="zh-CN" w:bidi="ar-SA"/>
    </w:rPr>
  </w:style>
  <w:style w:type="character" w:customStyle="1" w:styleId="108">
    <w:name w:val="正文缩进 字符"/>
    <w:link w:val="2"/>
    <w:qFormat/>
    <w:uiPriority w:val="0"/>
    <w:rPr>
      <w:kern w:val="2"/>
      <w:sz w:val="24"/>
      <w:szCs w:val="24"/>
    </w:rPr>
  </w:style>
  <w:style w:type="character" w:customStyle="1" w:styleId="109">
    <w:name w:val="标题 1 字符"/>
    <w:link w:val="4"/>
    <w:qFormat/>
    <w:uiPriority w:val="0"/>
    <w:rPr>
      <w:b/>
      <w:bCs/>
      <w:kern w:val="44"/>
      <w:sz w:val="36"/>
      <w:szCs w:val="44"/>
    </w:rPr>
  </w:style>
  <w:style w:type="character" w:customStyle="1" w:styleId="110">
    <w:name w:val="标题 2 字符"/>
    <w:link w:val="5"/>
    <w:qFormat/>
    <w:uiPriority w:val="0"/>
    <w:rPr>
      <w:b/>
      <w:bCs/>
      <w:kern w:val="2"/>
      <w:sz w:val="28"/>
      <w:szCs w:val="32"/>
    </w:rPr>
  </w:style>
  <w:style w:type="character" w:customStyle="1" w:styleId="111">
    <w:name w:val="标题 3 字符"/>
    <w:link w:val="6"/>
    <w:qFormat/>
    <w:uiPriority w:val="0"/>
    <w:rPr>
      <w:b/>
      <w:bCs/>
      <w:kern w:val="2"/>
      <w:sz w:val="28"/>
      <w:szCs w:val="32"/>
    </w:rPr>
  </w:style>
  <w:style w:type="character" w:customStyle="1" w:styleId="112">
    <w:name w:val="标题 4 字符"/>
    <w:link w:val="7"/>
    <w:qFormat/>
    <w:uiPriority w:val="0"/>
    <w:rPr>
      <w:b/>
      <w:bCs/>
      <w:kern w:val="2"/>
      <w:sz w:val="28"/>
      <w:szCs w:val="28"/>
    </w:rPr>
  </w:style>
  <w:style w:type="character" w:customStyle="1" w:styleId="113">
    <w:name w:val="标题 5 字符"/>
    <w:link w:val="8"/>
    <w:qFormat/>
    <w:uiPriority w:val="0"/>
    <w:rPr>
      <w:b/>
      <w:bCs/>
      <w:kern w:val="2"/>
      <w:sz w:val="21"/>
      <w:szCs w:val="28"/>
    </w:rPr>
  </w:style>
  <w:style w:type="character" w:customStyle="1" w:styleId="114">
    <w:name w:val="标题 6 字符"/>
    <w:link w:val="9"/>
    <w:qFormat/>
    <w:uiPriority w:val="0"/>
    <w:rPr>
      <w:b/>
      <w:bCs/>
      <w:kern w:val="2"/>
      <w:sz w:val="21"/>
      <w:szCs w:val="24"/>
    </w:rPr>
  </w:style>
  <w:style w:type="character" w:customStyle="1" w:styleId="115">
    <w:name w:val="标题 7 字符"/>
    <w:link w:val="10"/>
    <w:qFormat/>
    <w:uiPriority w:val="0"/>
    <w:rPr>
      <w:b/>
      <w:bCs/>
      <w:kern w:val="2"/>
      <w:sz w:val="24"/>
      <w:szCs w:val="24"/>
    </w:rPr>
  </w:style>
  <w:style w:type="character" w:customStyle="1" w:styleId="116">
    <w:name w:val="标题 8 字符"/>
    <w:link w:val="11"/>
    <w:qFormat/>
    <w:uiPriority w:val="0"/>
    <w:rPr>
      <w:rFonts w:ascii="Arial" w:hAnsi="Arial" w:eastAsia="黑体"/>
      <w:kern w:val="2"/>
      <w:sz w:val="24"/>
      <w:szCs w:val="24"/>
    </w:rPr>
  </w:style>
  <w:style w:type="character" w:customStyle="1" w:styleId="117">
    <w:name w:val="标题 9 字符"/>
    <w:link w:val="12"/>
    <w:qFormat/>
    <w:uiPriority w:val="0"/>
    <w:rPr>
      <w:rFonts w:ascii="Arial" w:hAnsi="Arial" w:eastAsia="黑体"/>
      <w:kern w:val="2"/>
      <w:sz w:val="21"/>
      <w:szCs w:val="21"/>
    </w:rPr>
  </w:style>
  <w:style w:type="character" w:customStyle="1" w:styleId="118">
    <w:name w:val="宏文本 字符"/>
    <w:link w:val="3"/>
    <w:qFormat/>
    <w:uiPriority w:val="0"/>
    <w:rPr>
      <w:rFonts w:ascii="Courier New" w:hAnsi="Courier New"/>
      <w:kern w:val="2"/>
      <w:sz w:val="24"/>
      <w:lang w:bidi="ar-SA"/>
    </w:rPr>
  </w:style>
  <w:style w:type="character" w:customStyle="1" w:styleId="119">
    <w:name w:val="注释标题 字符"/>
    <w:link w:val="17"/>
    <w:qFormat/>
    <w:uiPriority w:val="0"/>
    <w:rPr>
      <w:rFonts w:ascii="仿宋_GB2312" w:hAnsi="仿宋_GB2312" w:eastAsia="仿宋_GB2312"/>
      <w:kern w:val="2"/>
      <w:sz w:val="28"/>
    </w:rPr>
  </w:style>
  <w:style w:type="character" w:customStyle="1" w:styleId="120">
    <w:name w:val="电子邮件签名 字符"/>
    <w:link w:val="20"/>
    <w:qFormat/>
    <w:uiPriority w:val="0"/>
    <w:rPr>
      <w:rFonts w:ascii="仿宋_GB2312" w:hAnsi="仿宋_GB2312" w:eastAsia="仿宋_GB2312"/>
      <w:kern w:val="2"/>
      <w:sz w:val="28"/>
    </w:rPr>
  </w:style>
  <w:style w:type="character" w:customStyle="1" w:styleId="121">
    <w:name w:val="题注 字符"/>
    <w:link w:val="22"/>
    <w:qFormat/>
    <w:uiPriority w:val="0"/>
    <w:rPr>
      <w:rFonts w:ascii="Arial" w:hAnsi="Arial" w:cs="Arial"/>
      <w:b/>
      <w:kern w:val="2"/>
      <w:sz w:val="21"/>
    </w:rPr>
  </w:style>
  <w:style w:type="character" w:customStyle="1" w:styleId="122">
    <w:name w:val="文档结构图 字符"/>
    <w:link w:val="26"/>
    <w:qFormat/>
    <w:uiPriority w:val="99"/>
    <w:rPr>
      <w:kern w:val="2"/>
      <w:sz w:val="24"/>
      <w:szCs w:val="24"/>
      <w:shd w:val="clear" w:color="auto" w:fill="000080"/>
    </w:rPr>
  </w:style>
  <w:style w:type="character" w:customStyle="1" w:styleId="123">
    <w:name w:val="批注文字 字符"/>
    <w:link w:val="28"/>
    <w:qFormat/>
    <w:uiPriority w:val="99"/>
    <w:rPr>
      <w:kern w:val="2"/>
      <w:sz w:val="24"/>
      <w:szCs w:val="21"/>
    </w:rPr>
  </w:style>
  <w:style w:type="character" w:customStyle="1" w:styleId="124">
    <w:name w:val="称呼 字符"/>
    <w:link w:val="30"/>
    <w:qFormat/>
    <w:uiPriority w:val="0"/>
    <w:rPr>
      <w:rFonts w:ascii="仿宋_GB2312" w:hAnsi="仿宋_GB2312" w:eastAsia="仿宋_GB2312"/>
      <w:kern w:val="2"/>
      <w:sz w:val="28"/>
    </w:rPr>
  </w:style>
  <w:style w:type="character" w:customStyle="1" w:styleId="125">
    <w:name w:val="正文文本 3 字符"/>
    <w:link w:val="31"/>
    <w:qFormat/>
    <w:uiPriority w:val="0"/>
    <w:rPr>
      <w:rFonts w:ascii="仿宋_GB2312" w:hAnsi="仿宋_GB2312" w:eastAsia="仿宋_GB2312"/>
      <w:kern w:val="2"/>
      <w:sz w:val="16"/>
      <w:szCs w:val="16"/>
    </w:rPr>
  </w:style>
  <w:style w:type="character" w:customStyle="1" w:styleId="126">
    <w:name w:val="结束语 字符"/>
    <w:link w:val="32"/>
    <w:qFormat/>
    <w:uiPriority w:val="0"/>
    <w:rPr>
      <w:rFonts w:ascii="仿宋_GB2312" w:hAnsi="仿宋_GB2312" w:eastAsia="仿宋_GB2312"/>
      <w:kern w:val="2"/>
      <w:sz w:val="28"/>
    </w:rPr>
  </w:style>
  <w:style w:type="character" w:customStyle="1" w:styleId="127">
    <w:name w:val="正文文本 字符"/>
    <w:link w:val="34"/>
    <w:qFormat/>
    <w:uiPriority w:val="0"/>
    <w:rPr>
      <w:kern w:val="2"/>
      <w:sz w:val="21"/>
      <w:szCs w:val="24"/>
    </w:rPr>
  </w:style>
  <w:style w:type="character" w:customStyle="1" w:styleId="128">
    <w:name w:val="正文文本缩进 字符"/>
    <w:link w:val="35"/>
    <w:qFormat/>
    <w:uiPriority w:val="0"/>
    <w:rPr>
      <w:kern w:val="2"/>
      <w:sz w:val="28"/>
      <w:szCs w:val="24"/>
    </w:rPr>
  </w:style>
  <w:style w:type="character" w:customStyle="1" w:styleId="129">
    <w:name w:val="HTML 地址 字符"/>
    <w:link w:val="41"/>
    <w:qFormat/>
    <w:uiPriority w:val="0"/>
    <w:rPr>
      <w:rFonts w:ascii="仿宋_GB2312" w:hAnsi="仿宋_GB2312" w:eastAsia="仿宋_GB2312"/>
      <w:i/>
      <w:iCs/>
      <w:kern w:val="2"/>
      <w:sz w:val="28"/>
    </w:rPr>
  </w:style>
  <w:style w:type="character" w:customStyle="1" w:styleId="130">
    <w:name w:val="纯文本 字符"/>
    <w:link w:val="45"/>
    <w:qFormat/>
    <w:uiPriority w:val="0"/>
    <w:rPr>
      <w:rFonts w:ascii="宋体" w:hAnsi="Courier New" w:cs="Courier New"/>
      <w:kern w:val="2"/>
      <w:sz w:val="21"/>
      <w:szCs w:val="21"/>
    </w:rPr>
  </w:style>
  <w:style w:type="character" w:customStyle="1" w:styleId="131">
    <w:name w:val="日期 字符"/>
    <w:link w:val="50"/>
    <w:qFormat/>
    <w:uiPriority w:val="0"/>
    <w:rPr>
      <w:rFonts w:ascii="宋体"/>
      <w:sz w:val="28"/>
    </w:rPr>
  </w:style>
  <w:style w:type="character" w:customStyle="1" w:styleId="132">
    <w:name w:val="正文文本缩进 2 字符"/>
    <w:link w:val="51"/>
    <w:qFormat/>
    <w:uiPriority w:val="0"/>
    <w:rPr>
      <w:kern w:val="2"/>
      <w:sz w:val="21"/>
    </w:rPr>
  </w:style>
  <w:style w:type="character" w:customStyle="1" w:styleId="133">
    <w:name w:val="尾注文本 字符"/>
    <w:link w:val="52"/>
    <w:qFormat/>
    <w:uiPriority w:val="0"/>
    <w:rPr>
      <w:kern w:val="2"/>
      <w:sz w:val="24"/>
      <w:szCs w:val="24"/>
    </w:rPr>
  </w:style>
  <w:style w:type="character" w:customStyle="1" w:styleId="134">
    <w:name w:val="批注框文本 字符"/>
    <w:link w:val="54"/>
    <w:qFormat/>
    <w:uiPriority w:val="99"/>
    <w:rPr>
      <w:kern w:val="2"/>
      <w:sz w:val="18"/>
      <w:szCs w:val="18"/>
    </w:rPr>
  </w:style>
  <w:style w:type="character" w:customStyle="1" w:styleId="135">
    <w:name w:val="页脚 字符"/>
    <w:link w:val="55"/>
    <w:qFormat/>
    <w:uiPriority w:val="99"/>
    <w:rPr>
      <w:kern w:val="2"/>
      <w:sz w:val="18"/>
      <w:szCs w:val="18"/>
    </w:rPr>
  </w:style>
  <w:style w:type="character" w:customStyle="1" w:styleId="136">
    <w:name w:val="页眉 字符"/>
    <w:link w:val="57"/>
    <w:qFormat/>
    <w:uiPriority w:val="99"/>
    <w:rPr>
      <w:kern w:val="2"/>
      <w:sz w:val="18"/>
      <w:szCs w:val="18"/>
    </w:rPr>
  </w:style>
  <w:style w:type="character" w:customStyle="1" w:styleId="137">
    <w:name w:val="签名 字符"/>
    <w:link w:val="58"/>
    <w:qFormat/>
    <w:uiPriority w:val="0"/>
    <w:rPr>
      <w:rFonts w:ascii="仿宋_GB2312" w:hAnsi="仿宋_GB2312" w:eastAsia="仿宋_GB2312"/>
      <w:kern w:val="2"/>
      <w:sz w:val="28"/>
    </w:rPr>
  </w:style>
  <w:style w:type="character" w:customStyle="1" w:styleId="138">
    <w:name w:val="副标题 字符"/>
    <w:link w:val="64"/>
    <w:qFormat/>
    <w:uiPriority w:val="0"/>
    <w:rPr>
      <w:rFonts w:ascii="Arial" w:hAnsi="Arial" w:cs="Arial"/>
      <w:b/>
      <w:bCs/>
      <w:kern w:val="28"/>
      <w:sz w:val="32"/>
      <w:szCs w:val="32"/>
    </w:rPr>
  </w:style>
  <w:style w:type="character" w:customStyle="1" w:styleId="139">
    <w:name w:val="脚注文本 字符"/>
    <w:link w:val="67"/>
    <w:qFormat/>
    <w:uiPriority w:val="99"/>
    <w:rPr>
      <w:kern w:val="2"/>
      <w:sz w:val="18"/>
      <w:szCs w:val="18"/>
    </w:rPr>
  </w:style>
  <w:style w:type="character" w:customStyle="1" w:styleId="140">
    <w:name w:val="正文文本缩进 3 字符"/>
    <w:link w:val="70"/>
    <w:qFormat/>
    <w:uiPriority w:val="0"/>
    <w:rPr>
      <w:kern w:val="2"/>
      <w:sz w:val="28"/>
      <w:szCs w:val="24"/>
    </w:rPr>
  </w:style>
  <w:style w:type="character" w:customStyle="1" w:styleId="141">
    <w:name w:val="正文文本 2 字符"/>
    <w:link w:val="76"/>
    <w:qFormat/>
    <w:uiPriority w:val="0"/>
    <w:rPr>
      <w:rFonts w:ascii="仿宋_GB2312" w:hAnsi="仿宋_GB2312" w:eastAsia="仿宋_GB2312"/>
      <w:kern w:val="2"/>
      <w:sz w:val="28"/>
    </w:rPr>
  </w:style>
  <w:style w:type="character" w:customStyle="1" w:styleId="142">
    <w:name w:val="信息标题 字符"/>
    <w:link w:val="79"/>
    <w:qFormat/>
    <w:uiPriority w:val="0"/>
    <w:rPr>
      <w:rFonts w:ascii="Arial" w:hAnsi="Arial" w:eastAsia="仿宋_GB2312" w:cs="Arial"/>
      <w:kern w:val="2"/>
      <w:sz w:val="24"/>
      <w:szCs w:val="24"/>
      <w:shd w:val="pct20" w:color="auto" w:fill="auto"/>
    </w:rPr>
  </w:style>
  <w:style w:type="character" w:customStyle="1" w:styleId="143">
    <w:name w:val="HTML 预设格式 字符"/>
    <w:link w:val="80"/>
    <w:qFormat/>
    <w:uiPriority w:val="99"/>
    <w:rPr>
      <w:rFonts w:ascii="Courier New" w:hAnsi="Courier New" w:eastAsia="仿宋_GB2312" w:cs="Courier New"/>
      <w:kern w:val="2"/>
    </w:rPr>
  </w:style>
  <w:style w:type="character" w:customStyle="1" w:styleId="144">
    <w:name w:val="标题 字符"/>
    <w:link w:val="84"/>
    <w:qFormat/>
    <w:uiPriority w:val="0"/>
    <w:rPr>
      <w:rFonts w:ascii="仿宋_GB2312" w:hAnsi="宋体" w:eastAsia="黑体" w:cs="Arial"/>
      <w:b/>
      <w:bCs/>
      <w:color w:val="000000"/>
      <w:kern w:val="2"/>
      <w:sz w:val="32"/>
      <w:szCs w:val="32"/>
    </w:rPr>
  </w:style>
  <w:style w:type="character" w:customStyle="1" w:styleId="145">
    <w:name w:val="批注主题 字符"/>
    <w:link w:val="85"/>
    <w:qFormat/>
    <w:uiPriority w:val="99"/>
    <w:rPr>
      <w:b/>
      <w:bCs/>
      <w:kern w:val="2"/>
      <w:sz w:val="24"/>
      <w:szCs w:val="21"/>
    </w:rPr>
  </w:style>
  <w:style w:type="character" w:customStyle="1" w:styleId="146">
    <w:name w:val="正文首行缩进 字符"/>
    <w:link w:val="86"/>
    <w:qFormat/>
    <w:uiPriority w:val="0"/>
    <w:rPr>
      <w:rFonts w:ascii="仿宋_GB2312" w:hAnsi="仿宋_GB2312" w:eastAsia="仿宋_GB2312"/>
      <w:kern w:val="2"/>
      <w:sz w:val="28"/>
      <w:szCs w:val="24"/>
    </w:rPr>
  </w:style>
  <w:style w:type="character" w:customStyle="1" w:styleId="147">
    <w:name w:val="正文首行缩进 2 字符"/>
    <w:link w:val="87"/>
    <w:qFormat/>
    <w:uiPriority w:val="0"/>
    <w:rPr>
      <w:rFonts w:ascii="仿宋_GB2312" w:hAnsi="仿宋_GB2312" w:eastAsia="仿宋_GB2312"/>
      <w:kern w:val="2"/>
      <w:sz w:val="28"/>
      <w:szCs w:val="24"/>
    </w:rPr>
  </w:style>
  <w:style w:type="paragraph" w:customStyle="1" w:styleId="148">
    <w:name w:val="编制单位"/>
    <w:basedOn w:val="1"/>
    <w:qFormat/>
    <w:uiPriority w:val="0"/>
    <w:pPr>
      <w:jc w:val="center"/>
    </w:pPr>
    <w:rPr>
      <w:rFonts w:hAnsi="宋体" w:cs="宋体"/>
      <w:b/>
      <w:bCs/>
      <w:sz w:val="44"/>
      <w:szCs w:val="20"/>
    </w:rPr>
  </w:style>
  <w:style w:type="paragraph" w:customStyle="1" w:styleId="149">
    <w:name w:val="样式 文本正文 + 首行缩进:  2 字符"/>
    <w:basedOn w:val="150"/>
    <w:next w:val="150"/>
    <w:qFormat/>
    <w:uiPriority w:val="0"/>
  </w:style>
  <w:style w:type="paragraph" w:customStyle="1" w:styleId="150">
    <w:name w:val="文本正文"/>
    <w:basedOn w:val="1"/>
    <w:link w:val="151"/>
    <w:qFormat/>
    <w:uiPriority w:val="0"/>
    <w:pPr>
      <w:adjustRightInd w:val="0"/>
      <w:snapToGrid w:val="0"/>
      <w:spacing w:line="360" w:lineRule="auto"/>
      <w:ind w:firstLine="200" w:firstLineChars="200"/>
    </w:pPr>
    <w:rPr>
      <w:rFonts w:eastAsia="仿宋"/>
      <w:sz w:val="28"/>
      <w:szCs w:val="20"/>
    </w:rPr>
  </w:style>
  <w:style w:type="character" w:customStyle="1" w:styleId="151">
    <w:name w:val="文本正文 Char"/>
    <w:link w:val="150"/>
    <w:qFormat/>
    <w:uiPriority w:val="0"/>
    <w:rPr>
      <w:rFonts w:eastAsia="仿宋"/>
      <w:kern w:val="2"/>
      <w:sz w:val="28"/>
    </w:rPr>
  </w:style>
  <w:style w:type="paragraph" w:customStyle="1" w:styleId="152">
    <w:name w:val="表格文字"/>
    <w:basedOn w:val="1"/>
    <w:next w:val="1"/>
    <w:link w:val="153"/>
    <w:qFormat/>
    <w:uiPriority w:val="0"/>
    <w:pPr>
      <w:adjustRightInd w:val="0"/>
      <w:snapToGrid w:val="0"/>
      <w:spacing w:line="240" w:lineRule="auto"/>
      <w:jc w:val="center"/>
    </w:pPr>
    <w:rPr>
      <w:sz w:val="18"/>
      <w:szCs w:val="20"/>
    </w:rPr>
  </w:style>
  <w:style w:type="character" w:customStyle="1" w:styleId="153">
    <w:name w:val="表格文字 Char"/>
    <w:link w:val="152"/>
    <w:qFormat/>
    <w:uiPriority w:val="0"/>
    <w:rPr>
      <w:rFonts w:cs="宋体"/>
      <w:kern w:val="2"/>
      <w:sz w:val="18"/>
    </w:rPr>
  </w:style>
  <w:style w:type="paragraph" w:customStyle="1" w:styleId="154">
    <w:name w:val="图形"/>
    <w:basedOn w:val="1"/>
    <w:link w:val="155"/>
    <w:qFormat/>
    <w:uiPriority w:val="0"/>
    <w:pPr>
      <w:keepNext/>
      <w:spacing w:line="240" w:lineRule="auto"/>
      <w:jc w:val="center"/>
    </w:pPr>
    <w:rPr>
      <w:rFonts w:cs="宋体"/>
      <w:sz w:val="28"/>
      <w:szCs w:val="20"/>
    </w:rPr>
  </w:style>
  <w:style w:type="character" w:customStyle="1" w:styleId="155">
    <w:name w:val="图形 Char"/>
    <w:link w:val="154"/>
    <w:qFormat/>
    <w:uiPriority w:val="0"/>
    <w:rPr>
      <w:rFonts w:eastAsia="宋体" w:cs="宋体"/>
      <w:kern w:val="2"/>
      <w:sz w:val="28"/>
      <w:lang w:val="en-US" w:eastAsia="zh-CN" w:bidi="ar-SA"/>
    </w:rPr>
  </w:style>
  <w:style w:type="paragraph" w:customStyle="1" w:styleId="156">
    <w:name w:val="xl32"/>
    <w:basedOn w:val="1"/>
    <w:qFormat/>
    <w:uiPriority w:val="0"/>
    <w:pPr>
      <w:widowControl/>
      <w:spacing w:before="100" w:beforeAutospacing="1" w:after="100" w:afterAutospacing="1" w:line="240" w:lineRule="auto"/>
      <w:jc w:val="center"/>
    </w:pPr>
    <w:rPr>
      <w:rFonts w:ascii="Arial Unicode MS" w:hAnsi="Arial Unicode MS" w:eastAsia="Arial Unicode MS" w:cs="Arial Unicode MS"/>
      <w:kern w:val="0"/>
      <w:szCs w:val="21"/>
    </w:rPr>
  </w:style>
  <w:style w:type="paragraph" w:customStyle="1" w:styleId="157">
    <w:name w:val="xl2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left"/>
    </w:pPr>
    <w:rPr>
      <w:rFonts w:ascii="Arial Unicode MS" w:hAnsi="Arial Unicode MS" w:eastAsia="Arial Unicode MS" w:cs="Arial Unicode MS"/>
      <w:kern w:val="0"/>
      <w:szCs w:val="28"/>
    </w:rPr>
  </w:style>
  <w:style w:type="paragraph" w:customStyle="1" w:styleId="158">
    <w:name w:val="xl2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left"/>
    </w:pPr>
    <w:rPr>
      <w:rFonts w:ascii="Arial Unicode MS" w:hAnsi="Arial Unicode MS" w:eastAsia="Arial Unicode MS" w:cs="Arial Unicode MS"/>
      <w:kern w:val="0"/>
      <w:szCs w:val="28"/>
    </w:rPr>
  </w:style>
  <w:style w:type="paragraph" w:customStyle="1" w:styleId="159">
    <w:name w:val="xl29"/>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Arial Unicode MS" w:hAnsi="Arial Unicode MS"/>
      <w:kern w:val="0"/>
      <w:sz w:val="20"/>
      <w:szCs w:val="20"/>
    </w:rPr>
  </w:style>
  <w:style w:type="paragraph" w:customStyle="1" w:styleId="160">
    <w:name w:val="xl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left"/>
    </w:pPr>
    <w:rPr>
      <w:rFonts w:ascii="Arial Unicode MS" w:hAnsi="Arial Unicode MS" w:eastAsia="Arial Unicode MS" w:cs="Arial Unicode MS"/>
      <w:kern w:val="0"/>
      <w:sz w:val="18"/>
      <w:szCs w:val="18"/>
    </w:rPr>
  </w:style>
  <w:style w:type="paragraph" w:customStyle="1" w:styleId="161">
    <w:name w:val="xl26"/>
    <w:basedOn w:val="1"/>
    <w:qFormat/>
    <w:uiPriority w:val="0"/>
    <w:pPr>
      <w:widowControl/>
      <w:pBdr>
        <w:top w:val="single" w:color="auto" w:sz="4" w:space="0"/>
        <w:left w:val="single" w:color="auto" w:sz="4" w:space="0"/>
        <w:bottom w:val="single" w:color="auto" w:sz="4" w:space="0"/>
        <w:right w:val="single" w:color="auto" w:sz="4" w:space="0"/>
      </w:pBdr>
      <w:shd w:val="clear" w:color="auto" w:fill="CCFFCC"/>
      <w:spacing w:before="100" w:beforeAutospacing="1" w:after="100" w:afterAutospacing="1" w:line="240" w:lineRule="auto"/>
      <w:jc w:val="left"/>
    </w:pPr>
    <w:rPr>
      <w:rFonts w:ascii="Arial Unicode MS" w:hAnsi="Arial Unicode MS" w:eastAsia="Arial Unicode MS" w:cs="Arial Unicode MS"/>
      <w:kern w:val="0"/>
      <w:sz w:val="18"/>
      <w:szCs w:val="18"/>
    </w:rPr>
  </w:style>
  <w:style w:type="paragraph" w:customStyle="1" w:styleId="162">
    <w:name w:val="xl27"/>
    <w:basedOn w:val="1"/>
    <w:qFormat/>
    <w:uiPriority w:val="0"/>
    <w:pPr>
      <w:widowControl/>
      <w:pBdr>
        <w:top w:val="single" w:color="auto" w:sz="4" w:space="0"/>
        <w:left w:val="single" w:color="auto" w:sz="4" w:space="0"/>
        <w:bottom w:val="single" w:color="auto" w:sz="4" w:space="0"/>
        <w:right w:val="single" w:color="auto" w:sz="4" w:space="0"/>
      </w:pBdr>
      <w:shd w:val="clear" w:color="auto" w:fill="FFFF00"/>
      <w:spacing w:before="100" w:beforeAutospacing="1" w:after="100" w:afterAutospacing="1" w:line="240" w:lineRule="auto"/>
      <w:jc w:val="left"/>
    </w:pPr>
    <w:rPr>
      <w:rFonts w:ascii="Arial Unicode MS" w:hAnsi="Arial Unicode MS" w:eastAsia="Arial Unicode MS" w:cs="Arial Unicode MS"/>
      <w:kern w:val="0"/>
      <w:sz w:val="18"/>
      <w:szCs w:val="18"/>
    </w:rPr>
  </w:style>
  <w:style w:type="paragraph" w:customStyle="1" w:styleId="163">
    <w:name w:val="font5"/>
    <w:basedOn w:val="1"/>
    <w:qFormat/>
    <w:uiPriority w:val="0"/>
    <w:pPr>
      <w:widowControl/>
      <w:spacing w:before="100" w:beforeAutospacing="1" w:after="100" w:afterAutospacing="1" w:line="240" w:lineRule="auto"/>
      <w:jc w:val="left"/>
    </w:pPr>
    <w:rPr>
      <w:rFonts w:hint="eastAsia" w:ascii="宋体" w:hAnsi="宋体"/>
      <w:kern w:val="0"/>
      <w:sz w:val="18"/>
      <w:szCs w:val="18"/>
    </w:rPr>
  </w:style>
  <w:style w:type="paragraph" w:customStyle="1" w:styleId="164">
    <w:name w:val="font6"/>
    <w:basedOn w:val="1"/>
    <w:qFormat/>
    <w:uiPriority w:val="0"/>
    <w:pPr>
      <w:widowControl/>
      <w:spacing w:before="100" w:beforeAutospacing="1" w:after="100" w:afterAutospacing="1" w:line="240" w:lineRule="auto"/>
      <w:jc w:val="left"/>
    </w:pPr>
    <w:rPr>
      <w:rFonts w:hint="eastAsia" w:ascii="宋体" w:hAnsi="宋体"/>
      <w:kern w:val="0"/>
      <w:sz w:val="20"/>
      <w:szCs w:val="20"/>
    </w:rPr>
  </w:style>
  <w:style w:type="paragraph" w:customStyle="1" w:styleId="165">
    <w:name w:val="font7"/>
    <w:basedOn w:val="1"/>
    <w:qFormat/>
    <w:uiPriority w:val="0"/>
    <w:pPr>
      <w:widowControl/>
      <w:spacing w:before="100" w:beforeAutospacing="1" w:after="100" w:afterAutospacing="1" w:line="240" w:lineRule="auto"/>
      <w:jc w:val="left"/>
    </w:pPr>
    <w:rPr>
      <w:kern w:val="0"/>
      <w:sz w:val="20"/>
      <w:szCs w:val="20"/>
    </w:rPr>
  </w:style>
  <w:style w:type="paragraph" w:customStyle="1" w:styleId="166">
    <w:name w:val="xl2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Arial Unicode MS" w:hAnsi="Arial Unicode MS"/>
      <w:kern w:val="0"/>
      <w:sz w:val="20"/>
      <w:szCs w:val="20"/>
    </w:rPr>
  </w:style>
  <w:style w:type="paragraph" w:customStyle="1" w:styleId="167">
    <w:name w:val="xl30"/>
    <w:basedOn w:val="1"/>
    <w:qFormat/>
    <w:uiPriority w:val="0"/>
    <w:pPr>
      <w:widowControl/>
      <w:pBdr>
        <w:top w:val="single" w:color="auto" w:sz="4" w:space="0"/>
        <w:left w:val="single" w:color="auto" w:sz="4" w:space="0"/>
        <w:bottom w:val="single" w:color="auto" w:sz="4" w:space="0"/>
        <w:right w:val="single" w:color="auto" w:sz="4" w:space="0"/>
      </w:pBdr>
      <w:shd w:val="clear" w:color="auto" w:fill="FFFF00"/>
      <w:spacing w:before="100" w:beforeAutospacing="1" w:after="100" w:afterAutospacing="1" w:line="240" w:lineRule="auto"/>
      <w:jc w:val="center"/>
      <w:textAlignment w:val="center"/>
    </w:pPr>
    <w:rPr>
      <w:rFonts w:ascii="Arial Unicode MS" w:hAnsi="Arial Unicode MS"/>
      <w:kern w:val="0"/>
      <w:sz w:val="20"/>
      <w:szCs w:val="20"/>
    </w:rPr>
  </w:style>
  <w:style w:type="paragraph" w:customStyle="1" w:styleId="168">
    <w:name w:val="xl23"/>
    <w:basedOn w:val="1"/>
    <w:qFormat/>
    <w:uiPriority w:val="0"/>
    <w:pPr>
      <w:widowControl/>
      <w:pBdr>
        <w:top w:val="single" w:color="auto" w:sz="4" w:space="0"/>
        <w:left w:val="single" w:color="auto" w:sz="4" w:space="0"/>
        <w:bottom w:val="single" w:color="auto" w:sz="4" w:space="0"/>
      </w:pBdr>
      <w:spacing w:before="100" w:beforeAutospacing="1" w:after="100" w:afterAutospacing="1" w:line="240" w:lineRule="auto"/>
      <w:jc w:val="center"/>
      <w:textAlignment w:val="center"/>
    </w:pPr>
    <w:rPr>
      <w:rFonts w:ascii="Arial Unicode MS" w:hAnsi="Arial Unicode MS"/>
      <w:kern w:val="0"/>
      <w:sz w:val="20"/>
      <w:szCs w:val="20"/>
    </w:rPr>
  </w:style>
  <w:style w:type="paragraph" w:customStyle="1" w:styleId="169">
    <w:name w:val="xl31"/>
    <w:basedOn w:val="1"/>
    <w:qFormat/>
    <w:uiPriority w:val="0"/>
    <w:pPr>
      <w:widowControl/>
      <w:pBdr>
        <w:bottom w:val="single" w:color="auto" w:sz="4" w:space="0"/>
        <w:right w:val="single" w:color="auto" w:sz="4" w:space="0"/>
      </w:pBdr>
      <w:shd w:val="clear" w:color="auto" w:fill="FFFF00"/>
      <w:spacing w:before="100" w:beforeAutospacing="1" w:after="100" w:afterAutospacing="1" w:line="240" w:lineRule="auto"/>
      <w:jc w:val="center"/>
    </w:pPr>
    <w:rPr>
      <w:kern w:val="0"/>
      <w:szCs w:val="21"/>
    </w:rPr>
  </w:style>
  <w:style w:type="paragraph" w:customStyle="1" w:styleId="170">
    <w:name w:val="font8"/>
    <w:basedOn w:val="1"/>
    <w:qFormat/>
    <w:uiPriority w:val="0"/>
    <w:pPr>
      <w:widowControl/>
      <w:spacing w:before="100" w:beforeAutospacing="1" w:after="100" w:afterAutospacing="1" w:line="240" w:lineRule="auto"/>
      <w:jc w:val="left"/>
    </w:pPr>
    <w:rPr>
      <w:rFonts w:ascii="宋体" w:hAnsi="宋体"/>
      <w:color w:val="FF0000"/>
      <w:kern w:val="0"/>
      <w:sz w:val="20"/>
      <w:szCs w:val="20"/>
    </w:rPr>
  </w:style>
  <w:style w:type="paragraph" w:customStyle="1" w:styleId="171">
    <w:name w:val="font9"/>
    <w:basedOn w:val="1"/>
    <w:qFormat/>
    <w:uiPriority w:val="0"/>
    <w:pPr>
      <w:widowControl/>
      <w:spacing w:before="100" w:beforeAutospacing="1" w:after="100" w:afterAutospacing="1" w:line="240" w:lineRule="auto"/>
      <w:jc w:val="left"/>
    </w:pPr>
    <w:rPr>
      <w:color w:val="FF0000"/>
      <w:kern w:val="0"/>
      <w:sz w:val="20"/>
      <w:szCs w:val="20"/>
    </w:rPr>
  </w:style>
  <w:style w:type="paragraph" w:customStyle="1" w:styleId="172">
    <w:name w:val="font14"/>
    <w:basedOn w:val="1"/>
    <w:qFormat/>
    <w:uiPriority w:val="0"/>
    <w:pPr>
      <w:widowControl/>
      <w:spacing w:before="100" w:beforeAutospacing="1" w:after="100" w:afterAutospacing="1" w:line="240" w:lineRule="auto"/>
      <w:jc w:val="left"/>
    </w:pPr>
    <w:rPr>
      <w:b/>
      <w:bCs/>
      <w:color w:val="000000"/>
      <w:kern w:val="0"/>
      <w:sz w:val="20"/>
      <w:szCs w:val="20"/>
    </w:rPr>
  </w:style>
  <w:style w:type="paragraph" w:customStyle="1" w:styleId="173">
    <w:name w:val="xl3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right"/>
    </w:pPr>
    <w:rPr>
      <w:rFonts w:ascii="宋体" w:hAnsi="宋体"/>
      <w:kern w:val="0"/>
      <w:sz w:val="20"/>
      <w:szCs w:val="20"/>
    </w:rPr>
  </w:style>
  <w:style w:type="paragraph" w:customStyle="1" w:styleId="174">
    <w:name w:val="xl3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right"/>
    </w:pPr>
    <w:rPr>
      <w:rFonts w:ascii="宋体" w:hAnsi="宋体"/>
      <w:color w:val="FF0000"/>
      <w:kern w:val="0"/>
      <w:sz w:val="20"/>
      <w:szCs w:val="20"/>
    </w:rPr>
  </w:style>
  <w:style w:type="paragraph" w:customStyle="1" w:styleId="175">
    <w:name w:val="xl35"/>
    <w:basedOn w:val="1"/>
    <w:qFormat/>
    <w:uiPriority w:val="0"/>
    <w:pPr>
      <w:widowControl/>
      <w:pBdr>
        <w:bottom w:val="single" w:color="auto" w:sz="4" w:space="0"/>
        <w:right w:val="single" w:color="auto" w:sz="4" w:space="0"/>
      </w:pBdr>
      <w:spacing w:before="100" w:beforeAutospacing="1" w:after="100" w:afterAutospacing="1" w:line="240" w:lineRule="auto"/>
      <w:jc w:val="right"/>
    </w:pPr>
    <w:rPr>
      <w:rFonts w:ascii="宋体" w:hAnsi="宋体"/>
      <w:kern w:val="0"/>
      <w:sz w:val="20"/>
      <w:szCs w:val="20"/>
    </w:rPr>
  </w:style>
  <w:style w:type="paragraph" w:customStyle="1" w:styleId="176">
    <w:name w:val="xl3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right"/>
    </w:pPr>
    <w:rPr>
      <w:kern w:val="0"/>
      <w:sz w:val="20"/>
      <w:szCs w:val="20"/>
    </w:rPr>
  </w:style>
  <w:style w:type="paragraph" w:customStyle="1" w:styleId="177">
    <w:name w:val="xl37"/>
    <w:basedOn w:val="1"/>
    <w:qFormat/>
    <w:uiPriority w:val="0"/>
    <w:pPr>
      <w:widowControl/>
      <w:pBdr>
        <w:bottom w:val="single" w:color="auto" w:sz="4" w:space="0"/>
        <w:right w:val="single" w:color="auto" w:sz="4" w:space="0"/>
      </w:pBdr>
      <w:spacing w:before="100" w:beforeAutospacing="1" w:after="100" w:afterAutospacing="1" w:line="240" w:lineRule="auto"/>
      <w:jc w:val="right"/>
    </w:pPr>
    <w:rPr>
      <w:kern w:val="0"/>
      <w:sz w:val="20"/>
      <w:szCs w:val="20"/>
    </w:rPr>
  </w:style>
  <w:style w:type="paragraph" w:customStyle="1" w:styleId="178">
    <w:name w:val="xl3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right"/>
    </w:pPr>
    <w:rPr>
      <w:rFonts w:ascii="宋体" w:hAnsi="宋体"/>
      <w:kern w:val="0"/>
      <w:sz w:val="20"/>
      <w:szCs w:val="20"/>
    </w:rPr>
  </w:style>
  <w:style w:type="paragraph" w:customStyle="1" w:styleId="179">
    <w:name w:val="xl3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right"/>
      <w:textAlignment w:val="center"/>
    </w:pPr>
    <w:rPr>
      <w:kern w:val="0"/>
      <w:sz w:val="20"/>
      <w:szCs w:val="20"/>
    </w:rPr>
  </w:style>
  <w:style w:type="paragraph" w:customStyle="1" w:styleId="180">
    <w:name w:val="xl40"/>
    <w:basedOn w:val="1"/>
    <w:qFormat/>
    <w:uiPriority w:val="0"/>
    <w:pPr>
      <w:widowControl/>
      <w:pBdr>
        <w:bottom w:val="single" w:color="auto" w:sz="4" w:space="0"/>
        <w:right w:val="single" w:color="auto" w:sz="4" w:space="0"/>
      </w:pBdr>
      <w:spacing w:before="100" w:beforeAutospacing="1" w:after="100" w:afterAutospacing="1" w:line="240" w:lineRule="auto"/>
      <w:jc w:val="right"/>
      <w:textAlignment w:val="center"/>
    </w:pPr>
    <w:rPr>
      <w:kern w:val="0"/>
      <w:sz w:val="20"/>
      <w:szCs w:val="20"/>
    </w:rPr>
  </w:style>
  <w:style w:type="paragraph" w:customStyle="1" w:styleId="181">
    <w:name w:val="xl41"/>
    <w:basedOn w:val="1"/>
    <w:qFormat/>
    <w:uiPriority w:val="0"/>
    <w:pPr>
      <w:widowControl/>
      <w:spacing w:before="100" w:beforeAutospacing="1" w:after="100" w:afterAutospacing="1" w:line="240" w:lineRule="auto"/>
      <w:jc w:val="right"/>
    </w:pPr>
    <w:rPr>
      <w:rFonts w:ascii="宋体" w:hAnsi="宋体"/>
      <w:kern w:val="0"/>
      <w:sz w:val="20"/>
      <w:szCs w:val="20"/>
    </w:rPr>
  </w:style>
  <w:style w:type="paragraph" w:customStyle="1" w:styleId="182">
    <w:name w:val="xl42"/>
    <w:basedOn w:val="1"/>
    <w:qFormat/>
    <w:uiPriority w:val="0"/>
    <w:pPr>
      <w:widowControl/>
      <w:pBdr>
        <w:top w:val="single" w:color="auto" w:sz="4" w:space="0"/>
        <w:left w:val="single" w:color="auto" w:sz="4" w:space="0"/>
        <w:bottom w:val="single" w:color="auto" w:sz="4" w:space="0"/>
        <w:right w:val="single" w:color="auto" w:sz="4" w:space="0"/>
      </w:pBdr>
      <w:shd w:val="clear" w:color="auto" w:fill="FFFF00"/>
      <w:spacing w:before="100" w:beforeAutospacing="1" w:after="100" w:afterAutospacing="1" w:line="240" w:lineRule="auto"/>
      <w:jc w:val="right"/>
    </w:pPr>
    <w:rPr>
      <w:kern w:val="0"/>
      <w:sz w:val="20"/>
      <w:szCs w:val="20"/>
    </w:rPr>
  </w:style>
  <w:style w:type="paragraph" w:customStyle="1" w:styleId="183">
    <w:name w:val="xl43"/>
    <w:basedOn w:val="1"/>
    <w:qFormat/>
    <w:uiPriority w:val="0"/>
    <w:pPr>
      <w:widowControl/>
      <w:pBdr>
        <w:bottom w:val="single" w:color="auto" w:sz="4" w:space="0"/>
        <w:right w:val="single" w:color="auto" w:sz="4" w:space="0"/>
      </w:pBdr>
      <w:shd w:val="clear" w:color="auto" w:fill="FFFFFF"/>
      <w:spacing w:before="100" w:beforeAutospacing="1" w:after="100" w:afterAutospacing="1" w:line="240" w:lineRule="auto"/>
      <w:jc w:val="right"/>
    </w:pPr>
    <w:rPr>
      <w:kern w:val="0"/>
      <w:sz w:val="20"/>
      <w:szCs w:val="20"/>
    </w:rPr>
  </w:style>
  <w:style w:type="paragraph" w:customStyle="1" w:styleId="184">
    <w:name w:val="xl44"/>
    <w:basedOn w:val="1"/>
    <w:qFormat/>
    <w:uiPriority w:val="0"/>
    <w:pPr>
      <w:widowControl/>
      <w:pBdr>
        <w:top w:val="single" w:color="auto" w:sz="4" w:space="0"/>
        <w:left w:val="single" w:color="auto" w:sz="4" w:space="0"/>
        <w:bottom w:val="single" w:color="auto" w:sz="4" w:space="0"/>
        <w:right w:val="single" w:color="auto" w:sz="4" w:space="0"/>
      </w:pBdr>
      <w:shd w:val="clear" w:color="auto" w:fill="FFFF00"/>
      <w:spacing w:before="100" w:beforeAutospacing="1" w:after="100" w:afterAutospacing="1" w:line="240" w:lineRule="auto"/>
      <w:jc w:val="right"/>
    </w:pPr>
    <w:rPr>
      <w:rFonts w:ascii="宋体" w:hAnsi="宋体"/>
      <w:kern w:val="0"/>
      <w:sz w:val="20"/>
      <w:szCs w:val="20"/>
    </w:rPr>
  </w:style>
  <w:style w:type="paragraph" w:customStyle="1" w:styleId="185">
    <w:name w:val="xl4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right"/>
    </w:pPr>
    <w:rPr>
      <w:rFonts w:ascii="宋体" w:hAnsi="宋体"/>
      <w:kern w:val="0"/>
      <w:sz w:val="20"/>
      <w:szCs w:val="20"/>
    </w:rPr>
  </w:style>
  <w:style w:type="paragraph" w:customStyle="1" w:styleId="186">
    <w:name w:val="xl46"/>
    <w:basedOn w:val="1"/>
    <w:qFormat/>
    <w:uiPriority w:val="0"/>
    <w:pPr>
      <w:widowControl/>
      <w:pBdr>
        <w:bottom w:val="single" w:color="auto" w:sz="4" w:space="0"/>
        <w:right w:val="single" w:color="auto" w:sz="4" w:space="0"/>
      </w:pBdr>
      <w:shd w:val="clear" w:color="auto" w:fill="FFFFFF"/>
      <w:spacing w:before="100" w:beforeAutospacing="1" w:after="100" w:afterAutospacing="1" w:line="240" w:lineRule="auto"/>
      <w:jc w:val="right"/>
    </w:pPr>
    <w:rPr>
      <w:rFonts w:ascii="宋体" w:hAnsi="宋体"/>
      <w:kern w:val="0"/>
      <w:sz w:val="20"/>
      <w:szCs w:val="20"/>
    </w:rPr>
  </w:style>
  <w:style w:type="paragraph" w:customStyle="1" w:styleId="187">
    <w:name w:val="xl47"/>
    <w:basedOn w:val="1"/>
    <w:qFormat/>
    <w:uiPriority w:val="0"/>
    <w:pPr>
      <w:widowControl/>
      <w:pBdr>
        <w:top w:val="single" w:color="auto" w:sz="4" w:space="0"/>
        <w:left w:val="single" w:color="auto" w:sz="4" w:space="0"/>
        <w:bottom w:val="single" w:color="auto" w:sz="4" w:space="0"/>
        <w:right w:val="single" w:color="auto" w:sz="4" w:space="0"/>
      </w:pBdr>
      <w:shd w:val="clear" w:color="auto" w:fill="FFFF00"/>
      <w:spacing w:before="100" w:beforeAutospacing="1" w:after="100" w:afterAutospacing="1" w:line="240" w:lineRule="auto"/>
      <w:jc w:val="right"/>
    </w:pPr>
    <w:rPr>
      <w:rFonts w:ascii="宋体" w:hAnsi="宋体"/>
      <w:kern w:val="0"/>
      <w:sz w:val="20"/>
      <w:szCs w:val="20"/>
    </w:rPr>
  </w:style>
  <w:style w:type="paragraph" w:customStyle="1" w:styleId="188">
    <w:name w:val="xl48"/>
    <w:basedOn w:val="1"/>
    <w:qFormat/>
    <w:uiPriority w:val="0"/>
    <w:pPr>
      <w:widowControl/>
      <w:pBdr>
        <w:bottom w:val="single" w:color="auto" w:sz="4" w:space="0"/>
        <w:right w:val="single" w:color="auto" w:sz="4" w:space="0"/>
      </w:pBdr>
      <w:spacing w:before="100" w:beforeAutospacing="1" w:after="100" w:afterAutospacing="1" w:line="240" w:lineRule="auto"/>
      <w:jc w:val="right"/>
    </w:pPr>
    <w:rPr>
      <w:rFonts w:ascii="宋体" w:hAnsi="宋体"/>
      <w:kern w:val="0"/>
      <w:sz w:val="20"/>
      <w:szCs w:val="20"/>
    </w:rPr>
  </w:style>
  <w:style w:type="paragraph" w:customStyle="1" w:styleId="189">
    <w:name w:val="xl4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right"/>
      <w:textAlignment w:val="center"/>
    </w:pPr>
    <w:rPr>
      <w:rFonts w:ascii="宋体" w:hAnsi="宋体"/>
      <w:kern w:val="0"/>
      <w:sz w:val="20"/>
      <w:szCs w:val="20"/>
    </w:rPr>
  </w:style>
  <w:style w:type="paragraph" w:customStyle="1" w:styleId="190">
    <w:name w:val="xl50"/>
    <w:basedOn w:val="1"/>
    <w:qFormat/>
    <w:uiPriority w:val="0"/>
    <w:pPr>
      <w:widowControl/>
      <w:pBdr>
        <w:top w:val="single" w:color="auto" w:sz="4" w:space="0"/>
        <w:left w:val="single" w:color="auto" w:sz="4" w:space="0"/>
        <w:bottom w:val="single" w:color="auto" w:sz="4" w:space="0"/>
        <w:right w:val="single" w:color="auto" w:sz="4" w:space="0"/>
      </w:pBdr>
      <w:shd w:val="clear" w:color="auto" w:fill="00FF00"/>
      <w:spacing w:before="100" w:beforeAutospacing="1" w:after="100" w:afterAutospacing="1" w:line="240" w:lineRule="auto"/>
      <w:jc w:val="right"/>
    </w:pPr>
    <w:rPr>
      <w:rFonts w:ascii="宋体" w:hAnsi="宋体"/>
      <w:color w:val="000000"/>
      <w:kern w:val="0"/>
      <w:sz w:val="20"/>
      <w:szCs w:val="20"/>
    </w:rPr>
  </w:style>
  <w:style w:type="paragraph" w:customStyle="1" w:styleId="191">
    <w:name w:val="xl5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宋体" w:hAnsi="宋体"/>
      <w:b/>
      <w:bCs/>
      <w:kern w:val="0"/>
      <w:sz w:val="20"/>
      <w:szCs w:val="20"/>
    </w:rPr>
  </w:style>
  <w:style w:type="paragraph" w:customStyle="1" w:styleId="192">
    <w:name w:val="xl52"/>
    <w:basedOn w:val="1"/>
    <w:qFormat/>
    <w:uiPriority w:val="0"/>
    <w:pPr>
      <w:widowControl/>
      <w:pBdr>
        <w:top w:val="single" w:color="auto" w:sz="4" w:space="0"/>
        <w:left w:val="single" w:color="auto" w:sz="4" w:space="0"/>
        <w:bottom w:val="single" w:color="auto" w:sz="4" w:space="0"/>
        <w:right w:val="single" w:color="auto" w:sz="4" w:space="0"/>
      </w:pBdr>
      <w:shd w:val="clear" w:color="auto" w:fill="00FF00"/>
      <w:spacing w:before="100" w:beforeAutospacing="1" w:after="100" w:afterAutospacing="1" w:line="240" w:lineRule="auto"/>
      <w:jc w:val="center"/>
      <w:textAlignment w:val="center"/>
    </w:pPr>
    <w:rPr>
      <w:rFonts w:ascii="宋体" w:hAnsi="宋体"/>
      <w:b/>
      <w:bCs/>
      <w:color w:val="000000"/>
      <w:kern w:val="0"/>
      <w:sz w:val="20"/>
      <w:szCs w:val="20"/>
    </w:rPr>
  </w:style>
  <w:style w:type="paragraph" w:customStyle="1" w:styleId="193">
    <w:name w:val="xl53"/>
    <w:basedOn w:val="1"/>
    <w:qFormat/>
    <w:uiPriority w:val="0"/>
    <w:pPr>
      <w:widowControl/>
      <w:pBdr>
        <w:top w:val="single" w:color="auto" w:sz="4" w:space="0"/>
        <w:left w:val="single" w:color="auto" w:sz="4" w:space="0"/>
        <w:bottom w:val="single" w:color="auto" w:sz="4" w:space="0"/>
        <w:right w:val="single" w:color="auto" w:sz="4" w:space="0"/>
      </w:pBdr>
      <w:shd w:val="clear" w:color="auto" w:fill="FFFF00"/>
      <w:spacing w:before="100" w:beforeAutospacing="1" w:after="100" w:afterAutospacing="1" w:line="240" w:lineRule="auto"/>
      <w:jc w:val="center"/>
      <w:textAlignment w:val="center"/>
    </w:pPr>
    <w:rPr>
      <w:rFonts w:ascii="宋体" w:hAnsi="宋体"/>
      <w:b/>
      <w:bCs/>
      <w:kern w:val="0"/>
      <w:sz w:val="20"/>
      <w:szCs w:val="20"/>
    </w:rPr>
  </w:style>
  <w:style w:type="paragraph" w:customStyle="1" w:styleId="194">
    <w:name w:val="xl57"/>
    <w:basedOn w:val="1"/>
    <w:qFormat/>
    <w:uiPriority w:val="0"/>
    <w:pPr>
      <w:widowControl/>
      <w:pBdr>
        <w:top w:val="single" w:color="auto" w:sz="4" w:space="0"/>
      </w:pBdr>
      <w:shd w:val="pct10" w:color="auto" w:fill="C0C0C0"/>
      <w:spacing w:before="100" w:beforeAutospacing="1" w:after="100" w:afterAutospacing="1" w:line="240" w:lineRule="auto"/>
      <w:jc w:val="left"/>
    </w:pPr>
    <w:rPr>
      <w:kern w:val="0"/>
      <w:szCs w:val="28"/>
    </w:rPr>
  </w:style>
  <w:style w:type="paragraph" w:customStyle="1" w:styleId="195">
    <w:name w:val="xl54"/>
    <w:basedOn w:val="1"/>
    <w:qFormat/>
    <w:uiPriority w:val="0"/>
    <w:pPr>
      <w:widowControl/>
      <w:pBdr>
        <w:top w:val="single" w:color="auto" w:sz="4" w:space="0"/>
        <w:left w:val="single" w:color="auto" w:sz="4" w:space="0"/>
        <w:bottom w:val="single" w:color="auto" w:sz="4" w:space="0"/>
        <w:right w:val="single" w:color="auto" w:sz="4" w:space="0"/>
      </w:pBdr>
      <w:shd w:val="clear" w:color="auto" w:fill="FFCC99"/>
      <w:spacing w:before="100" w:beforeAutospacing="1" w:after="100" w:afterAutospacing="1" w:line="240" w:lineRule="auto"/>
      <w:jc w:val="center"/>
      <w:textAlignment w:val="center"/>
    </w:pPr>
    <w:rPr>
      <w:rFonts w:ascii="宋体" w:hAnsi="宋体" w:cs="宋体"/>
      <w:kern w:val="0"/>
      <w:sz w:val="22"/>
      <w:szCs w:val="22"/>
    </w:rPr>
  </w:style>
  <w:style w:type="paragraph" w:customStyle="1" w:styleId="196">
    <w:name w:val="xl55"/>
    <w:basedOn w:val="1"/>
    <w:qFormat/>
    <w:uiPriority w:val="0"/>
    <w:pPr>
      <w:widowControl/>
      <w:pBdr>
        <w:top w:val="single" w:color="auto" w:sz="4" w:space="0"/>
        <w:left w:val="single" w:color="auto" w:sz="4" w:space="0"/>
        <w:bottom w:val="single" w:color="auto" w:sz="4" w:space="0"/>
        <w:right w:val="single" w:color="auto" w:sz="4" w:space="0"/>
      </w:pBdr>
      <w:shd w:val="clear" w:color="auto" w:fill="FFCC99"/>
      <w:spacing w:before="100" w:beforeAutospacing="1" w:after="100" w:afterAutospacing="1" w:line="240" w:lineRule="auto"/>
      <w:jc w:val="center"/>
      <w:textAlignment w:val="center"/>
    </w:pPr>
    <w:rPr>
      <w:rFonts w:ascii="宋体" w:hAnsi="宋体" w:cs="宋体"/>
      <w:color w:val="000000"/>
      <w:kern w:val="0"/>
      <w:sz w:val="20"/>
      <w:szCs w:val="20"/>
    </w:rPr>
  </w:style>
  <w:style w:type="paragraph" w:customStyle="1" w:styleId="197">
    <w:name w:val="xl56"/>
    <w:basedOn w:val="1"/>
    <w:qFormat/>
    <w:uiPriority w:val="0"/>
    <w:pPr>
      <w:widowControl/>
      <w:pBdr>
        <w:top w:val="single" w:color="auto" w:sz="4" w:space="0"/>
        <w:left w:val="single" w:color="auto" w:sz="4" w:space="0"/>
        <w:bottom w:val="single" w:color="auto" w:sz="4" w:space="0"/>
        <w:right w:val="single" w:color="auto" w:sz="4" w:space="0"/>
      </w:pBdr>
      <w:shd w:val="clear" w:color="auto" w:fill="FFCC99"/>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198">
    <w:name w:val="xl58"/>
    <w:basedOn w:val="1"/>
    <w:qFormat/>
    <w:uiPriority w:val="0"/>
    <w:pPr>
      <w:widowControl/>
      <w:pBdr>
        <w:top w:val="single" w:color="auto" w:sz="4" w:space="0"/>
        <w:left w:val="single" w:color="auto" w:sz="4" w:space="0"/>
        <w:bottom w:val="single" w:color="auto" w:sz="4" w:space="0"/>
        <w:right w:val="single" w:color="auto" w:sz="4" w:space="0"/>
      </w:pBdr>
      <w:shd w:val="clear" w:color="auto" w:fill="CCFFCC"/>
      <w:spacing w:before="100" w:beforeAutospacing="1" w:after="100" w:afterAutospacing="1" w:line="240" w:lineRule="auto"/>
      <w:jc w:val="center"/>
    </w:pPr>
    <w:rPr>
      <w:rFonts w:ascii="宋体" w:hAnsi="宋体" w:cs="宋体"/>
      <w:kern w:val="0"/>
      <w:sz w:val="20"/>
      <w:szCs w:val="20"/>
    </w:rPr>
  </w:style>
  <w:style w:type="paragraph" w:customStyle="1" w:styleId="199">
    <w:name w:val="xl59"/>
    <w:basedOn w:val="1"/>
    <w:qFormat/>
    <w:uiPriority w:val="0"/>
    <w:pPr>
      <w:widowControl/>
      <w:pBdr>
        <w:top w:val="single" w:color="auto" w:sz="4" w:space="0"/>
        <w:left w:val="single" w:color="auto" w:sz="4" w:space="0"/>
        <w:bottom w:val="single" w:color="auto" w:sz="4" w:space="0"/>
        <w:right w:val="single" w:color="auto" w:sz="4" w:space="0"/>
      </w:pBdr>
      <w:shd w:val="clear" w:color="auto" w:fill="CCFFCC"/>
      <w:spacing w:before="100" w:beforeAutospacing="1" w:after="100" w:afterAutospacing="1" w:line="240" w:lineRule="auto"/>
      <w:jc w:val="center"/>
      <w:textAlignment w:val="center"/>
    </w:pPr>
    <w:rPr>
      <w:rFonts w:ascii="宋体" w:hAnsi="宋体" w:cs="宋体"/>
      <w:kern w:val="0"/>
      <w:sz w:val="22"/>
      <w:szCs w:val="22"/>
    </w:rPr>
  </w:style>
  <w:style w:type="paragraph" w:customStyle="1" w:styleId="200">
    <w:name w:val="xl60"/>
    <w:basedOn w:val="1"/>
    <w:qFormat/>
    <w:uiPriority w:val="0"/>
    <w:pPr>
      <w:widowControl/>
      <w:pBdr>
        <w:top w:val="single" w:color="auto" w:sz="4" w:space="0"/>
        <w:left w:val="single" w:color="auto" w:sz="4" w:space="0"/>
        <w:bottom w:val="single" w:color="auto" w:sz="4" w:space="0"/>
        <w:right w:val="single" w:color="auto" w:sz="4" w:space="0"/>
      </w:pBdr>
      <w:shd w:val="clear" w:color="auto" w:fill="CCFFCC"/>
      <w:spacing w:before="100" w:beforeAutospacing="1" w:after="100" w:afterAutospacing="1" w:line="240" w:lineRule="auto"/>
      <w:jc w:val="center"/>
      <w:textAlignment w:val="center"/>
    </w:pPr>
    <w:rPr>
      <w:rFonts w:ascii="宋体" w:hAnsi="宋体" w:cs="宋体"/>
      <w:color w:val="000000"/>
      <w:kern w:val="0"/>
      <w:sz w:val="20"/>
      <w:szCs w:val="20"/>
    </w:rPr>
  </w:style>
  <w:style w:type="paragraph" w:customStyle="1" w:styleId="201">
    <w:name w:val="xl61"/>
    <w:basedOn w:val="1"/>
    <w:qFormat/>
    <w:uiPriority w:val="0"/>
    <w:pPr>
      <w:widowControl/>
      <w:pBdr>
        <w:top w:val="single" w:color="auto" w:sz="4" w:space="0"/>
        <w:left w:val="single" w:color="auto" w:sz="4" w:space="0"/>
        <w:bottom w:val="single" w:color="auto" w:sz="4" w:space="0"/>
        <w:right w:val="single" w:color="auto" w:sz="4" w:space="0"/>
      </w:pBdr>
      <w:shd w:val="clear" w:color="auto" w:fill="CCFFCC"/>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02">
    <w:name w:val="xl62"/>
    <w:basedOn w:val="1"/>
    <w:qFormat/>
    <w:uiPriority w:val="0"/>
    <w:pPr>
      <w:widowControl/>
      <w:pBdr>
        <w:top w:val="single" w:color="auto" w:sz="4" w:space="0"/>
        <w:left w:val="single" w:color="auto" w:sz="4" w:space="0"/>
        <w:bottom w:val="single" w:color="auto" w:sz="4" w:space="0"/>
        <w:right w:val="single" w:color="auto" w:sz="4" w:space="0"/>
      </w:pBdr>
      <w:shd w:val="clear" w:color="auto" w:fill="FF99CC"/>
      <w:spacing w:before="100" w:beforeAutospacing="1" w:after="100" w:afterAutospacing="1" w:line="240" w:lineRule="auto"/>
      <w:jc w:val="center"/>
    </w:pPr>
    <w:rPr>
      <w:rFonts w:ascii="宋体" w:hAnsi="宋体" w:cs="宋体"/>
      <w:kern w:val="0"/>
      <w:sz w:val="20"/>
      <w:szCs w:val="20"/>
    </w:rPr>
  </w:style>
  <w:style w:type="paragraph" w:customStyle="1" w:styleId="203">
    <w:name w:val="xl63"/>
    <w:basedOn w:val="1"/>
    <w:qFormat/>
    <w:uiPriority w:val="0"/>
    <w:pPr>
      <w:widowControl/>
      <w:pBdr>
        <w:top w:val="single" w:color="auto" w:sz="4" w:space="0"/>
        <w:left w:val="single" w:color="auto" w:sz="4" w:space="0"/>
        <w:bottom w:val="single" w:color="auto" w:sz="4" w:space="0"/>
        <w:right w:val="single" w:color="auto" w:sz="4" w:space="0"/>
      </w:pBdr>
      <w:shd w:val="clear" w:color="auto" w:fill="FF99CC"/>
      <w:spacing w:before="100" w:beforeAutospacing="1" w:after="100" w:afterAutospacing="1" w:line="240" w:lineRule="auto"/>
      <w:jc w:val="center"/>
      <w:textAlignment w:val="center"/>
    </w:pPr>
    <w:rPr>
      <w:rFonts w:ascii="宋体" w:hAnsi="宋体" w:cs="宋体"/>
      <w:kern w:val="0"/>
      <w:sz w:val="22"/>
      <w:szCs w:val="22"/>
    </w:rPr>
  </w:style>
  <w:style w:type="paragraph" w:customStyle="1" w:styleId="204">
    <w:name w:val="xl64"/>
    <w:basedOn w:val="1"/>
    <w:qFormat/>
    <w:uiPriority w:val="0"/>
    <w:pPr>
      <w:widowControl/>
      <w:pBdr>
        <w:top w:val="single" w:color="auto" w:sz="4" w:space="0"/>
        <w:left w:val="single" w:color="auto" w:sz="4" w:space="0"/>
        <w:bottom w:val="single" w:color="auto" w:sz="4" w:space="0"/>
        <w:right w:val="single" w:color="auto" w:sz="4" w:space="0"/>
      </w:pBdr>
      <w:shd w:val="clear" w:color="auto" w:fill="FF99CC"/>
      <w:spacing w:before="100" w:beforeAutospacing="1" w:after="100" w:afterAutospacing="1" w:line="240" w:lineRule="auto"/>
      <w:jc w:val="center"/>
      <w:textAlignment w:val="center"/>
    </w:pPr>
    <w:rPr>
      <w:rFonts w:ascii="宋体" w:hAnsi="宋体" w:cs="宋体"/>
      <w:color w:val="000000"/>
      <w:kern w:val="0"/>
      <w:sz w:val="20"/>
      <w:szCs w:val="20"/>
    </w:rPr>
  </w:style>
  <w:style w:type="paragraph" w:customStyle="1" w:styleId="205">
    <w:name w:val="xl65"/>
    <w:basedOn w:val="1"/>
    <w:qFormat/>
    <w:uiPriority w:val="0"/>
    <w:pPr>
      <w:widowControl/>
      <w:pBdr>
        <w:top w:val="single" w:color="auto" w:sz="4" w:space="0"/>
        <w:left w:val="single" w:color="auto" w:sz="4" w:space="0"/>
        <w:bottom w:val="single" w:color="auto" w:sz="4" w:space="0"/>
        <w:right w:val="single" w:color="auto" w:sz="4" w:space="0"/>
      </w:pBdr>
      <w:shd w:val="clear" w:color="auto" w:fill="FF99CC"/>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06">
    <w:name w:val="xl66"/>
    <w:basedOn w:val="1"/>
    <w:qFormat/>
    <w:uiPriority w:val="0"/>
    <w:pPr>
      <w:widowControl/>
      <w:pBdr>
        <w:top w:val="single" w:color="auto" w:sz="4" w:space="0"/>
        <w:left w:val="single" w:color="auto" w:sz="4" w:space="0"/>
        <w:bottom w:val="single" w:color="auto" w:sz="4" w:space="0"/>
        <w:right w:val="single" w:color="auto" w:sz="4" w:space="0"/>
      </w:pBdr>
      <w:shd w:val="clear" w:color="auto" w:fill="FFCC99"/>
      <w:spacing w:before="100" w:beforeAutospacing="1" w:after="100" w:afterAutospacing="1" w:line="240" w:lineRule="auto"/>
      <w:jc w:val="center"/>
      <w:textAlignment w:val="center"/>
    </w:pPr>
    <w:rPr>
      <w:rFonts w:ascii="宋体" w:hAnsi="宋体" w:cs="宋体"/>
      <w:color w:val="000000"/>
      <w:kern w:val="0"/>
      <w:sz w:val="20"/>
      <w:szCs w:val="20"/>
    </w:rPr>
  </w:style>
  <w:style w:type="paragraph" w:customStyle="1" w:styleId="207">
    <w:name w:val="xl67"/>
    <w:basedOn w:val="1"/>
    <w:qFormat/>
    <w:uiPriority w:val="0"/>
    <w:pPr>
      <w:widowControl/>
      <w:pBdr>
        <w:top w:val="single" w:color="auto" w:sz="4" w:space="0"/>
        <w:left w:val="single" w:color="auto" w:sz="4" w:space="0"/>
        <w:bottom w:val="single" w:color="auto" w:sz="4" w:space="0"/>
        <w:right w:val="single" w:color="auto" w:sz="4" w:space="0"/>
      </w:pBdr>
      <w:shd w:val="clear" w:color="auto" w:fill="FFCC99"/>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08">
    <w:name w:val="xl68"/>
    <w:basedOn w:val="1"/>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line="240" w:lineRule="auto"/>
      <w:jc w:val="center"/>
    </w:pPr>
    <w:rPr>
      <w:rFonts w:ascii="宋体" w:hAnsi="宋体" w:cs="宋体"/>
      <w:kern w:val="0"/>
      <w:sz w:val="20"/>
      <w:szCs w:val="20"/>
    </w:rPr>
  </w:style>
  <w:style w:type="paragraph" w:customStyle="1" w:styleId="209">
    <w:name w:val="xl69"/>
    <w:basedOn w:val="1"/>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line="240" w:lineRule="auto"/>
      <w:jc w:val="center"/>
      <w:textAlignment w:val="center"/>
    </w:pPr>
    <w:rPr>
      <w:rFonts w:ascii="宋体" w:hAnsi="宋体" w:cs="宋体"/>
      <w:kern w:val="0"/>
      <w:sz w:val="22"/>
      <w:szCs w:val="22"/>
    </w:rPr>
  </w:style>
  <w:style w:type="paragraph" w:customStyle="1" w:styleId="210">
    <w:name w:val="xl70"/>
    <w:basedOn w:val="1"/>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line="240" w:lineRule="auto"/>
      <w:jc w:val="center"/>
      <w:textAlignment w:val="center"/>
    </w:pPr>
    <w:rPr>
      <w:rFonts w:ascii="宋体" w:hAnsi="宋体" w:cs="宋体"/>
      <w:color w:val="000000"/>
      <w:kern w:val="0"/>
      <w:sz w:val="20"/>
      <w:szCs w:val="20"/>
    </w:rPr>
  </w:style>
  <w:style w:type="paragraph" w:customStyle="1" w:styleId="211">
    <w:name w:val="xl71"/>
    <w:basedOn w:val="1"/>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12">
    <w:name w:val="xl72"/>
    <w:basedOn w:val="1"/>
    <w:qFormat/>
    <w:uiPriority w:val="0"/>
    <w:pPr>
      <w:widowControl/>
      <w:pBdr>
        <w:top w:val="single" w:color="auto" w:sz="4" w:space="0"/>
        <w:left w:val="single" w:color="auto" w:sz="4" w:space="0"/>
        <w:bottom w:val="single" w:color="auto" w:sz="4" w:space="0"/>
        <w:right w:val="single" w:color="auto" w:sz="4" w:space="0"/>
      </w:pBdr>
      <w:shd w:val="clear" w:color="auto" w:fill="FFFF00"/>
      <w:spacing w:before="100" w:beforeAutospacing="1" w:after="100" w:afterAutospacing="1" w:line="240" w:lineRule="auto"/>
      <w:jc w:val="center"/>
      <w:textAlignment w:val="center"/>
    </w:pPr>
    <w:rPr>
      <w:rFonts w:ascii="宋体" w:hAnsi="宋体" w:cs="宋体"/>
      <w:color w:val="000000"/>
      <w:kern w:val="0"/>
      <w:sz w:val="20"/>
      <w:szCs w:val="20"/>
    </w:rPr>
  </w:style>
  <w:style w:type="paragraph" w:customStyle="1" w:styleId="213">
    <w:name w:val="xl73"/>
    <w:basedOn w:val="1"/>
    <w:qFormat/>
    <w:uiPriority w:val="0"/>
    <w:pPr>
      <w:widowControl/>
      <w:pBdr>
        <w:top w:val="single" w:color="auto" w:sz="4" w:space="0"/>
        <w:left w:val="single" w:color="auto" w:sz="4" w:space="0"/>
        <w:bottom w:val="single" w:color="auto" w:sz="4" w:space="0"/>
        <w:right w:val="single" w:color="auto" w:sz="4" w:space="0"/>
      </w:pBdr>
      <w:shd w:val="clear" w:color="auto" w:fill="3366FF"/>
      <w:spacing w:before="100" w:beforeAutospacing="1" w:after="100" w:afterAutospacing="1" w:line="240" w:lineRule="auto"/>
      <w:jc w:val="center"/>
    </w:pPr>
    <w:rPr>
      <w:rFonts w:ascii="宋体" w:hAnsi="宋体" w:cs="宋体"/>
      <w:kern w:val="0"/>
      <w:sz w:val="20"/>
      <w:szCs w:val="20"/>
    </w:rPr>
  </w:style>
  <w:style w:type="paragraph" w:customStyle="1" w:styleId="214">
    <w:name w:val="xl74"/>
    <w:basedOn w:val="1"/>
    <w:qFormat/>
    <w:uiPriority w:val="0"/>
    <w:pPr>
      <w:widowControl/>
      <w:pBdr>
        <w:top w:val="single" w:color="auto" w:sz="4" w:space="0"/>
        <w:left w:val="single" w:color="auto" w:sz="4" w:space="0"/>
        <w:bottom w:val="single" w:color="auto" w:sz="4" w:space="0"/>
        <w:right w:val="single" w:color="auto" w:sz="4" w:space="0"/>
      </w:pBdr>
      <w:shd w:val="clear" w:color="auto" w:fill="3366FF"/>
      <w:spacing w:before="100" w:beforeAutospacing="1" w:after="100" w:afterAutospacing="1" w:line="240" w:lineRule="auto"/>
      <w:jc w:val="center"/>
      <w:textAlignment w:val="center"/>
    </w:pPr>
    <w:rPr>
      <w:rFonts w:ascii="宋体" w:hAnsi="宋体" w:cs="宋体"/>
      <w:kern w:val="0"/>
      <w:sz w:val="22"/>
      <w:szCs w:val="22"/>
    </w:rPr>
  </w:style>
  <w:style w:type="paragraph" w:customStyle="1" w:styleId="215">
    <w:name w:val="xl75"/>
    <w:basedOn w:val="1"/>
    <w:qFormat/>
    <w:uiPriority w:val="0"/>
    <w:pPr>
      <w:widowControl/>
      <w:pBdr>
        <w:top w:val="single" w:color="auto" w:sz="4" w:space="0"/>
        <w:left w:val="single" w:color="auto" w:sz="4" w:space="0"/>
        <w:bottom w:val="single" w:color="auto" w:sz="4" w:space="0"/>
        <w:right w:val="single" w:color="auto" w:sz="4" w:space="0"/>
      </w:pBdr>
      <w:shd w:val="clear" w:color="auto" w:fill="3366FF"/>
      <w:spacing w:before="100" w:beforeAutospacing="1" w:after="100" w:afterAutospacing="1" w:line="240" w:lineRule="auto"/>
      <w:jc w:val="center"/>
      <w:textAlignment w:val="center"/>
    </w:pPr>
    <w:rPr>
      <w:rFonts w:ascii="宋体" w:hAnsi="宋体" w:cs="宋体"/>
      <w:color w:val="000000"/>
      <w:kern w:val="0"/>
      <w:sz w:val="20"/>
      <w:szCs w:val="20"/>
    </w:rPr>
  </w:style>
  <w:style w:type="paragraph" w:customStyle="1" w:styleId="216">
    <w:name w:val="xl76"/>
    <w:basedOn w:val="1"/>
    <w:qFormat/>
    <w:uiPriority w:val="0"/>
    <w:pPr>
      <w:widowControl/>
      <w:pBdr>
        <w:top w:val="single" w:color="auto" w:sz="4" w:space="0"/>
        <w:left w:val="single" w:color="auto" w:sz="4" w:space="0"/>
        <w:bottom w:val="single" w:color="auto" w:sz="4" w:space="0"/>
        <w:right w:val="single" w:color="auto" w:sz="4" w:space="0"/>
      </w:pBdr>
      <w:shd w:val="clear" w:color="auto" w:fill="3366FF"/>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17">
    <w:name w:val="xl77"/>
    <w:basedOn w:val="1"/>
    <w:qFormat/>
    <w:uiPriority w:val="0"/>
    <w:pPr>
      <w:widowControl/>
      <w:pBdr>
        <w:top w:val="single" w:color="auto" w:sz="4" w:space="0"/>
        <w:left w:val="single" w:color="auto" w:sz="4" w:space="0"/>
        <w:bottom w:val="single" w:color="auto" w:sz="4" w:space="0"/>
        <w:right w:val="single" w:color="auto" w:sz="4" w:space="0"/>
      </w:pBdr>
      <w:shd w:val="clear" w:color="auto" w:fill="FF99CC"/>
      <w:spacing w:before="100" w:beforeAutospacing="1" w:after="100" w:afterAutospacing="1" w:line="240" w:lineRule="auto"/>
      <w:jc w:val="center"/>
      <w:textAlignment w:val="center"/>
    </w:pPr>
    <w:rPr>
      <w:rFonts w:ascii="宋体" w:hAnsi="宋体" w:cs="宋体"/>
      <w:color w:val="000000"/>
      <w:kern w:val="0"/>
      <w:sz w:val="20"/>
      <w:szCs w:val="20"/>
    </w:rPr>
  </w:style>
  <w:style w:type="paragraph" w:customStyle="1" w:styleId="218">
    <w:name w:val="xl78"/>
    <w:basedOn w:val="1"/>
    <w:qFormat/>
    <w:uiPriority w:val="0"/>
    <w:pPr>
      <w:widowControl/>
      <w:pBdr>
        <w:top w:val="single" w:color="auto" w:sz="4" w:space="0"/>
        <w:left w:val="single" w:color="auto" w:sz="4" w:space="0"/>
        <w:bottom w:val="single" w:color="auto" w:sz="4" w:space="0"/>
        <w:right w:val="single" w:color="auto" w:sz="4" w:space="0"/>
      </w:pBdr>
      <w:shd w:val="clear" w:color="auto" w:fill="FFFF99"/>
      <w:spacing w:before="100" w:beforeAutospacing="1" w:after="100" w:afterAutospacing="1" w:line="240" w:lineRule="auto"/>
      <w:jc w:val="center"/>
      <w:textAlignment w:val="center"/>
    </w:pPr>
    <w:rPr>
      <w:rFonts w:ascii="宋体" w:hAnsi="宋体" w:cs="宋体"/>
      <w:kern w:val="0"/>
      <w:sz w:val="22"/>
      <w:szCs w:val="22"/>
    </w:rPr>
  </w:style>
  <w:style w:type="paragraph" w:customStyle="1" w:styleId="219">
    <w:name w:val="xl79"/>
    <w:basedOn w:val="1"/>
    <w:qFormat/>
    <w:uiPriority w:val="0"/>
    <w:pPr>
      <w:widowControl/>
      <w:pBdr>
        <w:top w:val="single" w:color="auto" w:sz="4" w:space="0"/>
        <w:left w:val="single" w:color="auto" w:sz="4" w:space="0"/>
        <w:bottom w:val="single" w:color="auto" w:sz="4" w:space="0"/>
        <w:right w:val="single" w:color="auto" w:sz="4" w:space="0"/>
      </w:pBdr>
      <w:shd w:val="clear" w:color="auto" w:fill="FFFF99"/>
      <w:spacing w:before="100" w:beforeAutospacing="1" w:after="100" w:afterAutospacing="1" w:line="240" w:lineRule="auto"/>
      <w:jc w:val="center"/>
      <w:textAlignment w:val="center"/>
    </w:pPr>
    <w:rPr>
      <w:rFonts w:ascii="宋体" w:hAnsi="宋体" w:cs="宋体"/>
      <w:color w:val="000000"/>
      <w:kern w:val="0"/>
      <w:sz w:val="20"/>
      <w:szCs w:val="20"/>
    </w:rPr>
  </w:style>
  <w:style w:type="paragraph" w:customStyle="1" w:styleId="220">
    <w:name w:val="xl80"/>
    <w:basedOn w:val="1"/>
    <w:qFormat/>
    <w:uiPriority w:val="0"/>
    <w:pPr>
      <w:widowControl/>
      <w:pBdr>
        <w:top w:val="single" w:color="auto" w:sz="4" w:space="0"/>
        <w:left w:val="single" w:color="auto" w:sz="4" w:space="0"/>
        <w:bottom w:val="single" w:color="auto" w:sz="4" w:space="0"/>
        <w:right w:val="single" w:color="auto" w:sz="4" w:space="0"/>
      </w:pBdr>
      <w:shd w:val="clear" w:color="auto" w:fill="FFFF99"/>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21">
    <w:name w:val="xl81"/>
    <w:basedOn w:val="1"/>
    <w:qFormat/>
    <w:uiPriority w:val="0"/>
    <w:pPr>
      <w:widowControl/>
      <w:pBdr>
        <w:top w:val="single" w:color="auto" w:sz="4" w:space="0"/>
        <w:left w:val="single" w:color="auto" w:sz="4" w:space="0"/>
        <w:bottom w:val="single" w:color="auto" w:sz="4" w:space="0"/>
        <w:right w:val="single" w:color="auto" w:sz="4" w:space="0"/>
      </w:pBdr>
      <w:shd w:val="clear" w:color="auto" w:fill="FFFF99"/>
      <w:spacing w:before="100" w:beforeAutospacing="1" w:after="100" w:afterAutospacing="1" w:line="240" w:lineRule="auto"/>
      <w:jc w:val="center"/>
    </w:pPr>
    <w:rPr>
      <w:rFonts w:ascii="宋体" w:hAnsi="宋体" w:cs="宋体"/>
      <w:kern w:val="0"/>
      <w:sz w:val="20"/>
      <w:szCs w:val="20"/>
    </w:rPr>
  </w:style>
  <w:style w:type="paragraph" w:customStyle="1" w:styleId="222">
    <w:name w:val="xl82"/>
    <w:basedOn w:val="1"/>
    <w:qFormat/>
    <w:uiPriority w:val="0"/>
    <w:pPr>
      <w:widowControl/>
      <w:pBdr>
        <w:top w:val="single" w:color="auto" w:sz="4" w:space="0"/>
        <w:left w:val="single" w:color="auto" w:sz="4" w:space="0"/>
        <w:bottom w:val="single" w:color="auto" w:sz="4" w:space="0"/>
        <w:right w:val="single" w:color="auto" w:sz="4" w:space="0"/>
      </w:pBdr>
      <w:shd w:val="clear" w:color="auto" w:fill="CC99FF"/>
      <w:spacing w:before="100" w:beforeAutospacing="1" w:after="100" w:afterAutospacing="1" w:line="240" w:lineRule="auto"/>
      <w:jc w:val="center"/>
      <w:textAlignment w:val="center"/>
    </w:pPr>
    <w:rPr>
      <w:rFonts w:ascii="宋体" w:hAnsi="宋体" w:cs="宋体"/>
      <w:kern w:val="0"/>
      <w:sz w:val="22"/>
      <w:szCs w:val="22"/>
    </w:rPr>
  </w:style>
  <w:style w:type="paragraph" w:customStyle="1" w:styleId="223">
    <w:name w:val="xl83"/>
    <w:basedOn w:val="1"/>
    <w:qFormat/>
    <w:uiPriority w:val="0"/>
    <w:pPr>
      <w:widowControl/>
      <w:pBdr>
        <w:top w:val="single" w:color="auto" w:sz="4" w:space="0"/>
        <w:left w:val="single" w:color="auto" w:sz="4" w:space="0"/>
        <w:bottom w:val="single" w:color="auto" w:sz="4" w:space="0"/>
        <w:right w:val="single" w:color="auto" w:sz="4" w:space="0"/>
      </w:pBdr>
      <w:shd w:val="clear" w:color="auto" w:fill="CC99FF"/>
      <w:spacing w:before="100" w:beforeAutospacing="1" w:after="100" w:afterAutospacing="1" w:line="240" w:lineRule="auto"/>
      <w:jc w:val="center"/>
      <w:textAlignment w:val="center"/>
    </w:pPr>
    <w:rPr>
      <w:rFonts w:ascii="宋体" w:hAnsi="宋体" w:cs="宋体"/>
      <w:color w:val="000000"/>
      <w:kern w:val="0"/>
      <w:sz w:val="20"/>
      <w:szCs w:val="20"/>
    </w:rPr>
  </w:style>
  <w:style w:type="paragraph" w:customStyle="1" w:styleId="224">
    <w:name w:val="xl84"/>
    <w:basedOn w:val="1"/>
    <w:qFormat/>
    <w:uiPriority w:val="0"/>
    <w:pPr>
      <w:widowControl/>
      <w:pBdr>
        <w:top w:val="single" w:color="auto" w:sz="4" w:space="0"/>
        <w:left w:val="single" w:color="auto" w:sz="4" w:space="0"/>
        <w:bottom w:val="single" w:color="auto" w:sz="4" w:space="0"/>
        <w:right w:val="single" w:color="auto" w:sz="4" w:space="0"/>
      </w:pBdr>
      <w:shd w:val="clear" w:color="auto" w:fill="CC99FF"/>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25">
    <w:name w:val="xl85"/>
    <w:basedOn w:val="1"/>
    <w:qFormat/>
    <w:uiPriority w:val="0"/>
    <w:pPr>
      <w:widowControl/>
      <w:pBdr>
        <w:top w:val="single" w:color="auto" w:sz="4" w:space="0"/>
        <w:left w:val="single" w:color="auto" w:sz="4" w:space="0"/>
        <w:bottom w:val="single" w:color="auto" w:sz="4" w:space="0"/>
        <w:right w:val="single" w:color="auto" w:sz="4" w:space="0"/>
      </w:pBdr>
      <w:shd w:val="clear" w:color="auto" w:fill="99CCFF"/>
      <w:spacing w:before="100" w:beforeAutospacing="1" w:after="100" w:afterAutospacing="1" w:line="240" w:lineRule="auto"/>
      <w:jc w:val="center"/>
      <w:textAlignment w:val="center"/>
    </w:pPr>
    <w:rPr>
      <w:rFonts w:ascii="宋体" w:hAnsi="宋体" w:cs="宋体"/>
      <w:kern w:val="0"/>
      <w:sz w:val="22"/>
      <w:szCs w:val="22"/>
    </w:rPr>
  </w:style>
  <w:style w:type="paragraph" w:customStyle="1" w:styleId="226">
    <w:name w:val="xl86"/>
    <w:basedOn w:val="1"/>
    <w:qFormat/>
    <w:uiPriority w:val="0"/>
    <w:pPr>
      <w:widowControl/>
      <w:pBdr>
        <w:top w:val="single" w:color="auto" w:sz="4" w:space="0"/>
        <w:left w:val="single" w:color="auto" w:sz="4" w:space="0"/>
        <w:bottom w:val="single" w:color="auto" w:sz="4" w:space="0"/>
        <w:right w:val="single" w:color="auto" w:sz="4" w:space="0"/>
      </w:pBdr>
      <w:shd w:val="clear" w:color="auto" w:fill="99CCFF"/>
      <w:spacing w:before="100" w:beforeAutospacing="1" w:after="100" w:afterAutospacing="1" w:line="240" w:lineRule="auto"/>
      <w:jc w:val="center"/>
      <w:textAlignment w:val="center"/>
    </w:pPr>
    <w:rPr>
      <w:rFonts w:ascii="宋体" w:hAnsi="宋体" w:cs="宋体"/>
      <w:color w:val="000000"/>
      <w:kern w:val="0"/>
      <w:sz w:val="20"/>
      <w:szCs w:val="20"/>
    </w:rPr>
  </w:style>
  <w:style w:type="paragraph" w:customStyle="1" w:styleId="227">
    <w:name w:val="xl87"/>
    <w:basedOn w:val="1"/>
    <w:qFormat/>
    <w:uiPriority w:val="0"/>
    <w:pPr>
      <w:widowControl/>
      <w:pBdr>
        <w:top w:val="single" w:color="auto" w:sz="4" w:space="0"/>
        <w:left w:val="single" w:color="auto" w:sz="4" w:space="0"/>
        <w:bottom w:val="single" w:color="auto" w:sz="4" w:space="0"/>
        <w:right w:val="single" w:color="auto" w:sz="4" w:space="0"/>
      </w:pBdr>
      <w:shd w:val="clear" w:color="auto" w:fill="99CCFF"/>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28">
    <w:name w:val="xl88"/>
    <w:basedOn w:val="1"/>
    <w:qFormat/>
    <w:uiPriority w:val="0"/>
    <w:pPr>
      <w:widowControl/>
      <w:pBdr>
        <w:top w:val="single" w:color="auto" w:sz="4" w:space="0"/>
        <w:left w:val="single" w:color="auto" w:sz="4" w:space="0"/>
        <w:bottom w:val="single" w:color="auto" w:sz="4" w:space="0"/>
        <w:right w:val="single" w:color="auto" w:sz="4" w:space="0"/>
      </w:pBdr>
      <w:shd w:val="clear" w:color="auto" w:fill="00FF00"/>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29">
    <w:name w:val="xl89"/>
    <w:basedOn w:val="1"/>
    <w:qFormat/>
    <w:uiPriority w:val="0"/>
    <w:pPr>
      <w:widowControl/>
      <w:pBdr>
        <w:top w:val="single" w:color="auto" w:sz="4" w:space="0"/>
        <w:left w:val="single" w:color="auto" w:sz="4" w:space="0"/>
        <w:bottom w:val="single" w:color="auto" w:sz="4" w:space="0"/>
        <w:right w:val="single" w:color="auto" w:sz="4" w:space="0"/>
      </w:pBdr>
      <w:shd w:val="clear" w:color="auto" w:fill="00FF00"/>
      <w:spacing w:before="100" w:beforeAutospacing="1" w:after="100" w:afterAutospacing="1" w:line="240" w:lineRule="auto"/>
      <w:jc w:val="center"/>
      <w:textAlignment w:val="center"/>
    </w:pPr>
    <w:rPr>
      <w:rFonts w:ascii="宋体" w:hAnsi="宋体" w:cs="宋体"/>
      <w:kern w:val="0"/>
      <w:sz w:val="22"/>
      <w:szCs w:val="22"/>
    </w:rPr>
  </w:style>
  <w:style w:type="paragraph" w:customStyle="1" w:styleId="230">
    <w:name w:val="xl90"/>
    <w:basedOn w:val="1"/>
    <w:qFormat/>
    <w:uiPriority w:val="0"/>
    <w:pPr>
      <w:widowControl/>
      <w:pBdr>
        <w:top w:val="single" w:color="auto" w:sz="4" w:space="0"/>
        <w:left w:val="single" w:color="auto" w:sz="4" w:space="0"/>
        <w:bottom w:val="single" w:color="auto" w:sz="4" w:space="0"/>
        <w:right w:val="single" w:color="auto" w:sz="4" w:space="0"/>
      </w:pBdr>
      <w:shd w:val="clear" w:color="auto" w:fill="00FF00"/>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31">
    <w:name w:val="xl91"/>
    <w:basedOn w:val="1"/>
    <w:qFormat/>
    <w:uiPriority w:val="0"/>
    <w:pPr>
      <w:widowControl/>
      <w:pBdr>
        <w:top w:val="single" w:color="auto" w:sz="4" w:space="0"/>
        <w:left w:val="single" w:color="auto" w:sz="4" w:space="0"/>
        <w:bottom w:val="single" w:color="auto" w:sz="4" w:space="0"/>
        <w:right w:val="single" w:color="auto" w:sz="4" w:space="0"/>
      </w:pBdr>
      <w:shd w:val="clear" w:color="auto" w:fill="00FF00"/>
      <w:spacing w:before="100" w:beforeAutospacing="1" w:after="100" w:afterAutospacing="1" w:line="240" w:lineRule="auto"/>
      <w:jc w:val="center"/>
      <w:textAlignment w:val="center"/>
    </w:pPr>
    <w:rPr>
      <w:rFonts w:ascii="宋体" w:hAnsi="宋体" w:cs="宋体"/>
      <w:color w:val="000000"/>
      <w:kern w:val="0"/>
      <w:sz w:val="20"/>
      <w:szCs w:val="20"/>
    </w:rPr>
  </w:style>
  <w:style w:type="paragraph" w:customStyle="1" w:styleId="232">
    <w:name w:val="xl92"/>
    <w:basedOn w:val="1"/>
    <w:qFormat/>
    <w:uiPriority w:val="0"/>
    <w:pPr>
      <w:widowControl/>
      <w:pBdr>
        <w:top w:val="single" w:color="auto" w:sz="4" w:space="0"/>
        <w:left w:val="single" w:color="auto" w:sz="4" w:space="0"/>
        <w:bottom w:val="single" w:color="auto" w:sz="4" w:space="0"/>
        <w:right w:val="single" w:color="auto" w:sz="4" w:space="0"/>
      </w:pBdr>
      <w:shd w:val="clear" w:color="auto" w:fill="FFCC99"/>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33">
    <w:name w:val="xl93"/>
    <w:basedOn w:val="1"/>
    <w:qFormat/>
    <w:uiPriority w:val="0"/>
    <w:pPr>
      <w:widowControl/>
      <w:pBdr>
        <w:top w:val="single" w:color="auto" w:sz="4" w:space="0"/>
        <w:left w:val="single" w:color="auto" w:sz="4" w:space="0"/>
        <w:bottom w:val="single" w:color="auto" w:sz="4" w:space="0"/>
        <w:right w:val="single" w:color="auto" w:sz="4" w:space="0"/>
      </w:pBdr>
      <w:shd w:val="clear" w:color="auto" w:fill="CCFFCC"/>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34">
    <w:name w:val="xl94"/>
    <w:basedOn w:val="1"/>
    <w:qFormat/>
    <w:uiPriority w:val="0"/>
    <w:pPr>
      <w:widowControl/>
      <w:pBdr>
        <w:top w:val="single" w:color="auto" w:sz="4" w:space="0"/>
        <w:left w:val="single" w:color="auto" w:sz="4" w:space="0"/>
        <w:bottom w:val="single" w:color="auto" w:sz="4" w:space="0"/>
        <w:right w:val="single" w:color="auto" w:sz="4" w:space="0"/>
      </w:pBdr>
      <w:shd w:val="clear" w:color="auto" w:fill="33CCCC"/>
      <w:spacing w:before="100" w:beforeAutospacing="1" w:after="100" w:afterAutospacing="1" w:line="240" w:lineRule="auto"/>
      <w:jc w:val="center"/>
    </w:pPr>
    <w:rPr>
      <w:rFonts w:ascii="宋体" w:hAnsi="宋体" w:cs="宋体"/>
      <w:kern w:val="0"/>
      <w:sz w:val="20"/>
      <w:szCs w:val="20"/>
    </w:rPr>
  </w:style>
  <w:style w:type="paragraph" w:customStyle="1" w:styleId="235">
    <w:name w:val="xl95"/>
    <w:basedOn w:val="1"/>
    <w:qFormat/>
    <w:uiPriority w:val="0"/>
    <w:pPr>
      <w:widowControl/>
      <w:pBdr>
        <w:top w:val="single" w:color="auto" w:sz="4" w:space="0"/>
        <w:left w:val="single" w:color="auto" w:sz="4" w:space="0"/>
        <w:bottom w:val="single" w:color="auto" w:sz="4" w:space="0"/>
        <w:right w:val="single" w:color="auto" w:sz="4" w:space="0"/>
      </w:pBdr>
      <w:shd w:val="clear" w:color="auto" w:fill="33CCCC"/>
      <w:spacing w:before="100" w:beforeAutospacing="1" w:after="100" w:afterAutospacing="1" w:line="240" w:lineRule="auto"/>
      <w:jc w:val="center"/>
      <w:textAlignment w:val="center"/>
    </w:pPr>
    <w:rPr>
      <w:rFonts w:ascii="宋体" w:hAnsi="宋体" w:cs="宋体"/>
      <w:kern w:val="0"/>
      <w:sz w:val="22"/>
      <w:szCs w:val="22"/>
    </w:rPr>
  </w:style>
  <w:style w:type="paragraph" w:customStyle="1" w:styleId="236">
    <w:name w:val="xl96"/>
    <w:basedOn w:val="1"/>
    <w:qFormat/>
    <w:uiPriority w:val="0"/>
    <w:pPr>
      <w:widowControl/>
      <w:pBdr>
        <w:top w:val="single" w:color="auto" w:sz="4" w:space="0"/>
        <w:left w:val="single" w:color="auto" w:sz="4" w:space="0"/>
        <w:bottom w:val="single" w:color="auto" w:sz="4" w:space="0"/>
        <w:right w:val="single" w:color="auto" w:sz="4" w:space="0"/>
      </w:pBdr>
      <w:shd w:val="clear" w:color="auto" w:fill="33CCCC"/>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37">
    <w:name w:val="xl97"/>
    <w:basedOn w:val="1"/>
    <w:qFormat/>
    <w:uiPriority w:val="0"/>
    <w:pPr>
      <w:widowControl/>
      <w:pBdr>
        <w:top w:val="single" w:color="auto" w:sz="4" w:space="0"/>
        <w:left w:val="single" w:color="auto" w:sz="4" w:space="0"/>
        <w:bottom w:val="single" w:color="auto" w:sz="4" w:space="0"/>
        <w:right w:val="single" w:color="auto" w:sz="4" w:space="0"/>
      </w:pBdr>
      <w:shd w:val="clear" w:color="auto" w:fill="33CCCC"/>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38">
    <w:name w:val="xl98"/>
    <w:basedOn w:val="1"/>
    <w:qFormat/>
    <w:uiPriority w:val="0"/>
    <w:pPr>
      <w:widowControl/>
      <w:pBdr>
        <w:top w:val="single" w:color="auto" w:sz="4" w:space="0"/>
        <w:left w:val="single" w:color="auto" w:sz="4" w:space="0"/>
        <w:bottom w:val="single" w:color="auto" w:sz="4" w:space="0"/>
        <w:right w:val="single" w:color="auto" w:sz="4" w:space="0"/>
      </w:pBdr>
      <w:shd w:val="clear" w:color="auto" w:fill="CC99FF"/>
      <w:spacing w:before="100" w:beforeAutospacing="1" w:after="100" w:afterAutospacing="1" w:line="240" w:lineRule="auto"/>
      <w:jc w:val="center"/>
    </w:pPr>
    <w:rPr>
      <w:rFonts w:ascii="宋体" w:hAnsi="宋体" w:cs="宋体"/>
      <w:kern w:val="0"/>
      <w:sz w:val="20"/>
      <w:szCs w:val="20"/>
    </w:rPr>
  </w:style>
  <w:style w:type="paragraph" w:customStyle="1" w:styleId="239">
    <w:name w:val="xl99"/>
    <w:basedOn w:val="1"/>
    <w:qFormat/>
    <w:uiPriority w:val="0"/>
    <w:pPr>
      <w:widowControl/>
      <w:pBdr>
        <w:top w:val="single" w:color="auto" w:sz="4" w:space="0"/>
        <w:left w:val="single" w:color="auto" w:sz="4" w:space="0"/>
        <w:bottom w:val="single" w:color="auto" w:sz="4" w:space="0"/>
        <w:right w:val="single" w:color="auto" w:sz="4" w:space="0"/>
      </w:pBdr>
      <w:shd w:val="clear" w:color="auto" w:fill="CC99FF"/>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40">
    <w:name w:val="xl100"/>
    <w:basedOn w:val="1"/>
    <w:qFormat/>
    <w:uiPriority w:val="0"/>
    <w:pPr>
      <w:widowControl/>
      <w:pBdr>
        <w:top w:val="single" w:color="auto" w:sz="4" w:space="0"/>
        <w:left w:val="single" w:color="auto" w:sz="4" w:space="0"/>
        <w:bottom w:val="single" w:color="auto" w:sz="4" w:space="0"/>
        <w:right w:val="single" w:color="auto" w:sz="4" w:space="0"/>
      </w:pBdr>
      <w:shd w:val="clear" w:color="auto" w:fill="99CCFF"/>
      <w:spacing w:before="100" w:beforeAutospacing="1" w:after="100" w:afterAutospacing="1" w:line="240" w:lineRule="auto"/>
      <w:jc w:val="center"/>
    </w:pPr>
    <w:rPr>
      <w:rFonts w:ascii="宋体" w:hAnsi="宋体" w:cs="宋体"/>
      <w:kern w:val="0"/>
      <w:sz w:val="20"/>
      <w:szCs w:val="20"/>
    </w:rPr>
  </w:style>
  <w:style w:type="paragraph" w:customStyle="1" w:styleId="241">
    <w:name w:val="xl101"/>
    <w:basedOn w:val="1"/>
    <w:qFormat/>
    <w:uiPriority w:val="0"/>
    <w:pPr>
      <w:widowControl/>
      <w:pBdr>
        <w:top w:val="single" w:color="auto" w:sz="4" w:space="0"/>
        <w:left w:val="single" w:color="auto" w:sz="4" w:space="0"/>
        <w:bottom w:val="single" w:color="auto" w:sz="4" w:space="0"/>
        <w:right w:val="single" w:color="auto" w:sz="4" w:space="0"/>
      </w:pBdr>
      <w:shd w:val="clear" w:color="auto" w:fill="99CCFF"/>
      <w:spacing w:before="100" w:beforeAutospacing="1" w:after="100" w:afterAutospacing="1" w:line="240" w:lineRule="auto"/>
      <w:jc w:val="center"/>
      <w:textAlignment w:val="center"/>
    </w:pPr>
    <w:rPr>
      <w:rFonts w:ascii="宋体" w:hAnsi="宋体" w:cs="宋体"/>
      <w:color w:val="000000"/>
      <w:kern w:val="0"/>
      <w:sz w:val="20"/>
      <w:szCs w:val="20"/>
    </w:rPr>
  </w:style>
  <w:style w:type="paragraph" w:customStyle="1" w:styleId="242">
    <w:name w:val="xl102"/>
    <w:basedOn w:val="1"/>
    <w:qFormat/>
    <w:uiPriority w:val="0"/>
    <w:pPr>
      <w:widowControl/>
      <w:pBdr>
        <w:top w:val="single" w:color="auto" w:sz="4" w:space="0"/>
        <w:left w:val="single" w:color="auto" w:sz="4" w:space="0"/>
        <w:bottom w:val="single" w:color="auto" w:sz="4" w:space="0"/>
        <w:right w:val="single" w:color="auto" w:sz="4" w:space="0"/>
      </w:pBdr>
      <w:shd w:val="clear" w:color="auto" w:fill="00FFFF"/>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43">
    <w:name w:val="xl10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cs="宋体"/>
      <w:color w:val="FF0000"/>
      <w:kern w:val="0"/>
      <w:sz w:val="20"/>
      <w:szCs w:val="20"/>
    </w:rPr>
  </w:style>
  <w:style w:type="paragraph" w:customStyle="1" w:styleId="244">
    <w:name w:val="xl104"/>
    <w:basedOn w:val="1"/>
    <w:qFormat/>
    <w:uiPriority w:val="0"/>
    <w:pPr>
      <w:widowControl/>
      <w:pBdr>
        <w:top w:val="single" w:color="auto" w:sz="4" w:space="0"/>
        <w:left w:val="single" w:color="auto" w:sz="4" w:space="0"/>
        <w:bottom w:val="single" w:color="auto" w:sz="4" w:space="0"/>
        <w:right w:val="single" w:color="auto" w:sz="4" w:space="0"/>
      </w:pBdr>
      <w:shd w:val="clear" w:color="auto" w:fill="00FF00"/>
      <w:spacing w:before="100" w:beforeAutospacing="1" w:after="100" w:afterAutospacing="1" w:line="240" w:lineRule="auto"/>
      <w:jc w:val="center"/>
    </w:pPr>
    <w:rPr>
      <w:rFonts w:ascii="宋体" w:hAnsi="宋体" w:cs="宋体"/>
      <w:kern w:val="0"/>
      <w:sz w:val="20"/>
      <w:szCs w:val="20"/>
    </w:rPr>
  </w:style>
  <w:style w:type="paragraph" w:customStyle="1" w:styleId="245">
    <w:name w:val="xl105"/>
    <w:basedOn w:val="1"/>
    <w:qFormat/>
    <w:uiPriority w:val="0"/>
    <w:pPr>
      <w:widowControl/>
      <w:pBdr>
        <w:top w:val="single" w:color="auto" w:sz="4" w:space="0"/>
        <w:left w:val="single" w:color="auto" w:sz="4" w:space="0"/>
        <w:bottom w:val="single" w:color="auto" w:sz="4" w:space="0"/>
        <w:right w:val="single" w:color="auto" w:sz="4" w:space="0"/>
      </w:pBdr>
      <w:shd w:val="clear" w:color="auto" w:fill="33CCCC"/>
      <w:spacing w:before="100" w:beforeAutospacing="1" w:after="100" w:afterAutospacing="1" w:line="240" w:lineRule="auto"/>
      <w:jc w:val="center"/>
      <w:textAlignment w:val="center"/>
    </w:pPr>
    <w:rPr>
      <w:rFonts w:ascii="宋体" w:hAnsi="宋体" w:cs="宋体"/>
      <w:color w:val="000000"/>
      <w:kern w:val="0"/>
      <w:sz w:val="20"/>
      <w:szCs w:val="20"/>
    </w:rPr>
  </w:style>
  <w:style w:type="paragraph" w:customStyle="1" w:styleId="246">
    <w:name w:val="xl106"/>
    <w:basedOn w:val="1"/>
    <w:qFormat/>
    <w:uiPriority w:val="0"/>
    <w:pPr>
      <w:widowControl/>
      <w:pBdr>
        <w:top w:val="single" w:color="auto" w:sz="4" w:space="0"/>
        <w:left w:val="single" w:color="auto" w:sz="4" w:space="0"/>
        <w:bottom w:val="single" w:color="auto" w:sz="4" w:space="0"/>
        <w:right w:val="single" w:color="auto" w:sz="4" w:space="0"/>
      </w:pBdr>
      <w:shd w:val="clear" w:color="auto" w:fill="33CCCC"/>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47">
    <w:name w:val="xl107"/>
    <w:basedOn w:val="1"/>
    <w:qFormat/>
    <w:uiPriority w:val="0"/>
    <w:pPr>
      <w:widowControl/>
      <w:pBdr>
        <w:top w:val="single" w:color="auto" w:sz="4" w:space="0"/>
        <w:left w:val="single" w:color="auto" w:sz="4" w:space="0"/>
        <w:bottom w:val="single" w:color="auto" w:sz="4" w:space="0"/>
        <w:right w:val="single" w:color="auto" w:sz="4" w:space="0"/>
      </w:pBdr>
      <w:shd w:val="clear" w:color="auto" w:fill="FF0000"/>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48">
    <w:name w:val="xl108"/>
    <w:basedOn w:val="1"/>
    <w:qFormat/>
    <w:uiPriority w:val="0"/>
    <w:pPr>
      <w:widowControl/>
      <w:pBdr>
        <w:top w:val="single" w:color="auto" w:sz="4" w:space="0"/>
        <w:left w:val="single" w:color="auto" w:sz="4" w:space="0"/>
        <w:bottom w:val="single" w:color="auto" w:sz="4" w:space="0"/>
        <w:right w:val="single" w:color="auto" w:sz="4" w:space="0"/>
      </w:pBdr>
      <w:shd w:val="clear" w:color="auto" w:fill="FF00FF"/>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49">
    <w:name w:val="xl109"/>
    <w:basedOn w:val="1"/>
    <w:qFormat/>
    <w:uiPriority w:val="0"/>
    <w:pPr>
      <w:widowControl/>
      <w:pBdr>
        <w:top w:val="single" w:color="auto" w:sz="4" w:space="0"/>
        <w:left w:val="single" w:color="auto" w:sz="4" w:space="0"/>
        <w:bottom w:val="single" w:color="auto" w:sz="4" w:space="0"/>
        <w:right w:val="single" w:color="auto" w:sz="4" w:space="0"/>
      </w:pBdr>
      <w:shd w:val="clear" w:color="auto" w:fill="99CC00"/>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50">
    <w:name w:val="xl110"/>
    <w:basedOn w:val="1"/>
    <w:qFormat/>
    <w:uiPriority w:val="0"/>
    <w:pPr>
      <w:widowControl/>
      <w:pBdr>
        <w:top w:val="single" w:color="auto" w:sz="4" w:space="0"/>
        <w:left w:val="single" w:color="auto" w:sz="4" w:space="0"/>
        <w:bottom w:val="single" w:color="auto" w:sz="4" w:space="0"/>
        <w:right w:val="single" w:color="auto" w:sz="4" w:space="0"/>
      </w:pBdr>
      <w:shd w:val="clear" w:color="auto" w:fill="00FFFF"/>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51">
    <w:name w:val="xl111"/>
    <w:basedOn w:val="1"/>
    <w:qFormat/>
    <w:uiPriority w:val="0"/>
    <w:pPr>
      <w:widowControl/>
      <w:pBdr>
        <w:top w:val="single" w:color="auto" w:sz="4" w:space="0"/>
        <w:left w:val="single" w:color="auto" w:sz="4" w:space="0"/>
        <w:bottom w:val="single" w:color="auto" w:sz="4" w:space="0"/>
        <w:right w:val="single" w:color="auto" w:sz="4" w:space="0"/>
      </w:pBdr>
      <w:shd w:val="clear" w:color="auto" w:fill="FFCC99"/>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52">
    <w:name w:val="xl112"/>
    <w:basedOn w:val="1"/>
    <w:qFormat/>
    <w:uiPriority w:val="0"/>
    <w:pPr>
      <w:widowControl/>
      <w:pBdr>
        <w:top w:val="single" w:color="auto" w:sz="4" w:space="0"/>
        <w:left w:val="single" w:color="auto" w:sz="4" w:space="0"/>
        <w:bottom w:val="single" w:color="auto" w:sz="4" w:space="0"/>
        <w:right w:val="single" w:color="auto" w:sz="4" w:space="0"/>
      </w:pBdr>
      <w:shd w:val="clear" w:color="auto" w:fill="FFFF00"/>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53">
    <w:name w:val="xl113"/>
    <w:basedOn w:val="1"/>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54">
    <w:name w:val="xl114"/>
    <w:basedOn w:val="1"/>
    <w:qFormat/>
    <w:uiPriority w:val="0"/>
    <w:pPr>
      <w:widowControl/>
      <w:pBdr>
        <w:top w:val="single" w:color="auto" w:sz="4" w:space="0"/>
        <w:left w:val="single" w:color="auto" w:sz="4" w:space="0"/>
        <w:bottom w:val="single" w:color="auto" w:sz="4" w:space="0"/>
        <w:right w:val="single" w:color="auto" w:sz="4" w:space="0"/>
      </w:pBdr>
      <w:shd w:val="clear" w:color="auto" w:fill="3366FF"/>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55">
    <w:name w:val="xl115"/>
    <w:basedOn w:val="1"/>
    <w:qFormat/>
    <w:uiPriority w:val="0"/>
    <w:pPr>
      <w:widowControl/>
      <w:pBdr>
        <w:top w:val="single" w:color="auto" w:sz="4" w:space="0"/>
        <w:left w:val="single" w:color="auto" w:sz="4" w:space="0"/>
        <w:bottom w:val="single" w:color="auto" w:sz="4" w:space="0"/>
        <w:right w:val="single" w:color="auto" w:sz="4" w:space="0"/>
      </w:pBdr>
      <w:shd w:val="clear" w:color="auto" w:fill="FF99CC"/>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56">
    <w:name w:val="xl116"/>
    <w:basedOn w:val="1"/>
    <w:qFormat/>
    <w:uiPriority w:val="0"/>
    <w:pPr>
      <w:widowControl/>
      <w:pBdr>
        <w:top w:val="single" w:color="auto" w:sz="4" w:space="0"/>
        <w:left w:val="single" w:color="auto" w:sz="4" w:space="0"/>
        <w:bottom w:val="single" w:color="auto" w:sz="4" w:space="0"/>
        <w:right w:val="single" w:color="auto" w:sz="4" w:space="0"/>
      </w:pBdr>
      <w:shd w:val="clear" w:color="auto" w:fill="CCFFCC"/>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57">
    <w:name w:val="xl117"/>
    <w:basedOn w:val="1"/>
    <w:qFormat/>
    <w:uiPriority w:val="0"/>
    <w:pPr>
      <w:widowControl/>
      <w:pBdr>
        <w:top w:val="single" w:color="auto" w:sz="4" w:space="0"/>
        <w:left w:val="single" w:color="auto" w:sz="4" w:space="0"/>
        <w:bottom w:val="single" w:color="auto" w:sz="4" w:space="0"/>
        <w:right w:val="single" w:color="auto" w:sz="4" w:space="0"/>
      </w:pBdr>
      <w:shd w:val="clear" w:color="auto" w:fill="CC99FF"/>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58">
    <w:name w:val="xl118"/>
    <w:basedOn w:val="1"/>
    <w:qFormat/>
    <w:uiPriority w:val="0"/>
    <w:pPr>
      <w:widowControl/>
      <w:pBdr>
        <w:top w:val="single" w:color="auto" w:sz="4" w:space="0"/>
        <w:left w:val="single" w:color="auto" w:sz="4" w:space="0"/>
        <w:bottom w:val="single" w:color="auto" w:sz="4" w:space="0"/>
        <w:right w:val="single" w:color="auto" w:sz="4" w:space="0"/>
      </w:pBdr>
      <w:shd w:val="clear" w:color="auto" w:fill="FFFF99"/>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59">
    <w:name w:val="xl11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60">
    <w:name w:val="xl120"/>
    <w:basedOn w:val="1"/>
    <w:qFormat/>
    <w:uiPriority w:val="0"/>
    <w:pPr>
      <w:widowControl/>
      <w:pBdr>
        <w:top w:val="single" w:color="auto" w:sz="4" w:space="0"/>
        <w:left w:val="single" w:color="auto" w:sz="4" w:space="0"/>
        <w:bottom w:val="single" w:color="auto" w:sz="4" w:space="0"/>
        <w:right w:val="single" w:color="auto" w:sz="4" w:space="0"/>
      </w:pBdr>
      <w:shd w:val="clear" w:color="auto" w:fill="99CCFF"/>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61">
    <w:name w:val="xl121"/>
    <w:basedOn w:val="1"/>
    <w:qFormat/>
    <w:uiPriority w:val="0"/>
    <w:pPr>
      <w:widowControl/>
      <w:pBdr>
        <w:top w:val="single" w:color="auto" w:sz="4" w:space="0"/>
        <w:left w:val="single" w:color="auto" w:sz="4" w:space="0"/>
        <w:bottom w:val="single" w:color="auto" w:sz="4" w:space="0"/>
        <w:right w:val="single" w:color="auto" w:sz="4" w:space="0"/>
      </w:pBdr>
      <w:shd w:val="clear" w:color="auto" w:fill="00FF00"/>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62">
    <w:name w:val="xl122"/>
    <w:basedOn w:val="1"/>
    <w:qFormat/>
    <w:uiPriority w:val="0"/>
    <w:pPr>
      <w:widowControl/>
      <w:pBdr>
        <w:top w:val="single" w:color="auto" w:sz="4" w:space="0"/>
        <w:left w:val="single" w:color="auto" w:sz="4" w:space="0"/>
        <w:bottom w:val="single" w:color="auto" w:sz="4" w:space="0"/>
        <w:right w:val="single" w:color="auto" w:sz="4" w:space="0"/>
      </w:pBdr>
      <w:shd w:val="clear" w:color="auto" w:fill="33CCCC"/>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63">
    <w:name w:val="xl123"/>
    <w:basedOn w:val="1"/>
    <w:qFormat/>
    <w:uiPriority w:val="0"/>
    <w:pPr>
      <w:widowControl/>
      <w:pBdr>
        <w:top w:val="single" w:color="auto" w:sz="4" w:space="0"/>
        <w:left w:val="single" w:color="auto" w:sz="4" w:space="0"/>
        <w:bottom w:val="single" w:color="auto" w:sz="4" w:space="0"/>
        <w:right w:val="single" w:color="auto" w:sz="4" w:space="0"/>
      </w:pBdr>
      <w:shd w:val="clear" w:color="auto" w:fill="FF00FF"/>
      <w:spacing w:before="100" w:beforeAutospacing="1" w:after="100" w:afterAutospacing="1" w:line="240" w:lineRule="auto"/>
      <w:jc w:val="center"/>
      <w:textAlignment w:val="center"/>
    </w:pPr>
    <w:rPr>
      <w:kern w:val="0"/>
      <w:sz w:val="20"/>
      <w:szCs w:val="20"/>
    </w:rPr>
  </w:style>
  <w:style w:type="paragraph" w:customStyle="1" w:styleId="264">
    <w:name w:val="xl12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kern w:val="0"/>
      <w:sz w:val="20"/>
      <w:szCs w:val="20"/>
    </w:rPr>
  </w:style>
  <w:style w:type="paragraph" w:customStyle="1" w:styleId="265">
    <w:name w:val="xl125"/>
    <w:basedOn w:val="1"/>
    <w:qFormat/>
    <w:uiPriority w:val="0"/>
    <w:pPr>
      <w:widowControl/>
      <w:pBdr>
        <w:top w:val="single" w:color="auto" w:sz="4" w:space="0"/>
        <w:left w:val="single" w:color="auto" w:sz="4" w:space="0"/>
        <w:bottom w:val="single" w:color="auto" w:sz="4" w:space="0"/>
        <w:right w:val="single" w:color="auto" w:sz="4" w:space="0"/>
      </w:pBdr>
      <w:shd w:val="clear" w:color="auto" w:fill="99CC00"/>
      <w:spacing w:before="100" w:beforeAutospacing="1" w:after="100" w:afterAutospacing="1" w:line="240" w:lineRule="auto"/>
      <w:jc w:val="center"/>
      <w:textAlignment w:val="center"/>
    </w:pPr>
    <w:rPr>
      <w:kern w:val="0"/>
      <w:sz w:val="20"/>
      <w:szCs w:val="20"/>
    </w:rPr>
  </w:style>
  <w:style w:type="paragraph" w:customStyle="1" w:styleId="266">
    <w:name w:val="xl126"/>
    <w:basedOn w:val="1"/>
    <w:qFormat/>
    <w:uiPriority w:val="0"/>
    <w:pPr>
      <w:widowControl/>
      <w:pBdr>
        <w:top w:val="single" w:color="auto" w:sz="4" w:space="0"/>
        <w:left w:val="single" w:color="auto" w:sz="4" w:space="0"/>
        <w:bottom w:val="single" w:color="auto" w:sz="4" w:space="0"/>
        <w:right w:val="single" w:color="auto" w:sz="4" w:space="0"/>
      </w:pBdr>
      <w:shd w:val="clear" w:color="auto" w:fill="00FFFF"/>
      <w:spacing w:before="100" w:beforeAutospacing="1" w:after="100" w:afterAutospacing="1" w:line="240" w:lineRule="auto"/>
      <w:jc w:val="center"/>
      <w:textAlignment w:val="center"/>
    </w:pPr>
    <w:rPr>
      <w:kern w:val="0"/>
      <w:sz w:val="20"/>
      <w:szCs w:val="20"/>
    </w:rPr>
  </w:style>
  <w:style w:type="paragraph" w:customStyle="1" w:styleId="267">
    <w:name w:val="xl127"/>
    <w:basedOn w:val="1"/>
    <w:qFormat/>
    <w:uiPriority w:val="0"/>
    <w:pPr>
      <w:widowControl/>
      <w:pBdr>
        <w:top w:val="single" w:color="auto" w:sz="4" w:space="0"/>
        <w:left w:val="single" w:color="auto" w:sz="4" w:space="0"/>
        <w:bottom w:val="single" w:color="auto" w:sz="4" w:space="0"/>
        <w:right w:val="single" w:color="auto" w:sz="4" w:space="0"/>
      </w:pBdr>
      <w:shd w:val="clear" w:color="auto" w:fill="FFCC99"/>
      <w:spacing w:before="100" w:beforeAutospacing="1" w:after="100" w:afterAutospacing="1" w:line="240" w:lineRule="auto"/>
      <w:jc w:val="center"/>
      <w:textAlignment w:val="center"/>
    </w:pPr>
    <w:rPr>
      <w:kern w:val="0"/>
      <w:sz w:val="20"/>
      <w:szCs w:val="20"/>
    </w:rPr>
  </w:style>
  <w:style w:type="paragraph" w:customStyle="1" w:styleId="268">
    <w:name w:val="xl128"/>
    <w:basedOn w:val="1"/>
    <w:qFormat/>
    <w:uiPriority w:val="0"/>
    <w:pPr>
      <w:widowControl/>
      <w:pBdr>
        <w:top w:val="single" w:color="auto" w:sz="4" w:space="0"/>
        <w:left w:val="single" w:color="auto" w:sz="4" w:space="0"/>
        <w:bottom w:val="single" w:color="auto" w:sz="4" w:space="0"/>
        <w:right w:val="single" w:color="auto" w:sz="4" w:space="0"/>
      </w:pBdr>
      <w:shd w:val="clear" w:color="auto" w:fill="CC99FF"/>
      <w:spacing w:before="100" w:beforeAutospacing="1" w:after="100" w:afterAutospacing="1" w:line="240" w:lineRule="auto"/>
      <w:jc w:val="center"/>
      <w:textAlignment w:val="center"/>
    </w:pPr>
    <w:rPr>
      <w:kern w:val="0"/>
      <w:sz w:val="20"/>
      <w:szCs w:val="20"/>
    </w:rPr>
  </w:style>
  <w:style w:type="paragraph" w:customStyle="1" w:styleId="269">
    <w:name w:val="xl129"/>
    <w:basedOn w:val="1"/>
    <w:qFormat/>
    <w:uiPriority w:val="0"/>
    <w:pPr>
      <w:widowControl/>
      <w:pBdr>
        <w:top w:val="single" w:color="auto" w:sz="4" w:space="0"/>
        <w:left w:val="single" w:color="auto" w:sz="4" w:space="0"/>
        <w:bottom w:val="single" w:color="auto" w:sz="4" w:space="0"/>
        <w:right w:val="single" w:color="auto" w:sz="4" w:space="0"/>
      </w:pBdr>
      <w:shd w:val="clear" w:color="auto" w:fill="FFFF99"/>
      <w:spacing w:before="100" w:beforeAutospacing="1" w:after="100" w:afterAutospacing="1" w:line="240" w:lineRule="auto"/>
      <w:jc w:val="center"/>
      <w:textAlignment w:val="center"/>
    </w:pPr>
    <w:rPr>
      <w:kern w:val="0"/>
      <w:sz w:val="20"/>
      <w:szCs w:val="20"/>
    </w:rPr>
  </w:style>
  <w:style w:type="paragraph" w:customStyle="1" w:styleId="270">
    <w:name w:val="xl130"/>
    <w:basedOn w:val="1"/>
    <w:qFormat/>
    <w:uiPriority w:val="0"/>
    <w:pPr>
      <w:widowControl/>
      <w:pBdr>
        <w:top w:val="single" w:color="auto" w:sz="4" w:space="0"/>
        <w:left w:val="single" w:color="auto" w:sz="4" w:space="0"/>
        <w:bottom w:val="single" w:color="auto" w:sz="4" w:space="0"/>
        <w:right w:val="single" w:color="auto" w:sz="4" w:space="0"/>
      </w:pBdr>
      <w:shd w:val="clear" w:color="auto" w:fill="99CCFF"/>
      <w:spacing w:before="100" w:beforeAutospacing="1" w:after="100" w:afterAutospacing="1" w:line="240" w:lineRule="auto"/>
      <w:jc w:val="center"/>
      <w:textAlignment w:val="center"/>
    </w:pPr>
    <w:rPr>
      <w:kern w:val="0"/>
      <w:sz w:val="20"/>
      <w:szCs w:val="20"/>
    </w:rPr>
  </w:style>
  <w:style w:type="paragraph" w:customStyle="1" w:styleId="271">
    <w:name w:val="xl131"/>
    <w:basedOn w:val="1"/>
    <w:qFormat/>
    <w:uiPriority w:val="0"/>
    <w:pPr>
      <w:widowControl/>
      <w:pBdr>
        <w:top w:val="single" w:color="auto" w:sz="4" w:space="0"/>
        <w:left w:val="single" w:color="auto" w:sz="4" w:space="0"/>
        <w:bottom w:val="single" w:color="auto" w:sz="4" w:space="0"/>
        <w:right w:val="single" w:color="auto" w:sz="4" w:space="0"/>
      </w:pBdr>
      <w:shd w:val="clear" w:color="auto" w:fill="00FF00"/>
      <w:spacing w:before="100" w:beforeAutospacing="1" w:after="100" w:afterAutospacing="1" w:line="240" w:lineRule="auto"/>
      <w:jc w:val="center"/>
      <w:textAlignment w:val="center"/>
    </w:pPr>
    <w:rPr>
      <w:kern w:val="0"/>
      <w:sz w:val="20"/>
      <w:szCs w:val="20"/>
    </w:rPr>
  </w:style>
  <w:style w:type="paragraph" w:customStyle="1" w:styleId="272">
    <w:name w:val="xl132"/>
    <w:basedOn w:val="1"/>
    <w:qFormat/>
    <w:uiPriority w:val="0"/>
    <w:pPr>
      <w:widowControl/>
      <w:pBdr>
        <w:top w:val="single" w:color="auto" w:sz="4" w:space="0"/>
        <w:left w:val="single" w:color="auto" w:sz="4" w:space="0"/>
        <w:bottom w:val="single" w:color="auto" w:sz="4" w:space="0"/>
        <w:right w:val="single" w:color="auto" w:sz="4" w:space="0"/>
      </w:pBdr>
      <w:shd w:val="clear" w:color="auto" w:fill="FF99CC"/>
      <w:spacing w:before="100" w:beforeAutospacing="1" w:after="100" w:afterAutospacing="1" w:line="240" w:lineRule="auto"/>
      <w:jc w:val="center"/>
      <w:textAlignment w:val="center"/>
    </w:pPr>
    <w:rPr>
      <w:kern w:val="0"/>
      <w:sz w:val="20"/>
      <w:szCs w:val="20"/>
    </w:rPr>
  </w:style>
  <w:style w:type="paragraph" w:customStyle="1" w:styleId="273">
    <w:name w:val="xl133"/>
    <w:basedOn w:val="1"/>
    <w:qFormat/>
    <w:uiPriority w:val="0"/>
    <w:pPr>
      <w:widowControl/>
      <w:pBdr>
        <w:top w:val="single" w:color="auto" w:sz="4" w:space="0"/>
        <w:left w:val="single" w:color="auto" w:sz="4" w:space="0"/>
        <w:bottom w:val="single" w:color="auto" w:sz="4" w:space="0"/>
        <w:right w:val="single" w:color="auto" w:sz="4" w:space="0"/>
      </w:pBdr>
      <w:shd w:val="clear" w:color="auto" w:fill="CCFFCC"/>
      <w:spacing w:before="100" w:beforeAutospacing="1" w:after="100" w:afterAutospacing="1" w:line="240" w:lineRule="auto"/>
      <w:jc w:val="center"/>
      <w:textAlignment w:val="center"/>
    </w:pPr>
    <w:rPr>
      <w:kern w:val="0"/>
      <w:sz w:val="20"/>
      <w:szCs w:val="20"/>
    </w:rPr>
  </w:style>
  <w:style w:type="paragraph" w:customStyle="1" w:styleId="274">
    <w:name w:val="xl134"/>
    <w:basedOn w:val="1"/>
    <w:qFormat/>
    <w:uiPriority w:val="0"/>
    <w:pPr>
      <w:widowControl/>
      <w:pBdr>
        <w:top w:val="single" w:color="auto" w:sz="4" w:space="0"/>
        <w:left w:val="single" w:color="auto" w:sz="4" w:space="0"/>
        <w:bottom w:val="single" w:color="auto" w:sz="4" w:space="0"/>
        <w:right w:val="single" w:color="auto" w:sz="4" w:space="0"/>
      </w:pBdr>
      <w:shd w:val="clear" w:color="auto" w:fill="33CCCC"/>
      <w:spacing w:before="100" w:beforeAutospacing="1" w:after="100" w:afterAutospacing="1" w:line="240" w:lineRule="auto"/>
      <w:jc w:val="center"/>
      <w:textAlignment w:val="center"/>
    </w:pPr>
    <w:rPr>
      <w:kern w:val="0"/>
      <w:sz w:val="20"/>
      <w:szCs w:val="20"/>
    </w:rPr>
  </w:style>
  <w:style w:type="paragraph" w:customStyle="1" w:styleId="275">
    <w:name w:val="xl135"/>
    <w:basedOn w:val="1"/>
    <w:qFormat/>
    <w:uiPriority w:val="0"/>
    <w:pPr>
      <w:widowControl/>
      <w:pBdr>
        <w:top w:val="single" w:color="auto" w:sz="4" w:space="0"/>
        <w:left w:val="single" w:color="auto" w:sz="4" w:space="0"/>
        <w:bottom w:val="single" w:color="auto" w:sz="4" w:space="0"/>
        <w:right w:val="single" w:color="auto" w:sz="4" w:space="0"/>
      </w:pBdr>
      <w:shd w:val="clear" w:color="auto" w:fill="00FFFF"/>
      <w:spacing w:before="100" w:beforeAutospacing="1" w:after="100" w:afterAutospacing="1" w:line="240" w:lineRule="auto"/>
      <w:jc w:val="left"/>
    </w:pPr>
    <w:rPr>
      <w:rFonts w:ascii="宋体" w:hAnsi="宋体" w:cs="宋体"/>
      <w:kern w:val="0"/>
      <w:sz w:val="20"/>
      <w:szCs w:val="20"/>
    </w:rPr>
  </w:style>
  <w:style w:type="paragraph" w:customStyle="1" w:styleId="276">
    <w:name w:val="xl136"/>
    <w:basedOn w:val="1"/>
    <w:qFormat/>
    <w:uiPriority w:val="0"/>
    <w:pPr>
      <w:widowControl/>
      <w:pBdr>
        <w:left w:val="single" w:color="auto" w:sz="4" w:space="0"/>
        <w:right w:val="single" w:color="auto" w:sz="4" w:space="0"/>
      </w:pBdr>
      <w:spacing w:before="100" w:beforeAutospacing="1" w:after="100" w:afterAutospacing="1" w:line="240" w:lineRule="auto"/>
      <w:jc w:val="center"/>
      <w:textAlignment w:val="center"/>
    </w:pPr>
    <w:rPr>
      <w:rFonts w:ascii="宋体" w:hAnsi="宋体" w:cs="宋体"/>
      <w:color w:val="000000"/>
      <w:kern w:val="0"/>
      <w:sz w:val="20"/>
      <w:szCs w:val="20"/>
    </w:rPr>
  </w:style>
  <w:style w:type="paragraph" w:customStyle="1" w:styleId="277">
    <w:name w:val="xl137"/>
    <w:basedOn w:val="1"/>
    <w:qFormat/>
    <w:uiPriority w:val="0"/>
    <w:pPr>
      <w:widowControl/>
      <w:pBdr>
        <w:top w:val="single" w:color="auto" w:sz="4" w:space="0"/>
        <w:left w:val="single" w:color="auto" w:sz="4" w:space="0"/>
        <w:bottom w:val="single" w:color="auto" w:sz="4" w:space="0"/>
        <w:right w:val="single" w:color="auto" w:sz="4" w:space="0"/>
      </w:pBdr>
      <w:shd w:val="clear" w:color="auto" w:fill="00FFFF"/>
      <w:spacing w:before="100" w:beforeAutospacing="1" w:after="100" w:afterAutospacing="1" w:line="240" w:lineRule="auto"/>
      <w:jc w:val="right"/>
    </w:pPr>
    <w:rPr>
      <w:rFonts w:ascii="宋体" w:hAnsi="宋体" w:cs="宋体"/>
      <w:kern w:val="0"/>
      <w:sz w:val="20"/>
      <w:szCs w:val="20"/>
    </w:rPr>
  </w:style>
  <w:style w:type="paragraph" w:customStyle="1" w:styleId="278">
    <w:name w:val="xl138"/>
    <w:basedOn w:val="1"/>
    <w:qFormat/>
    <w:uiPriority w:val="0"/>
    <w:pPr>
      <w:widowControl/>
      <w:pBdr>
        <w:top w:val="single" w:color="auto" w:sz="4" w:space="0"/>
        <w:left w:val="single" w:color="auto" w:sz="4" w:space="0"/>
        <w:bottom w:val="single" w:color="auto" w:sz="4" w:space="0"/>
        <w:right w:val="single" w:color="auto" w:sz="4" w:space="0"/>
      </w:pBdr>
      <w:shd w:val="clear" w:color="auto" w:fill="FF00FF"/>
      <w:spacing w:before="100" w:beforeAutospacing="1" w:after="100" w:afterAutospacing="1" w:line="240" w:lineRule="auto"/>
      <w:jc w:val="left"/>
    </w:pPr>
    <w:rPr>
      <w:rFonts w:ascii="宋体" w:hAnsi="宋体" w:cs="宋体"/>
      <w:kern w:val="0"/>
      <w:sz w:val="20"/>
      <w:szCs w:val="20"/>
    </w:rPr>
  </w:style>
  <w:style w:type="paragraph" w:customStyle="1" w:styleId="279">
    <w:name w:val="xl139"/>
    <w:basedOn w:val="1"/>
    <w:qFormat/>
    <w:uiPriority w:val="0"/>
    <w:pPr>
      <w:widowControl/>
      <w:pBdr>
        <w:top w:val="single" w:color="auto" w:sz="4" w:space="0"/>
        <w:left w:val="single" w:color="auto" w:sz="4" w:space="0"/>
        <w:bottom w:val="single" w:color="auto" w:sz="4" w:space="0"/>
        <w:right w:val="single" w:color="auto" w:sz="4" w:space="0"/>
      </w:pBdr>
      <w:shd w:val="clear" w:color="auto" w:fill="FF00FF"/>
      <w:spacing w:before="100" w:beforeAutospacing="1" w:after="100" w:afterAutospacing="1" w:line="240" w:lineRule="auto"/>
      <w:jc w:val="right"/>
    </w:pPr>
    <w:rPr>
      <w:rFonts w:ascii="宋体" w:hAnsi="宋体" w:cs="宋体"/>
      <w:kern w:val="0"/>
      <w:sz w:val="20"/>
      <w:szCs w:val="20"/>
    </w:rPr>
  </w:style>
  <w:style w:type="paragraph" w:customStyle="1" w:styleId="280">
    <w:name w:val="xl140"/>
    <w:basedOn w:val="1"/>
    <w:qFormat/>
    <w:uiPriority w:val="0"/>
    <w:pPr>
      <w:widowControl/>
      <w:pBdr>
        <w:top w:val="single" w:color="auto" w:sz="4" w:space="0"/>
        <w:left w:val="single" w:color="auto" w:sz="4" w:space="0"/>
        <w:bottom w:val="single" w:color="auto" w:sz="4" w:space="0"/>
        <w:right w:val="single" w:color="auto" w:sz="4" w:space="0"/>
      </w:pBdr>
      <w:shd w:val="clear" w:color="auto" w:fill="99CC00"/>
      <w:spacing w:before="100" w:beforeAutospacing="1" w:after="100" w:afterAutospacing="1" w:line="240" w:lineRule="auto"/>
      <w:jc w:val="center"/>
      <w:textAlignment w:val="center"/>
    </w:pPr>
    <w:rPr>
      <w:rFonts w:ascii="宋体" w:hAnsi="宋体" w:cs="宋体"/>
      <w:color w:val="000000"/>
      <w:kern w:val="0"/>
      <w:sz w:val="20"/>
      <w:szCs w:val="20"/>
    </w:rPr>
  </w:style>
  <w:style w:type="paragraph" w:customStyle="1" w:styleId="281">
    <w:name w:val="xl141"/>
    <w:basedOn w:val="1"/>
    <w:qFormat/>
    <w:uiPriority w:val="0"/>
    <w:pPr>
      <w:widowControl/>
      <w:pBdr>
        <w:top w:val="single" w:color="auto" w:sz="4" w:space="0"/>
        <w:left w:val="single" w:color="auto" w:sz="4" w:space="0"/>
        <w:bottom w:val="single" w:color="auto" w:sz="4" w:space="0"/>
        <w:right w:val="single" w:color="auto" w:sz="4" w:space="0"/>
      </w:pBdr>
      <w:shd w:val="clear" w:color="auto" w:fill="99CC00"/>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82">
    <w:name w:val="xl142"/>
    <w:basedOn w:val="1"/>
    <w:qFormat/>
    <w:uiPriority w:val="0"/>
    <w:pPr>
      <w:widowControl/>
      <w:pBdr>
        <w:top w:val="single" w:color="auto" w:sz="4" w:space="0"/>
        <w:left w:val="single" w:color="auto" w:sz="4" w:space="0"/>
        <w:bottom w:val="single" w:color="auto" w:sz="4" w:space="0"/>
        <w:right w:val="single" w:color="auto" w:sz="4" w:space="0"/>
      </w:pBdr>
      <w:shd w:val="clear" w:color="auto" w:fill="99CC00"/>
      <w:spacing w:before="100" w:beforeAutospacing="1" w:after="100" w:afterAutospacing="1" w:line="240" w:lineRule="auto"/>
      <w:jc w:val="right"/>
    </w:pPr>
    <w:rPr>
      <w:rFonts w:ascii="宋体" w:hAnsi="宋体" w:cs="宋体"/>
      <w:kern w:val="0"/>
      <w:sz w:val="20"/>
      <w:szCs w:val="20"/>
    </w:rPr>
  </w:style>
  <w:style w:type="paragraph" w:customStyle="1" w:styleId="283">
    <w:name w:val="xl143"/>
    <w:basedOn w:val="1"/>
    <w:qFormat/>
    <w:uiPriority w:val="0"/>
    <w:pPr>
      <w:widowControl/>
      <w:pBdr>
        <w:top w:val="single" w:color="auto" w:sz="4" w:space="0"/>
        <w:left w:val="single" w:color="auto" w:sz="4" w:space="0"/>
        <w:bottom w:val="single" w:color="auto" w:sz="4" w:space="0"/>
        <w:right w:val="single" w:color="auto" w:sz="4" w:space="0"/>
      </w:pBdr>
      <w:shd w:val="clear" w:color="auto" w:fill="99CC00"/>
      <w:spacing w:before="100" w:beforeAutospacing="1" w:after="100" w:afterAutospacing="1" w:line="240" w:lineRule="auto"/>
      <w:jc w:val="left"/>
    </w:pPr>
    <w:rPr>
      <w:rFonts w:ascii="宋体" w:hAnsi="宋体" w:cs="宋体"/>
      <w:kern w:val="0"/>
      <w:sz w:val="20"/>
      <w:szCs w:val="20"/>
    </w:rPr>
  </w:style>
  <w:style w:type="paragraph" w:customStyle="1" w:styleId="284">
    <w:name w:val="xl144"/>
    <w:basedOn w:val="1"/>
    <w:qFormat/>
    <w:uiPriority w:val="0"/>
    <w:pPr>
      <w:widowControl/>
      <w:pBdr>
        <w:top w:val="single" w:color="auto" w:sz="4" w:space="0"/>
        <w:left w:val="single" w:color="auto" w:sz="4" w:space="0"/>
        <w:right w:val="single" w:color="auto" w:sz="4" w:space="0"/>
      </w:pBdr>
      <w:shd w:val="clear" w:color="auto" w:fill="FF0000"/>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85">
    <w:name w:val="xl145"/>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86">
    <w:name w:val="xl146"/>
    <w:basedOn w:val="1"/>
    <w:qFormat/>
    <w:uiPriority w:val="0"/>
    <w:pPr>
      <w:widowControl/>
      <w:pBdr>
        <w:left w:val="single" w:color="auto" w:sz="4" w:space="0"/>
        <w:bottom w:val="single" w:color="auto" w:sz="4" w:space="0"/>
        <w:right w:val="single" w:color="auto" w:sz="4" w:space="0"/>
      </w:pBdr>
      <w:shd w:val="clear" w:color="auto" w:fill="00FFFF"/>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87">
    <w:name w:val="xl147"/>
    <w:basedOn w:val="1"/>
    <w:qFormat/>
    <w:uiPriority w:val="0"/>
    <w:pPr>
      <w:widowControl/>
      <w:pBdr>
        <w:top w:val="single" w:color="auto" w:sz="4" w:space="0"/>
        <w:left w:val="single" w:color="auto" w:sz="4" w:space="0"/>
        <w:right w:val="single" w:color="auto" w:sz="4" w:space="0"/>
      </w:pBdr>
      <w:shd w:val="clear" w:color="auto" w:fill="FFCC99"/>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88">
    <w:name w:val="xl148"/>
    <w:basedOn w:val="1"/>
    <w:qFormat/>
    <w:uiPriority w:val="0"/>
    <w:pPr>
      <w:widowControl/>
      <w:pBdr>
        <w:left w:val="single" w:color="auto" w:sz="4" w:space="0"/>
        <w:right w:val="single" w:color="auto" w:sz="4" w:space="0"/>
      </w:pBdr>
      <w:shd w:val="clear" w:color="auto" w:fill="FFCC99"/>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89">
    <w:name w:val="xl149"/>
    <w:basedOn w:val="1"/>
    <w:qFormat/>
    <w:uiPriority w:val="0"/>
    <w:pPr>
      <w:widowControl/>
      <w:pBdr>
        <w:left w:val="single" w:color="auto" w:sz="4" w:space="0"/>
        <w:bottom w:val="single" w:color="auto" w:sz="4" w:space="0"/>
        <w:right w:val="single" w:color="auto" w:sz="4" w:space="0"/>
      </w:pBdr>
      <w:shd w:val="clear" w:color="auto" w:fill="FFCC99"/>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90">
    <w:name w:val="xl150"/>
    <w:basedOn w:val="1"/>
    <w:qFormat/>
    <w:uiPriority w:val="0"/>
    <w:pPr>
      <w:widowControl/>
      <w:pBdr>
        <w:top w:val="single" w:color="auto" w:sz="4" w:space="0"/>
        <w:left w:val="single" w:color="auto" w:sz="4" w:space="0"/>
        <w:right w:val="single" w:color="auto" w:sz="4" w:space="0"/>
      </w:pBdr>
      <w:shd w:val="clear" w:color="auto" w:fill="FF0000"/>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91">
    <w:name w:val="xl151"/>
    <w:basedOn w:val="1"/>
    <w:qFormat/>
    <w:uiPriority w:val="0"/>
    <w:pPr>
      <w:widowControl/>
      <w:pBdr>
        <w:left w:val="single" w:color="auto" w:sz="4" w:space="0"/>
        <w:bottom w:val="single" w:color="auto" w:sz="4" w:space="0"/>
        <w:right w:val="single" w:color="auto" w:sz="4" w:space="0"/>
      </w:pBdr>
      <w:shd w:val="clear" w:color="auto" w:fill="FF0000"/>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92">
    <w:name w:val="xl152"/>
    <w:basedOn w:val="1"/>
    <w:qFormat/>
    <w:uiPriority w:val="0"/>
    <w:pPr>
      <w:widowControl/>
      <w:pBdr>
        <w:top w:val="single" w:color="auto" w:sz="4" w:space="0"/>
        <w:left w:val="single" w:color="auto" w:sz="4" w:space="0"/>
        <w:right w:val="single" w:color="auto" w:sz="4" w:space="0"/>
      </w:pBdr>
      <w:shd w:val="clear" w:color="auto" w:fill="FF00FF"/>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93">
    <w:name w:val="xl153"/>
    <w:basedOn w:val="1"/>
    <w:qFormat/>
    <w:uiPriority w:val="0"/>
    <w:pPr>
      <w:widowControl/>
      <w:pBdr>
        <w:left w:val="single" w:color="auto" w:sz="4" w:space="0"/>
        <w:right w:val="single" w:color="auto" w:sz="4" w:space="0"/>
      </w:pBdr>
      <w:shd w:val="clear" w:color="auto" w:fill="FF00FF"/>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94">
    <w:name w:val="xl154"/>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jc w:val="center"/>
      <w:textAlignment w:val="center"/>
    </w:pPr>
    <w:rPr>
      <w:rFonts w:ascii="宋体" w:hAnsi="宋体" w:cs="宋体"/>
      <w:color w:val="000000"/>
      <w:kern w:val="0"/>
      <w:sz w:val="20"/>
      <w:szCs w:val="20"/>
    </w:rPr>
  </w:style>
  <w:style w:type="paragraph" w:customStyle="1" w:styleId="295">
    <w:name w:val="xl155"/>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宋体" w:hAnsi="宋体" w:cs="宋体"/>
      <w:color w:val="000000"/>
      <w:kern w:val="0"/>
      <w:sz w:val="20"/>
      <w:szCs w:val="20"/>
    </w:rPr>
  </w:style>
  <w:style w:type="paragraph" w:customStyle="1" w:styleId="296">
    <w:name w:val="xl156"/>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97">
    <w:name w:val="xl157"/>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98">
    <w:name w:val="xl158"/>
    <w:basedOn w:val="1"/>
    <w:qFormat/>
    <w:uiPriority w:val="0"/>
    <w:pPr>
      <w:widowControl/>
      <w:pBdr>
        <w:top w:val="single" w:color="auto" w:sz="4" w:space="0"/>
        <w:left w:val="single" w:color="auto" w:sz="4" w:space="0"/>
        <w:right w:val="single" w:color="auto" w:sz="4" w:space="0"/>
      </w:pBdr>
      <w:shd w:val="clear" w:color="auto" w:fill="00FFFF"/>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299">
    <w:name w:val="xl159"/>
    <w:basedOn w:val="1"/>
    <w:qFormat/>
    <w:uiPriority w:val="0"/>
    <w:pPr>
      <w:widowControl/>
      <w:pBdr>
        <w:left w:val="single" w:color="auto" w:sz="4" w:space="0"/>
        <w:bottom w:val="single" w:color="auto" w:sz="4" w:space="0"/>
        <w:right w:val="single" w:color="auto" w:sz="4" w:space="0"/>
      </w:pBdr>
      <w:shd w:val="clear" w:color="auto" w:fill="FF00FF"/>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300">
    <w:name w:val="xl160"/>
    <w:basedOn w:val="1"/>
    <w:qFormat/>
    <w:uiPriority w:val="0"/>
    <w:pPr>
      <w:widowControl/>
      <w:pBdr>
        <w:top w:val="single" w:color="auto" w:sz="4" w:space="0"/>
        <w:left w:val="single" w:color="auto" w:sz="4" w:space="0"/>
        <w:right w:val="single" w:color="auto" w:sz="4" w:space="0"/>
      </w:pBdr>
      <w:shd w:val="clear" w:color="auto" w:fill="99CC00"/>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301">
    <w:name w:val="xl161"/>
    <w:basedOn w:val="1"/>
    <w:qFormat/>
    <w:uiPriority w:val="0"/>
    <w:pPr>
      <w:widowControl/>
      <w:pBdr>
        <w:left w:val="single" w:color="auto" w:sz="4" w:space="0"/>
        <w:right w:val="single" w:color="auto" w:sz="4" w:space="0"/>
      </w:pBdr>
      <w:shd w:val="clear" w:color="auto" w:fill="99CC00"/>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302">
    <w:name w:val="xl162"/>
    <w:basedOn w:val="1"/>
    <w:qFormat/>
    <w:uiPriority w:val="0"/>
    <w:pPr>
      <w:widowControl/>
      <w:pBdr>
        <w:left w:val="single" w:color="auto" w:sz="4" w:space="0"/>
        <w:bottom w:val="single" w:color="auto" w:sz="4" w:space="0"/>
        <w:right w:val="single" w:color="auto" w:sz="4" w:space="0"/>
      </w:pBdr>
      <w:shd w:val="clear" w:color="auto" w:fill="99CC00"/>
      <w:spacing w:before="100" w:beforeAutospacing="1" w:after="100" w:afterAutospacing="1" w:line="240" w:lineRule="auto"/>
      <w:jc w:val="center"/>
      <w:textAlignment w:val="center"/>
    </w:pPr>
    <w:rPr>
      <w:rFonts w:ascii="宋体" w:hAnsi="宋体" w:cs="宋体"/>
      <w:kern w:val="0"/>
      <w:sz w:val="20"/>
      <w:szCs w:val="20"/>
    </w:rPr>
  </w:style>
  <w:style w:type="paragraph" w:customStyle="1" w:styleId="303">
    <w:name w:val="图标题"/>
    <w:basedOn w:val="1"/>
    <w:qFormat/>
    <w:uiPriority w:val="0"/>
    <w:pPr>
      <w:keepLines/>
      <w:widowControl/>
      <w:spacing w:line="240" w:lineRule="auto"/>
      <w:jc w:val="center"/>
      <w:outlineLvl w:val="4"/>
    </w:pPr>
    <w:rPr>
      <w:b/>
      <w:kern w:val="0"/>
      <w:sz w:val="21"/>
      <w:szCs w:val="21"/>
      <w:lang w:bidi="en-US"/>
    </w:rPr>
  </w:style>
  <w:style w:type="paragraph" w:customStyle="1" w:styleId="304">
    <w:name w:val="样式 文本正文 + 首行缩进:  2 字符1"/>
    <w:basedOn w:val="150"/>
    <w:next w:val="150"/>
    <w:qFormat/>
    <w:uiPriority w:val="0"/>
    <w:pPr>
      <w:ind w:firstLine="480"/>
    </w:pPr>
  </w:style>
  <w:style w:type="paragraph" w:customStyle="1" w:styleId="305">
    <w:name w:val="样式 文本正文 + 首行缩进:  2 字符2"/>
    <w:basedOn w:val="1"/>
    <w:qFormat/>
    <w:uiPriority w:val="0"/>
    <w:pPr>
      <w:ind w:firstLine="200" w:firstLineChars="200"/>
    </w:pPr>
  </w:style>
  <w:style w:type="paragraph" w:customStyle="1" w:styleId="306">
    <w:name w:val="Char"/>
    <w:basedOn w:val="1"/>
    <w:qFormat/>
    <w:uiPriority w:val="0"/>
    <w:pPr>
      <w:spacing w:line="240" w:lineRule="auto"/>
    </w:pPr>
    <w:rPr>
      <w:sz w:val="21"/>
    </w:rPr>
  </w:style>
  <w:style w:type="paragraph" w:customStyle="1" w:styleId="307">
    <w:name w:val="样式 目录"/>
    <w:basedOn w:val="308"/>
    <w:qFormat/>
    <w:uiPriority w:val="0"/>
    <w:pPr>
      <w:ind w:firstLine="0" w:firstLineChars="0"/>
      <w:jc w:val="center"/>
    </w:pPr>
    <w:rPr>
      <w:sz w:val="32"/>
    </w:rPr>
  </w:style>
  <w:style w:type="paragraph" w:customStyle="1" w:styleId="308">
    <w:name w:val="编制人员"/>
    <w:basedOn w:val="150"/>
    <w:qFormat/>
    <w:uiPriority w:val="0"/>
    <w:pPr>
      <w:ind w:firstLine="482"/>
    </w:pPr>
    <w:rPr>
      <w:b/>
      <w:bCs/>
    </w:rPr>
  </w:style>
  <w:style w:type="paragraph" w:customStyle="1" w:styleId="309">
    <w:name w:val="样式 文本正文 + 首行缩进:  2 字符3"/>
    <w:basedOn w:val="150"/>
    <w:next w:val="150"/>
    <w:qFormat/>
    <w:uiPriority w:val="0"/>
    <w:pPr>
      <w:ind w:firstLine="480"/>
    </w:pPr>
  </w:style>
  <w:style w:type="paragraph" w:customStyle="1" w:styleId="310">
    <w:name w:val="5555"/>
    <w:basedOn w:val="8"/>
    <w:next w:val="1"/>
    <w:qFormat/>
    <w:uiPriority w:val="0"/>
    <w:rPr>
      <w:vertAlign w:val="superscript"/>
    </w:rPr>
  </w:style>
  <w:style w:type="paragraph" w:customStyle="1" w:styleId="311">
    <w:name w:val="Char4"/>
    <w:basedOn w:val="1"/>
    <w:qFormat/>
    <w:uiPriority w:val="0"/>
    <w:pPr>
      <w:widowControl/>
      <w:spacing w:after="160" w:line="240" w:lineRule="exact"/>
      <w:jc w:val="left"/>
    </w:pPr>
    <w:rPr>
      <w:rFonts w:ascii="Verdana" w:hAnsi="Verdana" w:eastAsia="仿宋_GB2312"/>
      <w:kern w:val="0"/>
      <w:sz w:val="30"/>
      <w:szCs w:val="30"/>
      <w:lang w:eastAsia="en-US"/>
    </w:rPr>
  </w:style>
  <w:style w:type="paragraph" w:customStyle="1" w:styleId="312">
    <w:name w:val="二级标题-"/>
    <w:basedOn w:val="5"/>
    <w:link w:val="313"/>
    <w:qFormat/>
    <w:uiPriority w:val="0"/>
    <w:pPr>
      <w:numPr>
        <w:numId w:val="0"/>
      </w:numPr>
      <w:spacing w:before="190"/>
    </w:pPr>
    <w:rPr>
      <w:rFonts w:eastAsia="黑体"/>
      <w:b w:val="0"/>
      <w:bCs w:val="0"/>
      <w:sz w:val="32"/>
      <w:szCs w:val="20"/>
    </w:rPr>
  </w:style>
  <w:style w:type="character" w:customStyle="1" w:styleId="313">
    <w:name w:val="二级标题- Char"/>
    <w:link w:val="312"/>
    <w:qFormat/>
    <w:uiPriority w:val="0"/>
    <w:rPr>
      <w:rFonts w:eastAsia="黑体"/>
      <w:kern w:val="2"/>
      <w:sz w:val="32"/>
    </w:rPr>
  </w:style>
  <w:style w:type="paragraph" w:customStyle="1" w:styleId="314">
    <w:name w:val="五号正文（标准）"/>
    <w:basedOn w:val="1"/>
    <w:link w:val="315"/>
    <w:qFormat/>
    <w:uiPriority w:val="0"/>
    <w:pPr>
      <w:spacing w:line="360" w:lineRule="auto"/>
      <w:ind w:firstLine="480" w:firstLineChars="200"/>
    </w:pPr>
    <w:rPr>
      <w:rFonts w:ascii="仿宋_GB2312" w:hAnsi="宋体" w:eastAsia="仿宋_GB2312"/>
    </w:rPr>
  </w:style>
  <w:style w:type="character" w:customStyle="1" w:styleId="315">
    <w:name w:val="五号正文（标准） Char"/>
    <w:link w:val="314"/>
    <w:qFormat/>
    <w:uiPriority w:val="0"/>
    <w:rPr>
      <w:rFonts w:ascii="仿宋_GB2312" w:hAnsi="宋体" w:eastAsia="仿宋_GB2312"/>
      <w:kern w:val="2"/>
      <w:sz w:val="24"/>
      <w:szCs w:val="24"/>
    </w:rPr>
  </w:style>
  <w:style w:type="paragraph" w:customStyle="1" w:styleId="316">
    <w:name w:val="Char Char4"/>
    <w:basedOn w:val="1"/>
    <w:qFormat/>
    <w:uiPriority w:val="0"/>
    <w:pPr>
      <w:spacing w:line="360" w:lineRule="auto"/>
    </w:pPr>
    <w:rPr>
      <w:rFonts w:ascii="Tahoma" w:hAnsi="Tahoma"/>
      <w:szCs w:val="20"/>
    </w:rPr>
  </w:style>
  <w:style w:type="paragraph" w:customStyle="1" w:styleId="317">
    <w:name w:val="表格类"/>
    <w:qFormat/>
    <w:uiPriority w:val="0"/>
    <w:pPr>
      <w:snapToGrid w:val="0"/>
      <w:jc w:val="center"/>
    </w:pPr>
    <w:rPr>
      <w:rFonts w:ascii="Times New Roman" w:hAnsi="Times New Roman" w:eastAsia="宋体" w:cs="Times New Roman"/>
      <w:sz w:val="18"/>
      <w:lang w:val="en-US" w:eastAsia="zh-CN" w:bidi="ar-SA"/>
    </w:rPr>
  </w:style>
  <w:style w:type="paragraph" w:customStyle="1" w:styleId="318">
    <w:name w:val="font0"/>
    <w:basedOn w:val="1"/>
    <w:qFormat/>
    <w:uiPriority w:val="0"/>
    <w:pPr>
      <w:widowControl/>
      <w:spacing w:before="100" w:beforeAutospacing="1" w:after="100" w:afterAutospacing="1" w:line="240" w:lineRule="auto"/>
      <w:jc w:val="left"/>
    </w:pPr>
    <w:rPr>
      <w:rFonts w:hint="eastAsia" w:ascii="宋体" w:hAnsi="宋体"/>
      <w:kern w:val="0"/>
    </w:rPr>
  </w:style>
  <w:style w:type="paragraph" w:customStyle="1" w:styleId="319">
    <w:name w:val="论文正文"/>
    <w:basedOn w:val="1"/>
    <w:qFormat/>
    <w:uiPriority w:val="0"/>
    <w:pPr>
      <w:spacing w:line="240" w:lineRule="auto"/>
      <w:ind w:firstLine="425"/>
    </w:pPr>
    <w:rPr>
      <w:rFonts w:ascii="Arial" w:hAnsi="Arial"/>
      <w:sz w:val="21"/>
      <w:szCs w:val="20"/>
    </w:rPr>
  </w:style>
  <w:style w:type="paragraph" w:customStyle="1" w:styleId="320">
    <w:name w:val="一级条标题"/>
    <w:basedOn w:val="321"/>
    <w:next w:val="322"/>
    <w:link w:val="324"/>
    <w:qFormat/>
    <w:uiPriority w:val="0"/>
    <w:pPr>
      <w:numPr>
        <w:numId w:val="0"/>
      </w:numPr>
      <w:tabs>
        <w:tab w:val="left" w:pos="840"/>
        <w:tab w:val="left" w:pos="900"/>
      </w:tabs>
      <w:spacing w:beforeLines="0"/>
      <w:outlineLvl w:val="2"/>
    </w:pPr>
  </w:style>
  <w:style w:type="paragraph" w:customStyle="1" w:styleId="321">
    <w:name w:val="章标题"/>
    <w:next w:val="322"/>
    <w:qFormat/>
    <w:uiPriority w:val="0"/>
    <w:pPr>
      <w:numPr>
        <w:ilvl w:val="1"/>
        <w:numId w:val="12"/>
      </w:numPr>
      <w:tabs>
        <w:tab w:val="left" w:pos="900"/>
      </w:tabs>
      <w:spacing w:beforeLines="50" w:afterLines="50"/>
      <w:jc w:val="both"/>
      <w:outlineLvl w:val="1"/>
    </w:pPr>
    <w:rPr>
      <w:rFonts w:ascii="黑体" w:hAnsi="Times New Roman" w:eastAsia="黑体" w:cs="Times New Roman"/>
      <w:sz w:val="21"/>
      <w:lang w:val="en-US" w:eastAsia="zh-CN" w:bidi="ar-SA"/>
    </w:rPr>
  </w:style>
  <w:style w:type="paragraph" w:customStyle="1" w:styleId="322">
    <w:name w:val="段"/>
    <w:link w:val="323"/>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323">
    <w:name w:val="段 Char Char"/>
    <w:link w:val="322"/>
    <w:qFormat/>
    <w:uiPriority w:val="0"/>
    <w:rPr>
      <w:rFonts w:ascii="宋体"/>
      <w:sz w:val="21"/>
      <w:lang w:bidi="ar-SA"/>
    </w:rPr>
  </w:style>
  <w:style w:type="character" w:customStyle="1" w:styleId="324">
    <w:name w:val="一级条标题 Char1"/>
    <w:link w:val="320"/>
    <w:qFormat/>
    <w:uiPriority w:val="0"/>
    <w:rPr>
      <w:rFonts w:ascii="黑体" w:eastAsia="黑体"/>
      <w:sz w:val="21"/>
    </w:rPr>
  </w:style>
  <w:style w:type="paragraph" w:customStyle="1" w:styleId="325">
    <w:name w:val="二级条标题"/>
    <w:basedOn w:val="320"/>
    <w:next w:val="322"/>
    <w:link w:val="326"/>
    <w:qFormat/>
    <w:uiPriority w:val="0"/>
    <w:pPr>
      <w:tabs>
        <w:tab w:val="left" w:pos="360"/>
      </w:tabs>
      <w:outlineLvl w:val="3"/>
    </w:pPr>
  </w:style>
  <w:style w:type="character" w:customStyle="1" w:styleId="326">
    <w:name w:val="二级条标题 Char1"/>
    <w:link w:val="325"/>
    <w:qFormat/>
    <w:uiPriority w:val="0"/>
    <w:rPr>
      <w:rFonts w:ascii="黑体" w:eastAsia="黑体"/>
      <w:sz w:val="21"/>
    </w:rPr>
  </w:style>
  <w:style w:type="paragraph" w:customStyle="1" w:styleId="327">
    <w:name w:val="三级条标题"/>
    <w:basedOn w:val="325"/>
    <w:next w:val="322"/>
    <w:link w:val="328"/>
    <w:qFormat/>
    <w:uiPriority w:val="0"/>
    <w:pPr>
      <w:outlineLvl w:val="4"/>
    </w:pPr>
  </w:style>
  <w:style w:type="character" w:customStyle="1" w:styleId="328">
    <w:name w:val="三级条标题 Char1"/>
    <w:link w:val="327"/>
    <w:qFormat/>
    <w:uiPriority w:val="0"/>
  </w:style>
  <w:style w:type="paragraph" w:customStyle="1" w:styleId="329">
    <w:name w:val="四级条标题"/>
    <w:basedOn w:val="327"/>
    <w:next w:val="322"/>
    <w:qFormat/>
    <w:uiPriority w:val="0"/>
    <w:pPr>
      <w:numPr>
        <w:ilvl w:val="5"/>
        <w:numId w:val="13"/>
      </w:numPr>
      <w:tabs>
        <w:tab w:val="clear" w:pos="360"/>
      </w:tabs>
      <w:outlineLvl w:val="5"/>
    </w:pPr>
  </w:style>
  <w:style w:type="paragraph" w:customStyle="1" w:styleId="330">
    <w:name w:val="五级条标题"/>
    <w:basedOn w:val="329"/>
    <w:next w:val="322"/>
    <w:qFormat/>
    <w:uiPriority w:val="0"/>
    <w:pPr>
      <w:numPr>
        <w:ilvl w:val="6"/>
        <w:numId w:val="14"/>
      </w:numPr>
      <w:tabs>
        <w:tab w:val="clear" w:pos="2520"/>
      </w:tabs>
      <w:outlineLvl w:val="6"/>
    </w:pPr>
  </w:style>
  <w:style w:type="paragraph" w:customStyle="1" w:styleId="331">
    <w:name w:val="列项·"/>
    <w:qFormat/>
    <w:uiPriority w:val="0"/>
    <w:pPr>
      <w:numPr>
        <w:ilvl w:val="0"/>
        <w:numId w:val="15"/>
      </w:numPr>
      <w:tabs>
        <w:tab w:val="left" w:pos="840"/>
      </w:tabs>
      <w:ind w:left="840" w:leftChars="200" w:hanging="200" w:hangingChars="200"/>
      <w:jc w:val="both"/>
    </w:pPr>
    <w:rPr>
      <w:rFonts w:ascii="宋体" w:hAnsi="Times New Roman" w:eastAsia="宋体" w:cs="Times New Roman"/>
      <w:sz w:val="21"/>
      <w:lang w:val="en-US" w:eastAsia="zh-CN" w:bidi="ar-SA"/>
    </w:rPr>
  </w:style>
  <w:style w:type="paragraph" w:customStyle="1" w:styleId="332">
    <w:name w:val="表格内容"/>
    <w:basedOn w:val="1"/>
    <w:link w:val="333"/>
    <w:qFormat/>
    <w:uiPriority w:val="0"/>
    <w:pPr>
      <w:spacing w:line="240" w:lineRule="auto"/>
      <w:ind w:left="623" w:leftChars="13" w:hanging="596" w:hangingChars="284"/>
      <w:jc w:val="center"/>
    </w:pPr>
    <w:rPr>
      <w:rFonts w:ascii="宋体" w:hAnsi="Courier New"/>
      <w:sz w:val="21"/>
      <w:szCs w:val="21"/>
    </w:rPr>
  </w:style>
  <w:style w:type="character" w:customStyle="1" w:styleId="333">
    <w:name w:val="表格内容 Char"/>
    <w:link w:val="332"/>
    <w:qFormat/>
    <w:uiPriority w:val="0"/>
    <w:rPr>
      <w:rFonts w:ascii="宋体" w:hAnsi="Courier New" w:cs="Courier New"/>
      <w:kern w:val="2"/>
      <w:sz w:val="21"/>
      <w:szCs w:val="21"/>
    </w:rPr>
  </w:style>
  <w:style w:type="paragraph" w:customStyle="1" w:styleId="334">
    <w:name w:val="14p2"/>
    <w:basedOn w:val="1"/>
    <w:qFormat/>
    <w:uiPriority w:val="0"/>
    <w:pPr>
      <w:widowControl/>
      <w:spacing w:before="100" w:beforeAutospacing="1" w:after="100" w:afterAutospacing="1" w:line="240" w:lineRule="auto"/>
      <w:jc w:val="left"/>
    </w:pPr>
    <w:rPr>
      <w:rFonts w:ascii="Arial Unicode MS" w:hAnsi="Arial Unicode MS" w:eastAsia="Arial Unicode MS" w:cs="Arial Unicode MS"/>
      <w:color w:val="000000"/>
      <w:kern w:val="0"/>
    </w:rPr>
  </w:style>
  <w:style w:type="paragraph" w:customStyle="1" w:styleId="335">
    <w:name w:val="正文文本 21"/>
    <w:basedOn w:val="1"/>
    <w:qFormat/>
    <w:uiPriority w:val="0"/>
    <w:pPr>
      <w:adjustRightInd w:val="0"/>
      <w:spacing w:line="360" w:lineRule="auto"/>
      <w:textAlignment w:val="baseline"/>
    </w:pPr>
    <w:rPr>
      <w:rFonts w:ascii="宋体"/>
      <w:kern w:val="0"/>
      <w:sz w:val="28"/>
      <w:szCs w:val="20"/>
    </w:rPr>
  </w:style>
  <w:style w:type="paragraph" w:customStyle="1" w:styleId="336">
    <w:name w:val="Char Char Char Char Char Char Char"/>
    <w:basedOn w:val="1"/>
    <w:qFormat/>
    <w:uiPriority w:val="0"/>
    <w:pPr>
      <w:adjustRightInd w:val="0"/>
      <w:snapToGrid w:val="0"/>
      <w:spacing w:line="400" w:lineRule="exact"/>
    </w:pPr>
    <w:rPr>
      <w:rFonts w:ascii="Tahoma" w:hAnsi="Tahoma"/>
      <w:szCs w:val="20"/>
    </w:rPr>
  </w:style>
  <w:style w:type="paragraph" w:customStyle="1" w:styleId="337">
    <w:name w:val="样式 首行缩进:  2 字符"/>
    <w:basedOn w:val="1"/>
    <w:link w:val="338"/>
    <w:qFormat/>
    <w:uiPriority w:val="0"/>
    <w:pPr>
      <w:spacing w:line="240" w:lineRule="auto"/>
      <w:ind w:firstLine="560" w:firstLineChars="200"/>
    </w:pPr>
    <w:rPr>
      <w:rFonts w:eastAsia="仿宋_GB2312"/>
      <w:sz w:val="28"/>
      <w:szCs w:val="20"/>
    </w:rPr>
  </w:style>
  <w:style w:type="character" w:customStyle="1" w:styleId="338">
    <w:name w:val="样式 首行缩进:  2 字符 Char"/>
    <w:link w:val="337"/>
    <w:qFormat/>
    <w:uiPriority w:val="0"/>
    <w:rPr>
      <w:rFonts w:eastAsia="仿宋_GB2312"/>
      <w:kern w:val="2"/>
      <w:sz w:val="28"/>
    </w:rPr>
  </w:style>
  <w:style w:type="paragraph" w:customStyle="1" w:styleId="339">
    <w:name w:val="标题 1 + 黑体"/>
    <w:basedOn w:val="4"/>
    <w:qFormat/>
    <w:uiPriority w:val="0"/>
    <w:pPr>
      <w:numPr>
        <w:numId w:val="0"/>
      </w:numPr>
      <w:jc w:val="both"/>
    </w:pPr>
    <w:rPr>
      <w:rFonts w:ascii="仿宋_GB2312"/>
      <w:kern w:val="0"/>
      <w:sz w:val="32"/>
      <w:szCs w:val="24"/>
    </w:rPr>
  </w:style>
  <w:style w:type="paragraph" w:customStyle="1" w:styleId="340">
    <w:name w:val="缩进正文徐海东 Char Char Char"/>
    <w:basedOn w:val="1"/>
    <w:qFormat/>
    <w:uiPriority w:val="0"/>
    <w:pPr>
      <w:spacing w:beforeLines="100" w:line="360" w:lineRule="auto"/>
      <w:ind w:firstLine="200" w:firstLineChars="200"/>
    </w:pPr>
    <w:rPr>
      <w:rFonts w:cs="宋体"/>
      <w:szCs w:val="20"/>
    </w:rPr>
  </w:style>
  <w:style w:type="paragraph" w:customStyle="1" w:styleId="341">
    <w:name w:val="样式 标题 3 + (西文) 黑体 小四 非加粗 段前: 0 磅 段后: 0 磅 行距: 1.5 倍行距"/>
    <w:basedOn w:val="6"/>
    <w:qFormat/>
    <w:uiPriority w:val="0"/>
    <w:pPr>
      <w:numPr>
        <w:numId w:val="0"/>
      </w:numPr>
    </w:pPr>
    <w:rPr>
      <w:rFonts w:eastAsia="仿宋_GB2312" w:cs="宋体"/>
      <w:b w:val="0"/>
      <w:bCs w:val="0"/>
      <w:sz w:val="24"/>
      <w:szCs w:val="20"/>
    </w:rPr>
  </w:style>
  <w:style w:type="paragraph" w:customStyle="1" w:styleId="342">
    <w:name w:val="表格标题"/>
    <w:basedOn w:val="2"/>
    <w:next w:val="2"/>
    <w:link w:val="343"/>
    <w:qFormat/>
    <w:uiPriority w:val="0"/>
    <w:pPr>
      <w:spacing w:line="500" w:lineRule="exact"/>
      <w:ind w:firstLine="624" w:firstLineChars="0"/>
      <w:outlineLvl w:val="4"/>
    </w:pPr>
    <w:rPr>
      <w:rFonts w:eastAsia="仿宋_GB2312"/>
      <w:sz w:val="21"/>
    </w:rPr>
  </w:style>
  <w:style w:type="character" w:customStyle="1" w:styleId="343">
    <w:name w:val="表格标题 Char2"/>
    <w:link w:val="342"/>
    <w:qFormat/>
    <w:uiPriority w:val="0"/>
    <w:rPr>
      <w:rFonts w:eastAsia="仿宋_GB2312"/>
      <w:kern w:val="2"/>
      <w:sz w:val="21"/>
      <w:szCs w:val="24"/>
    </w:rPr>
  </w:style>
  <w:style w:type="paragraph" w:customStyle="1" w:styleId="344">
    <w:name w:val="标题 2 +"/>
    <w:basedOn w:val="5"/>
    <w:qFormat/>
    <w:uiPriority w:val="0"/>
    <w:pPr>
      <w:numPr>
        <w:numId w:val="0"/>
      </w:numPr>
      <w:tabs>
        <w:tab w:val="left" w:pos="218"/>
        <w:tab w:val="left" w:pos="654"/>
      </w:tabs>
      <w:spacing w:beforeLines="0"/>
      <w:ind w:right="240" w:rightChars="100"/>
      <w:jc w:val="left"/>
    </w:pPr>
    <w:rPr>
      <w:rFonts w:ascii="宋体" w:hAnsi="宋体" w:cs="Arial"/>
      <w:bCs w:val="0"/>
      <w:szCs w:val="36"/>
    </w:rPr>
  </w:style>
  <w:style w:type="paragraph" w:customStyle="1" w:styleId="345">
    <w:name w:val="样式 正文缩进s4正文缩进 Char表正文正文非缩进 + 首行缩进:  0 厘米 行距: 单倍行距"/>
    <w:basedOn w:val="2"/>
    <w:qFormat/>
    <w:uiPriority w:val="0"/>
    <w:pPr>
      <w:spacing w:line="240" w:lineRule="auto"/>
    </w:pPr>
    <w:rPr>
      <w:rFonts w:cs="宋体"/>
      <w:sz w:val="28"/>
      <w:szCs w:val="20"/>
    </w:rPr>
  </w:style>
  <w:style w:type="paragraph" w:customStyle="1" w:styleId="346">
    <w:name w:val="Char Char Char Char Char Char Char Char Char Char"/>
    <w:basedOn w:val="1"/>
    <w:qFormat/>
    <w:uiPriority w:val="0"/>
    <w:pPr>
      <w:spacing w:line="360" w:lineRule="auto"/>
    </w:pPr>
    <w:rPr>
      <w:rFonts w:ascii="Tahoma" w:hAnsi="Tahoma"/>
      <w:szCs w:val="20"/>
    </w:rPr>
  </w:style>
  <w:style w:type="paragraph" w:customStyle="1" w:styleId="347">
    <w:name w:val="Char Char Char"/>
    <w:basedOn w:val="1"/>
    <w:qFormat/>
    <w:uiPriority w:val="0"/>
    <w:pPr>
      <w:spacing w:line="360" w:lineRule="auto"/>
    </w:pPr>
    <w:rPr>
      <w:rFonts w:ascii="Tahoma" w:hAnsi="Tahoma"/>
      <w:szCs w:val="20"/>
    </w:rPr>
  </w:style>
  <w:style w:type="paragraph" w:customStyle="1" w:styleId="348">
    <w:name w:val="默认段落字体 Para Char"/>
    <w:basedOn w:val="1"/>
    <w:qFormat/>
    <w:uiPriority w:val="0"/>
    <w:pPr>
      <w:spacing w:line="240" w:lineRule="auto"/>
    </w:pPr>
    <w:rPr>
      <w:rFonts w:ascii="宋体" w:hAnsi="宋体" w:cs="Courier New"/>
      <w:sz w:val="32"/>
      <w:szCs w:val="32"/>
    </w:rPr>
  </w:style>
  <w:style w:type="paragraph" w:customStyle="1" w:styleId="349">
    <w:name w:val="正文缩2"/>
    <w:basedOn w:val="1"/>
    <w:link w:val="350"/>
    <w:qFormat/>
    <w:uiPriority w:val="0"/>
    <w:pPr>
      <w:spacing w:line="360" w:lineRule="auto"/>
      <w:ind w:firstLine="200" w:firstLineChars="200"/>
    </w:pPr>
    <w:rPr>
      <w:rFonts w:eastAsia="楷体_GB2312"/>
      <w:sz w:val="28"/>
    </w:rPr>
  </w:style>
  <w:style w:type="character" w:customStyle="1" w:styleId="350">
    <w:name w:val="正文缩2 Char"/>
    <w:link w:val="349"/>
    <w:qFormat/>
    <w:uiPriority w:val="0"/>
    <w:rPr>
      <w:rFonts w:eastAsia="楷体_GB2312"/>
      <w:kern w:val="2"/>
      <w:sz w:val="28"/>
      <w:szCs w:val="24"/>
    </w:rPr>
  </w:style>
  <w:style w:type="paragraph" w:customStyle="1" w:styleId="351">
    <w:name w:val="样式 正文缩进正文标准正文标准 Char Char正文标准 Char正文不缩进表正文正文非缩进段1四号Body...10"/>
    <w:basedOn w:val="2"/>
    <w:link w:val="352"/>
    <w:qFormat/>
    <w:uiPriority w:val="0"/>
    <w:pPr>
      <w:spacing w:line="500" w:lineRule="exact"/>
      <w:ind w:firstLine="560"/>
    </w:pPr>
    <w:rPr>
      <w:sz w:val="28"/>
      <w:szCs w:val="28"/>
    </w:rPr>
  </w:style>
  <w:style w:type="character" w:customStyle="1" w:styleId="352">
    <w:name w:val="样式 正文缩进正文标准正文标准 Char Char正文标准 Char正文不缩进表正文正文非缩进段1四号Body...10 Char"/>
    <w:link w:val="351"/>
    <w:qFormat/>
    <w:uiPriority w:val="0"/>
    <w:rPr>
      <w:kern w:val="2"/>
      <w:sz w:val="28"/>
      <w:szCs w:val="28"/>
      <w:lang w:bidi="ar-SA"/>
    </w:rPr>
  </w:style>
  <w:style w:type="paragraph" w:customStyle="1" w:styleId="353">
    <w:name w:val="样式 (符号) 宋体 小四 行距: 1.5 倍行距"/>
    <w:basedOn w:val="1"/>
    <w:qFormat/>
    <w:uiPriority w:val="0"/>
    <w:pPr>
      <w:spacing w:line="360" w:lineRule="auto"/>
      <w:ind w:firstLine="200" w:firstLineChars="200"/>
    </w:pPr>
    <w:rPr>
      <w:rFonts w:ascii="宋体" w:hAnsi="宋体" w:cs="宋体"/>
      <w:szCs w:val="20"/>
    </w:rPr>
  </w:style>
  <w:style w:type="paragraph" w:customStyle="1" w:styleId="354">
    <w:name w:val="样式 标题 3标题 3 二级节二级节名条标题h33rd level3l3Level 3 HeadH3head..."/>
    <w:basedOn w:val="6"/>
    <w:qFormat/>
    <w:uiPriority w:val="0"/>
    <w:pPr>
      <w:ind w:left="1418"/>
    </w:pPr>
    <w:rPr>
      <w:rFonts w:cs="宋体"/>
      <w:szCs w:val="20"/>
    </w:rPr>
  </w:style>
  <w:style w:type="paragraph" w:customStyle="1" w:styleId="355">
    <w:name w:val="样式 标题 4款标题H4标题 4 Char Char标题 4 Char Char Char标题 4 CharRef ..."/>
    <w:basedOn w:val="7"/>
    <w:qFormat/>
    <w:uiPriority w:val="0"/>
    <w:pPr>
      <w:spacing w:before="156" w:after="156"/>
    </w:pPr>
    <w:rPr>
      <w:rFonts w:cs="宋体"/>
      <w:szCs w:val="20"/>
    </w:rPr>
  </w:style>
  <w:style w:type="paragraph" w:customStyle="1" w:styleId="356">
    <w:name w:val="样式 标题 4款标题H4标题 4 Char Char标题 4 Char Char Char标题 4 CharRef ...1"/>
    <w:basedOn w:val="7"/>
    <w:qFormat/>
    <w:uiPriority w:val="0"/>
    <w:pPr>
      <w:spacing w:before="156" w:after="156"/>
    </w:pPr>
    <w:rPr>
      <w:rFonts w:cs="宋体"/>
      <w:szCs w:val="20"/>
    </w:rPr>
  </w:style>
  <w:style w:type="paragraph" w:customStyle="1" w:styleId="357">
    <w:name w:val="样式 标题 4款标题H4标题 4 Char Char标题 4 Char Char Char标题 4 CharRef ...2"/>
    <w:basedOn w:val="7"/>
    <w:qFormat/>
    <w:uiPriority w:val="0"/>
    <w:pPr>
      <w:spacing w:before="156" w:after="156"/>
    </w:pPr>
    <w:rPr>
      <w:rFonts w:cs="宋体"/>
      <w:szCs w:val="20"/>
    </w:rPr>
  </w:style>
  <w:style w:type="paragraph" w:customStyle="1" w:styleId="358">
    <w:name w:val="样式 标题 4款标题H4标题 4 Char Char标题 4 Char Char Char标题 4 CharRef ...3"/>
    <w:basedOn w:val="7"/>
    <w:qFormat/>
    <w:uiPriority w:val="0"/>
    <w:pPr>
      <w:spacing w:beforeLines="0"/>
    </w:pPr>
    <w:rPr>
      <w:rFonts w:cs="宋体"/>
      <w:szCs w:val="20"/>
    </w:rPr>
  </w:style>
  <w:style w:type="paragraph" w:customStyle="1" w:styleId="359">
    <w:name w:val="样式 标题 4款标题H4标题 4 Char Char标题 4 Char Char Char标题 4 CharRef ...4"/>
    <w:basedOn w:val="7"/>
    <w:qFormat/>
    <w:uiPriority w:val="0"/>
    <w:pPr>
      <w:spacing w:before="156" w:after="156"/>
      <w:ind w:left="710"/>
    </w:pPr>
    <w:rPr>
      <w:rFonts w:cs="宋体"/>
      <w:szCs w:val="20"/>
    </w:rPr>
  </w:style>
  <w:style w:type="paragraph" w:customStyle="1" w:styleId="360">
    <w:name w:val="样式 标题 4款标题H4标题 4 Char Char标题 4 Char Char Char标题 4 CharRef ...5"/>
    <w:basedOn w:val="7"/>
    <w:qFormat/>
    <w:uiPriority w:val="0"/>
    <w:pPr>
      <w:spacing w:before="156" w:after="156"/>
    </w:pPr>
    <w:rPr>
      <w:rFonts w:cs="宋体"/>
      <w:szCs w:val="20"/>
    </w:rPr>
  </w:style>
  <w:style w:type="paragraph" w:customStyle="1" w:styleId="361">
    <w:name w:val="font10"/>
    <w:basedOn w:val="1"/>
    <w:qFormat/>
    <w:uiPriority w:val="0"/>
    <w:pPr>
      <w:widowControl/>
      <w:spacing w:before="100" w:beforeAutospacing="1" w:after="100" w:afterAutospacing="1" w:line="240" w:lineRule="auto"/>
      <w:jc w:val="left"/>
    </w:pPr>
    <w:rPr>
      <w:color w:val="000000"/>
      <w:kern w:val="0"/>
      <w:sz w:val="18"/>
      <w:szCs w:val="18"/>
    </w:rPr>
  </w:style>
  <w:style w:type="paragraph" w:customStyle="1" w:styleId="362">
    <w:name w:val="font11"/>
    <w:basedOn w:val="1"/>
    <w:qFormat/>
    <w:uiPriority w:val="0"/>
    <w:pPr>
      <w:widowControl/>
      <w:spacing w:before="100" w:beforeAutospacing="1" w:after="100" w:afterAutospacing="1" w:line="240" w:lineRule="auto"/>
      <w:jc w:val="left"/>
    </w:pPr>
    <w:rPr>
      <w:rFonts w:ascii="Calibri" w:hAnsi="Calibri" w:cs="Calibri"/>
      <w:kern w:val="0"/>
      <w:sz w:val="20"/>
      <w:szCs w:val="20"/>
    </w:rPr>
  </w:style>
  <w:style w:type="paragraph" w:customStyle="1" w:styleId="363">
    <w:name w:val="font12"/>
    <w:basedOn w:val="1"/>
    <w:qFormat/>
    <w:uiPriority w:val="0"/>
    <w:pPr>
      <w:widowControl/>
      <w:spacing w:before="100" w:beforeAutospacing="1" w:after="100" w:afterAutospacing="1" w:line="240" w:lineRule="auto"/>
      <w:jc w:val="left"/>
    </w:pPr>
    <w:rPr>
      <w:kern w:val="0"/>
      <w:sz w:val="20"/>
      <w:szCs w:val="20"/>
    </w:rPr>
  </w:style>
  <w:style w:type="paragraph" w:customStyle="1" w:styleId="364">
    <w:name w:val="font13"/>
    <w:basedOn w:val="1"/>
    <w:qFormat/>
    <w:uiPriority w:val="0"/>
    <w:pPr>
      <w:widowControl/>
      <w:spacing w:before="100" w:beforeAutospacing="1" w:after="100" w:afterAutospacing="1" w:line="240" w:lineRule="auto"/>
      <w:jc w:val="left"/>
    </w:pPr>
    <w:rPr>
      <w:rFonts w:ascii="宋体" w:hAnsi="宋体" w:cs="宋体"/>
      <w:color w:val="000000"/>
      <w:kern w:val="0"/>
      <w:sz w:val="18"/>
      <w:szCs w:val="18"/>
    </w:rPr>
  </w:style>
  <w:style w:type="paragraph" w:customStyle="1" w:styleId="365">
    <w:name w:val="font15"/>
    <w:basedOn w:val="1"/>
    <w:qFormat/>
    <w:uiPriority w:val="0"/>
    <w:pPr>
      <w:widowControl/>
      <w:spacing w:before="100" w:beforeAutospacing="1" w:after="100" w:afterAutospacing="1" w:line="240" w:lineRule="auto"/>
      <w:jc w:val="left"/>
    </w:pPr>
    <w:rPr>
      <w:rFonts w:ascii="宋体" w:hAnsi="宋体" w:cs="宋体"/>
      <w:b/>
      <w:bCs/>
      <w:color w:val="FF0000"/>
      <w:kern w:val="0"/>
      <w:sz w:val="20"/>
      <w:szCs w:val="20"/>
    </w:rPr>
  </w:style>
  <w:style w:type="paragraph" w:customStyle="1" w:styleId="366">
    <w:name w:val="font16"/>
    <w:basedOn w:val="1"/>
    <w:qFormat/>
    <w:uiPriority w:val="0"/>
    <w:pPr>
      <w:widowControl/>
      <w:spacing w:before="100" w:beforeAutospacing="1" w:after="100" w:afterAutospacing="1" w:line="240" w:lineRule="auto"/>
      <w:jc w:val="left"/>
    </w:pPr>
    <w:rPr>
      <w:b/>
      <w:bCs/>
      <w:color w:val="FF0000"/>
      <w:kern w:val="0"/>
      <w:sz w:val="20"/>
      <w:szCs w:val="20"/>
    </w:rPr>
  </w:style>
  <w:style w:type="paragraph" w:customStyle="1" w:styleId="367">
    <w:name w:val="font17"/>
    <w:basedOn w:val="1"/>
    <w:qFormat/>
    <w:uiPriority w:val="0"/>
    <w:pPr>
      <w:widowControl/>
      <w:spacing w:before="100" w:beforeAutospacing="1" w:after="100" w:afterAutospacing="1" w:line="240" w:lineRule="auto"/>
      <w:jc w:val="left"/>
    </w:pPr>
    <w:rPr>
      <w:rFonts w:ascii="宋体" w:hAnsi="宋体" w:cs="宋体"/>
      <w:color w:val="FF0000"/>
      <w:kern w:val="0"/>
      <w:sz w:val="20"/>
      <w:szCs w:val="20"/>
    </w:rPr>
  </w:style>
  <w:style w:type="paragraph" w:customStyle="1" w:styleId="368">
    <w:name w:val="font18"/>
    <w:basedOn w:val="1"/>
    <w:qFormat/>
    <w:uiPriority w:val="0"/>
    <w:pPr>
      <w:widowControl/>
      <w:spacing w:before="100" w:beforeAutospacing="1" w:after="100" w:afterAutospacing="1" w:line="240" w:lineRule="auto"/>
      <w:jc w:val="left"/>
    </w:pPr>
    <w:rPr>
      <w:color w:val="FF0000"/>
      <w:kern w:val="0"/>
      <w:sz w:val="20"/>
      <w:szCs w:val="20"/>
    </w:rPr>
  </w:style>
  <w:style w:type="paragraph" w:customStyle="1" w:styleId="369">
    <w:name w:val="Char Char4 Char Char"/>
    <w:basedOn w:val="1"/>
    <w:qFormat/>
    <w:uiPriority w:val="0"/>
    <w:pPr>
      <w:spacing w:line="360" w:lineRule="auto"/>
    </w:pPr>
    <w:rPr>
      <w:rFonts w:ascii="Tahoma" w:hAnsi="Tahoma"/>
      <w:szCs w:val="20"/>
    </w:rPr>
  </w:style>
  <w:style w:type="paragraph" w:customStyle="1" w:styleId="370">
    <w:name w:val="样式 行距: 1.5 倍行距1"/>
    <w:basedOn w:val="1"/>
    <w:next w:val="1"/>
    <w:qFormat/>
    <w:uiPriority w:val="0"/>
    <w:pPr>
      <w:spacing w:line="360" w:lineRule="auto"/>
      <w:ind w:firstLine="200" w:firstLineChars="200"/>
    </w:pPr>
    <w:rPr>
      <w:rFonts w:ascii="宋体" w:hAnsi="宋体" w:cs="宋体"/>
      <w:sz w:val="28"/>
      <w:szCs w:val="20"/>
    </w:rPr>
  </w:style>
  <w:style w:type="paragraph" w:customStyle="1" w:styleId="371">
    <w:name w:val="修订1"/>
    <w:hidden/>
    <w:qFormat/>
    <w:uiPriority w:val="0"/>
    <w:rPr>
      <w:rFonts w:ascii="Times New Roman" w:hAnsi="Times New Roman" w:eastAsia="宋体" w:cs="Times New Roman"/>
      <w:kern w:val="2"/>
      <w:sz w:val="21"/>
      <w:szCs w:val="24"/>
      <w:lang w:val="en-US" w:eastAsia="zh-CN" w:bidi="ar-SA"/>
    </w:rPr>
  </w:style>
  <w:style w:type="paragraph" w:customStyle="1" w:styleId="372">
    <w:name w:val="正文样式"/>
    <w:basedOn w:val="1"/>
    <w:link w:val="373"/>
    <w:qFormat/>
    <w:uiPriority w:val="0"/>
    <w:pPr>
      <w:spacing w:before="120" w:after="120" w:line="360" w:lineRule="auto"/>
      <w:ind w:firstLine="200" w:firstLineChars="200"/>
    </w:pPr>
    <w:rPr>
      <w:rFonts w:ascii="仿宋_GB2312" w:hAnsi="仿宋_GB2312" w:eastAsia="仿宋_GB2312"/>
      <w:sz w:val="30"/>
      <w:szCs w:val="30"/>
    </w:rPr>
  </w:style>
  <w:style w:type="character" w:customStyle="1" w:styleId="373">
    <w:name w:val="正文样式 Char"/>
    <w:link w:val="372"/>
    <w:qFormat/>
    <w:uiPriority w:val="0"/>
    <w:rPr>
      <w:rFonts w:ascii="仿宋_GB2312" w:hAnsi="仿宋_GB2312" w:eastAsia="仿宋_GB2312"/>
      <w:kern w:val="2"/>
      <w:sz w:val="30"/>
      <w:szCs w:val="30"/>
    </w:rPr>
  </w:style>
  <w:style w:type="paragraph" w:customStyle="1" w:styleId="374">
    <w:name w:val="正文格式"/>
    <w:basedOn w:val="1"/>
    <w:link w:val="375"/>
    <w:qFormat/>
    <w:uiPriority w:val="0"/>
    <w:pPr>
      <w:spacing w:line="360" w:lineRule="auto"/>
      <w:ind w:firstLine="200" w:firstLineChars="200"/>
    </w:pPr>
    <w:rPr>
      <w:rFonts w:ascii="仿宋_GB2312" w:hAnsi="仿宋_GB2312" w:eastAsia="仿宋_GB2312"/>
      <w:bCs/>
      <w:sz w:val="28"/>
      <w:szCs w:val="20"/>
    </w:rPr>
  </w:style>
  <w:style w:type="character" w:customStyle="1" w:styleId="375">
    <w:name w:val="正文格式 Char"/>
    <w:link w:val="374"/>
    <w:qFormat/>
    <w:uiPriority w:val="0"/>
    <w:rPr>
      <w:rFonts w:ascii="仿宋_GB2312" w:hAnsi="仿宋_GB2312" w:eastAsia="仿宋_GB2312"/>
      <w:bCs/>
      <w:kern w:val="2"/>
      <w:sz w:val="28"/>
    </w:rPr>
  </w:style>
  <w:style w:type="paragraph" w:customStyle="1" w:styleId="376">
    <w:name w:val="正文 + 仿宋_GB2312"/>
    <w:basedOn w:val="1"/>
    <w:qFormat/>
    <w:uiPriority w:val="0"/>
    <w:pPr>
      <w:spacing w:line="480" w:lineRule="exact"/>
      <w:ind w:firstLine="200" w:firstLineChars="200"/>
      <w:jc w:val="left"/>
    </w:pPr>
    <w:rPr>
      <w:rFonts w:ascii="仿宋_GB2312" w:hAnsi="仿宋_GB2312" w:eastAsia="仿宋_GB2312"/>
      <w:color w:val="000000"/>
      <w:kern w:val="0"/>
      <w:sz w:val="28"/>
      <w:szCs w:val="20"/>
    </w:rPr>
  </w:style>
  <w:style w:type="paragraph" w:customStyle="1" w:styleId="377">
    <w:name w:val="正文四号"/>
    <w:basedOn w:val="1"/>
    <w:qFormat/>
    <w:uiPriority w:val="0"/>
    <w:pPr>
      <w:spacing w:line="360" w:lineRule="auto"/>
      <w:ind w:firstLine="560" w:firstLineChars="200"/>
    </w:pPr>
    <w:rPr>
      <w:rFonts w:ascii="仿宋_GB2312" w:hAnsi="宋体" w:eastAsia="仿宋_GB2312"/>
      <w:sz w:val="28"/>
      <w:szCs w:val="20"/>
    </w:rPr>
  </w:style>
  <w:style w:type="paragraph" w:customStyle="1" w:styleId="378">
    <w:name w:val="Char1 Char Char Char"/>
    <w:basedOn w:val="26"/>
    <w:qFormat/>
    <w:uiPriority w:val="0"/>
    <w:pPr>
      <w:adjustRightInd w:val="0"/>
      <w:snapToGrid w:val="0"/>
      <w:spacing w:line="360" w:lineRule="auto"/>
      <w:ind w:firstLine="200" w:firstLineChars="200"/>
    </w:pPr>
    <w:rPr>
      <w:rFonts w:ascii="Tahoma" w:hAnsi="Tahoma" w:eastAsia="仿宋_GB2312" w:cs="Tahoma"/>
      <w:kern w:val="0"/>
      <w:sz w:val="18"/>
    </w:rPr>
  </w:style>
  <w:style w:type="paragraph" w:customStyle="1" w:styleId="379">
    <w:name w:val="无间隔1"/>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380">
    <w:name w:val="6 Char"/>
    <w:basedOn w:val="1"/>
    <w:qFormat/>
    <w:uiPriority w:val="0"/>
    <w:pPr>
      <w:widowControl/>
      <w:spacing w:beforeLines="100" w:after="160" w:line="240" w:lineRule="exact"/>
      <w:ind w:firstLine="200" w:firstLineChars="200"/>
      <w:jc w:val="left"/>
    </w:pPr>
    <w:rPr>
      <w:rFonts w:ascii="仿宋_GB2312" w:hAnsi="仿宋_GB2312" w:eastAsia="仿宋_GB2312"/>
      <w:sz w:val="32"/>
      <w:szCs w:val="32"/>
    </w:rPr>
  </w:style>
  <w:style w:type="paragraph" w:customStyle="1" w:styleId="381">
    <w:name w:val="表头"/>
    <w:basedOn w:val="1"/>
    <w:link w:val="382"/>
    <w:qFormat/>
    <w:uiPriority w:val="0"/>
    <w:pPr>
      <w:spacing w:line="240" w:lineRule="auto"/>
      <w:jc w:val="center"/>
    </w:pPr>
    <w:rPr>
      <w:rFonts w:ascii="仿宋_GB2312" w:hAnsi="宋体" w:eastAsia="仿宋_GB2312"/>
      <w:b/>
      <w:sz w:val="21"/>
      <w:szCs w:val="21"/>
    </w:rPr>
  </w:style>
  <w:style w:type="character" w:customStyle="1" w:styleId="382">
    <w:name w:val="表头 Char"/>
    <w:link w:val="381"/>
    <w:qFormat/>
    <w:uiPriority w:val="0"/>
    <w:rPr>
      <w:rFonts w:ascii="仿宋_GB2312" w:hAnsi="宋体" w:eastAsia="仿宋_GB2312"/>
      <w:b/>
      <w:kern w:val="2"/>
      <w:sz w:val="21"/>
      <w:szCs w:val="21"/>
    </w:rPr>
  </w:style>
  <w:style w:type="paragraph" w:customStyle="1" w:styleId="383">
    <w:name w:val="样式1"/>
    <w:basedOn w:val="4"/>
    <w:link w:val="384"/>
    <w:qFormat/>
    <w:uiPriority w:val="0"/>
    <w:pPr>
      <w:numPr>
        <w:numId w:val="0"/>
      </w:numPr>
      <w:spacing w:beforeLines="0"/>
    </w:pPr>
    <w:rPr>
      <w:rFonts w:ascii="黑体" w:hAnsi="仿宋_GB2312" w:eastAsia="黑体"/>
      <w:kern w:val="2"/>
      <w:sz w:val="28"/>
      <w:szCs w:val="20"/>
      <w:lang w:val="zh-CN"/>
    </w:rPr>
  </w:style>
  <w:style w:type="character" w:customStyle="1" w:styleId="384">
    <w:name w:val="样式1 Char Char"/>
    <w:link w:val="383"/>
    <w:qFormat/>
    <w:uiPriority w:val="0"/>
    <w:rPr>
      <w:rFonts w:ascii="黑体" w:hAnsi="仿宋_GB2312" w:eastAsia="黑体"/>
      <w:b/>
      <w:bCs/>
      <w:kern w:val="2"/>
      <w:sz w:val="28"/>
      <w:lang w:val="zh-CN"/>
    </w:rPr>
  </w:style>
  <w:style w:type="paragraph" w:customStyle="1" w:styleId="385">
    <w:name w:val="表格"/>
    <w:basedOn w:val="1"/>
    <w:link w:val="386"/>
    <w:qFormat/>
    <w:uiPriority w:val="0"/>
    <w:pPr>
      <w:widowControl/>
      <w:spacing w:line="240" w:lineRule="auto"/>
      <w:jc w:val="center"/>
    </w:pPr>
    <w:rPr>
      <w:rFonts w:ascii="仿宋_GB2312" w:hAnsi="宋体" w:eastAsia="仿宋_GB2312"/>
      <w:kern w:val="0"/>
      <w:sz w:val="18"/>
      <w:szCs w:val="18"/>
    </w:rPr>
  </w:style>
  <w:style w:type="character" w:customStyle="1" w:styleId="386">
    <w:name w:val="表格 Char Char"/>
    <w:link w:val="385"/>
    <w:qFormat/>
    <w:uiPriority w:val="0"/>
    <w:rPr>
      <w:rFonts w:ascii="仿宋_GB2312" w:hAnsi="宋体" w:eastAsia="仿宋_GB2312" w:cs="宋体"/>
      <w:sz w:val="18"/>
      <w:szCs w:val="18"/>
    </w:rPr>
  </w:style>
  <w:style w:type="paragraph" w:customStyle="1" w:styleId="387">
    <w:name w:val="图"/>
    <w:basedOn w:val="1"/>
    <w:qFormat/>
    <w:uiPriority w:val="0"/>
    <w:pPr>
      <w:tabs>
        <w:tab w:val="left" w:pos="0"/>
        <w:tab w:val="center" w:pos="4423"/>
        <w:tab w:val="right" w:pos="8845"/>
      </w:tabs>
      <w:snapToGrid w:val="0"/>
      <w:spacing w:line="400" w:lineRule="atLeast"/>
      <w:ind w:firstLine="480" w:firstLineChars="200"/>
      <w:jc w:val="center"/>
    </w:pPr>
    <w:rPr>
      <w:rFonts w:ascii="仿宋_GB2312" w:hAnsi="宋体" w:eastAsia="仿宋_GB2312"/>
      <w:color w:val="000000"/>
      <w:spacing w:val="4"/>
      <w:szCs w:val="20"/>
    </w:rPr>
  </w:style>
  <w:style w:type="paragraph" w:customStyle="1" w:styleId="388">
    <w:name w:val="列出段落1"/>
    <w:basedOn w:val="1"/>
    <w:qFormat/>
    <w:uiPriority w:val="0"/>
    <w:pPr>
      <w:spacing w:line="240" w:lineRule="auto"/>
      <w:ind w:firstLine="420" w:firstLineChars="200"/>
    </w:pPr>
    <w:rPr>
      <w:rFonts w:ascii="仿宋_GB2312" w:hAnsi="仿宋_GB2312"/>
      <w:sz w:val="21"/>
      <w:szCs w:val="20"/>
    </w:rPr>
  </w:style>
  <w:style w:type="paragraph" w:customStyle="1" w:styleId="389">
    <w:name w:val="参考文献"/>
    <w:basedOn w:val="1"/>
    <w:qFormat/>
    <w:uiPriority w:val="0"/>
    <w:pPr>
      <w:tabs>
        <w:tab w:val="left" w:pos="0"/>
        <w:tab w:val="center" w:pos="4423"/>
        <w:tab w:val="right" w:pos="8845"/>
      </w:tabs>
      <w:adjustRightInd w:val="0"/>
      <w:snapToGrid w:val="0"/>
      <w:ind w:left="300" w:hanging="300" w:hangingChars="300"/>
    </w:pPr>
    <w:rPr>
      <w:rFonts w:ascii="仿宋_GB2312" w:hAnsi="宋体" w:eastAsia="仿宋_GB2312"/>
      <w:color w:val="000000"/>
      <w:sz w:val="18"/>
    </w:rPr>
  </w:style>
  <w:style w:type="paragraph" w:customStyle="1" w:styleId="390">
    <w:name w:val="Char Char Char Char"/>
    <w:basedOn w:val="26"/>
    <w:qFormat/>
    <w:uiPriority w:val="0"/>
    <w:pPr>
      <w:adjustRightInd w:val="0"/>
      <w:snapToGrid w:val="0"/>
      <w:spacing w:line="240" w:lineRule="auto"/>
    </w:pPr>
    <w:rPr>
      <w:rFonts w:ascii="Tahoma" w:hAnsi="Tahoma" w:eastAsia="仿宋_GB2312" w:cs="Tahoma"/>
      <w:kern w:val="0"/>
      <w:sz w:val="18"/>
    </w:rPr>
  </w:style>
  <w:style w:type="paragraph" w:customStyle="1" w:styleId="391">
    <w:name w:val="前言、引言标题"/>
    <w:next w:val="1"/>
    <w:qFormat/>
    <w:uiPriority w:val="0"/>
    <w:pPr>
      <w:shd w:val="clear" w:color="FFFFFF" w:fill="FFFFFF"/>
      <w:tabs>
        <w:tab w:val="left" w:pos="360"/>
      </w:tabs>
      <w:spacing w:before="640" w:after="560"/>
      <w:jc w:val="center"/>
      <w:outlineLvl w:val="0"/>
    </w:pPr>
    <w:rPr>
      <w:rFonts w:ascii="黑体" w:hAnsi="Times New Roman" w:eastAsia="黑体" w:cs="Times New Roman"/>
      <w:sz w:val="32"/>
      <w:lang w:val="en-US" w:eastAsia="zh-CN" w:bidi="ar-SA"/>
    </w:rPr>
  </w:style>
  <w:style w:type="paragraph" w:customStyle="1" w:styleId="392">
    <w:name w:val="表头标题"/>
    <w:basedOn w:val="1"/>
    <w:link w:val="393"/>
    <w:qFormat/>
    <w:uiPriority w:val="0"/>
    <w:pPr>
      <w:snapToGrid w:val="0"/>
      <w:spacing w:line="400" w:lineRule="exact"/>
      <w:jc w:val="center"/>
    </w:pPr>
    <w:rPr>
      <w:rFonts w:ascii="仿宋_GB2312" w:hAnsi="仿宋_GB2312" w:eastAsia="仿宋_GB2312"/>
      <w:b/>
      <w:sz w:val="21"/>
      <w:szCs w:val="21"/>
    </w:rPr>
  </w:style>
  <w:style w:type="character" w:customStyle="1" w:styleId="393">
    <w:name w:val="表头标题 Char"/>
    <w:link w:val="392"/>
    <w:qFormat/>
    <w:uiPriority w:val="0"/>
    <w:rPr>
      <w:rFonts w:ascii="仿宋_GB2312" w:hAnsi="仿宋_GB2312" w:eastAsia="仿宋_GB2312"/>
      <w:b/>
      <w:kern w:val="2"/>
      <w:sz w:val="21"/>
      <w:szCs w:val="21"/>
    </w:rPr>
  </w:style>
  <w:style w:type="paragraph" w:customStyle="1" w:styleId="394">
    <w:name w:val="Char1"/>
    <w:basedOn w:val="1"/>
    <w:qFormat/>
    <w:uiPriority w:val="0"/>
    <w:pPr>
      <w:spacing w:line="240" w:lineRule="auto"/>
    </w:pPr>
    <w:rPr>
      <w:rFonts w:eastAsia="仿宋_GB2312" w:cs="Arial"/>
      <w:sz w:val="21"/>
      <w:szCs w:val="72"/>
    </w:rPr>
  </w:style>
  <w:style w:type="paragraph" w:customStyle="1" w:styleId="395">
    <w:name w:val="Char Char Char4"/>
    <w:basedOn w:val="1"/>
    <w:qFormat/>
    <w:uiPriority w:val="0"/>
    <w:pPr>
      <w:keepNext/>
      <w:widowControl/>
      <w:tabs>
        <w:tab w:val="left" w:pos="425"/>
      </w:tabs>
      <w:autoSpaceDE w:val="0"/>
      <w:autoSpaceDN w:val="0"/>
      <w:adjustRightInd w:val="0"/>
      <w:spacing w:before="80" w:after="80" w:line="240" w:lineRule="auto"/>
      <w:ind w:hanging="425"/>
    </w:pPr>
    <w:rPr>
      <w:rFonts w:ascii="Arial" w:hAnsi="Arial" w:eastAsia="仿宋_GB2312"/>
      <w:sz w:val="20"/>
      <w:szCs w:val="20"/>
    </w:rPr>
  </w:style>
  <w:style w:type="paragraph" w:customStyle="1" w:styleId="396">
    <w:name w:val="样式 参考文献 + 首行缩进:  2 字符"/>
    <w:basedOn w:val="389"/>
    <w:qFormat/>
    <w:uiPriority w:val="0"/>
    <w:pPr>
      <w:ind w:left="200" w:hanging="200" w:hangingChars="200"/>
    </w:pPr>
    <w:rPr>
      <w:rFonts w:ascii="Times New Roman"/>
      <w:szCs w:val="20"/>
    </w:rPr>
  </w:style>
  <w:style w:type="paragraph" w:customStyle="1" w:styleId="397">
    <w:name w:val="MTDisplayEquation"/>
    <w:basedOn w:val="1"/>
    <w:next w:val="1"/>
    <w:qFormat/>
    <w:uiPriority w:val="0"/>
    <w:pPr>
      <w:tabs>
        <w:tab w:val="center" w:pos="4820"/>
        <w:tab w:val="right" w:pos="9640"/>
      </w:tabs>
      <w:snapToGrid w:val="0"/>
      <w:spacing w:line="300" w:lineRule="auto"/>
      <w:ind w:firstLine="480" w:firstLineChars="200"/>
    </w:pPr>
    <w:rPr>
      <w:rFonts w:hAnsi="宋体" w:eastAsia="仿宋_GB2312"/>
      <w:color w:val="000000"/>
      <w:szCs w:val="20"/>
    </w:rPr>
  </w:style>
  <w:style w:type="paragraph" w:customStyle="1" w:styleId="398">
    <w:name w:val="CM55"/>
    <w:basedOn w:val="399"/>
    <w:next w:val="399"/>
    <w:qFormat/>
    <w:uiPriority w:val="0"/>
    <w:pPr>
      <w:spacing w:after="110"/>
    </w:pPr>
    <w:rPr>
      <w:rFonts w:ascii="宋体" w:eastAsia="宋体"/>
      <w:color w:val="auto"/>
    </w:rPr>
  </w:style>
  <w:style w:type="paragraph" w:customStyle="1" w:styleId="399">
    <w:name w:val="Default"/>
    <w:qFormat/>
    <w:uiPriority w:val="0"/>
    <w:pPr>
      <w:widowControl w:val="0"/>
      <w:autoSpaceDE w:val="0"/>
      <w:autoSpaceDN w:val="0"/>
      <w:adjustRightInd w:val="0"/>
    </w:pPr>
    <w:rPr>
      <w:rFonts w:ascii="ST Song" w:hAnsi="Times New Roman" w:eastAsia="ST Song" w:cs="Times New Roman"/>
      <w:color w:val="000000"/>
      <w:sz w:val="24"/>
      <w:lang w:val="en-US" w:eastAsia="zh-CN" w:bidi="ar-SA"/>
    </w:rPr>
  </w:style>
  <w:style w:type="paragraph" w:customStyle="1" w:styleId="400">
    <w:name w:val="_正文 Char"/>
    <w:basedOn w:val="1"/>
    <w:qFormat/>
    <w:uiPriority w:val="0"/>
    <w:pPr>
      <w:spacing w:before="120" w:line="520" w:lineRule="exact"/>
      <w:ind w:firstLine="560" w:firstLineChars="200"/>
      <w:textAlignment w:val="baseline"/>
    </w:pPr>
    <w:rPr>
      <w:rFonts w:ascii="华文细黑" w:hAnsi="华文细黑" w:eastAsia="华文细黑"/>
      <w:sz w:val="28"/>
      <w:szCs w:val="20"/>
    </w:rPr>
  </w:style>
  <w:style w:type="paragraph" w:customStyle="1" w:styleId="401">
    <w:name w:val="表文"/>
    <w:basedOn w:val="1"/>
    <w:qFormat/>
    <w:uiPriority w:val="0"/>
    <w:pPr>
      <w:spacing w:line="240" w:lineRule="auto"/>
      <w:jc w:val="center"/>
    </w:pPr>
    <w:rPr>
      <w:rFonts w:eastAsia="仿宋_GB2312"/>
    </w:rPr>
  </w:style>
  <w:style w:type="paragraph" w:customStyle="1" w:styleId="402">
    <w:name w:val="Char Char Char Char Char Char Char2"/>
    <w:basedOn w:val="1"/>
    <w:link w:val="403"/>
    <w:qFormat/>
    <w:uiPriority w:val="0"/>
    <w:pPr>
      <w:spacing w:line="240" w:lineRule="auto"/>
    </w:pPr>
    <w:rPr>
      <w:sz w:val="21"/>
    </w:rPr>
  </w:style>
  <w:style w:type="character" w:customStyle="1" w:styleId="403">
    <w:name w:val="Char Char Char Char Char Char Char Char Char Char Char Char Char Char Char Char"/>
    <w:link w:val="402"/>
    <w:qFormat/>
    <w:uiPriority w:val="0"/>
    <w:rPr>
      <w:kern w:val="2"/>
      <w:sz w:val="21"/>
      <w:szCs w:val="24"/>
    </w:rPr>
  </w:style>
  <w:style w:type="paragraph" w:customStyle="1" w:styleId="404">
    <w:name w:val="表头、图明"/>
    <w:basedOn w:val="1"/>
    <w:qFormat/>
    <w:uiPriority w:val="0"/>
    <w:pPr>
      <w:spacing w:beforeLines="50" w:afterLines="50" w:line="400" w:lineRule="atLeast"/>
      <w:jc w:val="center"/>
    </w:pPr>
    <w:rPr>
      <w:rFonts w:ascii="Arial" w:hAnsi="Arial" w:eastAsia="幼圆"/>
      <w:b/>
      <w:color w:val="993366"/>
      <w:szCs w:val="21"/>
    </w:rPr>
  </w:style>
  <w:style w:type="paragraph" w:customStyle="1" w:styleId="405">
    <w:name w:val="样式 标题 1 + 左侧:  1 厘米 悬挂缩进: 19.24 字符 行距: 1.5 倍行距"/>
    <w:basedOn w:val="4"/>
    <w:qFormat/>
    <w:uiPriority w:val="0"/>
    <w:pPr>
      <w:numPr>
        <w:numId w:val="16"/>
      </w:numPr>
      <w:tabs>
        <w:tab w:val="left" w:pos="720"/>
      </w:tabs>
      <w:autoSpaceDE w:val="0"/>
      <w:autoSpaceDN w:val="0"/>
      <w:adjustRightInd w:val="0"/>
      <w:spacing w:beforeLines="0"/>
      <w:jc w:val="both"/>
    </w:pPr>
    <w:rPr>
      <w:rFonts w:ascii="黑体" w:eastAsia="黑体" w:cs="宋体"/>
      <w:bCs w:val="0"/>
      <w:color w:val="000000"/>
      <w:kern w:val="2"/>
      <w:sz w:val="28"/>
      <w:szCs w:val="20"/>
      <w:lang w:val="zh-CN"/>
    </w:rPr>
  </w:style>
  <w:style w:type="paragraph" w:customStyle="1" w:styleId="406">
    <w:name w:val="Char2"/>
    <w:basedOn w:val="1"/>
    <w:qFormat/>
    <w:uiPriority w:val="0"/>
    <w:pPr>
      <w:spacing w:line="240" w:lineRule="auto"/>
    </w:pPr>
    <w:rPr>
      <w:rFonts w:eastAsia="仿宋_GB2312" w:cs="Arial"/>
      <w:sz w:val="21"/>
      <w:szCs w:val="72"/>
    </w:rPr>
  </w:style>
  <w:style w:type="paragraph" w:customStyle="1" w:styleId="407">
    <w:name w:val="样式 标题 2标题 y2h2l22nd levelTitre22Header 2节标题 1.1节标题一级节名..."/>
    <w:basedOn w:val="5"/>
    <w:qFormat/>
    <w:uiPriority w:val="0"/>
    <w:pPr>
      <w:tabs>
        <w:tab w:val="left" w:pos="576"/>
        <w:tab w:val="left" w:pos="1092"/>
      </w:tabs>
      <w:spacing w:beforeLines="0" w:line="416" w:lineRule="auto"/>
      <w:ind w:left="576" w:hanging="576"/>
    </w:pPr>
    <w:rPr>
      <w:color w:val="000000"/>
      <w:sz w:val="32"/>
    </w:rPr>
  </w:style>
  <w:style w:type="paragraph" w:customStyle="1" w:styleId="408">
    <w:name w:val="biaoge"/>
    <w:basedOn w:val="385"/>
    <w:qFormat/>
    <w:uiPriority w:val="0"/>
    <w:pPr>
      <w:ind w:firstLine="562"/>
    </w:pPr>
    <w:rPr>
      <w:b/>
    </w:rPr>
  </w:style>
  <w:style w:type="paragraph" w:customStyle="1" w:styleId="409">
    <w:name w:val="表噶"/>
    <w:basedOn w:val="385"/>
    <w:qFormat/>
    <w:uiPriority w:val="0"/>
  </w:style>
  <w:style w:type="paragraph" w:customStyle="1" w:styleId="410">
    <w:name w:val="比阿婆个"/>
    <w:basedOn w:val="1"/>
    <w:qFormat/>
    <w:uiPriority w:val="0"/>
    <w:pPr>
      <w:spacing w:line="360" w:lineRule="auto"/>
      <w:ind w:firstLine="440" w:firstLineChars="200"/>
      <w:jc w:val="right"/>
    </w:pPr>
    <w:rPr>
      <w:rFonts w:ascii="仿宋_GB2312" w:hAnsi="仿宋_GB2312" w:eastAsia="仿宋_GB2312"/>
      <w:color w:val="000000"/>
      <w:sz w:val="22"/>
      <w:szCs w:val="22"/>
    </w:rPr>
  </w:style>
  <w:style w:type="paragraph" w:customStyle="1" w:styleId="411">
    <w:name w:val="表个人"/>
    <w:basedOn w:val="1"/>
    <w:qFormat/>
    <w:uiPriority w:val="0"/>
    <w:pPr>
      <w:spacing w:line="360" w:lineRule="auto"/>
      <w:ind w:firstLine="440" w:firstLineChars="200"/>
      <w:jc w:val="right"/>
    </w:pPr>
    <w:rPr>
      <w:rFonts w:ascii="仿宋_GB2312" w:hAnsi="仿宋_GB2312" w:eastAsia="仿宋_GB2312"/>
      <w:color w:val="000000"/>
      <w:sz w:val="22"/>
      <w:szCs w:val="22"/>
    </w:rPr>
  </w:style>
  <w:style w:type="paragraph" w:customStyle="1" w:styleId="412">
    <w:name w:val="正正文"/>
    <w:basedOn w:val="1"/>
    <w:qFormat/>
    <w:uiPriority w:val="0"/>
    <w:pPr>
      <w:spacing w:line="360" w:lineRule="auto"/>
      <w:ind w:firstLine="420" w:firstLineChars="200"/>
    </w:pPr>
    <w:rPr>
      <w:rFonts w:ascii="仿宋_GB2312" w:hAnsi="仿宋_GB2312" w:eastAsia="仿宋_GB2312"/>
      <w:sz w:val="28"/>
      <w:szCs w:val="20"/>
    </w:rPr>
  </w:style>
  <w:style w:type="paragraph" w:customStyle="1" w:styleId="413">
    <w:name w:val="注"/>
    <w:basedOn w:val="1"/>
    <w:qFormat/>
    <w:uiPriority w:val="0"/>
    <w:pPr>
      <w:adjustRightInd w:val="0"/>
      <w:snapToGrid w:val="0"/>
      <w:spacing w:line="240" w:lineRule="auto"/>
      <w:ind w:firstLine="200" w:firstLineChars="200"/>
    </w:pPr>
    <w:rPr>
      <w:sz w:val="18"/>
      <w:szCs w:val="20"/>
    </w:rPr>
  </w:style>
  <w:style w:type="paragraph" w:customStyle="1" w:styleId="414">
    <w:name w:val="表哥"/>
    <w:basedOn w:val="1"/>
    <w:qFormat/>
    <w:uiPriority w:val="0"/>
    <w:pPr>
      <w:widowControl/>
      <w:tabs>
        <w:tab w:val="left" w:pos="735"/>
      </w:tabs>
      <w:adjustRightInd w:val="0"/>
      <w:snapToGrid w:val="0"/>
      <w:spacing w:line="360" w:lineRule="auto"/>
      <w:jc w:val="center"/>
    </w:pPr>
    <w:rPr>
      <w:rFonts w:ascii="仿宋_GB2312" w:hAnsi="仿宋_GB2312" w:eastAsia="仿宋_GB2312"/>
      <w:b/>
      <w:kern w:val="0"/>
      <w:sz w:val="18"/>
      <w:szCs w:val="18"/>
    </w:rPr>
  </w:style>
  <w:style w:type="paragraph" w:customStyle="1" w:styleId="415">
    <w:name w:val="扁头"/>
    <w:basedOn w:val="8"/>
    <w:qFormat/>
    <w:uiPriority w:val="0"/>
    <w:pPr>
      <w:numPr>
        <w:numId w:val="0"/>
      </w:numPr>
      <w:tabs>
        <w:tab w:val="left" w:pos="0"/>
        <w:tab w:val="left" w:pos="735"/>
        <w:tab w:val="center" w:pos="4423"/>
        <w:tab w:val="right" w:pos="8845"/>
      </w:tabs>
      <w:adjustRightInd w:val="0"/>
      <w:snapToGrid w:val="0"/>
      <w:spacing w:before="240" w:line="300" w:lineRule="auto"/>
      <w:ind w:left="-1706" w:firstLine="562" w:firstLineChars="200"/>
      <w:jc w:val="both"/>
    </w:pPr>
    <w:rPr>
      <w:rFonts w:ascii="仿宋_GB2312" w:hAnsi="宋体" w:eastAsia="仿宋_GB2312"/>
      <w:color w:val="000000"/>
      <w:sz w:val="28"/>
      <w:szCs w:val="21"/>
    </w:rPr>
  </w:style>
  <w:style w:type="paragraph" w:customStyle="1" w:styleId="416">
    <w:name w:val="Char Char Char Char Char Char"/>
    <w:basedOn w:val="1"/>
    <w:qFormat/>
    <w:uiPriority w:val="0"/>
    <w:pPr>
      <w:spacing w:line="360" w:lineRule="auto"/>
    </w:pPr>
    <w:rPr>
      <w:rFonts w:eastAsia="仿宋_GB2312" w:cs="Arial"/>
      <w:sz w:val="21"/>
      <w:szCs w:val="72"/>
    </w:rPr>
  </w:style>
  <w:style w:type="paragraph" w:customStyle="1" w:styleId="417">
    <w:name w:val="样式 标题 2标题 2 节标题节标题一级节名h22nd levelTitre2l22Header 2Head..."/>
    <w:basedOn w:val="5"/>
    <w:qFormat/>
    <w:uiPriority w:val="0"/>
    <w:pPr>
      <w:spacing w:before="156" w:after="156"/>
    </w:pPr>
    <w:rPr>
      <w:rFonts w:cs="宋体"/>
      <w:szCs w:val="20"/>
    </w:rPr>
  </w:style>
  <w:style w:type="paragraph" w:customStyle="1" w:styleId="418">
    <w:name w:val="样式 标题 3标题 3 二级节二级节名条标题h33rd level3l3Level 3 HeadH3head...1"/>
    <w:basedOn w:val="6"/>
    <w:qFormat/>
    <w:uiPriority w:val="0"/>
    <w:pPr>
      <w:spacing w:before="156" w:after="156"/>
    </w:pPr>
    <w:rPr>
      <w:rFonts w:cs="宋体"/>
      <w:szCs w:val="20"/>
    </w:rPr>
  </w:style>
  <w:style w:type="paragraph" w:customStyle="1" w:styleId="419">
    <w:name w:val="样式 标题 4款标题H4标题 4 Char Char标题 4 Char Char Char标题 4 CharRef ...6"/>
    <w:basedOn w:val="7"/>
    <w:qFormat/>
    <w:uiPriority w:val="0"/>
    <w:pPr>
      <w:spacing w:before="156" w:after="156"/>
    </w:pPr>
    <w:rPr>
      <w:rFonts w:cs="宋体"/>
      <w:szCs w:val="20"/>
    </w:rPr>
  </w:style>
  <w:style w:type="paragraph" w:customStyle="1" w:styleId="420">
    <w:name w:val="样式 标题 1章标题(有序号)h11st levelSection Headl1H11H11H12H13H..."/>
    <w:basedOn w:val="4"/>
    <w:qFormat/>
    <w:uiPriority w:val="0"/>
    <w:pPr>
      <w:spacing w:before="156" w:after="156"/>
    </w:pPr>
    <w:rPr>
      <w:rFonts w:cs="宋体"/>
      <w:szCs w:val="20"/>
    </w:rPr>
  </w:style>
  <w:style w:type="paragraph" w:customStyle="1" w:styleId="421">
    <w:name w:val="样式 样式 样式 列表正文 + 段前: 0.3 行 段后: 0.3 行 + 段前: 0.3 行 段后: 0.3 行 + 右侧: ..."/>
    <w:basedOn w:val="1"/>
    <w:qFormat/>
    <w:uiPriority w:val="0"/>
    <w:pPr>
      <w:numPr>
        <w:ilvl w:val="0"/>
        <w:numId w:val="17"/>
      </w:numPr>
      <w:adjustRightInd w:val="0"/>
      <w:snapToGrid w:val="0"/>
      <w:spacing w:beforeLines="30" w:afterLines="30" w:line="240" w:lineRule="auto"/>
      <w:ind w:left="200" w:leftChars="200"/>
    </w:pPr>
    <w:rPr>
      <w:rFonts w:cs="宋体"/>
      <w:sz w:val="28"/>
      <w:szCs w:val="20"/>
    </w:rPr>
  </w:style>
  <w:style w:type="paragraph" w:customStyle="1" w:styleId="422">
    <w:name w:val="样式 小五 居中 段后: 7.8 磅 行距: 单倍行距"/>
    <w:basedOn w:val="1"/>
    <w:qFormat/>
    <w:uiPriority w:val="0"/>
    <w:pPr>
      <w:spacing w:line="240" w:lineRule="auto"/>
      <w:jc w:val="center"/>
    </w:pPr>
    <w:rPr>
      <w:rFonts w:cs="宋体"/>
      <w:sz w:val="18"/>
      <w:szCs w:val="20"/>
    </w:rPr>
  </w:style>
  <w:style w:type="paragraph" w:customStyle="1" w:styleId="423">
    <w:name w:val="样式 样式 行距: 1.5 倍行距 + 宋体"/>
    <w:basedOn w:val="6"/>
    <w:qFormat/>
    <w:uiPriority w:val="0"/>
    <w:pPr>
      <w:numPr>
        <w:numId w:val="0"/>
      </w:numPr>
      <w:adjustRightInd w:val="0"/>
      <w:spacing w:beforeLines="0" w:beforeAutospacing="1" w:afterAutospacing="1" w:line="640" w:lineRule="exact"/>
      <w:textAlignment w:val="baseline"/>
    </w:pPr>
    <w:rPr>
      <w:rFonts w:ascii="宋体" w:hAnsi="宋体"/>
      <w:kern w:val="0"/>
      <w:sz w:val="30"/>
      <w:szCs w:val="20"/>
    </w:rPr>
  </w:style>
  <w:style w:type="paragraph" w:customStyle="1" w:styleId="424">
    <w:name w:val="审"/>
    <w:basedOn w:val="1"/>
    <w:qFormat/>
    <w:uiPriority w:val="0"/>
    <w:pPr>
      <w:spacing w:line="720" w:lineRule="auto"/>
      <w:jc w:val="left"/>
    </w:pPr>
    <w:rPr>
      <w:rFonts w:ascii="黑体" w:hAnsi="黑体" w:eastAsia="黑体"/>
      <w:b/>
      <w:sz w:val="32"/>
      <w:szCs w:val="28"/>
    </w:rPr>
  </w:style>
  <w:style w:type="paragraph" w:customStyle="1" w:styleId="425">
    <w:name w:val="一级无标题条"/>
    <w:basedOn w:val="1"/>
    <w:qFormat/>
    <w:uiPriority w:val="0"/>
    <w:pPr>
      <w:tabs>
        <w:tab w:val="left" w:pos="0"/>
      </w:tabs>
      <w:spacing w:line="240" w:lineRule="auto"/>
    </w:pPr>
    <w:rPr>
      <w:sz w:val="21"/>
      <w:szCs w:val="20"/>
    </w:rPr>
  </w:style>
  <w:style w:type="paragraph" w:customStyle="1" w:styleId="426">
    <w:name w:val="封面标准英文名称"/>
    <w:qFormat/>
    <w:uiPriority w:val="0"/>
    <w:pPr>
      <w:widowControl w:val="0"/>
      <w:spacing w:before="370" w:line="400" w:lineRule="exact"/>
      <w:jc w:val="center"/>
    </w:pPr>
    <w:rPr>
      <w:rFonts w:ascii="Times New Roman" w:hAnsi="Times New Roman" w:eastAsia="宋体" w:cs="Times New Roman"/>
      <w:kern w:val="2"/>
      <w:sz w:val="28"/>
      <w:szCs w:val="22"/>
      <w:lang w:val="en-US" w:eastAsia="zh-CN" w:bidi="ar-SA"/>
    </w:rPr>
  </w:style>
  <w:style w:type="paragraph" w:customStyle="1" w:styleId="427">
    <w:name w:val="表格字体1"/>
    <w:basedOn w:val="1"/>
    <w:qFormat/>
    <w:uiPriority w:val="0"/>
    <w:pPr>
      <w:overflowPunct w:val="0"/>
      <w:spacing w:line="0" w:lineRule="atLeast"/>
      <w:jc w:val="center"/>
    </w:pPr>
    <w:rPr>
      <w:rFonts w:ascii="宋体" w:hAnsi="宋体"/>
      <w:bCs/>
      <w:kern w:val="0"/>
      <w:sz w:val="21"/>
    </w:rPr>
  </w:style>
  <w:style w:type="paragraph" w:customStyle="1" w:styleId="428">
    <w:name w:val="样式10"/>
    <w:basedOn w:val="4"/>
    <w:qFormat/>
    <w:uiPriority w:val="0"/>
    <w:pPr>
      <w:numPr>
        <w:numId w:val="0"/>
      </w:numPr>
      <w:spacing w:beforeLines="0"/>
    </w:pPr>
    <w:rPr>
      <w:rFonts w:ascii="宋体" w:hAnsi="宋体"/>
      <w:bCs w:val="0"/>
      <w:szCs w:val="24"/>
    </w:rPr>
  </w:style>
  <w:style w:type="paragraph" w:customStyle="1" w:styleId="429">
    <w:name w:val="文献分类号"/>
    <w:qFormat/>
    <w:uiPriority w:val="0"/>
    <w:pPr>
      <w:widowControl w:val="0"/>
      <w:textAlignment w:val="center"/>
    </w:pPr>
    <w:rPr>
      <w:rFonts w:ascii="Times New Roman" w:hAnsi="Times New Roman" w:eastAsia="黑体" w:cs="Times New Roman"/>
      <w:kern w:val="2"/>
      <w:sz w:val="21"/>
      <w:szCs w:val="22"/>
      <w:lang w:val="en-US" w:eastAsia="zh-CN" w:bidi="ar-SA"/>
    </w:rPr>
  </w:style>
  <w:style w:type="paragraph" w:customStyle="1" w:styleId="430">
    <w:name w:val="乐山-正文 Char"/>
    <w:basedOn w:val="1"/>
    <w:next w:val="1"/>
    <w:qFormat/>
    <w:uiPriority w:val="0"/>
    <w:pPr>
      <w:spacing w:line="440" w:lineRule="exact"/>
      <w:ind w:firstLine="200" w:firstLineChars="200"/>
    </w:pPr>
    <w:rPr>
      <w:rFonts w:ascii="Arial" w:hAnsi="Arial" w:eastAsia="华文细黑" w:cs="宋体"/>
      <w:sz w:val="21"/>
      <w:szCs w:val="20"/>
    </w:rPr>
  </w:style>
  <w:style w:type="paragraph" w:customStyle="1" w:styleId="431">
    <w:name w:val="样式 题注 + 首行缩进:  2 字符1"/>
    <w:basedOn w:val="22"/>
    <w:qFormat/>
    <w:uiPriority w:val="0"/>
    <w:pPr>
      <w:snapToGrid w:val="0"/>
    </w:pPr>
    <w:rPr>
      <w:rFonts w:cs="宋体"/>
      <w:b w:val="0"/>
      <w:sz w:val="28"/>
    </w:rPr>
  </w:style>
  <w:style w:type="paragraph" w:customStyle="1" w:styleId="432">
    <w:name w:val="目次、标准名称标题"/>
    <w:basedOn w:val="391"/>
    <w:next w:val="322"/>
    <w:qFormat/>
    <w:uiPriority w:val="0"/>
    <w:pPr>
      <w:tabs>
        <w:tab w:val="clear" w:pos="360"/>
      </w:tabs>
      <w:spacing w:line="460" w:lineRule="exact"/>
    </w:pPr>
    <w:rPr>
      <w:kern w:val="2"/>
      <w:szCs w:val="22"/>
    </w:rPr>
  </w:style>
  <w:style w:type="paragraph" w:customStyle="1" w:styleId="433">
    <w:name w:val="表格标注"/>
    <w:basedOn w:val="2"/>
    <w:next w:val="2"/>
    <w:link w:val="434"/>
    <w:qFormat/>
    <w:uiPriority w:val="0"/>
    <w:pPr>
      <w:spacing w:line="240" w:lineRule="auto"/>
      <w:ind w:firstLine="624" w:firstLineChars="0"/>
    </w:pPr>
    <w:rPr>
      <w:rFonts w:eastAsia="仿宋_GB2312"/>
      <w:sz w:val="21"/>
    </w:rPr>
  </w:style>
  <w:style w:type="character" w:customStyle="1" w:styleId="434">
    <w:name w:val="表格标注 Char1"/>
    <w:link w:val="433"/>
    <w:qFormat/>
    <w:uiPriority w:val="0"/>
    <w:rPr>
      <w:rFonts w:eastAsia="仿宋_GB2312"/>
      <w:kern w:val="2"/>
      <w:sz w:val="21"/>
      <w:szCs w:val="24"/>
    </w:rPr>
  </w:style>
  <w:style w:type="paragraph" w:customStyle="1" w:styleId="435">
    <w:name w:val="11"/>
    <w:basedOn w:val="1"/>
    <w:next w:val="2"/>
    <w:qFormat/>
    <w:uiPriority w:val="0"/>
    <w:pPr>
      <w:spacing w:line="360" w:lineRule="auto"/>
      <w:ind w:firstLine="200" w:firstLineChars="200"/>
    </w:pPr>
  </w:style>
  <w:style w:type="paragraph" w:customStyle="1" w:styleId="436">
    <w:name w:val="样式 样式 缩进正文徐海东 + 首行缩进:  2 字符 段前: 1 行 + 首行缩进:  2 字符 段前: 1 行 段后: ..."/>
    <w:basedOn w:val="1"/>
    <w:qFormat/>
    <w:uiPriority w:val="0"/>
    <w:pPr>
      <w:spacing w:beforeLines="50" w:afterLines="50" w:line="360" w:lineRule="auto"/>
      <w:ind w:firstLine="200" w:firstLineChars="200"/>
    </w:pPr>
    <w:rPr>
      <w:rFonts w:cs="宋体"/>
      <w:szCs w:val="20"/>
    </w:rPr>
  </w:style>
  <w:style w:type="paragraph" w:customStyle="1" w:styleId="437">
    <w:name w:val="样式 标题 2 + 行距: 单倍行距"/>
    <w:basedOn w:val="6"/>
    <w:qFormat/>
    <w:uiPriority w:val="0"/>
    <w:pPr>
      <w:numPr>
        <w:numId w:val="0"/>
      </w:numPr>
      <w:adjustRightInd w:val="0"/>
      <w:snapToGrid w:val="0"/>
      <w:spacing w:beforeLines="0" w:line="240" w:lineRule="auto"/>
    </w:pPr>
    <w:rPr>
      <w:rFonts w:ascii="仿宋_GB2312" w:hAnsi="Arial" w:eastAsia="仿宋_GB2312"/>
      <w:b w:val="0"/>
      <w:bCs w:val="0"/>
      <w:szCs w:val="20"/>
    </w:rPr>
  </w:style>
  <w:style w:type="paragraph" w:customStyle="1" w:styleId="438">
    <w:name w:val="标准书眉_奇数页"/>
    <w:next w:val="1"/>
    <w:qFormat/>
    <w:uiPriority w:val="0"/>
    <w:pPr>
      <w:tabs>
        <w:tab w:val="center" w:pos="4154"/>
        <w:tab w:val="right" w:pos="8306"/>
      </w:tabs>
      <w:spacing w:after="120"/>
      <w:jc w:val="right"/>
    </w:pPr>
    <w:rPr>
      <w:rFonts w:ascii="Times New Roman" w:hAnsi="Times New Roman" w:eastAsia="宋体" w:cs="Times New Roman"/>
      <w:kern w:val="2"/>
      <w:sz w:val="21"/>
      <w:szCs w:val="22"/>
      <w:lang w:val="en-US" w:eastAsia="zh-CN" w:bidi="ar-SA"/>
    </w:rPr>
  </w:style>
  <w:style w:type="paragraph" w:customStyle="1" w:styleId="439">
    <w:name w:val="Char Char Char Char Char Char Char Char Char Char Char Char"/>
    <w:basedOn w:val="1"/>
    <w:qFormat/>
    <w:uiPriority w:val="0"/>
    <w:pPr>
      <w:spacing w:line="240" w:lineRule="atLeast"/>
      <w:ind w:left="420" w:firstLine="420"/>
    </w:pPr>
    <w:rPr>
      <w:kern w:val="0"/>
      <w:sz w:val="21"/>
      <w:szCs w:val="20"/>
    </w:rPr>
  </w:style>
  <w:style w:type="paragraph" w:customStyle="1" w:styleId="440">
    <w:name w:val="样式 正文缩进正文标准正文标准 Char Char正文标准 Char正文不缩进表正文正文非缩进段1四号Body..."/>
    <w:basedOn w:val="2"/>
    <w:qFormat/>
    <w:uiPriority w:val="0"/>
    <w:pPr>
      <w:spacing w:line="500" w:lineRule="exact"/>
      <w:ind w:firstLine="560"/>
    </w:pPr>
    <w:rPr>
      <w:rFonts w:eastAsia="仿宋_GB2312" w:cs="宋体"/>
      <w:sz w:val="30"/>
      <w:szCs w:val="28"/>
    </w:rPr>
  </w:style>
  <w:style w:type="paragraph" w:customStyle="1" w:styleId="441">
    <w:name w:val="mlt-表格标题"/>
    <w:basedOn w:val="10"/>
    <w:link w:val="442"/>
    <w:qFormat/>
    <w:uiPriority w:val="0"/>
    <w:pPr>
      <w:numPr>
        <w:numId w:val="0"/>
      </w:numPr>
      <w:spacing w:before="0" w:after="0" w:line="240" w:lineRule="auto"/>
    </w:pPr>
    <w:rPr>
      <w:b w:val="0"/>
      <w:bCs w:val="0"/>
      <w:sz w:val="21"/>
      <w:szCs w:val="21"/>
    </w:rPr>
  </w:style>
  <w:style w:type="character" w:customStyle="1" w:styleId="442">
    <w:name w:val="mlt-表格标题 Char Char"/>
    <w:link w:val="441"/>
    <w:qFormat/>
    <w:uiPriority w:val="0"/>
    <w:rPr>
      <w:kern w:val="2"/>
      <w:sz w:val="21"/>
      <w:szCs w:val="21"/>
    </w:rPr>
  </w:style>
  <w:style w:type="paragraph" w:customStyle="1" w:styleId="443">
    <w:name w:val="缩进正文徐海东 Char Char Char Char Char Char"/>
    <w:basedOn w:val="1"/>
    <w:qFormat/>
    <w:uiPriority w:val="0"/>
    <w:pPr>
      <w:spacing w:beforeLines="100" w:line="360" w:lineRule="auto"/>
      <w:ind w:firstLine="200" w:firstLineChars="200"/>
    </w:pPr>
    <w:rPr>
      <w:rFonts w:cs="宋体"/>
    </w:rPr>
  </w:style>
  <w:style w:type="paragraph" w:customStyle="1" w:styleId="444">
    <w:name w:val="附录五级条标题"/>
    <w:basedOn w:val="445"/>
    <w:next w:val="1"/>
    <w:qFormat/>
    <w:uiPriority w:val="0"/>
    <w:pPr>
      <w:numPr>
        <w:ilvl w:val="6"/>
        <w:numId w:val="13"/>
      </w:numPr>
      <w:tabs>
        <w:tab w:val="left" w:pos="840"/>
        <w:tab w:val="left" w:pos="900"/>
        <w:tab w:val="left" w:pos="2520"/>
      </w:tabs>
      <w:outlineLvl w:val="6"/>
    </w:pPr>
  </w:style>
  <w:style w:type="paragraph" w:customStyle="1" w:styleId="445">
    <w:name w:val="附录四级条标题"/>
    <w:basedOn w:val="446"/>
    <w:next w:val="1"/>
    <w:qFormat/>
    <w:uiPriority w:val="0"/>
    <w:pPr>
      <w:tabs>
        <w:tab w:val="left" w:pos="840"/>
        <w:tab w:val="left" w:pos="900"/>
        <w:tab w:val="left" w:pos="2520"/>
      </w:tabs>
      <w:ind w:left="2520" w:hanging="420"/>
      <w:outlineLvl w:val="5"/>
    </w:pPr>
  </w:style>
  <w:style w:type="paragraph" w:customStyle="1" w:styleId="446">
    <w:name w:val="附录三级条标题"/>
    <w:basedOn w:val="447"/>
    <w:next w:val="1"/>
    <w:qFormat/>
    <w:uiPriority w:val="0"/>
    <w:pPr>
      <w:tabs>
        <w:tab w:val="left" w:pos="840"/>
        <w:tab w:val="left" w:pos="900"/>
      </w:tabs>
      <w:outlineLvl w:val="4"/>
    </w:pPr>
  </w:style>
  <w:style w:type="paragraph" w:customStyle="1" w:styleId="447">
    <w:name w:val="附录二级条标题"/>
    <w:basedOn w:val="448"/>
    <w:next w:val="1"/>
    <w:qFormat/>
    <w:uiPriority w:val="0"/>
    <w:pPr>
      <w:tabs>
        <w:tab w:val="left" w:pos="840"/>
        <w:tab w:val="left" w:pos="900"/>
      </w:tabs>
      <w:outlineLvl w:val="3"/>
    </w:pPr>
  </w:style>
  <w:style w:type="paragraph" w:customStyle="1" w:styleId="448">
    <w:name w:val="附录一级条标题"/>
    <w:basedOn w:val="449"/>
    <w:next w:val="1"/>
    <w:qFormat/>
    <w:uiPriority w:val="0"/>
    <w:pPr>
      <w:numPr>
        <w:numId w:val="0"/>
      </w:numPr>
      <w:tabs>
        <w:tab w:val="left" w:pos="840"/>
        <w:tab w:val="left" w:pos="900"/>
      </w:tabs>
      <w:autoSpaceDN w:val="0"/>
      <w:spacing w:beforeLines="0"/>
      <w:outlineLvl w:val="2"/>
    </w:pPr>
  </w:style>
  <w:style w:type="paragraph" w:customStyle="1" w:styleId="449">
    <w:name w:val="附录章标题"/>
    <w:next w:val="1"/>
    <w:qFormat/>
    <w:uiPriority w:val="0"/>
    <w:pPr>
      <w:numPr>
        <w:ilvl w:val="1"/>
        <w:numId w:val="13"/>
      </w:numPr>
      <w:tabs>
        <w:tab w:val="left" w:pos="900"/>
      </w:tabs>
      <w:wordWrap w:val="0"/>
      <w:overflowPunct w:val="0"/>
      <w:autoSpaceDE w:val="0"/>
      <w:spacing w:beforeLines="50" w:afterLines="50"/>
      <w:jc w:val="both"/>
      <w:textAlignment w:val="baseline"/>
      <w:outlineLvl w:val="1"/>
    </w:pPr>
    <w:rPr>
      <w:rFonts w:ascii="黑体" w:hAnsi="Times New Roman" w:eastAsia="黑体" w:cs="Times New Roman"/>
      <w:b/>
      <w:kern w:val="21"/>
      <w:sz w:val="21"/>
      <w:lang w:val="en-US" w:eastAsia="zh-CN" w:bidi="ar-SA"/>
    </w:rPr>
  </w:style>
  <w:style w:type="paragraph" w:customStyle="1" w:styleId="450">
    <w:name w:val="样式 标题 2h2l22nd levelTitre22Header 2节标题 1.1BSH-2 + 宋体"/>
    <w:basedOn w:val="5"/>
    <w:qFormat/>
    <w:uiPriority w:val="0"/>
    <w:pPr>
      <w:numPr>
        <w:numId w:val="0"/>
      </w:numPr>
      <w:spacing w:before="156" w:line="240" w:lineRule="auto"/>
      <w:jc w:val="left"/>
    </w:pPr>
    <w:rPr>
      <w:rFonts w:ascii="宋体" w:hAnsi="宋体"/>
      <w:szCs w:val="20"/>
    </w:rPr>
  </w:style>
  <w:style w:type="paragraph" w:customStyle="1" w:styleId="451">
    <w:name w:val="大标题"/>
    <w:basedOn w:val="84"/>
    <w:next w:val="2"/>
    <w:qFormat/>
    <w:uiPriority w:val="0"/>
    <w:pPr>
      <w:tabs>
        <w:tab w:val="clear" w:pos="0"/>
        <w:tab w:val="clear" w:pos="4423"/>
        <w:tab w:val="clear" w:pos="8845"/>
      </w:tabs>
      <w:snapToGrid/>
      <w:spacing w:line="500" w:lineRule="exact"/>
      <w:ind w:hanging="567"/>
    </w:pPr>
    <w:rPr>
      <w:rFonts w:ascii="Arial" w:hAnsi="Arial" w:eastAsia="宋体"/>
      <w:color w:val="auto"/>
    </w:rPr>
  </w:style>
  <w:style w:type="paragraph" w:customStyle="1" w:styleId="452">
    <w:name w:val="样式 正文缩进正文标准正文标准 Char Char正文标准 Char正文不缩进表正文正文非缩进段1四号Body...3"/>
    <w:basedOn w:val="2"/>
    <w:qFormat/>
    <w:uiPriority w:val="0"/>
    <w:pPr>
      <w:spacing w:line="500" w:lineRule="exact"/>
      <w:ind w:firstLine="560"/>
    </w:pPr>
    <w:rPr>
      <w:rFonts w:eastAsia="仿宋_GB2312" w:cs="宋体"/>
      <w:sz w:val="30"/>
      <w:szCs w:val="28"/>
    </w:rPr>
  </w:style>
  <w:style w:type="paragraph" w:customStyle="1" w:styleId="453">
    <w:name w:val="首行缩进2字符"/>
    <w:basedOn w:val="1"/>
    <w:qFormat/>
    <w:uiPriority w:val="0"/>
    <w:pPr>
      <w:spacing w:line="500" w:lineRule="exact"/>
      <w:ind w:firstLine="480" w:firstLineChars="200"/>
    </w:pPr>
  </w:style>
  <w:style w:type="paragraph" w:customStyle="1" w:styleId="454">
    <w:name w:val="样式 仿宋_GB2312 左"/>
    <w:basedOn w:val="1"/>
    <w:qFormat/>
    <w:uiPriority w:val="0"/>
    <w:pPr>
      <w:spacing w:line="240" w:lineRule="auto"/>
      <w:ind w:firstLine="473" w:firstLineChars="225"/>
      <w:jc w:val="left"/>
    </w:pPr>
    <w:rPr>
      <w:rFonts w:ascii="仿宋_GB2312" w:hAnsi="宋体" w:eastAsia="仿宋_GB2312" w:cs="宋体"/>
      <w:kern w:val="0"/>
      <w:sz w:val="28"/>
      <w:szCs w:val="20"/>
    </w:rPr>
  </w:style>
  <w:style w:type="paragraph" w:customStyle="1" w:styleId="455">
    <w:name w:val="样式 标题 4 + 首行缩进:  2 字符 段前: 0.5 行"/>
    <w:basedOn w:val="7"/>
    <w:qFormat/>
    <w:uiPriority w:val="0"/>
    <w:pPr>
      <w:numPr>
        <w:numId w:val="0"/>
      </w:numPr>
      <w:spacing w:before="156" w:line="240" w:lineRule="auto"/>
      <w:ind w:firstLine="420" w:firstLineChars="200"/>
    </w:pPr>
    <w:rPr>
      <w:rFonts w:ascii="宋体" w:hAnsi="宋体" w:cs="宋体"/>
      <w:b w:val="0"/>
      <w:bCs w:val="0"/>
      <w:snapToGrid w:val="0"/>
      <w:kern w:val="0"/>
      <w:sz w:val="21"/>
      <w:szCs w:val="21"/>
    </w:rPr>
  </w:style>
  <w:style w:type="paragraph" w:customStyle="1" w:styleId="456">
    <w:name w:val="样式 样式 小标题2 + 段前: 0.5 行 段后: 0.5 行 + 段前: 0.5 行 段后: 0.5 行"/>
    <w:basedOn w:val="457"/>
    <w:qFormat/>
    <w:uiPriority w:val="0"/>
    <w:pPr>
      <w:tabs>
        <w:tab w:val="left" w:pos="1260"/>
        <w:tab w:val="left" w:pos="1755"/>
      </w:tabs>
      <w:ind w:left="0" w:firstLine="0" w:firstLineChars="0"/>
    </w:pPr>
  </w:style>
  <w:style w:type="paragraph" w:customStyle="1" w:styleId="457">
    <w:name w:val="样式 小标题2 + 段前: 0.5 行 段后: 0.5 行"/>
    <w:basedOn w:val="458"/>
    <w:qFormat/>
    <w:uiPriority w:val="0"/>
    <w:pPr>
      <w:tabs>
        <w:tab w:val="left" w:pos="1260"/>
        <w:tab w:val="left" w:pos="1755"/>
      </w:tabs>
      <w:adjustRightInd w:val="0"/>
      <w:snapToGrid w:val="0"/>
      <w:spacing w:beforeLines="100" w:afterLines="50" w:line="240" w:lineRule="auto"/>
      <w:ind w:left="1755" w:firstLine="200" w:firstLineChars="200"/>
      <w:outlineLvl w:val="4"/>
    </w:pPr>
    <w:rPr>
      <w:rFonts w:eastAsia="宋体" w:cs="宋体"/>
      <w:b w:val="0"/>
      <w:bCs/>
      <w:sz w:val="28"/>
      <w:szCs w:val="20"/>
    </w:rPr>
  </w:style>
  <w:style w:type="paragraph" w:customStyle="1" w:styleId="458">
    <w:name w:val="小标题2"/>
    <w:basedOn w:val="459"/>
    <w:link w:val="461"/>
    <w:qFormat/>
    <w:uiPriority w:val="0"/>
    <w:pPr>
      <w:tabs>
        <w:tab w:val="left" w:pos="1260"/>
      </w:tabs>
      <w:ind w:firstLine="556"/>
      <w:outlineLvl w:val="7"/>
    </w:pPr>
    <w:rPr>
      <w:rFonts w:ascii="Arial" w:hAnsi="Arial"/>
      <w:b/>
    </w:rPr>
  </w:style>
  <w:style w:type="paragraph" w:customStyle="1" w:styleId="459">
    <w:name w:val="小标题1"/>
    <w:basedOn w:val="2"/>
    <w:link w:val="460"/>
    <w:qFormat/>
    <w:uiPriority w:val="0"/>
    <w:pPr>
      <w:spacing w:line="500" w:lineRule="exact"/>
      <w:ind w:firstLine="0" w:firstLineChars="0"/>
      <w:outlineLvl w:val="6"/>
    </w:pPr>
    <w:rPr>
      <w:rFonts w:eastAsia="仿宋_GB2312"/>
      <w:sz w:val="30"/>
    </w:rPr>
  </w:style>
  <w:style w:type="character" w:customStyle="1" w:styleId="460">
    <w:name w:val="小标题1 Char3"/>
    <w:link w:val="459"/>
    <w:qFormat/>
    <w:uiPriority w:val="0"/>
    <w:rPr>
      <w:rFonts w:eastAsia="仿宋_GB2312"/>
      <w:kern w:val="2"/>
      <w:sz w:val="30"/>
      <w:szCs w:val="24"/>
    </w:rPr>
  </w:style>
  <w:style w:type="character" w:customStyle="1" w:styleId="461">
    <w:name w:val="小标题2 Char Char"/>
    <w:link w:val="458"/>
    <w:qFormat/>
    <w:uiPriority w:val="0"/>
    <w:rPr>
      <w:rFonts w:ascii="Arial" w:hAnsi="Arial" w:eastAsia="仿宋_GB2312"/>
      <w:b/>
      <w:kern w:val="2"/>
      <w:sz w:val="30"/>
      <w:szCs w:val="24"/>
    </w:rPr>
  </w:style>
  <w:style w:type="paragraph" w:customStyle="1" w:styleId="462">
    <w:name w:val="样式 仿宋_GB2312 小五 居中"/>
    <w:basedOn w:val="1"/>
    <w:qFormat/>
    <w:uiPriority w:val="0"/>
    <w:pPr>
      <w:spacing w:line="240" w:lineRule="auto"/>
      <w:jc w:val="center"/>
    </w:pPr>
    <w:rPr>
      <w:rFonts w:ascii="仿宋_GB2312" w:hAnsi="宋体" w:eastAsia="仿宋_GB2312" w:cs="宋体"/>
      <w:kern w:val="0"/>
      <w:sz w:val="21"/>
      <w:szCs w:val="20"/>
    </w:rPr>
  </w:style>
  <w:style w:type="paragraph" w:customStyle="1" w:styleId="463">
    <w:name w:val="参考文献、索引标题"/>
    <w:basedOn w:val="391"/>
    <w:next w:val="1"/>
    <w:qFormat/>
    <w:uiPriority w:val="0"/>
    <w:pPr>
      <w:tabs>
        <w:tab w:val="clear" w:pos="360"/>
      </w:tabs>
      <w:spacing w:after="200"/>
    </w:pPr>
    <w:rPr>
      <w:kern w:val="2"/>
      <w:sz w:val="21"/>
      <w:szCs w:val="22"/>
    </w:rPr>
  </w:style>
  <w:style w:type="paragraph" w:customStyle="1" w:styleId="464">
    <w:name w:val="样式 样式 标题 2h2l22nd levelTitre22Header 2节标题 1.1BSH-2 + 宋体 + 段前: 0...."/>
    <w:basedOn w:val="450"/>
    <w:qFormat/>
    <w:uiPriority w:val="0"/>
    <w:pPr>
      <w:spacing w:beforeLines="0"/>
      <w:ind w:firstLine="200" w:firstLineChars="200"/>
      <w:outlineLvl w:val="9"/>
    </w:pPr>
    <w:rPr>
      <w:rFonts w:cs="宋体"/>
    </w:rPr>
  </w:style>
  <w:style w:type="paragraph" w:customStyle="1" w:styleId="465">
    <w:name w:val="样式 正文缩进正文标准正文标准 Char Char正文标准 Char正文不缩进表正文正文非缩进段1四号Body...6"/>
    <w:basedOn w:val="2"/>
    <w:qFormat/>
    <w:uiPriority w:val="0"/>
    <w:pPr>
      <w:spacing w:line="500" w:lineRule="exact"/>
      <w:ind w:firstLine="560"/>
    </w:pPr>
    <w:rPr>
      <w:rFonts w:eastAsia="仿宋_GB2312" w:cs="宋体"/>
      <w:sz w:val="30"/>
      <w:szCs w:val="28"/>
    </w:rPr>
  </w:style>
  <w:style w:type="paragraph" w:customStyle="1" w:styleId="466">
    <w:name w:val="样式2"/>
    <w:basedOn w:val="1"/>
    <w:link w:val="467"/>
    <w:qFormat/>
    <w:uiPriority w:val="0"/>
    <w:pPr>
      <w:spacing w:line="500" w:lineRule="exact"/>
      <w:ind w:firstLine="602" w:firstLineChars="200"/>
    </w:pPr>
    <w:rPr>
      <w:rFonts w:ascii="仿宋_GB2312" w:eastAsia="仿宋_GB2312"/>
      <w:b/>
      <w:bCs/>
      <w:sz w:val="30"/>
      <w:szCs w:val="30"/>
    </w:rPr>
  </w:style>
  <w:style w:type="character" w:customStyle="1" w:styleId="467">
    <w:name w:val="样式2 Char Char"/>
    <w:link w:val="466"/>
    <w:qFormat/>
    <w:uiPriority w:val="0"/>
    <w:rPr>
      <w:rFonts w:ascii="仿宋_GB2312" w:eastAsia="仿宋_GB2312"/>
      <w:b/>
      <w:bCs/>
      <w:kern w:val="2"/>
      <w:sz w:val="30"/>
      <w:szCs w:val="30"/>
    </w:rPr>
  </w:style>
  <w:style w:type="paragraph" w:customStyle="1" w:styleId="468">
    <w:name w:val="样式 标题 1 + 黑体 小四 非加粗 段前: 0 磅 段后: 6 磅 行距: 单倍行距"/>
    <w:basedOn w:val="4"/>
    <w:qFormat/>
    <w:uiPriority w:val="0"/>
    <w:pPr>
      <w:numPr>
        <w:numId w:val="0"/>
      </w:numPr>
      <w:spacing w:beforeLines="0" w:line="240" w:lineRule="auto"/>
    </w:pPr>
    <w:rPr>
      <w:rFonts w:ascii="黑体" w:hAnsi="Arial" w:eastAsia="黑体" w:cs="宋体"/>
      <w:b w:val="0"/>
      <w:bCs w:val="0"/>
      <w:kern w:val="0"/>
      <w:sz w:val="24"/>
      <w:szCs w:val="20"/>
    </w:rPr>
  </w:style>
  <w:style w:type="paragraph" w:customStyle="1" w:styleId="469">
    <w:name w:val="样式 样式 目录 1 + 小二 加粗 + 字距调整二号"/>
    <w:basedOn w:val="470"/>
    <w:qFormat/>
    <w:uiPriority w:val="0"/>
    <w:pPr>
      <w:tabs>
        <w:tab w:val="right" w:leader="dot" w:pos="8496"/>
        <w:tab w:val="right" w:leader="dot" w:pos="9864"/>
      </w:tabs>
      <w:spacing w:line="360" w:lineRule="auto"/>
    </w:pPr>
    <w:rPr>
      <w:b/>
      <w:bCs/>
      <w:kern w:val="44"/>
    </w:rPr>
  </w:style>
  <w:style w:type="paragraph" w:customStyle="1" w:styleId="470">
    <w:name w:val="样式 目录 1 + 小二 加粗"/>
    <w:basedOn w:val="59"/>
    <w:qFormat/>
    <w:uiPriority w:val="0"/>
    <w:pPr>
      <w:tabs>
        <w:tab w:val="right" w:leader="dot" w:pos="8496"/>
        <w:tab w:val="right" w:leader="dot" w:pos="9864"/>
      </w:tabs>
      <w:spacing w:before="0" w:after="0" w:line="240" w:lineRule="auto"/>
      <w:jc w:val="center"/>
    </w:pPr>
    <w:rPr>
      <w:rFonts w:eastAsia="仿宋_GB2312"/>
      <w:b w:val="0"/>
      <w:bCs w:val="0"/>
      <w:caps/>
      <w:sz w:val="36"/>
      <w:szCs w:val="32"/>
    </w:rPr>
  </w:style>
  <w:style w:type="paragraph" w:customStyle="1" w:styleId="471">
    <w:name w:val="正文文本缩进1"/>
    <w:basedOn w:val="1"/>
    <w:link w:val="472"/>
    <w:qFormat/>
    <w:uiPriority w:val="0"/>
    <w:pPr>
      <w:spacing w:line="360" w:lineRule="auto"/>
      <w:ind w:firstLine="425"/>
    </w:pPr>
    <w:rPr>
      <w:kern w:val="0"/>
    </w:rPr>
  </w:style>
  <w:style w:type="character" w:customStyle="1" w:styleId="472">
    <w:name w:val="正文文本缩进 Char"/>
    <w:link w:val="471"/>
    <w:qFormat/>
    <w:uiPriority w:val="0"/>
    <w:rPr>
      <w:sz w:val="24"/>
      <w:szCs w:val="24"/>
    </w:rPr>
  </w:style>
  <w:style w:type="paragraph" w:customStyle="1" w:styleId="473">
    <w:name w:val="样式 首行缩进:  1.92 字符"/>
    <w:basedOn w:val="1"/>
    <w:qFormat/>
    <w:uiPriority w:val="0"/>
    <w:pPr>
      <w:spacing w:before="100" w:beforeAutospacing="1" w:after="100" w:afterAutospacing="1" w:line="460" w:lineRule="exact"/>
      <w:jc w:val="center"/>
    </w:pPr>
    <w:rPr>
      <w:rFonts w:ascii="宋体" w:hAnsi="宋体"/>
      <w:color w:val="FF0000"/>
      <w:sz w:val="18"/>
    </w:rPr>
  </w:style>
  <w:style w:type="paragraph" w:customStyle="1" w:styleId="474">
    <w:name w:val="Char Char Char Char Char Char Char Char Char Char Char Char3"/>
    <w:basedOn w:val="1"/>
    <w:qFormat/>
    <w:uiPriority w:val="0"/>
    <w:pPr>
      <w:spacing w:line="240" w:lineRule="atLeast"/>
      <w:ind w:left="420" w:firstLine="420"/>
    </w:pPr>
    <w:rPr>
      <w:kern w:val="0"/>
      <w:sz w:val="21"/>
      <w:szCs w:val="20"/>
    </w:rPr>
  </w:style>
  <w:style w:type="paragraph" w:customStyle="1" w:styleId="475">
    <w:name w:val="样式 样式 样式 样式 样式 缩进正文 + 首行缩进:  2 字符 段前: 0.3 行 段后: 0.3 行 + 首行缩进:  2..."/>
    <w:basedOn w:val="1"/>
    <w:qFormat/>
    <w:uiPriority w:val="0"/>
    <w:pPr>
      <w:spacing w:beforeLines="50" w:afterLines="50" w:line="560" w:lineRule="exact"/>
      <w:ind w:firstLine="544" w:firstLineChars="200"/>
    </w:pPr>
    <w:rPr>
      <w:rFonts w:eastAsia="仿宋_GB2312" w:cs="宋体"/>
      <w:snapToGrid w:val="0"/>
      <w:spacing w:val="-4"/>
      <w:kern w:val="0"/>
      <w:sz w:val="28"/>
      <w:szCs w:val="28"/>
    </w:rPr>
  </w:style>
  <w:style w:type="paragraph" w:customStyle="1" w:styleId="476">
    <w:name w:val="小标题1 Char Char"/>
    <w:basedOn w:val="2"/>
    <w:next w:val="2"/>
    <w:qFormat/>
    <w:uiPriority w:val="0"/>
    <w:pPr>
      <w:ind w:firstLine="0" w:firstLineChars="0"/>
      <w:outlineLvl w:val="6"/>
    </w:pPr>
    <w:rPr>
      <w:b/>
    </w:rPr>
  </w:style>
  <w:style w:type="paragraph" w:customStyle="1" w:styleId="477">
    <w:name w:val="p0"/>
    <w:basedOn w:val="1"/>
    <w:qFormat/>
    <w:uiPriority w:val="0"/>
    <w:pPr>
      <w:widowControl/>
      <w:spacing w:line="240" w:lineRule="auto"/>
    </w:pPr>
    <w:rPr>
      <w:kern w:val="0"/>
      <w:sz w:val="21"/>
      <w:szCs w:val="20"/>
    </w:rPr>
  </w:style>
  <w:style w:type="paragraph" w:customStyle="1" w:styleId="478">
    <w:name w:val="首行缩进:  2 字符 + 首行缩进:  2 字符"/>
    <w:basedOn w:val="1"/>
    <w:qFormat/>
    <w:uiPriority w:val="0"/>
    <w:pPr>
      <w:spacing w:line="500" w:lineRule="exact"/>
      <w:ind w:firstLine="560" w:firstLineChars="200"/>
    </w:pPr>
    <w:rPr>
      <w:sz w:val="28"/>
      <w:szCs w:val="20"/>
    </w:rPr>
  </w:style>
  <w:style w:type="paragraph" w:customStyle="1" w:styleId="479">
    <w:name w:val="12"/>
    <w:basedOn w:val="1"/>
    <w:next w:val="2"/>
    <w:qFormat/>
    <w:uiPriority w:val="0"/>
    <w:pPr>
      <w:spacing w:line="360" w:lineRule="auto"/>
      <w:ind w:firstLine="200" w:firstLineChars="200"/>
    </w:pPr>
  </w:style>
  <w:style w:type="paragraph" w:customStyle="1" w:styleId="480">
    <w:name w:val="mlt-四号正文"/>
    <w:basedOn w:val="1"/>
    <w:qFormat/>
    <w:uiPriority w:val="0"/>
    <w:pPr>
      <w:spacing w:line="360" w:lineRule="auto"/>
      <w:ind w:firstLine="200" w:firstLineChars="200"/>
    </w:pPr>
    <w:rPr>
      <w:rFonts w:ascii="Verdana" w:hAnsi="Verdana"/>
      <w:sz w:val="28"/>
      <w:szCs w:val="30"/>
    </w:rPr>
  </w:style>
  <w:style w:type="paragraph" w:customStyle="1" w:styleId="481">
    <w:name w:val="样式 样式 样式 样式 样式 样式 样式 缩进正文 + 首行缩进:  2 字符 段前: 0.3 行 段后: 0.3 行 + 首行..."/>
    <w:basedOn w:val="482"/>
    <w:qFormat/>
    <w:uiPriority w:val="0"/>
    <w:pPr>
      <w:adjustRightInd w:val="0"/>
      <w:snapToGrid w:val="0"/>
    </w:pPr>
  </w:style>
  <w:style w:type="paragraph" w:customStyle="1" w:styleId="482">
    <w:name w:val="样式 样式 样式 样式 样式 样式 缩进正文 + 首行缩进:  2 字符 段前: 0.3 行 段后: 0.3 行 + 首行缩进:..."/>
    <w:basedOn w:val="483"/>
    <w:qFormat/>
    <w:uiPriority w:val="0"/>
    <w:pPr>
      <w:spacing w:line="240" w:lineRule="auto"/>
    </w:pPr>
  </w:style>
  <w:style w:type="paragraph" w:customStyle="1" w:styleId="483">
    <w:name w:val="样式 样式 样式 样式 样式 缩进正文 + 首行缩进:  2 字符 段前: 0.3 行 段后: 0.3 行 + 首行缩进:  2...1"/>
    <w:basedOn w:val="1"/>
    <w:qFormat/>
    <w:uiPriority w:val="0"/>
    <w:pPr>
      <w:spacing w:beforeLines="50" w:afterLines="50" w:line="312" w:lineRule="exact"/>
      <w:ind w:firstLine="200" w:firstLineChars="200"/>
    </w:pPr>
    <w:rPr>
      <w:rFonts w:cs="宋体"/>
      <w:snapToGrid w:val="0"/>
      <w:spacing w:val="-4"/>
      <w:kern w:val="0"/>
      <w:sz w:val="28"/>
      <w:szCs w:val="20"/>
    </w:rPr>
  </w:style>
  <w:style w:type="paragraph" w:customStyle="1" w:styleId="484">
    <w:name w:val="乐山-正文"/>
    <w:basedOn w:val="1"/>
    <w:next w:val="1"/>
    <w:qFormat/>
    <w:uiPriority w:val="0"/>
    <w:pPr>
      <w:spacing w:line="440" w:lineRule="exact"/>
      <w:ind w:firstLine="200" w:firstLineChars="200"/>
    </w:pPr>
    <w:rPr>
      <w:rFonts w:ascii="Arial" w:hAnsi="Arial" w:eastAsia="华文细黑" w:cs="宋体"/>
      <w:sz w:val="21"/>
      <w:szCs w:val="20"/>
    </w:rPr>
  </w:style>
  <w:style w:type="paragraph" w:customStyle="1" w:styleId="485">
    <w:name w:val="顶格正文"/>
    <w:basedOn w:val="2"/>
    <w:link w:val="486"/>
    <w:qFormat/>
    <w:uiPriority w:val="0"/>
    <w:pPr>
      <w:spacing w:line="500" w:lineRule="exact"/>
      <w:ind w:firstLine="0" w:firstLineChars="0"/>
    </w:pPr>
    <w:rPr>
      <w:rFonts w:eastAsia="仿宋_GB2312"/>
      <w:sz w:val="30"/>
    </w:rPr>
  </w:style>
  <w:style w:type="character" w:customStyle="1" w:styleId="486">
    <w:name w:val="顶格正文 Char Char"/>
    <w:link w:val="485"/>
    <w:qFormat/>
    <w:uiPriority w:val="0"/>
    <w:rPr>
      <w:rFonts w:eastAsia="仿宋_GB2312"/>
      <w:kern w:val="2"/>
      <w:sz w:val="30"/>
      <w:szCs w:val="24"/>
    </w:rPr>
  </w:style>
  <w:style w:type="paragraph" w:customStyle="1" w:styleId="487">
    <w:name w:val="Body Text Indent1"/>
    <w:basedOn w:val="1"/>
    <w:qFormat/>
    <w:uiPriority w:val="0"/>
    <w:pPr>
      <w:spacing w:line="360" w:lineRule="auto"/>
      <w:ind w:firstLine="540" w:firstLineChars="225"/>
    </w:pPr>
    <w:rPr>
      <w:rFonts w:ascii="宋体" w:hAnsi="宋体"/>
      <w:color w:val="FF0000"/>
    </w:rPr>
  </w:style>
  <w:style w:type="paragraph" w:customStyle="1" w:styleId="488">
    <w:name w:val="8"/>
    <w:basedOn w:val="1"/>
    <w:next w:val="2"/>
    <w:qFormat/>
    <w:uiPriority w:val="0"/>
    <w:pPr>
      <w:spacing w:line="500" w:lineRule="exact"/>
      <w:ind w:firstLine="200" w:firstLineChars="200"/>
    </w:pPr>
    <w:rPr>
      <w:sz w:val="28"/>
    </w:rPr>
  </w:style>
  <w:style w:type="paragraph" w:customStyle="1" w:styleId="489">
    <w:name w:val="缩进正文徐海东 Char Char Char Char Char Char Char"/>
    <w:basedOn w:val="1"/>
    <w:link w:val="490"/>
    <w:qFormat/>
    <w:uiPriority w:val="0"/>
    <w:pPr>
      <w:spacing w:beforeLines="100" w:line="360" w:lineRule="auto"/>
      <w:ind w:firstLine="200" w:firstLineChars="200"/>
    </w:pPr>
  </w:style>
  <w:style w:type="character" w:customStyle="1" w:styleId="490">
    <w:name w:val="缩进正文徐海东 Char Char Char Char Char Char Char Char Char Char Char Char Char"/>
    <w:link w:val="489"/>
    <w:qFormat/>
    <w:uiPriority w:val="0"/>
    <w:rPr>
      <w:rFonts w:cs="宋体"/>
      <w:kern w:val="2"/>
      <w:sz w:val="24"/>
      <w:szCs w:val="24"/>
    </w:rPr>
  </w:style>
  <w:style w:type="paragraph" w:customStyle="1" w:styleId="491">
    <w:name w:val="样式 正文缩进正文（首行缩进两字）正文标准 + 首行缩进:  2 字符 行距: 固定值 24 磅 Char Char Char Char"/>
    <w:basedOn w:val="2"/>
    <w:link w:val="492"/>
    <w:qFormat/>
    <w:uiPriority w:val="0"/>
    <w:pPr>
      <w:spacing w:beforeLines="50" w:afterLines="50" w:line="480" w:lineRule="exact"/>
    </w:pPr>
    <w:rPr>
      <w:rFonts w:ascii="Tahoma" w:hAnsi="Tahoma"/>
    </w:rPr>
  </w:style>
  <w:style w:type="character" w:customStyle="1" w:styleId="492">
    <w:name w:val="样式 正文缩进正文（首行缩进两字）正文标准 + 首行缩进:  2 字符 行距: 固定值 24 磅 Char Char Char Char Char Char Char Char Char"/>
    <w:link w:val="491"/>
    <w:qFormat/>
    <w:uiPriority w:val="0"/>
    <w:rPr>
      <w:rFonts w:ascii="Tahoma" w:hAnsi="Tahoma" w:cs="宋体"/>
      <w:kern w:val="2"/>
      <w:sz w:val="24"/>
      <w:szCs w:val="24"/>
    </w:rPr>
  </w:style>
  <w:style w:type="paragraph" w:customStyle="1" w:styleId="493">
    <w:name w:val="A2"/>
    <w:basedOn w:val="494"/>
    <w:qFormat/>
    <w:uiPriority w:val="0"/>
    <w:pPr>
      <w:ind w:firstLine="0" w:firstLineChars="0"/>
      <w:outlineLvl w:val="1"/>
    </w:pPr>
    <w:rPr>
      <w:b/>
    </w:rPr>
  </w:style>
  <w:style w:type="paragraph" w:customStyle="1" w:styleId="494">
    <w:name w:val="A0"/>
    <w:basedOn w:val="1"/>
    <w:link w:val="495"/>
    <w:qFormat/>
    <w:uiPriority w:val="0"/>
    <w:pPr>
      <w:adjustRightInd w:val="0"/>
      <w:snapToGrid w:val="0"/>
      <w:spacing w:line="360" w:lineRule="auto"/>
      <w:ind w:firstLine="200" w:firstLineChars="200"/>
    </w:pPr>
    <w:rPr>
      <w:sz w:val="28"/>
      <w:szCs w:val="28"/>
    </w:rPr>
  </w:style>
  <w:style w:type="character" w:customStyle="1" w:styleId="495">
    <w:name w:val="A0 Char Char"/>
    <w:link w:val="494"/>
    <w:qFormat/>
    <w:uiPriority w:val="0"/>
    <w:rPr>
      <w:kern w:val="2"/>
      <w:sz w:val="28"/>
      <w:szCs w:val="28"/>
    </w:rPr>
  </w:style>
  <w:style w:type="paragraph" w:customStyle="1" w:styleId="496">
    <w:name w:val="9"/>
    <w:basedOn w:val="1"/>
    <w:next w:val="2"/>
    <w:qFormat/>
    <w:uiPriority w:val="0"/>
    <w:pPr>
      <w:spacing w:line="500" w:lineRule="exact"/>
      <w:ind w:firstLine="200" w:firstLineChars="200"/>
    </w:pPr>
    <w:rPr>
      <w:rFonts w:eastAsia="仿宋_GB2312"/>
      <w:snapToGrid w:val="0"/>
      <w:kern w:val="6"/>
      <w:sz w:val="28"/>
    </w:rPr>
  </w:style>
  <w:style w:type="paragraph" w:customStyle="1" w:styleId="497">
    <w:name w:val="样式 正文缩进正文标准正文标准 Char Char正文标准 Char正文不缩进表正文正文非缩进段1四号Body...1"/>
    <w:basedOn w:val="2"/>
    <w:qFormat/>
    <w:uiPriority w:val="0"/>
    <w:pPr>
      <w:spacing w:line="500" w:lineRule="exact"/>
      <w:jc w:val="left"/>
    </w:pPr>
    <w:rPr>
      <w:rFonts w:eastAsia="仿宋_GB2312" w:cs="宋体"/>
      <w:sz w:val="30"/>
      <w:szCs w:val="28"/>
    </w:rPr>
  </w:style>
  <w:style w:type="paragraph" w:customStyle="1" w:styleId="498">
    <w:name w:val="小标题1 Char Char Char Char Char Char Char"/>
    <w:basedOn w:val="2"/>
    <w:next w:val="2"/>
    <w:link w:val="499"/>
    <w:qFormat/>
    <w:uiPriority w:val="0"/>
    <w:pPr>
      <w:ind w:firstLine="0" w:firstLineChars="0"/>
      <w:outlineLvl w:val="6"/>
    </w:pPr>
    <w:rPr>
      <w:b/>
    </w:rPr>
  </w:style>
  <w:style w:type="character" w:customStyle="1" w:styleId="499">
    <w:name w:val="小标题1 Char Char Char Char Char Char Char Char Char Char"/>
    <w:link w:val="498"/>
    <w:qFormat/>
    <w:uiPriority w:val="0"/>
    <w:rPr>
      <w:b/>
      <w:kern w:val="2"/>
      <w:sz w:val="24"/>
      <w:szCs w:val="24"/>
    </w:rPr>
  </w:style>
  <w:style w:type="paragraph" w:customStyle="1" w:styleId="500">
    <w:name w:val="样式 图形标注 + Times New Roman 五号"/>
    <w:basedOn w:val="1"/>
    <w:qFormat/>
    <w:uiPriority w:val="0"/>
    <w:pPr>
      <w:spacing w:line="500" w:lineRule="exact"/>
      <w:jc w:val="center"/>
      <w:outlineLvl w:val="5"/>
    </w:pPr>
    <w:rPr>
      <w:kern w:val="0"/>
      <w:sz w:val="21"/>
    </w:rPr>
  </w:style>
  <w:style w:type="paragraph" w:customStyle="1" w:styleId="501">
    <w:name w:val="样式 首行缩进:  2 字符 行距: 多倍行距 1.2 字行"/>
    <w:basedOn w:val="1"/>
    <w:qFormat/>
    <w:uiPriority w:val="0"/>
    <w:pPr>
      <w:spacing w:line="500" w:lineRule="exact"/>
      <w:ind w:firstLine="200" w:firstLineChars="200"/>
    </w:pPr>
    <w:rPr>
      <w:rFonts w:cs="宋体"/>
      <w:sz w:val="28"/>
      <w:szCs w:val="28"/>
    </w:rPr>
  </w:style>
  <w:style w:type="paragraph" w:customStyle="1" w:styleId="502">
    <w:name w:val="Char Char Char Char2"/>
    <w:basedOn w:val="1"/>
    <w:qFormat/>
    <w:uiPriority w:val="0"/>
    <w:pPr>
      <w:adjustRightInd w:val="0"/>
      <w:snapToGrid w:val="0"/>
      <w:spacing w:line="400" w:lineRule="exact"/>
    </w:pPr>
    <w:rPr>
      <w:rFonts w:ascii="Tahoma" w:hAnsi="Tahoma"/>
      <w:szCs w:val="20"/>
    </w:rPr>
  </w:style>
  <w:style w:type="paragraph" w:customStyle="1" w:styleId="503">
    <w:name w:val="样式 标题 1章标题(有序号)h11st levelSection Headl1H1H11H12H13H14..."/>
    <w:basedOn w:val="4"/>
    <w:qFormat/>
    <w:uiPriority w:val="0"/>
    <w:pPr>
      <w:numPr>
        <w:numId w:val="0"/>
      </w:numPr>
      <w:spacing w:beforeLines="0"/>
    </w:pPr>
    <w:rPr>
      <w:rFonts w:ascii="宋体" w:hAnsi="宋体" w:cs="宋体"/>
      <w:szCs w:val="20"/>
    </w:rPr>
  </w:style>
  <w:style w:type="paragraph" w:customStyle="1" w:styleId="504">
    <w:name w:val="样式 仿宋_GB2312 左1"/>
    <w:basedOn w:val="1"/>
    <w:qFormat/>
    <w:uiPriority w:val="0"/>
    <w:pPr>
      <w:spacing w:line="240" w:lineRule="auto"/>
      <w:ind w:firstLine="315" w:firstLineChars="150"/>
      <w:jc w:val="left"/>
    </w:pPr>
    <w:rPr>
      <w:rFonts w:ascii="仿宋_GB2312" w:hAnsi="宋体" w:eastAsia="仿宋_GB2312" w:cs="宋体"/>
      <w:kern w:val="0"/>
      <w:sz w:val="28"/>
      <w:szCs w:val="20"/>
    </w:rPr>
  </w:style>
  <w:style w:type="paragraph" w:customStyle="1" w:styleId="505">
    <w:name w:val="示例"/>
    <w:next w:val="322"/>
    <w:qFormat/>
    <w:uiPriority w:val="0"/>
    <w:pPr>
      <w:tabs>
        <w:tab w:val="left" w:pos="1120"/>
      </w:tabs>
      <w:ind w:firstLine="400"/>
      <w:jc w:val="both"/>
    </w:pPr>
    <w:rPr>
      <w:rFonts w:ascii="宋体" w:hAnsi="Times New Roman" w:eastAsia="宋体" w:cs="Times New Roman"/>
      <w:kern w:val="2"/>
      <w:sz w:val="18"/>
      <w:szCs w:val="22"/>
      <w:lang w:val="en-US" w:eastAsia="zh-CN" w:bidi="ar-SA"/>
    </w:rPr>
  </w:style>
  <w:style w:type="paragraph" w:customStyle="1" w:styleId="506">
    <w:name w:val="样式 正文缩进正文标准正文标准 Char Char正文标准 Char正文不缩进表正文正文非缩进段1四号Body...7"/>
    <w:basedOn w:val="2"/>
    <w:qFormat/>
    <w:uiPriority w:val="0"/>
    <w:pPr>
      <w:spacing w:line="500" w:lineRule="exact"/>
    </w:pPr>
    <w:rPr>
      <w:rFonts w:eastAsia="仿宋_GB2312" w:cs="宋体"/>
      <w:sz w:val="30"/>
      <w:szCs w:val="28"/>
    </w:rPr>
  </w:style>
  <w:style w:type="paragraph" w:customStyle="1" w:styleId="507">
    <w:name w:val="样式3"/>
    <w:basedOn w:val="458"/>
    <w:link w:val="508"/>
    <w:qFormat/>
    <w:uiPriority w:val="0"/>
    <w:pPr>
      <w:tabs>
        <w:tab w:val="left" w:pos="1259"/>
        <w:tab w:val="left" w:pos="1440"/>
        <w:tab w:val="clear" w:pos="1260"/>
      </w:tabs>
      <w:ind w:firstLine="602" w:firstLineChars="200"/>
    </w:pPr>
    <w:rPr>
      <w:rFonts w:ascii="仿宋_GB2312"/>
      <w:b w:val="0"/>
      <w:bCs/>
      <w:szCs w:val="30"/>
    </w:rPr>
  </w:style>
  <w:style w:type="character" w:customStyle="1" w:styleId="508">
    <w:name w:val="样式3 Char"/>
    <w:link w:val="507"/>
    <w:qFormat/>
    <w:uiPriority w:val="0"/>
    <w:rPr>
      <w:rFonts w:ascii="仿宋_GB2312" w:hAnsi="Arial" w:eastAsia="仿宋_GB2312"/>
      <w:bCs/>
      <w:kern w:val="2"/>
      <w:sz w:val="30"/>
      <w:szCs w:val="30"/>
    </w:rPr>
  </w:style>
  <w:style w:type="paragraph" w:customStyle="1" w:styleId="509">
    <w:name w:val="页眉1"/>
    <w:basedOn w:val="57"/>
    <w:link w:val="510"/>
    <w:qFormat/>
    <w:uiPriority w:val="99"/>
    <w:pPr>
      <w:pBdr>
        <w:bottom w:val="none" w:color="auto" w:sz="0" w:space="0"/>
      </w:pBdr>
    </w:pPr>
  </w:style>
  <w:style w:type="character" w:customStyle="1" w:styleId="510">
    <w:name w:val="页眉 Char"/>
    <w:link w:val="509"/>
    <w:qFormat/>
    <w:uiPriority w:val="99"/>
    <w:rPr>
      <w:kern w:val="2"/>
      <w:sz w:val="18"/>
      <w:szCs w:val="18"/>
    </w:rPr>
  </w:style>
  <w:style w:type="paragraph" w:customStyle="1" w:styleId="511">
    <w:name w:val="表名"/>
    <w:basedOn w:val="1"/>
    <w:qFormat/>
    <w:uiPriority w:val="0"/>
    <w:pPr>
      <w:tabs>
        <w:tab w:val="left" w:pos="780"/>
      </w:tabs>
      <w:spacing w:beforeLines="50" w:afterLines="50" w:line="560" w:lineRule="exact"/>
      <w:ind w:left="780" w:leftChars="200" w:hanging="360" w:firstLineChars="200"/>
    </w:pPr>
    <w:rPr>
      <w:rFonts w:cs="宋体"/>
      <w:sz w:val="28"/>
      <w:szCs w:val="28"/>
    </w:rPr>
  </w:style>
  <w:style w:type="paragraph" w:customStyle="1" w:styleId="512">
    <w:name w:val="样式 正文缩进正文（首行缩进两字）正文标准 + 首行缩进:  2 字符 行距: 固定值 24 磅"/>
    <w:basedOn w:val="2"/>
    <w:qFormat/>
    <w:uiPriority w:val="0"/>
    <w:pPr>
      <w:spacing w:beforeLines="50" w:afterLines="50" w:line="480" w:lineRule="exact"/>
    </w:pPr>
    <w:rPr>
      <w:rFonts w:cs="宋体"/>
      <w:szCs w:val="20"/>
    </w:rPr>
  </w:style>
  <w:style w:type="paragraph" w:customStyle="1" w:styleId="513">
    <w:name w:val="4"/>
    <w:basedOn w:val="1"/>
    <w:next w:val="2"/>
    <w:qFormat/>
    <w:uiPriority w:val="0"/>
    <w:pPr>
      <w:spacing w:line="500" w:lineRule="exact"/>
      <w:ind w:firstLine="560" w:firstLineChars="200"/>
    </w:pPr>
    <w:rPr>
      <w:rFonts w:ascii="宋体" w:hAnsi="宋体"/>
      <w:kern w:val="0"/>
      <w:sz w:val="28"/>
    </w:rPr>
  </w:style>
  <w:style w:type="paragraph" w:customStyle="1" w:styleId="514">
    <w:name w:val="10"/>
    <w:basedOn w:val="1"/>
    <w:next w:val="2"/>
    <w:qFormat/>
    <w:uiPriority w:val="0"/>
    <w:pPr>
      <w:spacing w:line="360" w:lineRule="auto"/>
      <w:ind w:firstLine="200" w:firstLineChars="200"/>
    </w:pPr>
  </w:style>
  <w:style w:type="paragraph" w:customStyle="1" w:styleId="515">
    <w:name w:val="样式 正文文本缩进 2 + 首行缩进:  2 字符"/>
    <w:basedOn w:val="51"/>
    <w:qFormat/>
    <w:uiPriority w:val="0"/>
    <w:pPr>
      <w:spacing w:after="0" w:line="360" w:lineRule="auto"/>
      <w:ind w:left="0" w:leftChars="0" w:firstLine="480" w:firstLineChars="200"/>
    </w:pPr>
    <w:rPr>
      <w:rFonts w:ascii="宋体" w:hAnsi="宋体" w:cs="宋体"/>
      <w:kern w:val="0"/>
      <w:sz w:val="24"/>
    </w:rPr>
  </w:style>
  <w:style w:type="paragraph" w:customStyle="1" w:styleId="516">
    <w:name w:val="A3"/>
    <w:basedOn w:val="494"/>
    <w:qFormat/>
    <w:uiPriority w:val="0"/>
    <w:pPr>
      <w:ind w:firstLine="0" w:firstLineChars="0"/>
      <w:outlineLvl w:val="2"/>
    </w:pPr>
    <w:rPr>
      <w:b/>
    </w:rPr>
  </w:style>
  <w:style w:type="paragraph" w:customStyle="1" w:styleId="517">
    <w:name w:val="样式 样式 小标题2 + 段前: 0.5 行 段后: 0.5 行1 + 段前: 0.5 行 段后: 0.5 行"/>
    <w:basedOn w:val="518"/>
    <w:qFormat/>
    <w:uiPriority w:val="0"/>
    <w:pPr>
      <w:tabs>
        <w:tab w:val="left" w:pos="1755"/>
      </w:tabs>
      <w:spacing w:line="360" w:lineRule="auto"/>
    </w:pPr>
  </w:style>
  <w:style w:type="paragraph" w:customStyle="1" w:styleId="518">
    <w:name w:val="样式 小标题2 + 段前: 0.5 行 段后: 0.5 行1"/>
    <w:basedOn w:val="458"/>
    <w:qFormat/>
    <w:uiPriority w:val="0"/>
    <w:pPr>
      <w:tabs>
        <w:tab w:val="left" w:pos="1755"/>
        <w:tab w:val="clear" w:pos="1260"/>
      </w:tabs>
      <w:adjustRightInd w:val="0"/>
      <w:snapToGrid w:val="0"/>
      <w:spacing w:beforeLines="100" w:afterLines="50" w:line="240" w:lineRule="auto"/>
      <w:ind w:left="200" w:hanging="1755"/>
      <w:outlineLvl w:val="4"/>
    </w:pPr>
    <w:rPr>
      <w:rFonts w:eastAsia="宋体" w:cs="宋体"/>
      <w:b w:val="0"/>
      <w:bCs/>
      <w:sz w:val="28"/>
      <w:szCs w:val="20"/>
    </w:rPr>
  </w:style>
  <w:style w:type="paragraph" w:customStyle="1" w:styleId="519">
    <w:name w:val="样式 表格内容 + (符号) 宋体 小四"/>
    <w:basedOn w:val="332"/>
    <w:qFormat/>
    <w:uiPriority w:val="0"/>
    <w:pPr>
      <w:adjustRightInd w:val="0"/>
      <w:ind w:left="0" w:leftChars="0" w:firstLine="0" w:firstLineChars="0"/>
      <w:textAlignment w:val="baseline"/>
    </w:pPr>
    <w:rPr>
      <w:rFonts w:ascii="Times New Roman" w:hAnsi="Times New Roman"/>
      <w:kern w:val="0"/>
    </w:rPr>
  </w:style>
  <w:style w:type="paragraph" w:customStyle="1" w:styleId="520">
    <w:name w:val="Char2 Char Char Char Char Char Char1"/>
    <w:basedOn w:val="1"/>
    <w:qFormat/>
    <w:uiPriority w:val="0"/>
    <w:pPr>
      <w:spacing w:line="240" w:lineRule="atLeast"/>
      <w:ind w:left="420" w:firstLine="420"/>
    </w:pPr>
    <w:rPr>
      <w:sz w:val="21"/>
      <w:szCs w:val="20"/>
    </w:rPr>
  </w:style>
  <w:style w:type="paragraph" w:customStyle="1" w:styleId="521">
    <w:name w:val="样式 正文缩进正文标准正文标准 Char Char正文标准 Char正文不缩进表正文正文非缩进段1四号Body...11"/>
    <w:basedOn w:val="2"/>
    <w:qFormat/>
    <w:uiPriority w:val="0"/>
    <w:pPr>
      <w:spacing w:line="500" w:lineRule="exact"/>
    </w:pPr>
    <w:rPr>
      <w:rFonts w:eastAsia="仿宋_GB2312" w:cs="宋体"/>
      <w:sz w:val="30"/>
      <w:szCs w:val="20"/>
    </w:rPr>
  </w:style>
  <w:style w:type="paragraph" w:customStyle="1" w:styleId="522">
    <w:name w:val="表文字-"/>
    <w:basedOn w:val="1"/>
    <w:link w:val="523"/>
    <w:qFormat/>
    <w:uiPriority w:val="0"/>
    <w:pPr>
      <w:spacing w:line="360" w:lineRule="auto"/>
      <w:jc w:val="center"/>
    </w:pPr>
    <w:rPr>
      <w:sz w:val="18"/>
      <w:szCs w:val="18"/>
    </w:rPr>
  </w:style>
  <w:style w:type="character" w:customStyle="1" w:styleId="523">
    <w:name w:val="表文字- Char Char"/>
    <w:link w:val="522"/>
    <w:qFormat/>
    <w:uiPriority w:val="0"/>
    <w:rPr>
      <w:kern w:val="2"/>
      <w:sz w:val="18"/>
      <w:szCs w:val="18"/>
    </w:rPr>
  </w:style>
  <w:style w:type="paragraph" w:customStyle="1" w:styleId="524">
    <w:name w:val="样式 正文缩进正文标准正文标准 Char Char正文标准 Char正文不缩进表正文正文非缩进段1四号Body...4"/>
    <w:basedOn w:val="2"/>
    <w:qFormat/>
    <w:uiPriority w:val="0"/>
    <w:pPr>
      <w:spacing w:line="500" w:lineRule="exact"/>
    </w:pPr>
    <w:rPr>
      <w:rFonts w:eastAsia="仿宋_GB2312" w:cs="宋体"/>
      <w:sz w:val="30"/>
      <w:szCs w:val="28"/>
    </w:rPr>
  </w:style>
  <w:style w:type="paragraph" w:customStyle="1" w:styleId="525">
    <w:name w:val="样式 表格内容 +"/>
    <w:basedOn w:val="332"/>
    <w:qFormat/>
    <w:uiPriority w:val="0"/>
    <w:pPr>
      <w:adjustRightInd w:val="0"/>
      <w:snapToGrid w:val="0"/>
      <w:spacing w:line="280" w:lineRule="exact"/>
      <w:ind w:left="0" w:leftChars="0" w:firstLine="0" w:firstLineChars="0"/>
    </w:pPr>
    <w:rPr>
      <w:rFonts w:ascii="Times New Roman" w:hAnsi="Times New Roman"/>
      <w:kern w:val="0"/>
    </w:rPr>
  </w:style>
  <w:style w:type="paragraph" w:customStyle="1" w:styleId="526">
    <w:name w:val="样式 正文缩进正文（首行缩进两字）正文标准 + 四号"/>
    <w:basedOn w:val="2"/>
    <w:qFormat/>
    <w:uiPriority w:val="0"/>
  </w:style>
  <w:style w:type="paragraph" w:customStyle="1" w:styleId="527">
    <w:name w:val="图形表格标题"/>
    <w:basedOn w:val="1"/>
    <w:qFormat/>
    <w:uiPriority w:val="0"/>
    <w:pPr>
      <w:spacing w:line="360" w:lineRule="auto"/>
      <w:ind w:firstLine="540" w:firstLineChars="225"/>
      <w:jc w:val="center"/>
    </w:pPr>
  </w:style>
  <w:style w:type="paragraph" w:customStyle="1" w:styleId="528">
    <w:name w:val="样式 正文缩进正文标准正文标准 Char Char正文标准 Char正文不缩进表正文正文非缩进段1四号Body...8"/>
    <w:basedOn w:val="2"/>
    <w:qFormat/>
    <w:uiPriority w:val="0"/>
    <w:pPr>
      <w:spacing w:line="500" w:lineRule="exact"/>
      <w:ind w:firstLine="560"/>
    </w:pPr>
    <w:rPr>
      <w:rFonts w:eastAsia="仿宋_GB2312" w:cs="宋体"/>
      <w:sz w:val="30"/>
      <w:szCs w:val="28"/>
    </w:rPr>
  </w:style>
  <w:style w:type="paragraph" w:customStyle="1" w:styleId="529">
    <w:name w:val="样式 缩进正文徐海东 + 首行缩进:  2 字符 段前: 1 行"/>
    <w:basedOn w:val="1"/>
    <w:qFormat/>
    <w:uiPriority w:val="0"/>
    <w:pPr>
      <w:spacing w:beforeLines="100" w:afterLines="50" w:line="360" w:lineRule="auto"/>
      <w:ind w:firstLine="200" w:firstLineChars="200"/>
    </w:pPr>
    <w:rPr>
      <w:rFonts w:cs="宋体"/>
    </w:rPr>
  </w:style>
  <w:style w:type="paragraph" w:customStyle="1" w:styleId="530">
    <w:name w:val="封面标准号2"/>
    <w:basedOn w:val="531"/>
    <w:qFormat/>
    <w:uiPriority w:val="0"/>
    <w:pPr>
      <w:adjustRightInd w:val="0"/>
      <w:spacing w:before="357" w:line="280" w:lineRule="exact"/>
    </w:pPr>
  </w:style>
  <w:style w:type="paragraph" w:customStyle="1" w:styleId="531">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kern w:val="2"/>
      <w:sz w:val="28"/>
      <w:szCs w:val="22"/>
      <w:lang w:val="en-US" w:eastAsia="zh-CN" w:bidi="ar-SA"/>
    </w:rPr>
  </w:style>
  <w:style w:type="paragraph" w:customStyle="1" w:styleId="532">
    <w:name w:val="标准标志"/>
    <w:next w:val="1"/>
    <w:qFormat/>
    <w:uiPriority w:val="0"/>
    <w:pPr>
      <w:shd w:val="solid" w:color="FFFFFF" w:fill="FFFFFF"/>
      <w:spacing w:line="0" w:lineRule="atLeast"/>
      <w:jc w:val="right"/>
    </w:pPr>
    <w:rPr>
      <w:rFonts w:ascii="Times New Roman" w:hAnsi="Times New Roman" w:eastAsia="宋体" w:cs="Times New Roman"/>
      <w:b/>
      <w:w w:val="130"/>
      <w:kern w:val="2"/>
      <w:sz w:val="96"/>
      <w:szCs w:val="22"/>
      <w:lang w:val="en-US" w:eastAsia="zh-CN" w:bidi="ar-SA"/>
    </w:rPr>
  </w:style>
  <w:style w:type="paragraph" w:customStyle="1" w:styleId="533">
    <w:name w:val="表格字体2"/>
    <w:basedOn w:val="1"/>
    <w:qFormat/>
    <w:uiPriority w:val="0"/>
    <w:pPr>
      <w:overflowPunct w:val="0"/>
      <w:spacing w:line="240" w:lineRule="auto"/>
      <w:jc w:val="center"/>
    </w:pPr>
    <w:rPr>
      <w:rFonts w:ascii="宋体"/>
      <w:bCs/>
      <w:snapToGrid w:val="0"/>
      <w:kern w:val="6"/>
      <w:sz w:val="21"/>
      <w:szCs w:val="21"/>
    </w:rPr>
  </w:style>
  <w:style w:type="paragraph" w:customStyle="1" w:styleId="534">
    <w:name w:val="缩进正文徐海东 Char Char"/>
    <w:basedOn w:val="1"/>
    <w:qFormat/>
    <w:uiPriority w:val="0"/>
    <w:pPr>
      <w:spacing w:beforeLines="100" w:line="360" w:lineRule="auto"/>
      <w:ind w:firstLine="200" w:firstLineChars="200"/>
    </w:pPr>
    <w:rPr>
      <w:rFonts w:cs="宋体"/>
      <w:szCs w:val="20"/>
    </w:rPr>
  </w:style>
  <w:style w:type="paragraph" w:customStyle="1" w:styleId="535">
    <w:name w:val="zhengwen"/>
    <w:basedOn w:val="1"/>
    <w:qFormat/>
    <w:uiPriority w:val="0"/>
    <w:pPr>
      <w:spacing w:line="360" w:lineRule="auto"/>
      <w:ind w:firstLine="480"/>
    </w:pPr>
  </w:style>
  <w:style w:type="paragraph" w:customStyle="1" w:styleId="536">
    <w:name w:val="样式 样式 样式 缩进正文 + 首行缩进:  2 字符 段前: 0.3 行 段后: 0.3 行 + 首行缩进:  2 字符 + ..."/>
    <w:basedOn w:val="1"/>
    <w:qFormat/>
    <w:uiPriority w:val="0"/>
    <w:pPr>
      <w:spacing w:beforeLines="50" w:afterLines="50" w:line="560" w:lineRule="exact"/>
      <w:ind w:firstLine="496" w:firstLineChars="200"/>
    </w:pPr>
    <w:rPr>
      <w:rFonts w:cs="宋体"/>
      <w:snapToGrid w:val="0"/>
      <w:spacing w:val="-10"/>
      <w:kern w:val="0"/>
      <w:sz w:val="28"/>
      <w:szCs w:val="28"/>
    </w:rPr>
  </w:style>
  <w:style w:type="paragraph" w:customStyle="1" w:styleId="537">
    <w:name w:val="样式9"/>
    <w:basedOn w:val="73"/>
    <w:next w:val="73"/>
    <w:qFormat/>
    <w:uiPriority w:val="0"/>
    <w:pPr>
      <w:shd w:val="clear" w:color="auto" w:fill="000080"/>
      <w:spacing w:line="360" w:lineRule="auto"/>
      <w:ind w:left="840" w:hanging="420"/>
    </w:pPr>
    <w:rPr>
      <w:b/>
      <w:bCs/>
      <w:smallCaps/>
      <w:szCs w:val="24"/>
    </w:rPr>
  </w:style>
  <w:style w:type="paragraph" w:customStyle="1" w:styleId="538">
    <w:name w:val="样式 标题 1 + 段前: 7.8 磅 字距调整3 磅"/>
    <w:basedOn w:val="4"/>
    <w:next w:val="4"/>
    <w:qFormat/>
    <w:uiPriority w:val="0"/>
    <w:pPr>
      <w:numPr>
        <w:numId w:val="0"/>
      </w:numPr>
      <w:spacing w:beforeLines="0" w:line="240" w:lineRule="auto"/>
    </w:pPr>
    <w:rPr>
      <w:rFonts w:ascii="宋体" w:hAnsi="宋体" w:eastAsia="黑体"/>
      <w:kern w:val="6"/>
      <w:sz w:val="44"/>
      <w:szCs w:val="20"/>
    </w:rPr>
  </w:style>
  <w:style w:type="paragraph" w:customStyle="1" w:styleId="539">
    <w:name w:val="7"/>
    <w:basedOn w:val="1"/>
    <w:next w:val="2"/>
    <w:qFormat/>
    <w:uiPriority w:val="0"/>
    <w:pPr>
      <w:spacing w:line="500" w:lineRule="exact"/>
      <w:ind w:firstLine="200" w:firstLineChars="200"/>
    </w:pPr>
    <w:rPr>
      <w:sz w:val="28"/>
    </w:rPr>
  </w:style>
  <w:style w:type="paragraph" w:customStyle="1" w:styleId="540">
    <w:name w:val="小标题1 Char Char Char Char Char"/>
    <w:basedOn w:val="2"/>
    <w:next w:val="2"/>
    <w:link w:val="541"/>
    <w:qFormat/>
    <w:uiPriority w:val="0"/>
    <w:pPr>
      <w:ind w:firstLine="0" w:firstLineChars="0"/>
      <w:outlineLvl w:val="6"/>
    </w:pPr>
    <w:rPr>
      <w:b/>
    </w:rPr>
  </w:style>
  <w:style w:type="character" w:customStyle="1" w:styleId="541">
    <w:name w:val="小标题1 Char Char Char Char Char Char Char Char Char Char Char"/>
    <w:link w:val="540"/>
    <w:qFormat/>
    <w:uiPriority w:val="0"/>
    <w:rPr>
      <w:b/>
      <w:kern w:val="2"/>
      <w:sz w:val="24"/>
      <w:szCs w:val="24"/>
    </w:rPr>
  </w:style>
  <w:style w:type="paragraph" w:customStyle="1" w:styleId="542">
    <w:name w:val="封面标准名称"/>
    <w:qFormat/>
    <w:uiPriority w:val="0"/>
    <w:pPr>
      <w:widowControl w:val="0"/>
      <w:spacing w:line="680" w:lineRule="exact"/>
      <w:jc w:val="center"/>
      <w:textAlignment w:val="center"/>
    </w:pPr>
    <w:rPr>
      <w:rFonts w:ascii="黑体" w:hAnsi="Times New Roman" w:eastAsia="黑体" w:cs="Times New Roman"/>
      <w:kern w:val="2"/>
      <w:sz w:val="52"/>
      <w:szCs w:val="22"/>
      <w:lang w:val="en-US" w:eastAsia="zh-CN" w:bidi="ar-SA"/>
    </w:rPr>
  </w:style>
  <w:style w:type="paragraph" w:customStyle="1" w:styleId="543">
    <w:name w:val="Char2 Char Char Char Char Char Char12"/>
    <w:basedOn w:val="1"/>
    <w:qFormat/>
    <w:uiPriority w:val="0"/>
    <w:pPr>
      <w:spacing w:line="240" w:lineRule="atLeast"/>
      <w:ind w:left="420" w:firstLine="420"/>
    </w:pPr>
    <w:rPr>
      <w:sz w:val="21"/>
      <w:szCs w:val="20"/>
    </w:rPr>
  </w:style>
  <w:style w:type="paragraph" w:customStyle="1" w:styleId="544">
    <w:name w:val="论文正文（小4）"/>
    <w:basedOn w:val="2"/>
    <w:qFormat/>
    <w:uiPriority w:val="0"/>
    <w:pPr>
      <w:spacing w:line="400" w:lineRule="exact"/>
      <w:ind w:firstLine="482" w:firstLineChars="0"/>
    </w:pPr>
    <w:rPr>
      <w:rFonts w:ascii="宋体" w:hAnsi="宋体"/>
      <w:szCs w:val="20"/>
    </w:rPr>
  </w:style>
  <w:style w:type="paragraph" w:customStyle="1" w:styleId="545">
    <w:name w:val="小标题1 Char Char Char Char"/>
    <w:basedOn w:val="2"/>
    <w:next w:val="2"/>
    <w:qFormat/>
    <w:uiPriority w:val="0"/>
    <w:pPr>
      <w:ind w:firstLine="0" w:firstLineChars="0"/>
      <w:outlineLvl w:val="6"/>
    </w:pPr>
    <w:rPr>
      <w:b/>
    </w:rPr>
  </w:style>
  <w:style w:type="paragraph" w:customStyle="1" w:styleId="546">
    <w:name w:val="样式 正文缩进正文标准正文标准 Char Char正文标准 Char正文不缩进表正文正文非缩进段1四号Body...2"/>
    <w:basedOn w:val="2"/>
    <w:qFormat/>
    <w:uiPriority w:val="0"/>
    <w:pPr>
      <w:spacing w:line="500" w:lineRule="exact"/>
      <w:ind w:firstLine="560"/>
    </w:pPr>
    <w:rPr>
      <w:rFonts w:eastAsia="仿宋_GB2312" w:cs="宋体"/>
      <w:sz w:val="30"/>
      <w:szCs w:val="28"/>
    </w:rPr>
  </w:style>
  <w:style w:type="paragraph" w:customStyle="1" w:styleId="547">
    <w:name w:val="样式 引文出处"/>
    <w:basedOn w:val="1"/>
    <w:qFormat/>
    <w:uiPriority w:val="0"/>
    <w:pPr>
      <w:spacing w:line="500" w:lineRule="exact"/>
      <w:jc w:val="right"/>
    </w:pPr>
    <w:rPr>
      <w:szCs w:val="20"/>
    </w:rPr>
  </w:style>
  <w:style w:type="paragraph" w:customStyle="1" w:styleId="548">
    <w:name w:val="样式 仿宋_GB2312 左 首行缩进:  0.99 厘米"/>
    <w:basedOn w:val="1"/>
    <w:qFormat/>
    <w:uiPriority w:val="0"/>
    <w:pPr>
      <w:spacing w:line="240" w:lineRule="auto"/>
      <w:ind w:firstLine="560"/>
      <w:jc w:val="left"/>
    </w:pPr>
    <w:rPr>
      <w:rFonts w:ascii="仿宋_GB2312" w:hAnsi="宋体" w:eastAsia="仿宋_GB2312" w:cs="宋体"/>
      <w:kern w:val="0"/>
      <w:sz w:val="28"/>
      <w:szCs w:val="20"/>
    </w:rPr>
  </w:style>
  <w:style w:type="paragraph" w:customStyle="1" w:styleId="549">
    <w:name w:val="样式 样式 正文缩进s4正文缩进 Char表正文正文非缩进 + 首行缩进:  0 厘米 行距: 单倍行距 + 首行缩进:  2 ..."/>
    <w:basedOn w:val="345"/>
    <w:qFormat/>
    <w:uiPriority w:val="0"/>
    <w:pPr>
      <w:spacing w:beforeLines="50"/>
      <w:ind w:firstLine="100" w:firstLineChars="100"/>
      <w:outlineLvl w:val="2"/>
    </w:pPr>
    <w:rPr>
      <w:b/>
    </w:rPr>
  </w:style>
  <w:style w:type="paragraph" w:customStyle="1" w:styleId="550">
    <w:name w:val="样式 正文缩进正文标准正文标准 Char Char正文标准 Char正文不缩进表正文正文非缩进段1四号Body...5"/>
    <w:basedOn w:val="2"/>
    <w:qFormat/>
    <w:uiPriority w:val="0"/>
    <w:pPr>
      <w:spacing w:line="500" w:lineRule="exact"/>
    </w:pPr>
    <w:rPr>
      <w:rFonts w:ascii="宋体" w:hAnsi="宋体" w:eastAsia="仿宋_GB2312" w:cs="宋体"/>
      <w:sz w:val="30"/>
      <w:szCs w:val="20"/>
    </w:rPr>
  </w:style>
  <w:style w:type="paragraph" w:customStyle="1" w:styleId="551">
    <w:name w:val="表格内容 Char Char"/>
    <w:basedOn w:val="2"/>
    <w:qFormat/>
    <w:uiPriority w:val="0"/>
    <w:pPr>
      <w:spacing w:line="240" w:lineRule="auto"/>
      <w:ind w:firstLine="0" w:firstLineChars="0"/>
      <w:jc w:val="center"/>
    </w:pPr>
    <w:rPr>
      <w:rFonts w:eastAsia="仿宋_GB2312"/>
      <w:sz w:val="21"/>
    </w:rPr>
  </w:style>
  <w:style w:type="paragraph" w:customStyle="1" w:styleId="552">
    <w:name w:val="缩进正文徐海东 Char Char Char Char Char Char Char Char Char"/>
    <w:basedOn w:val="1"/>
    <w:link w:val="553"/>
    <w:qFormat/>
    <w:uiPriority w:val="0"/>
    <w:pPr>
      <w:spacing w:beforeLines="100" w:line="360" w:lineRule="auto"/>
      <w:ind w:firstLine="200" w:firstLineChars="200"/>
    </w:pPr>
  </w:style>
  <w:style w:type="character" w:customStyle="1" w:styleId="553">
    <w:name w:val="缩进正文徐海东 Char Char Char Char Char Char Char Char Char Char Char Char"/>
    <w:link w:val="552"/>
    <w:qFormat/>
    <w:uiPriority w:val="0"/>
    <w:rPr>
      <w:rFonts w:cs="宋体"/>
      <w:kern w:val="2"/>
      <w:sz w:val="24"/>
      <w:szCs w:val="24"/>
    </w:rPr>
  </w:style>
  <w:style w:type="paragraph" w:customStyle="1" w:styleId="554">
    <w:name w:val="样式 正文缩进正文（首行缩进两字）正文标准 + 首行缩进:  2 字符 行距: 固定值 24 磅 Char Char Char Char Char Char"/>
    <w:basedOn w:val="2"/>
    <w:link w:val="555"/>
    <w:qFormat/>
    <w:uiPriority w:val="0"/>
    <w:pPr>
      <w:spacing w:beforeLines="50" w:afterLines="50" w:line="480" w:lineRule="exact"/>
    </w:pPr>
  </w:style>
  <w:style w:type="character" w:customStyle="1" w:styleId="555">
    <w:name w:val="样式 正文缩进正文（首行缩进两字）正文标准 + 首行缩进:  2 字符 行距: 固定值 24 磅 Char Char Char Char Char Char Char Char"/>
    <w:link w:val="554"/>
    <w:qFormat/>
    <w:uiPriority w:val="0"/>
    <w:rPr>
      <w:rFonts w:cs="宋体"/>
      <w:kern w:val="2"/>
      <w:sz w:val="24"/>
      <w:szCs w:val="24"/>
    </w:rPr>
  </w:style>
  <w:style w:type="paragraph" w:customStyle="1" w:styleId="556">
    <w:name w:val="样式 (西文) 宋体 (中文) 仿宋_GB2312 四号 黑色 首行缩进:  2 字符"/>
    <w:basedOn w:val="1"/>
    <w:qFormat/>
    <w:uiPriority w:val="0"/>
    <w:pPr>
      <w:spacing w:line="360" w:lineRule="auto"/>
      <w:ind w:firstLine="521" w:firstLineChars="186"/>
    </w:pPr>
    <w:rPr>
      <w:sz w:val="28"/>
      <w:szCs w:val="28"/>
    </w:rPr>
  </w:style>
  <w:style w:type="paragraph" w:customStyle="1" w:styleId="557">
    <w:name w:val="样式 正文缩进正文标准正文标准 Char Char正文标准 Char正文不缩进表正文正文非缩进段1四号Body...9"/>
    <w:basedOn w:val="2"/>
    <w:qFormat/>
    <w:uiPriority w:val="0"/>
    <w:pPr>
      <w:spacing w:line="500" w:lineRule="exact"/>
      <w:ind w:firstLine="560"/>
    </w:pPr>
    <w:rPr>
      <w:rFonts w:eastAsia="仿宋_GB2312" w:cs="宋体"/>
      <w:sz w:val="30"/>
      <w:szCs w:val="28"/>
    </w:rPr>
  </w:style>
  <w:style w:type="paragraph" w:customStyle="1" w:styleId="558">
    <w:name w:val="样式 标题 3二级节名条标题h33rd level3l3Level 3 HeadH3heading 3条标题..."/>
    <w:basedOn w:val="6"/>
    <w:qFormat/>
    <w:uiPriority w:val="0"/>
    <w:pPr>
      <w:numPr>
        <w:numId w:val="0"/>
      </w:numPr>
      <w:tabs>
        <w:tab w:val="left" w:pos="420"/>
      </w:tabs>
      <w:spacing w:beforeLines="0"/>
    </w:pPr>
    <w:rPr>
      <w:rFonts w:ascii="宋体" w:hAnsi="宋体"/>
      <w:sz w:val="30"/>
      <w:szCs w:val="20"/>
    </w:rPr>
  </w:style>
  <w:style w:type="paragraph" w:customStyle="1" w:styleId="559">
    <w:name w:val="样式 宋体 左"/>
    <w:basedOn w:val="1"/>
    <w:qFormat/>
    <w:uiPriority w:val="0"/>
    <w:pPr>
      <w:spacing w:line="640" w:lineRule="exact"/>
      <w:ind w:firstLine="560" w:firstLineChars="200"/>
      <w:jc w:val="left"/>
    </w:pPr>
    <w:rPr>
      <w:rFonts w:ascii="宋体" w:hAnsi="宋体"/>
      <w:sz w:val="28"/>
    </w:rPr>
  </w:style>
  <w:style w:type="paragraph" w:customStyle="1" w:styleId="560">
    <w:name w:val="标题 22"/>
    <w:basedOn w:val="5"/>
    <w:qFormat/>
    <w:uiPriority w:val="0"/>
    <w:pPr>
      <w:numPr>
        <w:numId w:val="0"/>
      </w:numPr>
      <w:spacing w:beforeLines="0" w:after="156"/>
    </w:pPr>
    <w:rPr>
      <w:rFonts w:ascii="宋体" w:hAnsi="宋体" w:eastAsia="黑体"/>
      <w:kern w:val="0"/>
      <w:sz w:val="32"/>
    </w:rPr>
  </w:style>
  <w:style w:type="paragraph" w:customStyle="1" w:styleId="561">
    <w:name w:val="样式 正文缩进正文（首行缩进两字）正文标准 + 首行缩进:  2 字符 行距: 固定值 24 磅 Char Char"/>
    <w:basedOn w:val="2"/>
    <w:qFormat/>
    <w:uiPriority w:val="0"/>
    <w:pPr>
      <w:spacing w:beforeLines="50" w:afterLines="50" w:line="480" w:lineRule="exact"/>
    </w:pPr>
    <w:rPr>
      <w:rFonts w:cs="宋体"/>
      <w:szCs w:val="20"/>
    </w:rPr>
  </w:style>
  <w:style w:type="paragraph" w:customStyle="1" w:styleId="562">
    <w:name w:val="6"/>
    <w:basedOn w:val="1"/>
    <w:next w:val="2"/>
    <w:qFormat/>
    <w:uiPriority w:val="0"/>
    <w:pPr>
      <w:spacing w:line="500" w:lineRule="exact"/>
      <w:ind w:firstLine="560" w:firstLineChars="200"/>
    </w:pPr>
    <w:rPr>
      <w:rFonts w:ascii="宋体" w:hAnsi="宋体"/>
      <w:kern w:val="0"/>
      <w:sz w:val="28"/>
    </w:rPr>
  </w:style>
  <w:style w:type="paragraph" w:customStyle="1" w:styleId="563">
    <w:name w:val="mlt-3级标题"/>
    <w:basedOn w:val="1"/>
    <w:qFormat/>
    <w:uiPriority w:val="0"/>
    <w:pPr>
      <w:spacing w:line="360" w:lineRule="auto"/>
      <w:outlineLvl w:val="2"/>
    </w:pPr>
    <w:rPr>
      <w:b/>
      <w:sz w:val="28"/>
      <w:szCs w:val="28"/>
    </w:rPr>
  </w:style>
  <w:style w:type="paragraph" w:customStyle="1" w:styleId="564">
    <w:name w:val="乐山-表体"/>
    <w:basedOn w:val="430"/>
    <w:qFormat/>
    <w:uiPriority w:val="0"/>
    <w:pPr>
      <w:spacing w:line="360" w:lineRule="exact"/>
      <w:ind w:firstLine="0" w:firstLineChars="0"/>
      <w:jc w:val="center"/>
    </w:pPr>
    <w:rPr>
      <w:szCs w:val="21"/>
    </w:rPr>
  </w:style>
  <w:style w:type="paragraph" w:customStyle="1" w:styleId="565">
    <w:name w:val="13"/>
    <w:basedOn w:val="1"/>
    <w:next w:val="2"/>
    <w:qFormat/>
    <w:uiPriority w:val="0"/>
    <w:pPr>
      <w:spacing w:line="500" w:lineRule="exact"/>
      <w:ind w:firstLine="200" w:firstLineChars="200"/>
    </w:pPr>
    <w:rPr>
      <w:sz w:val="28"/>
    </w:rPr>
  </w:style>
  <w:style w:type="paragraph" w:customStyle="1" w:styleId="566">
    <w:name w:val="图名2"/>
    <w:basedOn w:val="34"/>
    <w:qFormat/>
    <w:uiPriority w:val="0"/>
    <w:pPr>
      <w:snapToGrid w:val="0"/>
      <w:spacing w:afterLines="50" w:line="240" w:lineRule="atLeast"/>
    </w:pPr>
    <w:rPr>
      <w:rFonts w:ascii="宋体" w:hAnsi="宋体"/>
      <w:sz w:val="18"/>
      <w:szCs w:val="20"/>
    </w:rPr>
  </w:style>
  <w:style w:type="paragraph" w:customStyle="1" w:styleId="567">
    <w:name w:val="缩进正文"/>
    <w:basedOn w:val="87"/>
    <w:qFormat/>
    <w:uiPriority w:val="0"/>
    <w:pPr>
      <w:tabs>
        <w:tab w:val="left" w:pos="1620"/>
      </w:tabs>
      <w:spacing w:beforeLines="50" w:afterLines="50" w:line="560" w:lineRule="exact"/>
      <w:ind w:left="0" w:leftChars="0" w:firstLine="200"/>
    </w:pPr>
    <w:rPr>
      <w:rFonts w:ascii="宋体" w:hAnsi="Plotter" w:eastAsia="宋体" w:cs="宋体"/>
      <w:szCs w:val="28"/>
    </w:rPr>
  </w:style>
  <w:style w:type="paragraph" w:customStyle="1" w:styleId="568">
    <w:name w:val="样式12"/>
    <w:basedOn w:val="383"/>
    <w:next w:val="383"/>
    <w:qFormat/>
    <w:uiPriority w:val="0"/>
    <w:pPr>
      <w:tabs>
        <w:tab w:val="left" w:pos="1260"/>
      </w:tabs>
      <w:spacing w:beforeLines="50" w:line="415" w:lineRule="auto"/>
      <w:jc w:val="both"/>
      <w:outlineLvl w:val="1"/>
    </w:pPr>
    <w:rPr>
      <w:rFonts w:ascii="Arial" w:hAnsi="Arial" w:eastAsia="宋体" w:cs="Arial"/>
      <w:bCs w:val="0"/>
      <w:sz w:val="32"/>
      <w:szCs w:val="36"/>
      <w:lang w:val="en-US"/>
    </w:rPr>
  </w:style>
  <w:style w:type="paragraph" w:customStyle="1" w:styleId="569">
    <w:name w:val="样式 表格内容 +2"/>
    <w:basedOn w:val="332"/>
    <w:qFormat/>
    <w:uiPriority w:val="0"/>
    <w:pPr>
      <w:ind w:left="0" w:leftChars="0" w:firstLine="0" w:firstLineChars="0"/>
    </w:pPr>
    <w:rPr>
      <w:rFonts w:ascii="Times New Roman" w:hAnsi="Times New Roman"/>
      <w:kern w:val="0"/>
      <w:sz w:val="18"/>
      <w:szCs w:val="24"/>
    </w:rPr>
  </w:style>
  <w:style w:type="paragraph" w:customStyle="1" w:styleId="570">
    <w:name w:val="发布日期"/>
    <w:qFormat/>
    <w:uiPriority w:val="0"/>
    <w:rPr>
      <w:rFonts w:ascii="Times New Roman" w:hAnsi="Times New Roman" w:eastAsia="黑体" w:cs="Times New Roman"/>
      <w:kern w:val="2"/>
      <w:sz w:val="28"/>
      <w:szCs w:val="22"/>
      <w:lang w:val="en-US" w:eastAsia="zh-CN" w:bidi="ar-SA"/>
    </w:rPr>
  </w:style>
  <w:style w:type="paragraph" w:customStyle="1" w:styleId="571">
    <w:name w:val="样式 标题 2 + 首行缩进:  2 字符 段后: 0.5 行"/>
    <w:basedOn w:val="5"/>
    <w:qFormat/>
    <w:uiPriority w:val="0"/>
    <w:pPr>
      <w:widowControl/>
      <w:numPr>
        <w:numId w:val="0"/>
      </w:numPr>
      <w:spacing w:beforeLines="0" w:line="240" w:lineRule="auto"/>
    </w:pPr>
    <w:rPr>
      <w:rFonts w:ascii="宋体" w:hAnsi="宋体" w:eastAsia="#?"/>
      <w:szCs w:val="28"/>
    </w:rPr>
  </w:style>
  <w:style w:type="paragraph" w:customStyle="1" w:styleId="572">
    <w:name w:val="样式 标题 2节标题一级节名h22nd levelTitre2l22Header 2Head 2 + 段前: ..."/>
    <w:basedOn w:val="5"/>
    <w:qFormat/>
    <w:uiPriority w:val="0"/>
    <w:pPr>
      <w:numPr>
        <w:numId w:val="0"/>
      </w:numPr>
      <w:tabs>
        <w:tab w:val="left" w:pos="420"/>
      </w:tabs>
      <w:spacing w:beforeLines="0" w:line="400" w:lineRule="exact"/>
      <w:jc w:val="left"/>
    </w:pPr>
    <w:rPr>
      <w:rFonts w:ascii="宋体" w:hAnsi="宋体" w:eastAsia="黑体" w:cs="宋体"/>
      <w:sz w:val="32"/>
      <w:szCs w:val="20"/>
    </w:rPr>
  </w:style>
  <w:style w:type="paragraph" w:customStyle="1" w:styleId="573">
    <w:name w:val="基准标题"/>
    <w:basedOn w:val="34"/>
    <w:next w:val="34"/>
    <w:qFormat/>
    <w:uiPriority w:val="0"/>
    <w:pPr>
      <w:widowControl/>
      <w:spacing w:line="200" w:lineRule="exact"/>
      <w:jc w:val="left"/>
    </w:pPr>
    <w:rPr>
      <w:rFonts w:ascii="Garamond" w:hAnsi="Garamond" w:eastAsia="楷体_GB2312"/>
      <w:kern w:val="0"/>
      <w:szCs w:val="21"/>
    </w:rPr>
  </w:style>
  <w:style w:type="paragraph" w:customStyle="1" w:styleId="574">
    <w:name w:val="其他标准称谓"/>
    <w:qFormat/>
    <w:uiPriority w:val="0"/>
    <w:pPr>
      <w:spacing w:line="0" w:lineRule="atLeast"/>
      <w:jc w:val="distribute"/>
    </w:pPr>
    <w:rPr>
      <w:rFonts w:ascii="黑体" w:hAnsi="宋体" w:eastAsia="黑体" w:cs="Times New Roman"/>
      <w:kern w:val="2"/>
      <w:sz w:val="52"/>
      <w:szCs w:val="22"/>
      <w:lang w:val="en-US" w:eastAsia="zh-CN" w:bidi="ar-SA"/>
    </w:rPr>
  </w:style>
  <w:style w:type="paragraph" w:customStyle="1" w:styleId="575">
    <w:name w:val="样式 样式 标题 3 + 首行缩进:  2 字符 + 首行缩进:  2 字符 段后: 0.5 行"/>
    <w:basedOn w:val="1"/>
    <w:qFormat/>
    <w:uiPriority w:val="0"/>
    <w:pPr>
      <w:keepLines/>
      <w:widowControl/>
      <w:spacing w:before="60" w:line="360" w:lineRule="auto"/>
      <w:ind w:left="661" w:hanging="661" w:hangingChars="235"/>
      <w:outlineLvl w:val="2"/>
    </w:pPr>
    <w:rPr>
      <w:rFonts w:ascii="宋体" w:hAnsi="宋体"/>
      <w:b/>
      <w:bCs/>
      <w:sz w:val="28"/>
      <w:szCs w:val="28"/>
    </w:rPr>
  </w:style>
  <w:style w:type="paragraph" w:customStyle="1" w:styleId="576">
    <w:name w:val="样式 列表正文 + 段前: 0.3 行 段后: 0.3 行"/>
    <w:basedOn w:val="577"/>
    <w:qFormat/>
    <w:uiPriority w:val="0"/>
    <w:rPr>
      <w:sz w:val="28"/>
      <w:szCs w:val="28"/>
    </w:rPr>
  </w:style>
  <w:style w:type="paragraph" w:customStyle="1" w:styleId="577">
    <w:name w:val="列表正文"/>
    <w:basedOn w:val="1"/>
    <w:qFormat/>
    <w:uiPriority w:val="0"/>
    <w:pPr>
      <w:spacing w:beforeLines="30" w:afterLines="30" w:line="240" w:lineRule="auto"/>
    </w:pPr>
    <w:rPr>
      <w:rFonts w:cs="宋体"/>
    </w:rPr>
  </w:style>
  <w:style w:type="paragraph" w:customStyle="1" w:styleId="578">
    <w:name w:val="样式 小标题1 + 四号 Char Char Char Char Char Char Char Char Char Char Char Char Char Char Char Char Char Char Char Char Char Char Char Char Char Char Char"/>
    <w:basedOn w:val="498"/>
    <w:link w:val="579"/>
    <w:qFormat/>
    <w:uiPriority w:val="0"/>
    <w:pPr>
      <w:spacing w:beforeLines="50"/>
    </w:pPr>
    <w:rPr>
      <w:bCs/>
      <w:sz w:val="28"/>
    </w:rPr>
  </w:style>
  <w:style w:type="character" w:customStyle="1" w:styleId="579">
    <w:name w:val="样式 小标题1 + 四号 Char Char Char Char Char Char Char Char Char Char Char Char Char Char Char Char Char Char Char Char Char Char Char Char Char Char Char Char Char"/>
    <w:link w:val="578"/>
    <w:qFormat/>
    <w:uiPriority w:val="0"/>
    <w:rPr>
      <w:b/>
      <w:bCs/>
      <w:kern w:val="2"/>
      <w:sz w:val="28"/>
      <w:szCs w:val="24"/>
    </w:rPr>
  </w:style>
  <w:style w:type="paragraph" w:customStyle="1" w:styleId="580">
    <w:name w:val="样式 (中文) 仿宋_GB2312 三号 加粗"/>
    <w:basedOn w:val="5"/>
    <w:link w:val="581"/>
    <w:qFormat/>
    <w:uiPriority w:val="0"/>
    <w:pPr>
      <w:numPr>
        <w:numId w:val="0"/>
      </w:numPr>
      <w:tabs>
        <w:tab w:val="left" w:pos="0"/>
      </w:tabs>
      <w:adjustRightInd w:val="0"/>
      <w:spacing w:beforeLines="0" w:beforeAutospacing="1" w:afterAutospacing="1" w:line="640" w:lineRule="exact"/>
      <w:jc w:val="center"/>
      <w:textAlignment w:val="baseline"/>
      <w:outlineLvl w:val="0"/>
    </w:pPr>
    <w:rPr>
      <w:rFonts w:ascii="黑体" w:hAnsi="Arial"/>
      <w:bCs w:val="0"/>
      <w:kern w:val="0"/>
      <w:sz w:val="32"/>
    </w:rPr>
  </w:style>
  <w:style w:type="character" w:customStyle="1" w:styleId="581">
    <w:name w:val="样式 (中文) 仿宋_GB2312 三号 加粗 Char Char"/>
    <w:link w:val="580"/>
    <w:qFormat/>
    <w:uiPriority w:val="0"/>
    <w:rPr>
      <w:rFonts w:ascii="黑体" w:hAnsi="Arial"/>
      <w:b/>
      <w:sz w:val="32"/>
      <w:szCs w:val="32"/>
    </w:rPr>
  </w:style>
  <w:style w:type="paragraph" w:customStyle="1" w:styleId="582">
    <w:name w:val="z-窗体顶端1"/>
    <w:basedOn w:val="1"/>
    <w:next w:val="1"/>
    <w:link w:val="583"/>
    <w:qFormat/>
    <w:uiPriority w:val="0"/>
    <w:pPr>
      <w:pBdr>
        <w:bottom w:val="single" w:color="auto" w:sz="6" w:space="1"/>
      </w:pBdr>
      <w:spacing w:line="500" w:lineRule="exact"/>
      <w:ind w:firstLine="200" w:firstLineChars="200"/>
      <w:jc w:val="center"/>
    </w:pPr>
    <w:rPr>
      <w:rFonts w:ascii="Arial" w:hAnsi="Arial"/>
      <w:vanish/>
      <w:sz w:val="16"/>
      <w:szCs w:val="16"/>
    </w:rPr>
  </w:style>
  <w:style w:type="character" w:customStyle="1" w:styleId="583">
    <w:name w:val="z-窗体顶端 Char"/>
    <w:link w:val="582"/>
    <w:qFormat/>
    <w:uiPriority w:val="0"/>
    <w:rPr>
      <w:rFonts w:ascii="Arial" w:hAnsi="Arial" w:cs="Arial"/>
      <w:vanish/>
      <w:kern w:val="2"/>
      <w:sz w:val="16"/>
      <w:szCs w:val="16"/>
    </w:rPr>
  </w:style>
  <w:style w:type="paragraph" w:customStyle="1" w:styleId="584">
    <w:name w:val="发布部门"/>
    <w:next w:val="322"/>
    <w:qFormat/>
    <w:uiPriority w:val="0"/>
    <w:pPr>
      <w:jc w:val="center"/>
    </w:pPr>
    <w:rPr>
      <w:rFonts w:ascii="宋体" w:hAnsi="Times New Roman" w:eastAsia="宋体" w:cs="Times New Roman"/>
      <w:b/>
      <w:spacing w:val="20"/>
      <w:w w:val="135"/>
      <w:kern w:val="2"/>
      <w:sz w:val="36"/>
      <w:szCs w:val="22"/>
      <w:lang w:val="en-US" w:eastAsia="zh-CN" w:bidi="ar-SA"/>
    </w:rPr>
  </w:style>
  <w:style w:type="paragraph" w:customStyle="1" w:styleId="585">
    <w:name w:val="附录表标题"/>
    <w:next w:val="322"/>
    <w:qFormat/>
    <w:uiPriority w:val="0"/>
    <w:pPr>
      <w:jc w:val="center"/>
      <w:textAlignment w:val="baseline"/>
    </w:pPr>
    <w:rPr>
      <w:rFonts w:ascii="黑体" w:hAnsi="Times New Roman" w:eastAsia="黑体" w:cs="Times New Roman"/>
      <w:kern w:val="21"/>
      <w:sz w:val="21"/>
      <w:szCs w:val="22"/>
      <w:lang w:val="en-US" w:eastAsia="zh-CN" w:bidi="ar-SA"/>
    </w:rPr>
  </w:style>
  <w:style w:type="paragraph" w:customStyle="1" w:styleId="586">
    <w:name w:val="Char Char Char2 Char"/>
    <w:basedOn w:val="1"/>
    <w:qFormat/>
    <w:uiPriority w:val="0"/>
    <w:pPr>
      <w:spacing w:line="400" w:lineRule="exact"/>
    </w:pPr>
    <w:rPr>
      <w:rFonts w:ascii="Tahoma" w:hAnsi="Tahoma"/>
      <w:szCs w:val="20"/>
    </w:rPr>
  </w:style>
  <w:style w:type="paragraph" w:customStyle="1" w:styleId="587">
    <w:name w:val="Char Char Char Char Char Char1"/>
    <w:basedOn w:val="1"/>
    <w:qFormat/>
    <w:uiPriority w:val="0"/>
    <w:pPr>
      <w:spacing w:line="400" w:lineRule="exact"/>
    </w:pPr>
    <w:rPr>
      <w:rFonts w:ascii="Tahoma" w:hAnsi="Tahoma"/>
      <w:szCs w:val="20"/>
    </w:rPr>
  </w:style>
  <w:style w:type="paragraph" w:customStyle="1" w:styleId="588">
    <w:name w:val="图表脚注"/>
    <w:next w:val="322"/>
    <w:qFormat/>
    <w:uiPriority w:val="0"/>
    <w:pPr>
      <w:ind w:left="300" w:leftChars="200" w:hanging="100" w:hangingChars="100"/>
      <w:jc w:val="both"/>
    </w:pPr>
    <w:rPr>
      <w:rFonts w:ascii="宋体" w:hAnsi="Times New Roman" w:eastAsia="宋体" w:cs="Times New Roman"/>
      <w:kern w:val="2"/>
      <w:sz w:val="18"/>
      <w:szCs w:val="22"/>
      <w:lang w:val="en-US" w:eastAsia="zh-CN" w:bidi="ar-SA"/>
    </w:rPr>
  </w:style>
  <w:style w:type="paragraph" w:customStyle="1" w:styleId="589">
    <w:name w:val="样式 样式 标题 2 + 段前: 1 行 段后: 1 行 + 段前: 0.5 行 段后: 0.5 行 Char"/>
    <w:basedOn w:val="1"/>
    <w:link w:val="590"/>
    <w:qFormat/>
    <w:uiPriority w:val="0"/>
    <w:pPr>
      <w:keepNext/>
      <w:keepLines/>
      <w:spacing w:beforeLines="50" w:afterLines="50" w:line="480" w:lineRule="exact"/>
      <w:outlineLvl w:val="1"/>
    </w:pPr>
    <w:rPr>
      <w:b/>
      <w:bCs/>
      <w:sz w:val="30"/>
      <w:szCs w:val="30"/>
    </w:rPr>
  </w:style>
  <w:style w:type="character" w:customStyle="1" w:styleId="590">
    <w:name w:val="样式 样式 标题 2 + 段前: 1 行 段后: 1 行 + 段前: 0.5 行 段后: 0.5 行 Char Char Char"/>
    <w:link w:val="589"/>
    <w:qFormat/>
    <w:uiPriority w:val="0"/>
    <w:rPr>
      <w:rFonts w:cs="宋体"/>
      <w:b/>
      <w:bCs/>
      <w:kern w:val="2"/>
      <w:sz w:val="30"/>
      <w:szCs w:val="30"/>
    </w:rPr>
  </w:style>
  <w:style w:type="paragraph" w:customStyle="1" w:styleId="591">
    <w:name w:val="1 Char Char Char Char"/>
    <w:basedOn w:val="1"/>
    <w:qFormat/>
    <w:uiPriority w:val="0"/>
    <w:pPr>
      <w:tabs>
        <w:tab w:val="left" w:pos="360"/>
      </w:tabs>
      <w:spacing w:line="360" w:lineRule="auto"/>
      <w:ind w:left="482" w:firstLine="200" w:firstLineChars="200"/>
    </w:pPr>
    <w:rPr>
      <w:rFonts w:ascii="宋体"/>
    </w:rPr>
  </w:style>
  <w:style w:type="paragraph" w:customStyle="1" w:styleId="592">
    <w:name w:val="样式 样式 样式 样式 列表正文 + 段前: 0.3 行 段后: 0.3 行 + 段前: 0.3 行 段后: 0.3 行 + 右..."/>
    <w:basedOn w:val="421"/>
    <w:qFormat/>
    <w:uiPriority w:val="0"/>
    <w:pPr>
      <w:numPr>
        <w:ilvl w:val="0"/>
        <w:numId w:val="18"/>
      </w:numPr>
      <w:spacing w:before="93" w:after="93"/>
      <w:ind w:left="200"/>
    </w:pPr>
    <w:rPr>
      <w:spacing w:val="-4"/>
      <w:szCs w:val="28"/>
    </w:rPr>
  </w:style>
  <w:style w:type="paragraph" w:customStyle="1" w:styleId="593">
    <w:name w:val="样式 样式 正文缩进正文（首行缩进两字）正文标准 + 首行缩进:  2 字符 行距: 固定值 24 磅 + 首行缩进:  2 字..."/>
    <w:basedOn w:val="512"/>
    <w:qFormat/>
    <w:uiPriority w:val="0"/>
    <w:pPr>
      <w:spacing w:line="360" w:lineRule="auto"/>
    </w:pPr>
  </w:style>
  <w:style w:type="paragraph" w:customStyle="1" w:styleId="594">
    <w:name w:val="样式 行距: 1.5 倍行距"/>
    <w:basedOn w:val="5"/>
    <w:qFormat/>
    <w:uiPriority w:val="0"/>
    <w:pPr>
      <w:numPr>
        <w:numId w:val="0"/>
      </w:numPr>
      <w:adjustRightInd w:val="0"/>
      <w:spacing w:beforeLines="0" w:beforeAutospacing="1" w:afterAutospacing="1" w:line="640" w:lineRule="exact"/>
      <w:jc w:val="left"/>
      <w:textAlignment w:val="baseline"/>
    </w:pPr>
    <w:rPr>
      <w:rFonts w:ascii="黑体" w:hAnsi="Arial" w:cs="宋体"/>
      <w:bCs w:val="0"/>
      <w:kern w:val="0"/>
      <w:sz w:val="32"/>
      <w:szCs w:val="20"/>
    </w:rPr>
  </w:style>
  <w:style w:type="paragraph" w:customStyle="1" w:styleId="595">
    <w:name w:val="标准称谓"/>
    <w:next w:val="1"/>
    <w:qFormat/>
    <w:uiPriority w:val="0"/>
    <w:pPr>
      <w:widowControl w:val="0"/>
      <w:kinsoku w:val="0"/>
      <w:overflowPunct w:val="0"/>
      <w:autoSpaceDE w:val="0"/>
      <w:autoSpaceDN w:val="0"/>
      <w:spacing w:line="0" w:lineRule="atLeast"/>
      <w:jc w:val="distribute"/>
    </w:pPr>
    <w:rPr>
      <w:rFonts w:ascii="宋体" w:hAnsi="Times New Roman" w:eastAsia="宋体" w:cs="Times New Roman"/>
      <w:b/>
      <w:spacing w:val="20"/>
      <w:w w:val="148"/>
      <w:kern w:val="2"/>
      <w:sz w:val="52"/>
      <w:szCs w:val="22"/>
      <w:lang w:val="en-US" w:eastAsia="zh-CN" w:bidi="ar-SA"/>
    </w:rPr>
  </w:style>
  <w:style w:type="paragraph" w:customStyle="1" w:styleId="596">
    <w:name w:val="附表"/>
    <w:basedOn w:val="2"/>
    <w:next w:val="2"/>
    <w:qFormat/>
    <w:uiPriority w:val="0"/>
    <w:pPr>
      <w:spacing w:line="500" w:lineRule="exact"/>
      <w:ind w:firstLine="0" w:firstLineChars="0"/>
      <w:jc w:val="center"/>
      <w:outlineLvl w:val="3"/>
    </w:pPr>
    <w:rPr>
      <w:rFonts w:eastAsia="黑体"/>
      <w:sz w:val="32"/>
    </w:rPr>
  </w:style>
  <w:style w:type="paragraph" w:customStyle="1" w:styleId="597">
    <w:name w:val="样式 小标题1 + 四号 Char Char Char Char Char Char Char Char Char Char Char Char Char Char Char Char Char Char Char Char Char Char Char"/>
    <w:qFormat/>
    <w:uiPriority w:val="0"/>
    <w:pPr>
      <w:spacing w:beforeLines="50"/>
    </w:pPr>
    <w:rPr>
      <w:rFonts w:ascii="Times New Roman" w:hAnsi="Times New Roman" w:eastAsia="宋体" w:cs="Times New Roman"/>
      <w:bCs/>
      <w:sz w:val="28"/>
      <w:lang w:val="en-US" w:eastAsia="zh-CN" w:bidi="ar-SA"/>
    </w:rPr>
  </w:style>
  <w:style w:type="paragraph" w:customStyle="1" w:styleId="598">
    <w:name w:val="二级无标题条"/>
    <w:basedOn w:val="1"/>
    <w:qFormat/>
    <w:uiPriority w:val="0"/>
    <w:pPr>
      <w:tabs>
        <w:tab w:val="left" w:pos="864"/>
      </w:tabs>
      <w:spacing w:line="240" w:lineRule="auto"/>
      <w:ind w:left="864" w:hanging="864"/>
    </w:pPr>
    <w:rPr>
      <w:sz w:val="21"/>
      <w:szCs w:val="20"/>
    </w:rPr>
  </w:style>
  <w:style w:type="paragraph" w:customStyle="1" w:styleId="599">
    <w:name w:val="条文脚注"/>
    <w:basedOn w:val="67"/>
    <w:qFormat/>
    <w:uiPriority w:val="0"/>
    <w:pPr>
      <w:ind w:left="780" w:leftChars="200" w:hanging="360" w:hangingChars="200"/>
      <w:jc w:val="both"/>
    </w:pPr>
    <w:rPr>
      <w:rFonts w:ascii="宋体"/>
      <w:kern w:val="0"/>
      <w:szCs w:val="20"/>
    </w:rPr>
  </w:style>
  <w:style w:type="paragraph" w:customStyle="1" w:styleId="600">
    <w:name w:val="样式 样式 正文文本缩进 2 + 红色 + 首行缩进:  2 字符"/>
    <w:basedOn w:val="1"/>
    <w:qFormat/>
    <w:uiPriority w:val="0"/>
    <w:pPr>
      <w:widowControl/>
      <w:spacing w:line="360" w:lineRule="auto"/>
      <w:ind w:firstLine="480" w:firstLineChars="200"/>
    </w:pPr>
    <w:rPr>
      <w:rFonts w:ascii="宋体" w:hAnsi="宋体" w:cs="宋体"/>
      <w:snapToGrid w:val="0"/>
      <w:kern w:val="0"/>
      <w:szCs w:val="20"/>
    </w:rPr>
  </w:style>
  <w:style w:type="paragraph" w:customStyle="1" w:styleId="601">
    <w:name w:val="样式 表格内容 + 仿宋_GB2312"/>
    <w:basedOn w:val="332"/>
    <w:qFormat/>
    <w:uiPriority w:val="0"/>
    <w:pPr>
      <w:ind w:left="0" w:leftChars="0" w:firstLine="0" w:firstLineChars="0"/>
    </w:pPr>
    <w:rPr>
      <w:rFonts w:ascii="仿宋_GB2312" w:hAnsi="仿宋_GB2312" w:eastAsia="仿宋_GB2312"/>
      <w:kern w:val="6"/>
    </w:rPr>
  </w:style>
  <w:style w:type="paragraph" w:customStyle="1" w:styleId="602">
    <w:name w:val="封面一致性程度标识"/>
    <w:qFormat/>
    <w:uiPriority w:val="0"/>
    <w:pPr>
      <w:spacing w:before="440" w:line="400" w:lineRule="exact"/>
      <w:jc w:val="center"/>
    </w:pPr>
    <w:rPr>
      <w:rFonts w:ascii="宋体" w:hAnsi="Times New Roman" w:eastAsia="宋体" w:cs="Times New Roman"/>
      <w:kern w:val="2"/>
      <w:sz w:val="28"/>
      <w:szCs w:val="22"/>
      <w:lang w:val="en-US" w:eastAsia="zh-CN" w:bidi="ar-SA"/>
    </w:rPr>
  </w:style>
  <w:style w:type="paragraph" w:customStyle="1" w:styleId="603">
    <w:name w:val="样式 表格标题（自动编号） +"/>
    <w:basedOn w:val="604"/>
    <w:qFormat/>
    <w:uiPriority w:val="0"/>
    <w:pPr>
      <w:ind w:firstLine="300"/>
    </w:pPr>
    <w:rPr>
      <w:rFonts w:eastAsia="宋体"/>
      <w:kern w:val="2"/>
    </w:rPr>
  </w:style>
  <w:style w:type="paragraph" w:customStyle="1" w:styleId="604">
    <w:name w:val="表格标题（自动编号）"/>
    <w:basedOn w:val="10"/>
    <w:qFormat/>
    <w:uiPriority w:val="0"/>
    <w:pPr>
      <w:numPr>
        <w:numId w:val="0"/>
      </w:numPr>
      <w:spacing w:before="0" w:after="0" w:line="400" w:lineRule="exact"/>
      <w:ind w:firstLine="720" w:firstLineChars="300"/>
      <w:jc w:val="left"/>
      <w:outlineLvl w:val="9"/>
    </w:pPr>
    <w:rPr>
      <w:rFonts w:ascii="宋体" w:hAnsi="宋体" w:eastAsia="楷体_GB2312"/>
      <w:b w:val="0"/>
      <w:bCs w:val="0"/>
      <w:snapToGrid w:val="0"/>
      <w:kern w:val="6"/>
      <w:szCs w:val="28"/>
    </w:rPr>
  </w:style>
  <w:style w:type="paragraph" w:customStyle="1" w:styleId="605">
    <w:name w:val="Char Char Char Char Char Char3"/>
    <w:basedOn w:val="1"/>
    <w:qFormat/>
    <w:uiPriority w:val="0"/>
    <w:pPr>
      <w:widowControl/>
      <w:spacing w:after="160" w:line="240" w:lineRule="exact"/>
      <w:jc w:val="left"/>
    </w:pPr>
    <w:rPr>
      <w:rFonts w:ascii="Verdana" w:hAnsi="Verdana" w:eastAsia="仿宋_GB2312"/>
      <w:b/>
      <w:kern w:val="0"/>
      <w:sz w:val="28"/>
      <w:szCs w:val="30"/>
      <w:lang w:eastAsia="en-US"/>
    </w:rPr>
  </w:style>
  <w:style w:type="paragraph" w:customStyle="1" w:styleId="606">
    <w:name w:val="样式 小标题1 + 段前: 0.5 行 段后: 0.5 行2"/>
    <w:basedOn w:val="459"/>
    <w:qFormat/>
    <w:uiPriority w:val="0"/>
    <w:pPr>
      <w:tabs>
        <w:tab w:val="left" w:pos="1755"/>
      </w:tabs>
      <w:adjustRightInd w:val="0"/>
      <w:snapToGrid w:val="0"/>
      <w:spacing w:beforeLines="100" w:afterLines="50" w:line="360" w:lineRule="auto"/>
      <w:ind w:left="1755" w:hanging="1755"/>
      <w:outlineLvl w:val="3"/>
    </w:pPr>
    <w:rPr>
      <w:rFonts w:eastAsia="宋体" w:cs="宋体"/>
      <w:b/>
      <w:bCs/>
      <w:sz w:val="28"/>
      <w:szCs w:val="20"/>
    </w:rPr>
  </w:style>
  <w:style w:type="paragraph" w:customStyle="1" w:styleId="607">
    <w:name w:val="样式 小标题1 + 四号 Char Char Char Char Char Char Char Char Char Char Char Char Char Char Char Char Char Char"/>
    <w:basedOn w:val="476"/>
    <w:link w:val="608"/>
    <w:qFormat/>
    <w:uiPriority w:val="0"/>
    <w:pPr>
      <w:spacing w:beforeLines="50"/>
    </w:pPr>
    <w:rPr>
      <w:bCs/>
      <w:sz w:val="28"/>
    </w:rPr>
  </w:style>
  <w:style w:type="character" w:customStyle="1" w:styleId="608">
    <w:name w:val="样式 小标题1 + 四号 Char Char Char Char Char Char Char Char Char Char Char Char Char Char Char Char Char Char Char Char Char Char Char Char Char Char Char Char Char Char Char"/>
    <w:link w:val="607"/>
    <w:qFormat/>
    <w:uiPriority w:val="0"/>
    <w:rPr>
      <w:b/>
      <w:bCs/>
      <w:kern w:val="2"/>
      <w:sz w:val="28"/>
      <w:szCs w:val="24"/>
    </w:rPr>
  </w:style>
  <w:style w:type="paragraph" w:customStyle="1" w:styleId="609">
    <w:name w:val="样式 样式 正文文本缩进特点标题PIHD正文1 + 宋体 自动设置 + 首行缩进:  2 字符"/>
    <w:basedOn w:val="610"/>
    <w:qFormat/>
    <w:uiPriority w:val="0"/>
    <w:pPr>
      <w:ind w:firstLine="560"/>
    </w:pPr>
    <w:rPr>
      <w:rFonts w:cs="宋体"/>
      <w:sz w:val="24"/>
      <w:szCs w:val="20"/>
    </w:rPr>
  </w:style>
  <w:style w:type="paragraph" w:customStyle="1" w:styleId="610">
    <w:name w:val="样式 正文文本缩进特点标题PIHD正文1 + 宋体 自动设置"/>
    <w:basedOn w:val="35"/>
    <w:qFormat/>
    <w:uiPriority w:val="0"/>
    <w:pPr>
      <w:adjustRightInd w:val="0"/>
      <w:snapToGrid w:val="0"/>
      <w:spacing w:line="336" w:lineRule="auto"/>
      <w:ind w:firstLine="200"/>
    </w:pPr>
    <w:rPr>
      <w:rFonts w:ascii="宋体" w:hAnsi="宋体"/>
    </w:rPr>
  </w:style>
  <w:style w:type="paragraph" w:customStyle="1" w:styleId="611">
    <w:name w:val="三级无标题条"/>
    <w:basedOn w:val="1"/>
    <w:qFormat/>
    <w:uiPriority w:val="0"/>
    <w:pPr>
      <w:tabs>
        <w:tab w:val="left" w:pos="1008"/>
      </w:tabs>
      <w:spacing w:line="240" w:lineRule="auto"/>
      <w:ind w:left="1008" w:hanging="1008"/>
    </w:pPr>
    <w:rPr>
      <w:sz w:val="21"/>
      <w:szCs w:val="20"/>
    </w:rPr>
  </w:style>
  <w:style w:type="paragraph" w:customStyle="1" w:styleId="612">
    <w:name w:val="样式6"/>
    <w:basedOn w:val="9"/>
    <w:qFormat/>
    <w:uiPriority w:val="0"/>
    <w:pPr>
      <w:keepNext/>
      <w:keepLines/>
      <w:numPr>
        <w:numId w:val="0"/>
      </w:numPr>
      <w:spacing w:before="240" w:after="64" w:afterAutospacing="0" w:line="320" w:lineRule="auto"/>
      <w:jc w:val="both"/>
    </w:pPr>
    <w:rPr>
      <w:rFonts w:ascii="Arial" w:hAnsi="Arial" w:eastAsia="黑体"/>
      <w:sz w:val="24"/>
    </w:rPr>
  </w:style>
  <w:style w:type="paragraph" w:customStyle="1" w:styleId="613">
    <w:name w:val="样式13"/>
    <w:basedOn w:val="383"/>
    <w:next w:val="383"/>
    <w:qFormat/>
    <w:uiPriority w:val="0"/>
    <w:pPr>
      <w:tabs>
        <w:tab w:val="left" w:pos="1260"/>
      </w:tabs>
      <w:spacing w:beforeLines="50" w:line="415" w:lineRule="auto"/>
      <w:jc w:val="both"/>
      <w:outlineLvl w:val="1"/>
    </w:pPr>
    <w:rPr>
      <w:rFonts w:ascii="Arial" w:hAnsi="Arial" w:eastAsia="宋体" w:cs="Arial"/>
      <w:bCs w:val="0"/>
      <w:sz w:val="32"/>
      <w:szCs w:val="36"/>
      <w:lang w:val="en-US"/>
    </w:rPr>
  </w:style>
  <w:style w:type="paragraph" w:customStyle="1" w:styleId="614">
    <w:name w:val="font19"/>
    <w:basedOn w:val="1"/>
    <w:qFormat/>
    <w:uiPriority w:val="0"/>
    <w:pPr>
      <w:widowControl/>
      <w:spacing w:before="100" w:beforeAutospacing="1" w:after="100" w:afterAutospacing="1" w:line="240" w:lineRule="auto"/>
      <w:jc w:val="left"/>
    </w:pPr>
    <w:rPr>
      <w:rFonts w:ascii="宋体" w:hAnsi="宋体" w:cs="宋体"/>
      <w:b/>
      <w:bCs/>
      <w:color w:val="000000"/>
      <w:kern w:val="0"/>
      <w:sz w:val="16"/>
      <w:szCs w:val="16"/>
    </w:rPr>
  </w:style>
  <w:style w:type="paragraph" w:customStyle="1" w:styleId="615">
    <w:name w:val="样式 题注 + 首行缩进:  2 字符"/>
    <w:basedOn w:val="22"/>
    <w:qFormat/>
    <w:uiPriority w:val="0"/>
    <w:pPr>
      <w:spacing w:line="240" w:lineRule="auto"/>
      <w:ind w:firstLine="400"/>
    </w:pPr>
    <w:rPr>
      <w:rFonts w:cs="宋体"/>
      <w:b w:val="0"/>
      <w:sz w:val="28"/>
    </w:rPr>
  </w:style>
  <w:style w:type="paragraph" w:customStyle="1" w:styleId="616">
    <w:name w:val="数字编号列项（二级）"/>
    <w:qFormat/>
    <w:uiPriority w:val="0"/>
    <w:pPr>
      <w:ind w:left="1260" w:leftChars="400" w:hanging="420" w:hangingChars="200"/>
      <w:jc w:val="both"/>
    </w:pPr>
    <w:rPr>
      <w:rFonts w:ascii="宋体" w:hAnsi="Times New Roman" w:eastAsia="宋体" w:cs="Times New Roman"/>
      <w:kern w:val="2"/>
      <w:sz w:val="21"/>
      <w:szCs w:val="22"/>
      <w:lang w:val="en-US" w:eastAsia="zh-CN" w:bidi="ar-SA"/>
    </w:rPr>
  </w:style>
  <w:style w:type="paragraph" w:customStyle="1" w:styleId="617">
    <w:name w:val="字母编号列项（一级）"/>
    <w:qFormat/>
    <w:uiPriority w:val="0"/>
    <w:pPr>
      <w:ind w:left="840" w:leftChars="200" w:hanging="420" w:hangingChars="200"/>
      <w:jc w:val="both"/>
    </w:pPr>
    <w:rPr>
      <w:rFonts w:ascii="宋体" w:hAnsi="Times New Roman" w:eastAsia="宋体" w:cs="Times New Roman"/>
      <w:kern w:val="2"/>
      <w:sz w:val="21"/>
      <w:szCs w:val="22"/>
      <w:lang w:val="en-US" w:eastAsia="zh-CN" w:bidi="ar-SA"/>
    </w:rPr>
  </w:style>
  <w:style w:type="paragraph" w:customStyle="1" w:styleId="618">
    <w:name w:val="样式4"/>
    <w:basedOn w:val="5"/>
    <w:link w:val="619"/>
    <w:qFormat/>
    <w:uiPriority w:val="0"/>
    <w:pPr>
      <w:numPr>
        <w:numId w:val="0"/>
      </w:numPr>
      <w:tabs>
        <w:tab w:val="left" w:pos="280"/>
      </w:tabs>
      <w:spacing w:beforeLines="0" w:line="500" w:lineRule="exact"/>
      <w:jc w:val="left"/>
    </w:pPr>
    <w:rPr>
      <w:rFonts w:ascii="宋体" w:hAnsi="宋体" w:eastAsia="黑体"/>
      <w:bCs w:val="0"/>
      <w:kern w:val="0"/>
      <w:sz w:val="32"/>
      <w:szCs w:val="24"/>
    </w:rPr>
  </w:style>
  <w:style w:type="character" w:customStyle="1" w:styleId="619">
    <w:name w:val="样式4 Char Char"/>
    <w:link w:val="618"/>
    <w:qFormat/>
    <w:uiPriority w:val="0"/>
    <w:rPr>
      <w:rFonts w:ascii="宋体" w:hAnsi="宋体" w:eastAsia="黑体"/>
      <w:b/>
      <w:sz w:val="32"/>
      <w:szCs w:val="24"/>
    </w:rPr>
  </w:style>
  <w:style w:type="paragraph" w:customStyle="1" w:styleId="620">
    <w:name w:val="z-窗体底端1"/>
    <w:basedOn w:val="1"/>
    <w:next w:val="1"/>
    <w:link w:val="621"/>
    <w:qFormat/>
    <w:uiPriority w:val="0"/>
    <w:pPr>
      <w:pBdr>
        <w:top w:val="single" w:color="auto" w:sz="6" w:space="1"/>
      </w:pBdr>
      <w:spacing w:line="500" w:lineRule="exact"/>
      <w:ind w:firstLine="200" w:firstLineChars="200"/>
      <w:jc w:val="center"/>
    </w:pPr>
    <w:rPr>
      <w:rFonts w:ascii="Arial" w:hAnsi="Arial"/>
      <w:vanish/>
      <w:sz w:val="16"/>
      <w:szCs w:val="16"/>
    </w:rPr>
  </w:style>
  <w:style w:type="character" w:customStyle="1" w:styleId="621">
    <w:name w:val="z-窗体底端 Char"/>
    <w:link w:val="620"/>
    <w:qFormat/>
    <w:uiPriority w:val="0"/>
    <w:rPr>
      <w:rFonts w:ascii="Arial" w:hAnsi="Arial" w:cs="Arial"/>
      <w:vanish/>
      <w:kern w:val="2"/>
      <w:sz w:val="16"/>
      <w:szCs w:val="16"/>
    </w:rPr>
  </w:style>
  <w:style w:type="paragraph" w:customStyle="1" w:styleId="622">
    <w:name w:val="style6"/>
    <w:basedOn w:val="1"/>
    <w:qFormat/>
    <w:uiPriority w:val="0"/>
    <w:pPr>
      <w:widowControl/>
      <w:spacing w:before="100" w:beforeAutospacing="1" w:after="100" w:afterAutospacing="1" w:line="240" w:lineRule="auto"/>
      <w:jc w:val="left"/>
    </w:pPr>
    <w:rPr>
      <w:rFonts w:ascii="宋体" w:hAnsi="宋体" w:cs="宋体"/>
      <w:color w:val="333333"/>
      <w:kern w:val="0"/>
    </w:rPr>
  </w:style>
  <w:style w:type="paragraph" w:customStyle="1" w:styleId="623">
    <w:name w:val="正文2"/>
    <w:qFormat/>
    <w:uiPriority w:val="0"/>
    <w:pPr>
      <w:widowControl w:val="0"/>
      <w:adjustRightInd w:val="0"/>
      <w:spacing w:line="0" w:lineRule="atLeast"/>
      <w:textAlignment w:val="baseline"/>
    </w:pPr>
    <w:rPr>
      <w:rFonts w:ascii="Times New Roman" w:hAnsi="Times New Roman" w:eastAsia="宋体" w:cs="Times New Roman"/>
      <w:lang w:val="en-US" w:eastAsia="zh-CN" w:bidi="ar-SA"/>
    </w:rPr>
  </w:style>
  <w:style w:type="paragraph" w:customStyle="1" w:styleId="624">
    <w:name w:val="样式5"/>
    <w:basedOn w:val="10"/>
    <w:qFormat/>
    <w:uiPriority w:val="0"/>
    <w:pPr>
      <w:numPr>
        <w:numId w:val="0"/>
      </w:numPr>
      <w:spacing w:before="0" w:after="0" w:line="500" w:lineRule="exact"/>
      <w:ind w:left="1559" w:hanging="1559"/>
      <w:jc w:val="center"/>
    </w:pPr>
    <w:rPr>
      <w:rFonts w:ascii="宋体" w:hAnsi="宋体"/>
    </w:rPr>
  </w:style>
  <w:style w:type="paragraph" w:customStyle="1" w:styleId="625">
    <w:name w:val="样式 样式 列表正文 + 段前: 0.3 行 段后: 0.3 行 + 段前: 0.3 行 段后: 0.3 行"/>
    <w:basedOn w:val="576"/>
    <w:qFormat/>
    <w:uiPriority w:val="0"/>
    <w:pPr>
      <w:ind w:right="200" w:rightChars="200"/>
    </w:pPr>
    <w:rPr>
      <w:szCs w:val="20"/>
    </w:rPr>
  </w:style>
  <w:style w:type="paragraph" w:customStyle="1" w:styleId="626">
    <w:name w:val="Char Char Char Char Char Char1 Char Char Char Char Char Char Char Char Char Char1 Char Char Char Char Char Char"/>
    <w:basedOn w:val="1"/>
    <w:qFormat/>
    <w:uiPriority w:val="0"/>
    <w:pPr>
      <w:spacing w:line="240" w:lineRule="auto"/>
    </w:pPr>
    <w:rPr>
      <w:rFonts w:ascii="宋体" w:hAnsi="宋体"/>
      <w:szCs w:val="20"/>
    </w:rPr>
  </w:style>
  <w:style w:type="paragraph" w:customStyle="1" w:styleId="627">
    <w:name w:val="Char Char Char Char Char Char Char Char Char Char Char Char Char"/>
    <w:basedOn w:val="1"/>
    <w:qFormat/>
    <w:uiPriority w:val="0"/>
    <w:pPr>
      <w:spacing w:line="360" w:lineRule="auto"/>
    </w:pPr>
    <w:rPr>
      <w:rFonts w:ascii="Tahoma" w:hAnsi="Tahoma"/>
      <w:szCs w:val="20"/>
    </w:rPr>
  </w:style>
  <w:style w:type="paragraph" w:customStyle="1" w:styleId="628">
    <w:name w:val="样式 标题 7表格标题 + 首行缩进:  3 字符"/>
    <w:basedOn w:val="10"/>
    <w:qFormat/>
    <w:uiPriority w:val="0"/>
    <w:pPr>
      <w:numPr>
        <w:numId w:val="0"/>
      </w:numPr>
      <w:spacing w:before="0" w:after="0" w:line="500" w:lineRule="exact"/>
      <w:ind w:firstLine="630" w:firstLineChars="300"/>
      <w:jc w:val="left"/>
    </w:pPr>
    <w:rPr>
      <w:rFonts w:ascii="宋体" w:hAnsi="宋体" w:cs="宋体"/>
      <w:b w:val="0"/>
      <w:bCs w:val="0"/>
      <w:sz w:val="21"/>
      <w:szCs w:val="20"/>
    </w:rPr>
  </w:style>
  <w:style w:type="paragraph" w:customStyle="1" w:styleId="629">
    <w:name w:val="样式 标题 2 + Arial"/>
    <w:basedOn w:val="5"/>
    <w:qFormat/>
    <w:uiPriority w:val="0"/>
    <w:pPr>
      <w:numPr>
        <w:numId w:val="0"/>
      </w:numPr>
      <w:tabs>
        <w:tab w:val="left" w:pos="576"/>
      </w:tabs>
      <w:spacing w:beforeLines="0" w:line="416" w:lineRule="auto"/>
      <w:ind w:left="576" w:hanging="576"/>
    </w:pPr>
    <w:rPr>
      <w:rFonts w:ascii="Arial" w:hAnsi="Arial"/>
      <w:b w:val="0"/>
      <w:bCs w:val="0"/>
      <w:sz w:val="24"/>
      <w:szCs w:val="24"/>
    </w:rPr>
  </w:style>
  <w:style w:type="paragraph" w:customStyle="1" w:styleId="630">
    <w:name w:val="_Style 97"/>
    <w:basedOn w:val="1"/>
    <w:qFormat/>
    <w:uiPriority w:val="0"/>
    <w:pPr>
      <w:spacing w:line="240" w:lineRule="auto"/>
    </w:pPr>
    <w:rPr>
      <w:sz w:val="21"/>
      <w:szCs w:val="20"/>
    </w:rPr>
  </w:style>
  <w:style w:type="paragraph" w:customStyle="1" w:styleId="631">
    <w:name w:val="标题2"/>
    <w:basedOn w:val="5"/>
    <w:qFormat/>
    <w:uiPriority w:val="0"/>
    <w:pPr>
      <w:numPr>
        <w:numId w:val="0"/>
      </w:numPr>
      <w:tabs>
        <w:tab w:val="left" w:pos="280"/>
      </w:tabs>
      <w:adjustRightInd w:val="0"/>
      <w:snapToGrid w:val="0"/>
      <w:spacing w:beforeLines="80" w:after="156" w:line="240" w:lineRule="auto"/>
      <w:ind w:left="360"/>
      <w:jc w:val="left"/>
    </w:pPr>
    <w:rPr>
      <w:rFonts w:ascii="宋体" w:hAnsi="宋体" w:cs="宋体"/>
      <w:sz w:val="32"/>
    </w:rPr>
  </w:style>
  <w:style w:type="paragraph" w:customStyle="1" w:styleId="632">
    <w:name w:val="Char Char Char Char Char Char Char Char Char Char Char Char1 Char Char Char Char Char Char Char Char Char Char"/>
    <w:basedOn w:val="1"/>
    <w:qFormat/>
    <w:uiPriority w:val="0"/>
    <w:pPr>
      <w:widowControl/>
      <w:spacing w:after="160" w:line="240" w:lineRule="exact"/>
      <w:jc w:val="left"/>
    </w:pPr>
    <w:rPr>
      <w:rFonts w:ascii="Verdana" w:hAnsi="Verdana" w:eastAsia="仿宋_GB2312"/>
      <w:kern w:val="0"/>
      <w:sz w:val="30"/>
      <w:szCs w:val="30"/>
      <w:lang w:eastAsia="en-US"/>
    </w:rPr>
  </w:style>
  <w:style w:type="paragraph" w:customStyle="1" w:styleId="633">
    <w:name w:val="其他发布部门"/>
    <w:basedOn w:val="1"/>
    <w:qFormat/>
    <w:uiPriority w:val="0"/>
    <w:pPr>
      <w:widowControl/>
      <w:spacing w:line="0" w:lineRule="atLeast"/>
      <w:jc w:val="center"/>
    </w:pPr>
    <w:rPr>
      <w:rFonts w:ascii="黑体" w:eastAsia="黑体"/>
      <w:spacing w:val="20"/>
      <w:w w:val="135"/>
      <w:kern w:val="0"/>
      <w:sz w:val="36"/>
      <w:szCs w:val="20"/>
    </w:rPr>
  </w:style>
  <w:style w:type="paragraph" w:customStyle="1" w:styleId="634">
    <w:name w:val="样式 样式 样式 标题 2 + 段前: 1 行 段后: 1 行 + 段前: 0.5 行 段后: 0.5 行 + Times Ne... Char Char Char Char Char Char Char Char Char Char Char Char Char Char Char Char Char Char Char Char Char Char Char Char Char Char Char Char Char Char Char Char Char Char"/>
    <w:basedOn w:val="589"/>
    <w:link w:val="635"/>
    <w:qFormat/>
    <w:uiPriority w:val="0"/>
    <w:pPr>
      <w:spacing w:beforeLines="0"/>
    </w:pPr>
    <w:rPr>
      <w:b w:val="0"/>
      <w:bCs w:val="0"/>
      <w:kern w:val="0"/>
      <w:sz w:val="20"/>
      <w:szCs w:val="20"/>
    </w:rPr>
  </w:style>
  <w:style w:type="character" w:customStyle="1" w:styleId="635">
    <w:name w:val="样式 样式 样式 标题 2 + 段前: 1 行 段后: 1 行 + 段前: 0.5 行 段后: 0.5 行 + Times Ne... Char Char Char Char Char Char Char Char Char Char Char Char Char Char Char Char Char Char Char Char Char Char Char Char Char Char Char Char Char Char Char Char Char Char Char Char"/>
    <w:link w:val="634"/>
    <w:qFormat/>
    <w:uiPriority w:val="0"/>
  </w:style>
  <w:style w:type="paragraph" w:customStyle="1" w:styleId="636">
    <w:name w:val="样式 表格内容 + 仿宋_GB23121"/>
    <w:basedOn w:val="332"/>
    <w:qFormat/>
    <w:uiPriority w:val="0"/>
    <w:pPr>
      <w:ind w:left="0" w:leftChars="0" w:firstLine="0" w:firstLineChars="0"/>
    </w:pPr>
    <w:rPr>
      <w:rFonts w:ascii="仿宋_GB2312" w:hAnsi="仿宋_GB2312" w:eastAsia="仿宋_GB2312"/>
      <w:szCs w:val="20"/>
    </w:rPr>
  </w:style>
  <w:style w:type="paragraph" w:customStyle="1" w:styleId="637">
    <w:name w:val="样式11"/>
    <w:basedOn w:val="383"/>
    <w:qFormat/>
    <w:uiPriority w:val="0"/>
    <w:pPr>
      <w:tabs>
        <w:tab w:val="left" w:pos="1260"/>
      </w:tabs>
      <w:spacing w:beforeLines="50" w:line="415" w:lineRule="auto"/>
      <w:jc w:val="both"/>
      <w:outlineLvl w:val="1"/>
    </w:pPr>
    <w:rPr>
      <w:rFonts w:ascii="Arial" w:hAnsi="Arial" w:eastAsia="宋体" w:cs="Arial"/>
      <w:bCs w:val="0"/>
      <w:sz w:val="32"/>
      <w:szCs w:val="36"/>
      <w:lang w:val="en-US"/>
    </w:rPr>
  </w:style>
  <w:style w:type="paragraph" w:customStyle="1" w:styleId="638">
    <w:name w:val="font1"/>
    <w:basedOn w:val="1"/>
    <w:qFormat/>
    <w:uiPriority w:val="0"/>
    <w:pPr>
      <w:widowControl/>
      <w:spacing w:before="100" w:beforeAutospacing="1" w:after="100" w:afterAutospacing="1" w:line="240" w:lineRule="auto"/>
      <w:jc w:val="left"/>
    </w:pPr>
    <w:rPr>
      <w:rFonts w:ascii="宋体" w:hAnsi="宋体" w:cs="宋体"/>
      <w:kern w:val="0"/>
    </w:rPr>
  </w:style>
  <w:style w:type="paragraph" w:customStyle="1" w:styleId="639">
    <w:name w:val="正文表标题"/>
    <w:next w:val="322"/>
    <w:qFormat/>
    <w:uiPriority w:val="0"/>
    <w:pPr>
      <w:jc w:val="center"/>
    </w:pPr>
    <w:rPr>
      <w:rFonts w:ascii="黑体" w:hAnsi="Times New Roman" w:eastAsia="黑体" w:cs="Times New Roman"/>
      <w:kern w:val="2"/>
      <w:sz w:val="21"/>
      <w:szCs w:val="22"/>
      <w:lang w:val="en-US" w:eastAsia="zh-CN" w:bidi="ar-SA"/>
    </w:rPr>
  </w:style>
  <w:style w:type="paragraph" w:customStyle="1" w:styleId="640">
    <w:name w:val="五级无标题条"/>
    <w:basedOn w:val="1"/>
    <w:qFormat/>
    <w:uiPriority w:val="0"/>
    <w:pPr>
      <w:tabs>
        <w:tab w:val="left" w:pos="1296"/>
      </w:tabs>
      <w:spacing w:line="240" w:lineRule="auto"/>
      <w:ind w:left="1296" w:hanging="1296"/>
    </w:pPr>
    <w:rPr>
      <w:sz w:val="21"/>
      <w:szCs w:val="20"/>
    </w:rPr>
  </w:style>
  <w:style w:type="paragraph" w:customStyle="1" w:styleId="641">
    <w:name w:val="图名"/>
    <w:basedOn w:val="2"/>
    <w:qFormat/>
    <w:uiPriority w:val="0"/>
    <w:pPr>
      <w:shd w:val="clear" w:color="auto" w:fill="003366"/>
      <w:snapToGrid w:val="0"/>
      <w:spacing w:line="500" w:lineRule="exact"/>
      <w:ind w:firstLine="0" w:firstLineChars="0"/>
      <w:jc w:val="center"/>
    </w:pPr>
    <w:rPr>
      <w:rFonts w:eastAsia="仿宋_GB2312"/>
      <w:snapToGrid w:val="0"/>
      <w:kern w:val="6"/>
      <w:sz w:val="21"/>
      <w:szCs w:val="21"/>
    </w:rPr>
  </w:style>
  <w:style w:type="paragraph" w:customStyle="1" w:styleId="642">
    <w:name w:val="样式 小标题1 + 段前: 0.5 行 段后: 0.5 行"/>
    <w:basedOn w:val="459"/>
    <w:qFormat/>
    <w:uiPriority w:val="0"/>
    <w:pPr>
      <w:tabs>
        <w:tab w:val="left" w:pos="720"/>
        <w:tab w:val="left" w:pos="1755"/>
      </w:tabs>
      <w:adjustRightInd w:val="0"/>
      <w:snapToGrid w:val="0"/>
      <w:spacing w:beforeLines="100" w:afterLines="50" w:line="240" w:lineRule="auto"/>
      <w:ind w:left="720" w:hanging="720"/>
      <w:outlineLvl w:val="3"/>
    </w:pPr>
    <w:rPr>
      <w:rFonts w:eastAsia="宋体" w:cs="宋体"/>
      <w:b/>
      <w:bCs/>
      <w:sz w:val="28"/>
      <w:szCs w:val="20"/>
    </w:rPr>
  </w:style>
  <w:style w:type="paragraph" w:customStyle="1" w:styleId="643">
    <w:name w:val="样式 小标题1 + 四号 Char Char Char Char Char Char Char Char Char Char Char Char Char Char Char Char"/>
    <w:basedOn w:val="476"/>
    <w:qFormat/>
    <w:uiPriority w:val="0"/>
    <w:pPr>
      <w:spacing w:beforeLines="50"/>
    </w:pPr>
    <w:rPr>
      <w:bCs/>
      <w:sz w:val="28"/>
    </w:rPr>
  </w:style>
  <w:style w:type="paragraph" w:customStyle="1" w:styleId="644">
    <w:name w:val="样式 标题 1 + 仿宋_GB2312 粉红 居中"/>
    <w:basedOn w:val="4"/>
    <w:qFormat/>
    <w:uiPriority w:val="0"/>
    <w:pPr>
      <w:numPr>
        <w:numId w:val="0"/>
      </w:numPr>
      <w:adjustRightInd w:val="0"/>
      <w:snapToGrid w:val="0"/>
      <w:spacing w:beforeLines="0"/>
    </w:pPr>
    <w:rPr>
      <w:rFonts w:ascii="仿宋_GB2312" w:hAnsi="Arial" w:eastAsia="仿宋_GB2312"/>
      <w:color w:val="FF00FF"/>
      <w:kern w:val="0"/>
      <w:sz w:val="44"/>
      <w:szCs w:val="20"/>
    </w:rPr>
  </w:style>
  <w:style w:type="paragraph" w:customStyle="1" w:styleId="645">
    <w:name w:val="标准书眉_偶数页"/>
    <w:basedOn w:val="438"/>
    <w:next w:val="1"/>
    <w:qFormat/>
    <w:uiPriority w:val="0"/>
    <w:pPr>
      <w:jc w:val="left"/>
    </w:pPr>
  </w:style>
  <w:style w:type="paragraph" w:customStyle="1" w:styleId="646">
    <w:name w:val="Char Char Char3 Char Char Char Char"/>
    <w:basedOn w:val="1"/>
    <w:qFormat/>
    <w:uiPriority w:val="0"/>
    <w:pPr>
      <w:spacing w:line="360" w:lineRule="auto"/>
    </w:pPr>
  </w:style>
  <w:style w:type="paragraph" w:customStyle="1" w:styleId="647">
    <w:name w:val="图形标注"/>
    <w:basedOn w:val="2"/>
    <w:next w:val="2"/>
    <w:link w:val="648"/>
    <w:qFormat/>
    <w:uiPriority w:val="0"/>
    <w:pPr>
      <w:spacing w:line="500" w:lineRule="exact"/>
      <w:ind w:firstLine="0" w:firstLineChars="0"/>
      <w:jc w:val="center"/>
      <w:outlineLvl w:val="5"/>
    </w:pPr>
    <w:rPr>
      <w:rFonts w:eastAsia="仿宋_GB2312"/>
      <w:sz w:val="21"/>
    </w:rPr>
  </w:style>
  <w:style w:type="character" w:customStyle="1" w:styleId="648">
    <w:name w:val="图形标注 Char Char"/>
    <w:link w:val="647"/>
    <w:qFormat/>
    <w:uiPriority w:val="0"/>
    <w:rPr>
      <w:rFonts w:eastAsia="仿宋_GB2312"/>
      <w:kern w:val="2"/>
      <w:sz w:val="21"/>
      <w:szCs w:val="24"/>
    </w:rPr>
  </w:style>
  <w:style w:type="paragraph" w:customStyle="1" w:styleId="649">
    <w:name w:val="样式 标题 2节标题一级节名h22nd levelTitre2l22Header 2Head 2 + 三号 ... Char Char Char Char Char Char Char Char"/>
    <w:basedOn w:val="5"/>
    <w:link w:val="650"/>
    <w:qFormat/>
    <w:uiPriority w:val="0"/>
    <w:pPr>
      <w:numPr>
        <w:numId w:val="0"/>
      </w:numPr>
      <w:tabs>
        <w:tab w:val="left" w:pos="420"/>
      </w:tabs>
      <w:snapToGrid w:val="0"/>
      <w:spacing w:beforeLines="100" w:after="156"/>
      <w:jc w:val="left"/>
    </w:pPr>
    <w:rPr>
      <w:kern w:val="24"/>
      <w:sz w:val="32"/>
      <w:szCs w:val="24"/>
    </w:rPr>
  </w:style>
  <w:style w:type="character" w:customStyle="1" w:styleId="650">
    <w:name w:val="样式 标题 2节标题一级节名h22nd levelTitre2l22Header 2Head 2 + 三号 ... Char Char Char Char Char Char Char Char Char Char Char Char Char"/>
    <w:link w:val="649"/>
    <w:qFormat/>
    <w:uiPriority w:val="0"/>
    <w:rPr>
      <w:b/>
      <w:bCs/>
      <w:kern w:val="24"/>
      <w:sz w:val="32"/>
      <w:szCs w:val="24"/>
    </w:rPr>
  </w:style>
  <w:style w:type="paragraph" w:customStyle="1" w:styleId="651">
    <w:name w:val="样式 表格内容 + 仿宋_GB2312 红色"/>
    <w:basedOn w:val="332"/>
    <w:qFormat/>
    <w:uiPriority w:val="0"/>
    <w:pPr>
      <w:ind w:left="0" w:leftChars="0" w:firstLine="0" w:firstLineChars="0"/>
    </w:pPr>
    <w:rPr>
      <w:rFonts w:ascii="仿宋_GB2312" w:hAnsi="仿宋_GB2312" w:eastAsia="仿宋_GB2312"/>
      <w:color w:val="FF0000"/>
      <w:kern w:val="0"/>
      <w:szCs w:val="20"/>
    </w:rPr>
  </w:style>
  <w:style w:type="paragraph" w:customStyle="1" w:styleId="652">
    <w:name w:val="四级无标题条"/>
    <w:basedOn w:val="1"/>
    <w:qFormat/>
    <w:uiPriority w:val="0"/>
    <w:pPr>
      <w:tabs>
        <w:tab w:val="left" w:pos="1152"/>
      </w:tabs>
      <w:spacing w:line="240" w:lineRule="auto"/>
      <w:ind w:left="1152" w:hanging="1152"/>
    </w:pPr>
    <w:rPr>
      <w:sz w:val="21"/>
      <w:szCs w:val="20"/>
    </w:rPr>
  </w:style>
  <w:style w:type="paragraph" w:customStyle="1" w:styleId="653">
    <w:name w:val="样式 标题 3条标题1.1.1h33rd level3Head 3sect1.2.3H3level_3PIM ..."/>
    <w:basedOn w:val="6"/>
    <w:qFormat/>
    <w:uiPriority w:val="0"/>
    <w:pPr>
      <w:numPr>
        <w:numId w:val="0"/>
      </w:numPr>
      <w:tabs>
        <w:tab w:val="left" w:pos="709"/>
      </w:tabs>
      <w:spacing w:beforeLines="100" w:afterLines="100" w:line="240" w:lineRule="auto"/>
      <w:ind w:left="709" w:hanging="709"/>
    </w:pPr>
    <w:rPr>
      <w:rFonts w:ascii="宋体" w:hAnsi="宋体" w:eastAsia="黑体"/>
      <w:b w:val="0"/>
      <w:bCs w:val="0"/>
      <w:kern w:val="28"/>
      <w:sz w:val="30"/>
    </w:rPr>
  </w:style>
  <w:style w:type="paragraph" w:customStyle="1" w:styleId="654">
    <w:name w:val="样式 标题 1h11st levelSection Headl1章标题 1featurehead标题 1，宋体，三..."/>
    <w:basedOn w:val="5"/>
    <w:qFormat/>
    <w:uiPriority w:val="0"/>
    <w:pPr>
      <w:numPr>
        <w:numId w:val="0"/>
      </w:numPr>
      <w:tabs>
        <w:tab w:val="left" w:pos="567"/>
      </w:tabs>
      <w:spacing w:beforeLines="0" w:line="416" w:lineRule="auto"/>
      <w:ind w:left="567" w:hanging="567"/>
    </w:pPr>
    <w:rPr>
      <w:rFonts w:ascii="华文细黑" w:hAnsi="华文细黑" w:eastAsia="华文细黑" w:cs="宋体"/>
      <w:kern w:val="0"/>
      <w:sz w:val="32"/>
      <w:szCs w:val="20"/>
    </w:rPr>
  </w:style>
  <w:style w:type="paragraph" w:customStyle="1" w:styleId="655">
    <w:name w:val="标准书眉一"/>
    <w:qFormat/>
    <w:uiPriority w:val="0"/>
    <w:pPr>
      <w:jc w:val="both"/>
    </w:pPr>
    <w:rPr>
      <w:rFonts w:ascii="Times New Roman" w:hAnsi="Times New Roman" w:eastAsia="宋体" w:cs="Times New Roman"/>
      <w:kern w:val="2"/>
      <w:sz w:val="21"/>
      <w:szCs w:val="22"/>
      <w:lang w:val="en-US" w:eastAsia="zh-CN" w:bidi="ar-SA"/>
    </w:rPr>
  </w:style>
  <w:style w:type="paragraph" w:customStyle="1" w:styleId="656">
    <w:name w:val="样式 样式 正文缩进正文（首行缩进两字）正文标准 + 首行缩进:  2 字符 行距: 固定值 24 磅 + 首行缩进:  2 字... Char Char Char Char Char Char"/>
    <w:basedOn w:val="554"/>
    <w:link w:val="657"/>
    <w:qFormat/>
    <w:uiPriority w:val="0"/>
    <w:pPr>
      <w:spacing w:line="360" w:lineRule="auto"/>
    </w:pPr>
    <w:rPr>
      <w:kern w:val="0"/>
      <w:sz w:val="20"/>
      <w:szCs w:val="20"/>
    </w:rPr>
  </w:style>
  <w:style w:type="character" w:customStyle="1" w:styleId="657">
    <w:name w:val="样式 样式 正文缩进正文（首行缩进两字）正文标准 + 首行缩进:  2 字符 行距: 固定值 24 磅 + 首行缩进:  2 字... Char Char Char Char Char Char Char Char"/>
    <w:link w:val="656"/>
    <w:qFormat/>
    <w:uiPriority w:val="0"/>
  </w:style>
  <w:style w:type="paragraph" w:customStyle="1" w:styleId="658">
    <w:name w:val="封面标准文稿类别"/>
    <w:qFormat/>
    <w:uiPriority w:val="0"/>
    <w:pPr>
      <w:spacing w:before="440" w:line="400" w:lineRule="exact"/>
      <w:jc w:val="center"/>
    </w:pPr>
    <w:rPr>
      <w:rFonts w:ascii="宋体" w:hAnsi="Times New Roman" w:eastAsia="宋体" w:cs="Times New Roman"/>
      <w:kern w:val="2"/>
      <w:sz w:val="24"/>
      <w:szCs w:val="22"/>
      <w:lang w:val="en-US" w:eastAsia="zh-CN" w:bidi="ar-SA"/>
    </w:rPr>
  </w:style>
  <w:style w:type="paragraph" w:customStyle="1" w:styleId="659">
    <w:name w:val="附录图标题"/>
    <w:next w:val="322"/>
    <w:qFormat/>
    <w:uiPriority w:val="0"/>
    <w:pPr>
      <w:jc w:val="center"/>
    </w:pPr>
    <w:rPr>
      <w:rFonts w:ascii="黑体" w:hAnsi="Times New Roman" w:eastAsia="黑体" w:cs="Times New Roman"/>
      <w:kern w:val="2"/>
      <w:sz w:val="21"/>
      <w:szCs w:val="22"/>
      <w:lang w:val="en-US" w:eastAsia="zh-CN" w:bidi="ar-SA"/>
    </w:rPr>
  </w:style>
  <w:style w:type="paragraph" w:customStyle="1" w:styleId="660">
    <w:name w:val="Char Char Char Char Char Char Char Char Char"/>
    <w:basedOn w:val="1"/>
    <w:qFormat/>
    <w:uiPriority w:val="0"/>
    <w:pPr>
      <w:widowControl/>
      <w:spacing w:after="160" w:line="240" w:lineRule="exact"/>
      <w:jc w:val="left"/>
    </w:pPr>
    <w:rPr>
      <w:rFonts w:ascii="Verdana" w:hAnsi="Verdana" w:eastAsia="仿宋_GB2312"/>
      <w:kern w:val="0"/>
      <w:sz w:val="30"/>
      <w:szCs w:val="30"/>
      <w:lang w:eastAsia="en-US"/>
    </w:rPr>
  </w:style>
  <w:style w:type="paragraph" w:customStyle="1" w:styleId="661">
    <w:name w:val="Char Char Char2"/>
    <w:basedOn w:val="1"/>
    <w:qFormat/>
    <w:uiPriority w:val="0"/>
    <w:pPr>
      <w:spacing w:line="400" w:lineRule="exact"/>
    </w:pPr>
    <w:rPr>
      <w:rFonts w:ascii="Tahoma" w:hAnsi="Tahoma"/>
      <w:szCs w:val="20"/>
    </w:rPr>
  </w:style>
  <w:style w:type="paragraph" w:customStyle="1" w:styleId="662">
    <w:name w:val="注："/>
    <w:next w:val="322"/>
    <w:qFormat/>
    <w:uiPriority w:val="0"/>
    <w:pPr>
      <w:widowControl w:val="0"/>
      <w:tabs>
        <w:tab w:val="left" w:pos="1140"/>
      </w:tabs>
      <w:autoSpaceDE w:val="0"/>
      <w:autoSpaceDN w:val="0"/>
      <w:ind w:left="840" w:hanging="420"/>
      <w:jc w:val="both"/>
    </w:pPr>
    <w:rPr>
      <w:rFonts w:ascii="宋体" w:hAnsi="Times New Roman" w:eastAsia="宋体" w:cs="Times New Roman"/>
      <w:kern w:val="2"/>
      <w:sz w:val="18"/>
      <w:szCs w:val="22"/>
      <w:lang w:val="en-US" w:eastAsia="zh-CN" w:bidi="ar-SA"/>
    </w:rPr>
  </w:style>
  <w:style w:type="paragraph" w:customStyle="1" w:styleId="663">
    <w:name w:val="表格图标题"/>
    <w:basedOn w:val="1"/>
    <w:qFormat/>
    <w:uiPriority w:val="0"/>
    <w:pPr>
      <w:overflowPunct w:val="0"/>
      <w:spacing w:before="120" w:line="240" w:lineRule="auto"/>
      <w:ind w:firstLine="479" w:firstLineChars="228"/>
      <w:jc w:val="center"/>
    </w:pPr>
    <w:rPr>
      <w:rFonts w:ascii="宋体" w:hAnsi="宋体"/>
      <w:iCs/>
      <w:kern w:val="0"/>
      <w:sz w:val="21"/>
    </w:rPr>
  </w:style>
  <w:style w:type="paragraph" w:customStyle="1" w:styleId="664">
    <w:name w:val="样式8"/>
    <w:basedOn w:val="612"/>
    <w:qFormat/>
    <w:uiPriority w:val="0"/>
    <w:pPr>
      <w:spacing w:before="0" w:after="0" w:line="500" w:lineRule="exact"/>
      <w:ind w:firstLine="600" w:firstLineChars="200"/>
      <w:outlineLvl w:val="9"/>
    </w:pPr>
    <w:rPr>
      <w:rFonts w:ascii="Times New Roman" w:hAnsi="Times New Roman" w:eastAsia="仿宋_GB2312"/>
      <w:b w:val="0"/>
      <w:bCs w:val="0"/>
      <w:sz w:val="30"/>
    </w:rPr>
  </w:style>
  <w:style w:type="paragraph" w:customStyle="1" w:styleId="665">
    <w:name w:val="样式 缩进正文 + 首行缩进:  2 字符 段前: 0.3 行 段后: 0.3 行"/>
    <w:basedOn w:val="1"/>
    <w:qFormat/>
    <w:uiPriority w:val="0"/>
    <w:pPr>
      <w:tabs>
        <w:tab w:val="left" w:pos="990"/>
      </w:tabs>
      <w:spacing w:beforeLines="50" w:afterLines="50" w:line="560" w:lineRule="exact"/>
      <w:ind w:left="990" w:firstLine="560"/>
    </w:pPr>
    <w:rPr>
      <w:rFonts w:cs="宋体"/>
      <w:snapToGrid w:val="0"/>
      <w:spacing w:val="-20"/>
      <w:kern w:val="0"/>
      <w:sz w:val="28"/>
      <w:szCs w:val="28"/>
    </w:rPr>
  </w:style>
  <w:style w:type="paragraph" w:customStyle="1" w:styleId="666">
    <w:name w:val="缩进正文徐海东"/>
    <w:basedOn w:val="656"/>
    <w:qFormat/>
    <w:uiPriority w:val="0"/>
    <w:pPr>
      <w:spacing w:beforeLines="100"/>
    </w:pPr>
  </w:style>
  <w:style w:type="paragraph" w:customStyle="1" w:styleId="667">
    <w:name w:val="slink"/>
    <w:basedOn w:val="1"/>
    <w:qFormat/>
    <w:uiPriority w:val="0"/>
    <w:pPr>
      <w:widowControl/>
      <w:spacing w:before="100" w:beforeAutospacing="1" w:after="100" w:afterAutospacing="1" w:line="330" w:lineRule="atLeast"/>
      <w:jc w:val="left"/>
    </w:pPr>
    <w:rPr>
      <w:rFonts w:ascii="ˎ̥" w:hAnsi="ˎ̥" w:cs="宋体"/>
      <w:kern w:val="0"/>
      <w:sz w:val="18"/>
      <w:szCs w:val="18"/>
    </w:rPr>
  </w:style>
  <w:style w:type="paragraph" w:customStyle="1" w:styleId="668">
    <w:name w:val="列项——（一级）"/>
    <w:qFormat/>
    <w:uiPriority w:val="0"/>
    <w:pPr>
      <w:widowControl w:val="0"/>
      <w:numPr>
        <w:ilvl w:val="0"/>
        <w:numId w:val="19"/>
      </w:numPr>
      <w:tabs>
        <w:tab w:val="left" w:pos="854"/>
      </w:tabs>
      <w:ind w:left="200" w:leftChars="200" w:hanging="200" w:hangingChars="200"/>
      <w:jc w:val="both"/>
    </w:pPr>
    <w:rPr>
      <w:rFonts w:ascii="宋体" w:hAnsi="Times New Roman" w:eastAsia="宋体" w:cs="Times New Roman"/>
      <w:sz w:val="21"/>
      <w:lang w:val="en-US" w:eastAsia="zh-CN" w:bidi="ar-SA"/>
    </w:rPr>
  </w:style>
  <w:style w:type="paragraph" w:customStyle="1" w:styleId="669">
    <w:name w:val="样式 表格内容 + 仿宋_GB23122"/>
    <w:basedOn w:val="332"/>
    <w:qFormat/>
    <w:uiPriority w:val="0"/>
    <w:pPr>
      <w:ind w:left="0" w:leftChars="0" w:firstLine="0" w:firstLineChars="0"/>
    </w:pPr>
    <w:rPr>
      <w:rFonts w:ascii="仿宋_GB2312" w:hAnsi="仿宋_GB2312" w:eastAsia="仿宋_GB2312"/>
      <w:szCs w:val="20"/>
    </w:rPr>
  </w:style>
  <w:style w:type="paragraph" w:customStyle="1" w:styleId="670">
    <w:name w:val="样式 样式 正文缩进正文（首行缩进两字）正文标准 + 首行缩进:  2 字符 行距: 固定值 24 磅 + 首行缩进:  2 字... Char Char"/>
    <w:basedOn w:val="561"/>
    <w:qFormat/>
    <w:uiPriority w:val="0"/>
    <w:pPr>
      <w:spacing w:line="360" w:lineRule="auto"/>
    </w:pPr>
  </w:style>
  <w:style w:type="paragraph" w:customStyle="1" w:styleId="671">
    <w:name w:val="样式 表格内容 +1"/>
    <w:basedOn w:val="332"/>
    <w:qFormat/>
    <w:uiPriority w:val="0"/>
    <w:pPr>
      <w:ind w:left="0" w:leftChars="0" w:firstLine="0" w:firstLineChars="0"/>
    </w:pPr>
    <w:rPr>
      <w:rFonts w:ascii="Times New Roman" w:hAnsi="Times New Roman"/>
      <w:kern w:val="0"/>
      <w:sz w:val="18"/>
      <w:szCs w:val="24"/>
    </w:rPr>
  </w:style>
  <w:style w:type="paragraph" w:customStyle="1" w:styleId="672">
    <w:name w:val="样式 章标题 + 段前: 0.5 行 段后: 0.5 行"/>
    <w:basedOn w:val="4"/>
    <w:qFormat/>
    <w:uiPriority w:val="0"/>
    <w:pPr>
      <w:widowControl/>
      <w:numPr>
        <w:ilvl w:val="0"/>
        <w:numId w:val="0"/>
      </w:numPr>
      <w:tabs>
        <w:tab w:val="left" w:pos="432"/>
      </w:tabs>
      <w:spacing w:before="156" w:after="156" w:line="240" w:lineRule="auto"/>
      <w:ind w:left="432" w:hanging="432"/>
      <w:jc w:val="both"/>
      <w:outlineLvl w:val="1"/>
    </w:pPr>
    <w:rPr>
      <w:rFonts w:ascii="黑体" w:hAnsi="宋体" w:eastAsia="黑体"/>
      <w:b w:val="0"/>
      <w:bCs w:val="0"/>
      <w:kern w:val="2"/>
      <w:sz w:val="21"/>
      <w:szCs w:val="22"/>
    </w:rPr>
  </w:style>
  <w:style w:type="paragraph" w:customStyle="1" w:styleId="673">
    <w:name w:val="样式o"/>
    <w:basedOn w:val="24"/>
    <w:qFormat/>
    <w:uiPriority w:val="0"/>
    <w:pPr>
      <w:widowControl/>
      <w:numPr>
        <w:numId w:val="0"/>
      </w:numPr>
      <w:tabs>
        <w:tab w:val="left" w:pos="1260"/>
        <w:tab w:val="clear" w:pos="360"/>
      </w:tabs>
      <w:spacing w:line="240" w:lineRule="auto"/>
      <w:ind w:left="1260" w:hanging="409"/>
      <w:jc w:val="left"/>
    </w:pPr>
    <w:rPr>
      <w:rFonts w:ascii="Arial" w:hAnsi="Arial" w:eastAsia="宋体"/>
      <w:sz w:val="21"/>
    </w:rPr>
  </w:style>
  <w:style w:type="paragraph" w:customStyle="1" w:styleId="674">
    <w:name w:val="mlt-1级标题"/>
    <w:basedOn w:val="1"/>
    <w:qFormat/>
    <w:uiPriority w:val="0"/>
    <w:pPr>
      <w:keepNext/>
      <w:keepLines/>
      <w:pageBreakBefore/>
      <w:spacing w:before="100" w:beforeAutospacing="1" w:after="100" w:afterAutospacing="1" w:line="360" w:lineRule="auto"/>
      <w:jc w:val="center"/>
      <w:outlineLvl w:val="0"/>
    </w:pPr>
    <w:rPr>
      <w:b/>
      <w:bCs/>
      <w:kern w:val="44"/>
      <w:sz w:val="32"/>
      <w:szCs w:val="32"/>
    </w:rPr>
  </w:style>
  <w:style w:type="paragraph" w:customStyle="1" w:styleId="675">
    <w:name w:val="样式 样式 样式 样式 样式 样式 样式 样式 缩进正文 + 首行缩进:  2 字符 段前: 0.3 行 段后: 0.3 行 +..."/>
    <w:basedOn w:val="481"/>
    <w:qFormat/>
    <w:uiPriority w:val="0"/>
    <w:pPr>
      <w:spacing w:line="360" w:lineRule="auto"/>
    </w:pPr>
  </w:style>
  <w:style w:type="paragraph" w:customStyle="1" w:styleId="676">
    <w:name w:val="样式 标题 2节标题一级节名h22nd levelTitre2l22Header 2Head 2 + 三号 ... Char Char Char Char Char Char"/>
    <w:basedOn w:val="5"/>
    <w:qFormat/>
    <w:uiPriority w:val="0"/>
    <w:pPr>
      <w:numPr>
        <w:numId w:val="0"/>
      </w:numPr>
      <w:tabs>
        <w:tab w:val="left" w:pos="420"/>
      </w:tabs>
      <w:snapToGrid w:val="0"/>
      <w:spacing w:beforeLines="100" w:after="156"/>
      <w:jc w:val="left"/>
    </w:pPr>
    <w:rPr>
      <w:rFonts w:ascii="宋体" w:hAnsi="宋体"/>
      <w:kern w:val="24"/>
      <w:sz w:val="32"/>
      <w:szCs w:val="20"/>
    </w:rPr>
  </w:style>
  <w:style w:type="paragraph" w:customStyle="1" w:styleId="677">
    <w:name w:val="无标题条"/>
    <w:next w:val="322"/>
    <w:qFormat/>
    <w:uiPriority w:val="0"/>
    <w:pPr>
      <w:jc w:val="both"/>
    </w:pPr>
    <w:rPr>
      <w:rFonts w:ascii="Times New Roman" w:hAnsi="Times New Roman" w:eastAsia="宋体" w:cs="Times New Roman"/>
      <w:kern w:val="2"/>
      <w:sz w:val="21"/>
      <w:szCs w:val="22"/>
      <w:lang w:val="en-US" w:eastAsia="zh-CN" w:bidi="ar-SA"/>
    </w:rPr>
  </w:style>
  <w:style w:type="paragraph" w:customStyle="1" w:styleId="678">
    <w:name w:val="样式 样式 标题 3二级节名条标题h33rd level3l3Level 3 HeadH3heading 3 + (... + ..."/>
    <w:basedOn w:val="1"/>
    <w:qFormat/>
    <w:uiPriority w:val="0"/>
    <w:pPr>
      <w:keepNext/>
      <w:keepLines/>
      <w:spacing w:before="100" w:beforeAutospacing="1" w:after="100" w:afterAutospacing="1" w:line="360" w:lineRule="auto"/>
      <w:outlineLvl w:val="2"/>
    </w:pPr>
    <w:rPr>
      <w:rFonts w:ascii="宋体" w:hAnsi="宋体" w:cs="宋体"/>
      <w:b/>
      <w:bCs/>
      <w:szCs w:val="20"/>
    </w:rPr>
  </w:style>
  <w:style w:type="paragraph" w:customStyle="1" w:styleId="679">
    <w:name w:val="样式 样式 正文缩进正文（首行缩进两字）正文标准 + 首行缩进:  2 字符 行距: 固定值 24 磅 + 首行缩进:  2 字... Char Char Char Char"/>
    <w:basedOn w:val="491"/>
    <w:link w:val="680"/>
    <w:qFormat/>
    <w:uiPriority w:val="0"/>
    <w:pPr>
      <w:spacing w:line="360" w:lineRule="auto"/>
    </w:pPr>
    <w:rPr>
      <w:rFonts w:ascii="Times New Roman" w:hAnsi="Times New Roman"/>
      <w:kern w:val="0"/>
      <w:sz w:val="20"/>
      <w:szCs w:val="20"/>
    </w:rPr>
  </w:style>
  <w:style w:type="character" w:customStyle="1" w:styleId="680">
    <w:name w:val="样式 样式 正文缩进正文（首行缩进两字）正文标准 + 首行缩进:  2 字符 行距: 固定值 24 磅 + 首行缩进:  2 字... Char Char Char Char Char Char Char Char Char"/>
    <w:link w:val="679"/>
    <w:qFormat/>
    <w:uiPriority w:val="0"/>
  </w:style>
  <w:style w:type="paragraph" w:customStyle="1" w:styleId="681">
    <w:name w:val="样式 标题 7表格标题 + 首行缩进:  2 字符"/>
    <w:basedOn w:val="10"/>
    <w:qFormat/>
    <w:uiPriority w:val="0"/>
    <w:pPr>
      <w:numPr>
        <w:numId w:val="0"/>
      </w:numPr>
      <w:spacing w:before="0" w:after="0" w:line="500" w:lineRule="exact"/>
      <w:ind w:firstLine="300" w:firstLineChars="300"/>
      <w:jc w:val="left"/>
    </w:pPr>
    <w:rPr>
      <w:rFonts w:ascii="宋体" w:hAnsi="宋体" w:cs="宋体"/>
      <w:b w:val="0"/>
      <w:bCs w:val="0"/>
      <w:sz w:val="21"/>
      <w:szCs w:val="20"/>
    </w:rPr>
  </w:style>
  <w:style w:type="paragraph" w:customStyle="1" w:styleId="682">
    <w:name w:val="样式 小标题1 + 四号 Char Char Char Char Char Char Char Char Char Char Char Char Char Char Char Char Char Char Char Char Char Char Char Char Char"/>
    <w:basedOn w:val="540"/>
    <w:link w:val="683"/>
    <w:qFormat/>
    <w:uiPriority w:val="0"/>
    <w:pPr>
      <w:spacing w:beforeLines="50"/>
    </w:pPr>
    <w:rPr>
      <w:bCs/>
      <w:sz w:val="28"/>
    </w:rPr>
  </w:style>
  <w:style w:type="character" w:customStyle="1" w:styleId="683">
    <w:name w:val="样式 小标题1 + 四号 Char Char Char Char Char Char Char Char Char Char Char Char Char Char Char Char Char Char Char Char Char Char Char Char Char Char Char Char Char Char"/>
    <w:link w:val="682"/>
    <w:qFormat/>
    <w:uiPriority w:val="0"/>
    <w:rPr>
      <w:b/>
      <w:bCs/>
      <w:kern w:val="2"/>
      <w:sz w:val="28"/>
      <w:szCs w:val="24"/>
    </w:rPr>
  </w:style>
  <w:style w:type="paragraph" w:customStyle="1" w:styleId="684">
    <w:name w:val="表名称-"/>
    <w:basedOn w:val="1"/>
    <w:next w:val="34"/>
    <w:link w:val="685"/>
    <w:qFormat/>
    <w:uiPriority w:val="0"/>
    <w:pPr>
      <w:keepNext/>
      <w:keepLines/>
      <w:adjustRightInd w:val="0"/>
      <w:spacing w:line="360" w:lineRule="auto"/>
      <w:ind w:firstLine="200" w:firstLineChars="200"/>
      <w:jc w:val="left"/>
      <w:textAlignment w:val="baseline"/>
      <w:outlineLvl w:val="6"/>
    </w:pPr>
    <w:rPr>
      <w:sz w:val="21"/>
      <w:szCs w:val="21"/>
    </w:rPr>
  </w:style>
  <w:style w:type="character" w:customStyle="1" w:styleId="685">
    <w:name w:val="表名称- Char Char"/>
    <w:link w:val="684"/>
    <w:qFormat/>
    <w:uiPriority w:val="0"/>
    <w:rPr>
      <w:kern w:val="2"/>
      <w:sz w:val="21"/>
      <w:szCs w:val="21"/>
    </w:rPr>
  </w:style>
  <w:style w:type="paragraph" w:customStyle="1" w:styleId="686">
    <w:name w:val="列项——"/>
    <w:qFormat/>
    <w:uiPriority w:val="0"/>
    <w:pPr>
      <w:widowControl w:val="0"/>
      <w:tabs>
        <w:tab w:val="left" w:pos="1140"/>
      </w:tabs>
      <w:ind w:left="425" w:hanging="425"/>
      <w:jc w:val="both"/>
    </w:pPr>
    <w:rPr>
      <w:rFonts w:ascii="宋体" w:hAnsi="Times New Roman" w:eastAsia="宋体" w:cs="Times New Roman"/>
      <w:kern w:val="2"/>
      <w:sz w:val="21"/>
      <w:szCs w:val="22"/>
      <w:lang w:val="en-US" w:eastAsia="zh-CN" w:bidi="ar-SA"/>
    </w:rPr>
  </w:style>
  <w:style w:type="paragraph" w:customStyle="1" w:styleId="687">
    <w:name w:val="标准书脚_奇数页"/>
    <w:qFormat/>
    <w:uiPriority w:val="0"/>
    <w:pPr>
      <w:spacing w:before="120"/>
      <w:jc w:val="right"/>
    </w:pPr>
    <w:rPr>
      <w:rFonts w:ascii="Times New Roman" w:hAnsi="Times New Roman" w:eastAsia="宋体" w:cs="Times New Roman"/>
      <w:kern w:val="2"/>
      <w:sz w:val="18"/>
      <w:szCs w:val="22"/>
      <w:lang w:val="en-US" w:eastAsia="zh-CN" w:bidi="ar-SA"/>
    </w:rPr>
  </w:style>
  <w:style w:type="paragraph" w:customStyle="1" w:styleId="688">
    <w:name w:val="样式 标题 1 + 三号"/>
    <w:basedOn w:val="4"/>
    <w:qFormat/>
    <w:uiPriority w:val="0"/>
    <w:pPr>
      <w:numPr>
        <w:numId w:val="0"/>
      </w:numPr>
      <w:spacing w:beforeLines="0" w:beforeAutospacing="1" w:line="240" w:lineRule="auto"/>
    </w:pPr>
    <w:rPr>
      <w:rFonts w:ascii="宋体" w:hAnsi="宋体"/>
      <w:sz w:val="32"/>
    </w:rPr>
  </w:style>
  <w:style w:type="paragraph" w:customStyle="1" w:styleId="689">
    <w:name w:val="样式 标题 2节标题一级节名h22nd levelTitre2l22Header 2Head 2 + 三号 ... Char Char Char Char Char Char Char Char Char Char"/>
    <w:basedOn w:val="5"/>
    <w:link w:val="690"/>
    <w:qFormat/>
    <w:uiPriority w:val="0"/>
    <w:pPr>
      <w:numPr>
        <w:numId w:val="0"/>
      </w:numPr>
      <w:tabs>
        <w:tab w:val="left" w:pos="420"/>
      </w:tabs>
      <w:snapToGrid w:val="0"/>
      <w:spacing w:beforeLines="100" w:after="156"/>
      <w:jc w:val="left"/>
    </w:pPr>
    <w:rPr>
      <w:kern w:val="24"/>
      <w:sz w:val="32"/>
      <w:szCs w:val="24"/>
    </w:rPr>
  </w:style>
  <w:style w:type="character" w:customStyle="1" w:styleId="690">
    <w:name w:val="样式 标题 2节标题一级节名h22nd levelTitre2l22Header 2Head 2 + 三号 ... Char Char Char Char Char Char Char Char Char Char Char Char"/>
    <w:link w:val="689"/>
    <w:qFormat/>
    <w:uiPriority w:val="0"/>
    <w:rPr>
      <w:b/>
      <w:bCs/>
      <w:kern w:val="24"/>
      <w:sz w:val="32"/>
      <w:szCs w:val="24"/>
    </w:rPr>
  </w:style>
  <w:style w:type="paragraph" w:customStyle="1" w:styleId="691">
    <w:name w:val="Char Char Char3 Char Char Char Char4"/>
    <w:basedOn w:val="1"/>
    <w:qFormat/>
    <w:uiPriority w:val="0"/>
    <w:pPr>
      <w:spacing w:line="360" w:lineRule="auto"/>
    </w:pPr>
  </w:style>
  <w:style w:type="paragraph" w:customStyle="1" w:styleId="692">
    <w:name w:val="封面标准文稿编辑信息"/>
    <w:qFormat/>
    <w:uiPriority w:val="0"/>
    <w:pPr>
      <w:spacing w:before="180" w:line="180" w:lineRule="exact"/>
      <w:jc w:val="center"/>
    </w:pPr>
    <w:rPr>
      <w:rFonts w:ascii="宋体" w:hAnsi="Times New Roman" w:eastAsia="宋体" w:cs="Times New Roman"/>
      <w:kern w:val="2"/>
      <w:sz w:val="21"/>
      <w:szCs w:val="22"/>
      <w:lang w:val="en-US" w:eastAsia="zh-CN" w:bidi="ar-SA"/>
    </w:rPr>
  </w:style>
  <w:style w:type="paragraph" w:customStyle="1" w:styleId="693">
    <w:name w:val="页眉2"/>
    <w:basedOn w:val="57"/>
    <w:qFormat/>
    <w:uiPriority w:val="0"/>
    <w:pPr>
      <w:pBdr>
        <w:bottom w:val="none" w:color="auto" w:sz="0" w:space="0"/>
      </w:pBdr>
      <w:spacing w:line="360" w:lineRule="auto"/>
      <w:jc w:val="right"/>
    </w:pPr>
  </w:style>
  <w:style w:type="paragraph" w:customStyle="1" w:styleId="694">
    <w:name w:val="样式7"/>
    <w:basedOn w:val="612"/>
    <w:qFormat/>
    <w:uiPriority w:val="0"/>
    <w:pPr>
      <w:spacing w:before="0" w:after="0" w:line="500" w:lineRule="exact"/>
      <w:ind w:firstLine="600" w:firstLineChars="200"/>
      <w:outlineLvl w:val="9"/>
    </w:pPr>
    <w:rPr>
      <w:rFonts w:ascii="Times New Roman" w:hAnsi="Times New Roman" w:eastAsia="仿宋_GB2312"/>
      <w:b w:val="0"/>
      <w:bCs w:val="0"/>
      <w:sz w:val="30"/>
    </w:rPr>
  </w:style>
  <w:style w:type="paragraph" w:customStyle="1" w:styleId="695">
    <w:name w:val="样式 首行缩进:  0 厘米"/>
    <w:basedOn w:val="1"/>
    <w:qFormat/>
    <w:uiPriority w:val="0"/>
    <w:pPr>
      <w:spacing w:line="240" w:lineRule="auto"/>
    </w:pPr>
    <w:rPr>
      <w:sz w:val="28"/>
      <w:szCs w:val="20"/>
    </w:rPr>
  </w:style>
  <w:style w:type="paragraph" w:customStyle="1" w:styleId="696">
    <w:name w:val="注×："/>
    <w:qFormat/>
    <w:uiPriority w:val="0"/>
    <w:pPr>
      <w:widowControl w:val="0"/>
      <w:tabs>
        <w:tab w:val="left" w:pos="630"/>
        <w:tab w:val="left" w:pos="900"/>
      </w:tabs>
      <w:autoSpaceDE w:val="0"/>
      <w:autoSpaceDN w:val="0"/>
      <w:ind w:left="900" w:hanging="500"/>
      <w:jc w:val="both"/>
    </w:pPr>
    <w:rPr>
      <w:rFonts w:ascii="宋体" w:hAnsi="Times New Roman" w:eastAsia="宋体" w:cs="Times New Roman"/>
      <w:kern w:val="2"/>
      <w:sz w:val="18"/>
      <w:szCs w:val="22"/>
      <w:lang w:val="en-US" w:eastAsia="zh-CN" w:bidi="ar-SA"/>
    </w:rPr>
  </w:style>
  <w:style w:type="paragraph" w:customStyle="1" w:styleId="697">
    <w:name w:val="封面标准代替信息"/>
    <w:basedOn w:val="530"/>
    <w:qFormat/>
    <w:uiPriority w:val="0"/>
    <w:pPr>
      <w:spacing w:before="57"/>
    </w:pPr>
    <w:rPr>
      <w:rFonts w:ascii="宋体"/>
      <w:sz w:val="21"/>
    </w:rPr>
  </w:style>
  <w:style w:type="paragraph" w:customStyle="1" w:styleId="698">
    <w:name w:val="样式 小标题1 + 四号 Char Char Char Char Char Char Char Char Char Char Char Char Char Char Char Char Char Char Char Char"/>
    <w:basedOn w:val="476"/>
    <w:link w:val="699"/>
    <w:qFormat/>
    <w:uiPriority w:val="0"/>
    <w:pPr>
      <w:spacing w:beforeLines="50"/>
    </w:pPr>
    <w:rPr>
      <w:bCs/>
      <w:sz w:val="28"/>
    </w:rPr>
  </w:style>
  <w:style w:type="character" w:customStyle="1" w:styleId="699">
    <w:name w:val="样式 小标题1 + 四号 Char Char Char Char Char Char Char Char Char Char Char Char Char Char Char Char Char Char Char Char Char Char"/>
    <w:link w:val="698"/>
    <w:qFormat/>
    <w:uiPriority w:val="0"/>
    <w:rPr>
      <w:b/>
      <w:bCs/>
      <w:kern w:val="2"/>
      <w:sz w:val="28"/>
      <w:szCs w:val="24"/>
    </w:rPr>
  </w:style>
  <w:style w:type="paragraph" w:customStyle="1" w:styleId="700">
    <w:name w:val="样式 表格内容 + 小五"/>
    <w:basedOn w:val="332"/>
    <w:qFormat/>
    <w:uiPriority w:val="0"/>
    <w:pPr>
      <w:pBdr>
        <w:top w:val="single" w:color="auto" w:sz="12" w:space="1"/>
        <w:bottom w:val="single" w:color="auto" w:sz="12" w:space="1"/>
      </w:pBdr>
      <w:ind w:left="0" w:leftChars="0" w:firstLine="0" w:firstLineChars="0"/>
    </w:pPr>
    <w:rPr>
      <w:rFonts w:ascii="Times New Roman" w:hAnsi="Times New Roman"/>
      <w:sz w:val="18"/>
      <w:szCs w:val="24"/>
    </w:rPr>
  </w:style>
  <w:style w:type="paragraph" w:customStyle="1" w:styleId="701">
    <w:name w:val="封面正文"/>
    <w:qFormat/>
    <w:uiPriority w:val="0"/>
    <w:pPr>
      <w:jc w:val="both"/>
    </w:pPr>
    <w:rPr>
      <w:rFonts w:ascii="Times New Roman" w:hAnsi="Times New Roman" w:eastAsia="宋体" w:cs="Times New Roman"/>
      <w:kern w:val="2"/>
      <w:sz w:val="21"/>
      <w:szCs w:val="22"/>
      <w:lang w:val="en-US" w:eastAsia="zh-CN" w:bidi="ar-SA"/>
    </w:rPr>
  </w:style>
  <w:style w:type="paragraph" w:customStyle="1" w:styleId="702">
    <w:name w:val="实施日期"/>
    <w:basedOn w:val="570"/>
    <w:qFormat/>
    <w:uiPriority w:val="0"/>
    <w:pPr>
      <w:jc w:val="right"/>
    </w:pPr>
  </w:style>
  <w:style w:type="paragraph" w:customStyle="1" w:styleId="703">
    <w:name w:val="样式 样式 样式 样式 样式 列表正文 + 段前: 0.3 行 段后: 0.3 行 + 段前: 0.3 行 段后: 0.3 行 ..."/>
    <w:basedOn w:val="592"/>
    <w:qFormat/>
    <w:uiPriority w:val="0"/>
    <w:pPr>
      <w:spacing w:line="360" w:lineRule="auto"/>
    </w:pPr>
    <w:rPr>
      <w:szCs w:val="20"/>
    </w:rPr>
  </w:style>
  <w:style w:type="paragraph" w:customStyle="1" w:styleId="704">
    <w:name w:val="乐山-表名"/>
    <w:basedOn w:val="2"/>
    <w:next w:val="1"/>
    <w:qFormat/>
    <w:uiPriority w:val="0"/>
    <w:pPr>
      <w:overflowPunct w:val="0"/>
      <w:snapToGrid w:val="0"/>
      <w:spacing w:beforeLines="50" w:afterLines="50" w:line="440" w:lineRule="exact"/>
      <w:ind w:firstLine="0" w:firstLineChars="0"/>
      <w:jc w:val="center"/>
      <w:outlineLvl w:val="0"/>
    </w:pPr>
    <w:rPr>
      <w:rFonts w:ascii="华文细黑" w:hAnsi="华文细黑" w:eastAsia="华文细黑"/>
      <w:b/>
      <w:kern w:val="0"/>
    </w:rPr>
  </w:style>
  <w:style w:type="paragraph" w:customStyle="1" w:styleId="705">
    <w:name w:val="font20"/>
    <w:basedOn w:val="1"/>
    <w:qFormat/>
    <w:uiPriority w:val="0"/>
    <w:pPr>
      <w:widowControl/>
      <w:spacing w:before="100" w:beforeAutospacing="1" w:after="100" w:afterAutospacing="1" w:line="240" w:lineRule="auto"/>
      <w:jc w:val="left"/>
    </w:pPr>
    <w:rPr>
      <w:rFonts w:ascii="宋体" w:hAnsi="宋体" w:cs="宋体"/>
      <w:color w:val="000000"/>
      <w:kern w:val="0"/>
      <w:sz w:val="16"/>
      <w:szCs w:val="16"/>
    </w:rPr>
  </w:style>
  <w:style w:type="paragraph" w:customStyle="1" w:styleId="706">
    <w:name w:val="样式 题注 + 首行缩进:  2 字符2"/>
    <w:basedOn w:val="22"/>
    <w:qFormat/>
    <w:uiPriority w:val="0"/>
    <w:pPr>
      <w:snapToGrid w:val="0"/>
      <w:spacing w:line="240" w:lineRule="auto"/>
    </w:pPr>
    <w:rPr>
      <w:rFonts w:cs="宋体"/>
      <w:b w:val="0"/>
      <w:sz w:val="28"/>
    </w:rPr>
  </w:style>
  <w:style w:type="paragraph" w:customStyle="1" w:styleId="707">
    <w:name w:val="目次、索引正文"/>
    <w:qFormat/>
    <w:uiPriority w:val="0"/>
    <w:pPr>
      <w:spacing w:line="320" w:lineRule="exact"/>
      <w:jc w:val="both"/>
    </w:pPr>
    <w:rPr>
      <w:rFonts w:ascii="宋体" w:hAnsi="Times New Roman" w:eastAsia="宋体" w:cs="Times New Roman"/>
      <w:kern w:val="2"/>
      <w:sz w:val="21"/>
      <w:szCs w:val="22"/>
      <w:lang w:val="en-US" w:eastAsia="zh-CN" w:bidi="ar-SA"/>
    </w:rPr>
  </w:style>
  <w:style w:type="paragraph" w:customStyle="1" w:styleId="708">
    <w:name w:val="正文图标题"/>
    <w:next w:val="322"/>
    <w:qFormat/>
    <w:uiPriority w:val="0"/>
    <w:pPr>
      <w:jc w:val="center"/>
    </w:pPr>
    <w:rPr>
      <w:rFonts w:ascii="黑体" w:hAnsi="Times New Roman" w:eastAsia="黑体" w:cs="Times New Roman"/>
      <w:kern w:val="2"/>
      <w:sz w:val="21"/>
      <w:szCs w:val="22"/>
      <w:lang w:val="en-US" w:eastAsia="zh-CN" w:bidi="ar-SA"/>
    </w:rPr>
  </w:style>
  <w:style w:type="paragraph" w:customStyle="1" w:styleId="709">
    <w:name w:val="样式 小标题1 + 段前: 0.5 行 段后: 0.5 行1"/>
    <w:basedOn w:val="459"/>
    <w:qFormat/>
    <w:uiPriority w:val="0"/>
    <w:pPr>
      <w:tabs>
        <w:tab w:val="left" w:pos="360"/>
        <w:tab w:val="left" w:pos="2247"/>
      </w:tabs>
      <w:adjustRightInd w:val="0"/>
      <w:snapToGrid w:val="0"/>
      <w:spacing w:beforeLines="100" w:afterLines="50" w:line="240" w:lineRule="auto"/>
      <w:ind w:left="360" w:hanging="360" w:hangingChars="200"/>
      <w:outlineLvl w:val="3"/>
    </w:pPr>
    <w:rPr>
      <w:rFonts w:eastAsia="宋体" w:cs="宋体"/>
      <w:b/>
      <w:bCs/>
      <w:sz w:val="28"/>
      <w:szCs w:val="20"/>
    </w:rPr>
  </w:style>
  <w:style w:type="paragraph" w:customStyle="1" w:styleId="710">
    <w:name w:val="Char Char Char1"/>
    <w:basedOn w:val="1"/>
    <w:qFormat/>
    <w:uiPriority w:val="0"/>
    <w:pPr>
      <w:spacing w:line="400" w:lineRule="exact"/>
    </w:pPr>
    <w:rPr>
      <w:rFonts w:ascii="Tahoma" w:hAnsi="Tahoma"/>
      <w:szCs w:val="20"/>
    </w:rPr>
  </w:style>
  <w:style w:type="paragraph" w:customStyle="1" w:styleId="711">
    <w:name w:val="标准书脚_偶数页"/>
    <w:qFormat/>
    <w:uiPriority w:val="0"/>
    <w:pPr>
      <w:spacing w:before="120"/>
    </w:pPr>
    <w:rPr>
      <w:rFonts w:ascii="Times New Roman" w:hAnsi="Times New Roman" w:eastAsia="宋体" w:cs="Times New Roman"/>
      <w:kern w:val="2"/>
      <w:sz w:val="18"/>
      <w:szCs w:val="22"/>
      <w:lang w:val="en-US" w:eastAsia="zh-CN" w:bidi="ar-SA"/>
    </w:rPr>
  </w:style>
  <w:style w:type="paragraph" w:customStyle="1" w:styleId="712">
    <w:name w:val="TOC 标题1"/>
    <w:basedOn w:val="4"/>
    <w:next w:val="1"/>
    <w:qFormat/>
    <w:uiPriority w:val="0"/>
    <w:pPr>
      <w:widowControl/>
      <w:numPr>
        <w:numId w:val="0"/>
      </w:numPr>
      <w:spacing w:beforeLines="0" w:line="300" w:lineRule="auto"/>
      <w:outlineLvl w:val="9"/>
    </w:pPr>
    <w:rPr>
      <w:rFonts w:ascii="Cambria" w:hAnsi="Cambria"/>
      <w:color w:val="376092"/>
      <w:kern w:val="0"/>
      <w:sz w:val="28"/>
      <w:szCs w:val="28"/>
    </w:rPr>
  </w:style>
  <w:style w:type="paragraph" w:customStyle="1" w:styleId="713">
    <w:name w:val="样式 样式 样式 样式 正文文本缩进 2 + 行距: 固定值 25 磅 +1 + 首行缩进:  2 字符1 + 首行缩进:  2..."/>
    <w:basedOn w:val="1"/>
    <w:qFormat/>
    <w:uiPriority w:val="0"/>
    <w:pPr>
      <w:widowControl/>
      <w:spacing w:line="360" w:lineRule="auto"/>
      <w:ind w:firstLine="480" w:firstLineChars="200"/>
    </w:pPr>
    <w:rPr>
      <w:rFonts w:hAnsi="宋体"/>
      <w:snapToGrid w:val="0"/>
      <w:kern w:val="0"/>
      <w:szCs w:val="20"/>
    </w:rPr>
  </w:style>
  <w:style w:type="paragraph" w:customStyle="1" w:styleId="714">
    <w:name w:val="小小标题"/>
    <w:basedOn w:val="10"/>
    <w:next w:val="1"/>
    <w:qFormat/>
    <w:uiPriority w:val="0"/>
    <w:pPr>
      <w:numPr>
        <w:numId w:val="0"/>
      </w:numPr>
      <w:spacing w:before="60" w:after="60" w:line="360" w:lineRule="auto"/>
      <w:ind w:left="200" w:leftChars="200"/>
      <w:outlineLvl w:val="4"/>
    </w:pPr>
    <w:rPr>
      <w:rFonts w:ascii="宋体" w:hAnsi="宋体"/>
    </w:rPr>
  </w:style>
  <w:style w:type="paragraph" w:customStyle="1" w:styleId="715">
    <w:name w:val="附录标识"/>
    <w:basedOn w:val="1"/>
    <w:qFormat/>
    <w:uiPriority w:val="0"/>
    <w:pPr>
      <w:widowControl/>
      <w:shd w:val="clear" w:color="FFFFFF" w:fill="FFFFFF"/>
      <w:tabs>
        <w:tab w:val="left" w:pos="924"/>
        <w:tab w:val="left" w:pos="6405"/>
      </w:tabs>
      <w:spacing w:before="640" w:after="200" w:line="240" w:lineRule="auto"/>
      <w:ind w:firstLine="567"/>
      <w:jc w:val="center"/>
      <w:outlineLvl w:val="0"/>
    </w:pPr>
    <w:rPr>
      <w:rFonts w:ascii="黑体" w:eastAsia="黑体"/>
      <w:kern w:val="0"/>
      <w:sz w:val="21"/>
      <w:szCs w:val="20"/>
    </w:rPr>
  </w:style>
  <w:style w:type="paragraph" w:customStyle="1" w:styleId="716">
    <w:name w:val="a"/>
    <w:basedOn w:val="1"/>
    <w:qFormat/>
    <w:uiPriority w:val="0"/>
    <w:pPr>
      <w:widowControl/>
      <w:spacing w:before="100" w:beforeAutospacing="1" w:after="100" w:afterAutospacing="1" w:line="312" w:lineRule="auto"/>
      <w:jc w:val="left"/>
    </w:pPr>
    <w:rPr>
      <w:rFonts w:ascii="宋体" w:hAnsi="宋体" w:cs="宋体"/>
      <w:kern w:val="0"/>
      <w:sz w:val="18"/>
      <w:szCs w:val="18"/>
    </w:rPr>
  </w:style>
  <w:style w:type="paragraph" w:customStyle="1" w:styleId="717">
    <w:name w:val="mlt-2级标题"/>
    <w:basedOn w:val="1"/>
    <w:qFormat/>
    <w:uiPriority w:val="0"/>
    <w:pPr>
      <w:keepNext/>
      <w:keepLines/>
      <w:adjustRightInd w:val="0"/>
      <w:spacing w:line="360" w:lineRule="auto"/>
      <w:jc w:val="left"/>
      <w:outlineLvl w:val="1"/>
    </w:pPr>
    <w:rPr>
      <w:rFonts w:cs="宋体"/>
      <w:b/>
      <w:sz w:val="30"/>
      <w:szCs w:val="30"/>
    </w:rPr>
  </w:style>
  <w:style w:type="paragraph" w:customStyle="1" w:styleId="718">
    <w:name w:val="样式 标题 3条标题1.1.1h33rd level3Head 3 + 小三 非加粗"/>
    <w:basedOn w:val="6"/>
    <w:qFormat/>
    <w:uiPriority w:val="0"/>
    <w:pPr>
      <w:numPr>
        <w:numId w:val="0"/>
      </w:numPr>
      <w:spacing w:beforeLines="0" w:line="415" w:lineRule="auto"/>
    </w:pPr>
    <w:rPr>
      <w:rFonts w:ascii="宋体" w:hAnsi="宋体"/>
      <w:b w:val="0"/>
      <w:bCs w:val="0"/>
      <w:sz w:val="30"/>
    </w:rPr>
  </w:style>
  <w:style w:type="paragraph" w:customStyle="1" w:styleId="719">
    <w:name w:val="CM6"/>
    <w:basedOn w:val="1"/>
    <w:next w:val="1"/>
    <w:qFormat/>
    <w:uiPriority w:val="0"/>
    <w:pPr>
      <w:autoSpaceDE w:val="0"/>
      <w:autoSpaceDN w:val="0"/>
      <w:adjustRightInd w:val="0"/>
      <w:spacing w:line="313" w:lineRule="atLeast"/>
      <w:jc w:val="left"/>
    </w:pPr>
    <w:rPr>
      <w:kern w:val="0"/>
      <w:szCs w:val="20"/>
    </w:rPr>
  </w:style>
  <w:style w:type="paragraph" w:customStyle="1" w:styleId="720">
    <w:name w:val="14"/>
    <w:qFormat/>
    <w:uiPriority w:val="0"/>
    <w:pPr>
      <w:widowControl w:val="0"/>
      <w:spacing w:line="288" w:lineRule="auto"/>
      <w:jc w:val="both"/>
    </w:pPr>
    <w:rPr>
      <w:rFonts w:ascii="Times New Roman" w:hAnsi="Times New Roman" w:eastAsia="宋体" w:cs="Times New Roman"/>
      <w:kern w:val="2"/>
      <w:sz w:val="24"/>
      <w:szCs w:val="24"/>
      <w:lang w:val="en-US" w:eastAsia="zh-CN" w:bidi="ar-SA"/>
    </w:rPr>
  </w:style>
  <w:style w:type="paragraph" w:customStyle="1" w:styleId="721">
    <w:name w:val="缩进正文徐海东 Char"/>
    <w:basedOn w:val="593"/>
    <w:semiHidden/>
    <w:qFormat/>
    <w:uiPriority w:val="0"/>
    <w:pPr>
      <w:spacing w:beforeLines="100"/>
    </w:pPr>
  </w:style>
  <w:style w:type="paragraph" w:customStyle="1" w:styleId="722">
    <w:name w:val="小标题1 Char Char Char"/>
    <w:basedOn w:val="2"/>
    <w:next w:val="2"/>
    <w:semiHidden/>
    <w:qFormat/>
    <w:uiPriority w:val="0"/>
    <w:pPr>
      <w:ind w:firstLine="0" w:firstLineChars="0"/>
      <w:outlineLvl w:val="6"/>
    </w:pPr>
    <w:rPr>
      <w:b/>
    </w:rPr>
  </w:style>
  <w:style w:type="paragraph" w:customStyle="1" w:styleId="723">
    <w:name w:val="样式 正文缩进正文（首行缩进两字）正文标准 + 首行缩进:  2 字符 行距: 固定值 24 磅 Char Char Char"/>
    <w:basedOn w:val="2"/>
    <w:semiHidden/>
    <w:qFormat/>
    <w:uiPriority w:val="0"/>
    <w:pPr>
      <w:spacing w:beforeLines="50" w:afterLines="50" w:line="480" w:lineRule="exact"/>
    </w:pPr>
    <w:rPr>
      <w:rFonts w:cs="宋体"/>
      <w:szCs w:val="20"/>
    </w:rPr>
  </w:style>
  <w:style w:type="paragraph" w:customStyle="1" w:styleId="724">
    <w:name w:val="样式 标题 2节标题一级节名h22nd levelTitre2l22Header 2Head 2 + 三号 ... Char Char Char Char Char Char Char"/>
    <w:basedOn w:val="5"/>
    <w:semiHidden/>
    <w:qFormat/>
    <w:uiPriority w:val="0"/>
    <w:pPr>
      <w:numPr>
        <w:numId w:val="0"/>
      </w:numPr>
      <w:tabs>
        <w:tab w:val="left" w:pos="420"/>
      </w:tabs>
      <w:snapToGrid w:val="0"/>
      <w:spacing w:beforeLines="100"/>
      <w:jc w:val="left"/>
    </w:pPr>
    <w:rPr>
      <w:kern w:val="24"/>
      <w:sz w:val="32"/>
      <w:szCs w:val="20"/>
    </w:rPr>
  </w:style>
  <w:style w:type="paragraph" w:customStyle="1" w:styleId="725">
    <w:name w:val="样式 样式 正文缩进正文（首行缩进两字）正文标准 + 首行缩进:  2 字符 行距: 固定值 24 磅 + 首行缩进:  2 字... Char Char Char"/>
    <w:basedOn w:val="723"/>
    <w:semiHidden/>
    <w:qFormat/>
    <w:uiPriority w:val="0"/>
    <w:pPr>
      <w:spacing w:line="360" w:lineRule="auto"/>
    </w:pPr>
  </w:style>
  <w:style w:type="paragraph" w:customStyle="1" w:styleId="726">
    <w:name w:val="缩进正文徐海东 Char Char Char Char"/>
    <w:basedOn w:val="725"/>
    <w:semiHidden/>
    <w:qFormat/>
    <w:uiPriority w:val="0"/>
    <w:pPr>
      <w:spacing w:beforeLines="100"/>
    </w:pPr>
  </w:style>
  <w:style w:type="paragraph" w:customStyle="1" w:styleId="727">
    <w:name w:val="样式 小标题1 + 四号 Char Char Char Char Char Char Char Char Char Char Char Char Char Char Char Char Char Char Char Char Char Char Char Char"/>
    <w:basedOn w:val="545"/>
    <w:semiHidden/>
    <w:qFormat/>
    <w:uiPriority w:val="0"/>
    <w:pPr>
      <w:spacing w:beforeLines="50"/>
    </w:pPr>
    <w:rPr>
      <w:bCs/>
      <w:sz w:val="28"/>
    </w:rPr>
  </w:style>
  <w:style w:type="paragraph" w:customStyle="1" w:styleId="728">
    <w:name w:val="样式 小标题1 + 四号 Char Char Char Char Char Char Char Char Char Char Char Char Char Char Char Char Char"/>
    <w:basedOn w:val="476"/>
    <w:semiHidden/>
    <w:qFormat/>
    <w:uiPriority w:val="0"/>
    <w:pPr>
      <w:spacing w:beforeLines="50"/>
    </w:pPr>
    <w:rPr>
      <w:bCs/>
      <w:sz w:val="28"/>
    </w:rPr>
  </w:style>
  <w:style w:type="paragraph" w:customStyle="1" w:styleId="729">
    <w:name w:val="缩进正文徐海东 Char Char Char Char Char"/>
    <w:basedOn w:val="1"/>
    <w:semiHidden/>
    <w:qFormat/>
    <w:uiPriority w:val="0"/>
    <w:pPr>
      <w:spacing w:beforeLines="100" w:line="360" w:lineRule="auto"/>
      <w:ind w:firstLine="200" w:firstLineChars="200"/>
    </w:pPr>
    <w:rPr>
      <w:rFonts w:cs="宋体"/>
      <w:szCs w:val="20"/>
    </w:rPr>
  </w:style>
  <w:style w:type="paragraph" w:customStyle="1" w:styleId="730">
    <w:name w:val="表标题"/>
    <w:basedOn w:val="1"/>
    <w:qFormat/>
    <w:uiPriority w:val="0"/>
    <w:pPr>
      <w:tabs>
        <w:tab w:val="left" w:pos="360"/>
      </w:tabs>
      <w:spacing w:line="300" w:lineRule="auto"/>
      <w:ind w:firstLine="567"/>
      <w:outlineLvl w:val="6"/>
    </w:pPr>
    <w:rPr>
      <w:rFonts w:cs="宋体"/>
      <w:sz w:val="21"/>
      <w:szCs w:val="20"/>
    </w:rPr>
  </w:style>
  <w:style w:type="paragraph" w:customStyle="1" w:styleId="731">
    <w:name w:val="表名称"/>
    <w:basedOn w:val="1"/>
    <w:link w:val="732"/>
    <w:qFormat/>
    <w:uiPriority w:val="0"/>
    <w:pPr>
      <w:tabs>
        <w:tab w:val="left" w:pos="360"/>
      </w:tabs>
      <w:spacing w:line="300" w:lineRule="auto"/>
      <w:ind w:left="50" w:leftChars="50" w:firstLine="567"/>
      <w:outlineLvl w:val="6"/>
    </w:pPr>
    <w:rPr>
      <w:sz w:val="21"/>
      <w:szCs w:val="20"/>
    </w:rPr>
  </w:style>
  <w:style w:type="character" w:customStyle="1" w:styleId="732">
    <w:name w:val="表名称 Char"/>
    <w:link w:val="731"/>
    <w:qFormat/>
    <w:uiPriority w:val="0"/>
    <w:rPr>
      <w:rFonts w:cs="宋体"/>
      <w:kern w:val="2"/>
      <w:sz w:val="21"/>
    </w:rPr>
  </w:style>
  <w:style w:type="paragraph" w:customStyle="1" w:styleId="733">
    <w:name w:val="四级标题"/>
    <w:basedOn w:val="7"/>
    <w:next w:val="1"/>
    <w:qFormat/>
    <w:uiPriority w:val="0"/>
    <w:pPr>
      <w:numPr>
        <w:numId w:val="0"/>
      </w:numPr>
      <w:spacing w:beforeLines="0"/>
      <w:ind w:firstLine="567"/>
    </w:pPr>
    <w:rPr>
      <w:rFonts w:ascii="Arial" w:hAnsi="Arial"/>
      <w:sz w:val="24"/>
    </w:rPr>
  </w:style>
  <w:style w:type="paragraph" w:customStyle="1" w:styleId="734">
    <w:name w:val="一级目录"/>
    <w:basedOn w:val="733"/>
    <w:qFormat/>
    <w:uiPriority w:val="0"/>
    <w:pPr>
      <w:spacing w:line="240" w:lineRule="auto"/>
    </w:pPr>
  </w:style>
  <w:style w:type="paragraph" w:customStyle="1" w:styleId="735">
    <w:name w:val="二、三级目录"/>
    <w:basedOn w:val="734"/>
    <w:qFormat/>
    <w:uiPriority w:val="0"/>
    <w:pPr>
      <w:outlineLvl w:val="9"/>
    </w:pPr>
    <w:rPr>
      <w:sz w:val="21"/>
      <w:szCs w:val="18"/>
    </w:rPr>
  </w:style>
  <w:style w:type="paragraph" w:customStyle="1" w:styleId="736">
    <w:name w:val="二、三级目录-"/>
    <w:basedOn w:val="735"/>
    <w:qFormat/>
    <w:uiPriority w:val="0"/>
    <w:pPr>
      <w:widowControl/>
      <w:ind w:firstLine="0"/>
      <w:jc w:val="left"/>
    </w:pPr>
    <w:rPr>
      <w:rFonts w:ascii="Times New Roman" w:hAnsi="Times New Roman"/>
    </w:rPr>
  </w:style>
  <w:style w:type="paragraph" w:customStyle="1" w:styleId="737">
    <w:name w:val="二级目录"/>
    <w:basedOn w:val="734"/>
    <w:qFormat/>
    <w:uiPriority w:val="0"/>
    <w:rPr>
      <w:sz w:val="21"/>
    </w:rPr>
  </w:style>
  <w:style w:type="paragraph" w:customStyle="1" w:styleId="738">
    <w:name w:val="三级标题-"/>
    <w:basedOn w:val="6"/>
    <w:link w:val="739"/>
    <w:qFormat/>
    <w:uiPriority w:val="0"/>
    <w:pPr>
      <w:numPr>
        <w:numId w:val="0"/>
      </w:numPr>
      <w:spacing w:beforeLines="0"/>
    </w:pPr>
    <w:rPr>
      <w:bCs w:val="0"/>
      <w:szCs w:val="20"/>
    </w:rPr>
  </w:style>
  <w:style w:type="character" w:customStyle="1" w:styleId="739">
    <w:name w:val="三级标题- Char"/>
    <w:link w:val="738"/>
    <w:qFormat/>
    <w:uiPriority w:val="0"/>
    <w:rPr>
      <w:b/>
      <w:kern w:val="2"/>
      <w:sz w:val="28"/>
    </w:rPr>
  </w:style>
  <w:style w:type="paragraph" w:customStyle="1" w:styleId="740">
    <w:name w:val="四级标题-"/>
    <w:basedOn w:val="733"/>
    <w:link w:val="741"/>
    <w:qFormat/>
    <w:uiPriority w:val="0"/>
    <w:pPr>
      <w:ind w:firstLine="0"/>
    </w:pPr>
    <w:rPr>
      <w:rFonts w:ascii="Times New Roman" w:hAnsi="Times New Roman"/>
    </w:rPr>
  </w:style>
  <w:style w:type="character" w:customStyle="1" w:styleId="741">
    <w:name w:val="四级标题- Char"/>
    <w:link w:val="740"/>
    <w:qFormat/>
    <w:uiPriority w:val="0"/>
    <w:rPr>
      <w:b/>
      <w:bCs/>
      <w:kern w:val="2"/>
      <w:sz w:val="24"/>
      <w:szCs w:val="28"/>
    </w:rPr>
  </w:style>
  <w:style w:type="paragraph" w:customStyle="1" w:styleId="742">
    <w:name w:val="图、表注-"/>
    <w:basedOn w:val="684"/>
    <w:link w:val="743"/>
    <w:qFormat/>
    <w:uiPriority w:val="0"/>
    <w:pPr>
      <w:tabs>
        <w:tab w:val="left" w:pos="360"/>
      </w:tabs>
      <w:adjustRightInd/>
      <w:spacing w:line="240" w:lineRule="auto"/>
      <w:ind w:firstLine="0" w:firstLineChars="0"/>
      <w:textAlignment w:val="auto"/>
    </w:pPr>
    <w:rPr>
      <w:szCs w:val="18"/>
    </w:rPr>
  </w:style>
  <w:style w:type="character" w:customStyle="1" w:styleId="743">
    <w:name w:val="图、表注- Char"/>
    <w:link w:val="742"/>
    <w:qFormat/>
    <w:uiPriority w:val="0"/>
    <w:rPr>
      <w:rFonts w:cs="宋体"/>
      <w:kern w:val="2"/>
      <w:sz w:val="21"/>
      <w:szCs w:val="18"/>
    </w:rPr>
  </w:style>
  <w:style w:type="paragraph" w:customStyle="1" w:styleId="744">
    <w:name w:val="图名称"/>
    <w:basedOn w:val="1"/>
    <w:link w:val="745"/>
    <w:qFormat/>
    <w:uiPriority w:val="0"/>
    <w:pPr>
      <w:tabs>
        <w:tab w:val="left" w:pos="360"/>
      </w:tabs>
      <w:spacing w:line="300" w:lineRule="auto"/>
      <w:ind w:firstLine="200" w:firstLineChars="200"/>
      <w:jc w:val="center"/>
      <w:outlineLvl w:val="6"/>
    </w:pPr>
    <w:rPr>
      <w:sz w:val="21"/>
      <w:szCs w:val="20"/>
    </w:rPr>
  </w:style>
  <w:style w:type="character" w:customStyle="1" w:styleId="745">
    <w:name w:val="图名称 Char"/>
    <w:link w:val="744"/>
    <w:qFormat/>
    <w:uiPriority w:val="0"/>
    <w:rPr>
      <w:rFonts w:cs="宋体"/>
      <w:kern w:val="2"/>
      <w:sz w:val="21"/>
    </w:rPr>
  </w:style>
  <w:style w:type="paragraph" w:customStyle="1" w:styleId="746">
    <w:name w:val="图名称-"/>
    <w:basedOn w:val="744"/>
    <w:link w:val="747"/>
    <w:qFormat/>
    <w:uiPriority w:val="0"/>
    <w:pPr>
      <w:keepLines/>
      <w:spacing w:line="360" w:lineRule="auto"/>
      <w:ind w:firstLine="0" w:firstLineChars="0"/>
    </w:pPr>
  </w:style>
  <w:style w:type="character" w:customStyle="1" w:styleId="747">
    <w:name w:val="图名称- Char"/>
    <w:link w:val="746"/>
    <w:qFormat/>
    <w:uiPriority w:val="0"/>
    <w:rPr>
      <w:rFonts w:cs="宋体"/>
      <w:kern w:val="2"/>
      <w:sz w:val="21"/>
    </w:rPr>
  </w:style>
  <w:style w:type="paragraph" w:customStyle="1" w:styleId="748">
    <w:name w:val="小标题"/>
    <w:basedOn w:val="7"/>
    <w:next w:val="1"/>
    <w:qFormat/>
    <w:uiPriority w:val="0"/>
    <w:pPr>
      <w:numPr>
        <w:numId w:val="0"/>
      </w:numPr>
      <w:spacing w:beforeLines="0"/>
      <w:ind w:left="200" w:leftChars="200" w:firstLine="567"/>
    </w:pPr>
    <w:rPr>
      <w:rFonts w:ascii="Arial" w:hAnsi="Arial"/>
      <w:b w:val="0"/>
      <w:sz w:val="24"/>
    </w:rPr>
  </w:style>
  <w:style w:type="paragraph" w:customStyle="1" w:styleId="749">
    <w:name w:val="小标题-"/>
    <w:basedOn w:val="748"/>
    <w:link w:val="750"/>
    <w:qFormat/>
    <w:uiPriority w:val="0"/>
    <w:pPr>
      <w:ind w:left="0" w:leftChars="0" w:firstLine="480" w:firstLineChars="200"/>
      <w:outlineLvl w:val="9"/>
    </w:pPr>
    <w:rPr>
      <w:rFonts w:ascii="Times New Roman" w:hAnsi="Times New Roman"/>
    </w:rPr>
  </w:style>
  <w:style w:type="character" w:customStyle="1" w:styleId="750">
    <w:name w:val="小标题- Char"/>
    <w:link w:val="749"/>
    <w:qFormat/>
    <w:uiPriority w:val="0"/>
    <w:rPr>
      <w:bCs/>
      <w:kern w:val="2"/>
      <w:sz w:val="24"/>
      <w:szCs w:val="28"/>
    </w:rPr>
  </w:style>
  <w:style w:type="paragraph" w:customStyle="1" w:styleId="751">
    <w:name w:val="序内容"/>
    <w:basedOn w:val="34"/>
    <w:qFormat/>
    <w:uiPriority w:val="0"/>
    <w:pPr>
      <w:spacing w:line="360" w:lineRule="auto"/>
      <w:ind w:firstLine="480" w:firstLineChars="200"/>
      <w:jc w:val="both"/>
    </w:pPr>
    <w:rPr>
      <w:b/>
      <w:sz w:val="24"/>
      <w:szCs w:val="20"/>
    </w:rPr>
  </w:style>
  <w:style w:type="paragraph" w:customStyle="1" w:styleId="752">
    <w:name w:val="序内容-"/>
    <w:basedOn w:val="751"/>
    <w:qFormat/>
    <w:uiPriority w:val="0"/>
    <w:pPr>
      <w:ind w:firstLine="200"/>
    </w:pPr>
    <w:rPr>
      <w:color w:val="000000"/>
    </w:rPr>
  </w:style>
  <w:style w:type="paragraph" w:customStyle="1" w:styleId="753">
    <w:name w:val="样式 标题 1一级标题 + 段前: 0.5 行 段后: 0.5 行"/>
    <w:basedOn w:val="4"/>
    <w:qFormat/>
    <w:uiPriority w:val="0"/>
    <w:pPr>
      <w:numPr>
        <w:numId w:val="0"/>
      </w:numPr>
      <w:spacing w:before="156" w:after="156" w:line="300" w:lineRule="auto"/>
      <w:ind w:firstLine="567"/>
    </w:pPr>
    <w:rPr>
      <w:rFonts w:ascii="宋体" w:cs="宋体"/>
      <w:szCs w:val="20"/>
    </w:rPr>
  </w:style>
  <w:style w:type="paragraph" w:customStyle="1" w:styleId="754">
    <w:name w:val="样式 标题 1一级标题 + 段前: 0.5 行 段后: 0.5 行1"/>
    <w:basedOn w:val="4"/>
    <w:qFormat/>
    <w:uiPriority w:val="0"/>
    <w:pPr>
      <w:numPr>
        <w:numId w:val="0"/>
      </w:numPr>
      <w:spacing w:before="156" w:after="156" w:line="300" w:lineRule="auto"/>
      <w:ind w:firstLine="567"/>
    </w:pPr>
    <w:rPr>
      <w:rFonts w:ascii="宋体" w:cs="宋体"/>
      <w:szCs w:val="20"/>
    </w:rPr>
  </w:style>
  <w:style w:type="paragraph" w:customStyle="1" w:styleId="755">
    <w:name w:val="样式 标题 2二级标题 + 段前: 0.5 行"/>
    <w:basedOn w:val="5"/>
    <w:qFormat/>
    <w:uiPriority w:val="0"/>
    <w:pPr>
      <w:numPr>
        <w:numId w:val="0"/>
      </w:numPr>
      <w:spacing w:before="156" w:line="300" w:lineRule="auto"/>
      <w:ind w:firstLine="567"/>
    </w:pPr>
    <w:rPr>
      <w:rFonts w:ascii="宋体" w:hAnsi="宋体" w:cs="宋体"/>
      <w:sz w:val="32"/>
      <w:szCs w:val="20"/>
    </w:rPr>
  </w:style>
  <w:style w:type="paragraph" w:customStyle="1" w:styleId="756">
    <w:name w:val="样式 标题 2二级标题 + 段前: 0.5 行1"/>
    <w:basedOn w:val="5"/>
    <w:qFormat/>
    <w:uiPriority w:val="0"/>
    <w:pPr>
      <w:numPr>
        <w:numId w:val="0"/>
      </w:numPr>
      <w:spacing w:before="156" w:line="300" w:lineRule="auto"/>
      <w:ind w:firstLine="567"/>
    </w:pPr>
    <w:rPr>
      <w:rFonts w:ascii="宋体" w:hAnsi="宋体" w:cs="宋体"/>
      <w:sz w:val="32"/>
      <w:szCs w:val="20"/>
    </w:rPr>
  </w:style>
  <w:style w:type="paragraph" w:customStyle="1" w:styleId="757">
    <w:name w:val="样式 标题 2二级标题 + 段前: 0.5 行2"/>
    <w:basedOn w:val="5"/>
    <w:qFormat/>
    <w:uiPriority w:val="0"/>
    <w:pPr>
      <w:numPr>
        <w:numId w:val="0"/>
      </w:numPr>
      <w:spacing w:before="156" w:line="300" w:lineRule="auto"/>
      <w:ind w:firstLine="567"/>
    </w:pPr>
    <w:rPr>
      <w:rFonts w:ascii="宋体" w:hAnsi="宋体" w:cs="宋体"/>
      <w:sz w:val="32"/>
      <w:szCs w:val="20"/>
    </w:rPr>
  </w:style>
  <w:style w:type="paragraph" w:customStyle="1" w:styleId="758">
    <w:name w:val="样式 标题 2二级标题 + 段前: 0.5 行3"/>
    <w:basedOn w:val="5"/>
    <w:qFormat/>
    <w:uiPriority w:val="0"/>
    <w:pPr>
      <w:numPr>
        <w:numId w:val="0"/>
      </w:numPr>
      <w:adjustRightInd w:val="0"/>
      <w:spacing w:before="156" w:line="300" w:lineRule="auto"/>
      <w:ind w:firstLine="567"/>
    </w:pPr>
    <w:rPr>
      <w:rFonts w:ascii="宋体" w:hAnsi="宋体" w:cs="宋体"/>
      <w:sz w:val="32"/>
      <w:szCs w:val="20"/>
    </w:rPr>
  </w:style>
  <w:style w:type="paragraph" w:customStyle="1" w:styleId="759">
    <w:name w:val="样式 表名称 + 左侧:  2 字符 首行缩进:  2 字符"/>
    <w:basedOn w:val="731"/>
    <w:qFormat/>
    <w:uiPriority w:val="0"/>
    <w:pPr>
      <w:ind w:left="100" w:leftChars="100"/>
    </w:pPr>
  </w:style>
  <w:style w:type="paragraph" w:customStyle="1" w:styleId="760">
    <w:name w:val="样式 小标题- + 左侧:  2 字符"/>
    <w:basedOn w:val="749"/>
    <w:qFormat/>
    <w:uiPriority w:val="0"/>
    <w:pPr>
      <w:ind w:firstLine="0"/>
    </w:pPr>
    <w:rPr>
      <w:rFonts w:cs="宋体"/>
      <w:bCs w:val="0"/>
      <w:szCs w:val="20"/>
    </w:rPr>
  </w:style>
  <w:style w:type="paragraph" w:customStyle="1" w:styleId="761">
    <w:name w:val="样式 序内容- + 首行缩进:  2 字符"/>
    <w:basedOn w:val="752"/>
    <w:qFormat/>
    <w:uiPriority w:val="0"/>
    <w:pPr>
      <w:ind w:firstLine="482"/>
    </w:pPr>
    <w:rPr>
      <w:rFonts w:cs="宋体"/>
      <w:bCs/>
    </w:rPr>
  </w:style>
  <w:style w:type="paragraph" w:customStyle="1" w:styleId="762">
    <w:name w:val="页脚-"/>
    <w:basedOn w:val="55"/>
    <w:qFormat/>
    <w:uiPriority w:val="0"/>
    <w:pPr>
      <w:jc w:val="center"/>
    </w:pPr>
    <w:rPr>
      <w:sz w:val="21"/>
    </w:rPr>
  </w:style>
  <w:style w:type="paragraph" w:customStyle="1" w:styleId="763">
    <w:name w:val="页眉-"/>
    <w:basedOn w:val="57"/>
    <w:qFormat/>
    <w:uiPriority w:val="0"/>
    <w:pPr>
      <w:jc w:val="both"/>
    </w:pPr>
    <w:rPr>
      <w:sz w:val="21"/>
    </w:rPr>
  </w:style>
  <w:style w:type="paragraph" w:customStyle="1" w:styleId="764">
    <w:name w:val="一级标题（附表、附图、目录）"/>
    <w:basedOn w:val="4"/>
    <w:qFormat/>
    <w:uiPriority w:val="0"/>
    <w:pPr>
      <w:numPr>
        <w:numId w:val="0"/>
      </w:numPr>
      <w:spacing w:before="190" w:after="190"/>
    </w:pPr>
    <w:rPr>
      <w:bCs w:val="0"/>
      <w:szCs w:val="36"/>
    </w:rPr>
  </w:style>
  <w:style w:type="paragraph" w:customStyle="1" w:styleId="765">
    <w:name w:val="一级目录-"/>
    <w:basedOn w:val="734"/>
    <w:qFormat/>
    <w:uiPriority w:val="0"/>
    <w:pPr>
      <w:widowControl/>
      <w:ind w:firstLine="0"/>
      <w:jc w:val="left"/>
    </w:pPr>
    <w:rPr>
      <w:rFonts w:ascii="Times New Roman" w:hAnsi="Times New Roman"/>
    </w:rPr>
  </w:style>
  <w:style w:type="paragraph" w:customStyle="1" w:styleId="766">
    <w:name w:val="图文字-"/>
    <w:basedOn w:val="522"/>
    <w:next w:val="746"/>
    <w:link w:val="767"/>
    <w:qFormat/>
    <w:uiPriority w:val="0"/>
  </w:style>
  <w:style w:type="character" w:customStyle="1" w:styleId="767">
    <w:name w:val="图文字- Char"/>
    <w:link w:val="766"/>
    <w:qFormat/>
    <w:uiPriority w:val="0"/>
    <w:rPr>
      <w:kern w:val="2"/>
      <w:sz w:val="18"/>
      <w:szCs w:val="18"/>
    </w:rPr>
  </w:style>
  <w:style w:type="paragraph" w:customStyle="1" w:styleId="768">
    <w:name w:val="Decimal Aligned"/>
    <w:basedOn w:val="1"/>
    <w:qFormat/>
    <w:uiPriority w:val="0"/>
    <w:pPr>
      <w:widowControl/>
      <w:tabs>
        <w:tab w:val="decimal" w:pos="360"/>
      </w:tabs>
      <w:spacing w:after="200" w:line="276" w:lineRule="auto"/>
      <w:jc w:val="left"/>
    </w:pPr>
    <w:rPr>
      <w:rFonts w:ascii="Calibri" w:hAnsi="Calibri"/>
      <w:kern w:val="0"/>
      <w:sz w:val="22"/>
      <w:szCs w:val="22"/>
    </w:rPr>
  </w:style>
  <w:style w:type="paragraph" w:customStyle="1" w:styleId="769">
    <w:name w:val="样式 图表标题 + 首行缩进:  2 字符"/>
    <w:basedOn w:val="1"/>
    <w:next w:val="1"/>
    <w:qFormat/>
    <w:uiPriority w:val="0"/>
    <w:pPr>
      <w:tabs>
        <w:tab w:val="left" w:pos="360"/>
      </w:tabs>
      <w:spacing w:line="360" w:lineRule="auto"/>
      <w:ind w:firstLine="420" w:firstLineChars="200"/>
      <w:outlineLvl w:val="6"/>
    </w:pPr>
    <w:rPr>
      <w:rFonts w:cs="宋体"/>
      <w:sz w:val="21"/>
      <w:szCs w:val="20"/>
    </w:rPr>
  </w:style>
  <w:style w:type="paragraph" w:customStyle="1" w:styleId="770">
    <w:name w:val="表图文字"/>
    <w:basedOn w:val="1"/>
    <w:qFormat/>
    <w:uiPriority w:val="0"/>
    <w:pPr>
      <w:widowControl/>
      <w:spacing w:line="360" w:lineRule="auto"/>
      <w:jc w:val="center"/>
    </w:pPr>
    <w:rPr>
      <w:kern w:val="21"/>
      <w:sz w:val="18"/>
      <w:szCs w:val="20"/>
    </w:rPr>
  </w:style>
  <w:style w:type="paragraph" w:customStyle="1" w:styleId="771">
    <w:name w:val="默认段落字体 Para Char Char Char Char Char Char Char"/>
    <w:basedOn w:val="1"/>
    <w:qFormat/>
    <w:uiPriority w:val="0"/>
    <w:pPr>
      <w:spacing w:line="360" w:lineRule="auto"/>
    </w:pPr>
    <w:rPr>
      <w:rFonts w:ascii="Tahoma" w:hAnsi="Tahoma"/>
      <w:szCs w:val="20"/>
    </w:rPr>
  </w:style>
  <w:style w:type="paragraph" w:customStyle="1" w:styleId="772">
    <w:name w:val="宋小四缩"/>
    <w:basedOn w:val="2"/>
    <w:qFormat/>
    <w:uiPriority w:val="0"/>
    <w:pPr>
      <w:spacing w:line="440" w:lineRule="exact"/>
      <w:ind w:firstLine="420" w:firstLineChars="0"/>
    </w:pPr>
    <w:rPr>
      <w:szCs w:val="20"/>
    </w:rPr>
  </w:style>
  <w:style w:type="paragraph" w:customStyle="1" w:styleId="773">
    <w:name w:val="c_"/>
    <w:qFormat/>
    <w:uiPriority w:val="0"/>
    <w:pPr>
      <w:widowControl w:val="0"/>
      <w:autoSpaceDE w:val="0"/>
      <w:autoSpaceDN w:val="0"/>
      <w:adjustRightInd w:val="0"/>
    </w:pPr>
    <w:rPr>
      <w:rFonts w:ascii="五" w:hAnsi="Times New Roman" w:eastAsia="五" w:cs="Times New Roman"/>
      <w:lang w:val="en-US" w:eastAsia="zh-CN" w:bidi="ar-SA"/>
    </w:rPr>
  </w:style>
  <w:style w:type="paragraph" w:customStyle="1" w:styleId="774">
    <w:name w:val="style101"/>
    <w:basedOn w:val="1"/>
    <w:qFormat/>
    <w:uiPriority w:val="0"/>
    <w:pPr>
      <w:widowControl/>
      <w:spacing w:before="100" w:beforeAutospacing="1" w:after="100" w:afterAutospacing="1" w:line="240" w:lineRule="auto"/>
      <w:jc w:val="left"/>
    </w:pPr>
    <w:rPr>
      <w:rFonts w:ascii="楷体_GB2312" w:hAnsi="宋体" w:eastAsia="楷体_GB2312" w:cs="宋体"/>
      <w:color w:val="000066"/>
      <w:kern w:val="0"/>
    </w:rPr>
  </w:style>
  <w:style w:type="paragraph" w:customStyle="1" w:styleId="775">
    <w:name w:val="msobodytextindent3 style100"/>
    <w:basedOn w:val="1"/>
    <w:qFormat/>
    <w:uiPriority w:val="0"/>
    <w:pPr>
      <w:widowControl/>
      <w:spacing w:before="100" w:beforeAutospacing="1" w:after="100" w:afterAutospacing="1" w:line="240" w:lineRule="auto"/>
      <w:jc w:val="left"/>
    </w:pPr>
    <w:rPr>
      <w:rFonts w:ascii="宋体" w:hAnsi="宋体" w:cs="宋体"/>
      <w:kern w:val="0"/>
    </w:rPr>
  </w:style>
  <w:style w:type="paragraph" w:customStyle="1" w:styleId="776">
    <w:name w:val="Char Char Char Char Char Char Char Char Char Char2"/>
    <w:basedOn w:val="1"/>
    <w:qFormat/>
    <w:uiPriority w:val="0"/>
    <w:pPr>
      <w:widowControl/>
      <w:spacing w:after="160" w:line="240" w:lineRule="exact"/>
      <w:jc w:val="left"/>
    </w:pPr>
    <w:rPr>
      <w:rFonts w:ascii="Verdana" w:hAnsi="Verdana" w:eastAsia="仿宋_GB2312"/>
      <w:kern w:val="0"/>
      <w:sz w:val="30"/>
      <w:szCs w:val="30"/>
      <w:lang w:eastAsia="en-US"/>
    </w:rPr>
  </w:style>
  <w:style w:type="paragraph" w:customStyle="1" w:styleId="777">
    <w:name w:val="样式 样式 样式 行距: 固定值 32 磅 + 左侧:  0 厘米 首行缩进:  0 厘米 + 左侧:  0 厘米 首行缩进:..."/>
    <w:basedOn w:val="5"/>
    <w:qFormat/>
    <w:uiPriority w:val="0"/>
    <w:pPr>
      <w:numPr>
        <w:ilvl w:val="0"/>
        <w:numId w:val="0"/>
      </w:numPr>
      <w:tabs>
        <w:tab w:val="left" w:pos="0"/>
        <w:tab w:val="left" w:pos="420"/>
      </w:tabs>
      <w:adjustRightInd w:val="0"/>
      <w:spacing w:beforeLines="0" w:beforeAutospacing="1" w:afterAutospacing="1" w:line="640" w:lineRule="exact"/>
      <w:ind w:left="425" w:hanging="425"/>
      <w:textAlignment w:val="baseline"/>
    </w:pPr>
    <w:rPr>
      <w:rFonts w:ascii="黑体" w:hAnsi="Arial"/>
      <w:bCs w:val="0"/>
      <w:kern w:val="0"/>
      <w:sz w:val="32"/>
      <w:szCs w:val="20"/>
    </w:rPr>
  </w:style>
  <w:style w:type="paragraph" w:customStyle="1" w:styleId="778">
    <w:name w:val="样式 样式 行距: 固定值 32 磅 + 左侧:  0.75 厘米 首行缩进:  0 厘米"/>
    <w:basedOn w:val="6"/>
    <w:qFormat/>
    <w:uiPriority w:val="0"/>
    <w:pPr>
      <w:numPr>
        <w:numId w:val="0"/>
      </w:numPr>
      <w:tabs>
        <w:tab w:val="left" w:pos="1505"/>
      </w:tabs>
      <w:adjustRightInd w:val="0"/>
      <w:spacing w:beforeLines="0" w:beforeAutospacing="1" w:afterAutospacing="1" w:line="640" w:lineRule="exact"/>
      <w:ind w:left="850" w:hanging="425"/>
      <w:textAlignment w:val="baseline"/>
    </w:pPr>
    <w:rPr>
      <w:rFonts w:ascii="黑体"/>
      <w:kern w:val="0"/>
      <w:sz w:val="30"/>
      <w:szCs w:val="20"/>
    </w:rPr>
  </w:style>
  <w:style w:type="paragraph" w:customStyle="1" w:styleId="779">
    <w:name w:val="样式 宋体 二号 加粗 居中 行距: 1.5 倍行距"/>
    <w:basedOn w:val="4"/>
    <w:qFormat/>
    <w:uiPriority w:val="0"/>
    <w:pPr>
      <w:numPr>
        <w:numId w:val="0"/>
      </w:numPr>
      <w:tabs>
        <w:tab w:val="left" w:pos="0"/>
      </w:tabs>
      <w:adjustRightInd w:val="0"/>
      <w:spacing w:beforeLines="0" w:line="640" w:lineRule="exact"/>
      <w:textAlignment w:val="baseline"/>
    </w:pPr>
    <w:rPr>
      <w:rFonts w:ascii="宋体" w:hAnsi="宋体" w:cs="宋体"/>
      <w:spacing w:val="20"/>
      <w:szCs w:val="20"/>
    </w:rPr>
  </w:style>
  <w:style w:type="paragraph" w:customStyle="1" w:styleId="780">
    <w:name w:val="样式 (西文) 仿宋_GB2312"/>
    <w:basedOn w:val="8"/>
    <w:qFormat/>
    <w:uiPriority w:val="0"/>
    <w:pPr>
      <w:numPr>
        <w:ilvl w:val="0"/>
        <w:numId w:val="20"/>
      </w:numPr>
      <w:tabs>
        <w:tab w:val="left" w:pos="0"/>
      </w:tabs>
      <w:adjustRightInd w:val="0"/>
      <w:spacing w:line="640" w:lineRule="exact"/>
      <w:ind w:left="1700" w:hanging="425"/>
      <w:textAlignment w:val="baseline"/>
    </w:pPr>
    <w:rPr>
      <w:rFonts w:ascii="仿宋_GB2312"/>
      <w:b w:val="0"/>
      <w:bCs w:val="0"/>
      <w:kern w:val="0"/>
      <w:szCs w:val="21"/>
    </w:rPr>
  </w:style>
  <w:style w:type="paragraph" w:customStyle="1" w:styleId="781">
    <w:name w:val="一级标题-"/>
    <w:basedOn w:val="4"/>
    <w:next w:val="34"/>
    <w:qFormat/>
    <w:uiPriority w:val="0"/>
    <w:pPr>
      <w:numPr>
        <w:ilvl w:val="0"/>
        <w:numId w:val="0"/>
      </w:numPr>
    </w:pPr>
    <w:rPr>
      <w:bCs w:val="0"/>
      <w:szCs w:val="36"/>
    </w:rPr>
  </w:style>
  <w:style w:type="paragraph" w:customStyle="1" w:styleId="782">
    <w:name w:val="b表名称"/>
    <w:basedOn w:val="1"/>
    <w:qFormat/>
    <w:uiPriority w:val="0"/>
    <w:pPr>
      <w:keepNext/>
      <w:tabs>
        <w:tab w:val="left" w:pos="360"/>
      </w:tabs>
      <w:spacing w:line="360" w:lineRule="auto"/>
      <w:ind w:firstLine="420" w:firstLineChars="200"/>
      <w:jc w:val="left"/>
      <w:outlineLvl w:val="6"/>
    </w:pPr>
    <w:rPr>
      <w:rFonts w:cs="宋体"/>
      <w:sz w:val="21"/>
      <w:szCs w:val="20"/>
    </w:rPr>
  </w:style>
  <w:style w:type="paragraph" w:customStyle="1" w:styleId="783">
    <w:name w:val="a二级标题"/>
    <w:basedOn w:val="1"/>
    <w:qFormat/>
    <w:uiPriority w:val="0"/>
    <w:pPr>
      <w:keepNext/>
      <w:spacing w:beforeLines="50" w:after="120" w:line="360" w:lineRule="auto"/>
      <w:outlineLvl w:val="1"/>
    </w:pPr>
    <w:rPr>
      <w:rFonts w:cs="宋体"/>
      <w:b/>
      <w:bCs/>
      <w:sz w:val="32"/>
      <w:szCs w:val="20"/>
    </w:rPr>
  </w:style>
  <w:style w:type="paragraph" w:customStyle="1" w:styleId="784">
    <w:name w:val="样式 Arial 小四 行距: 1.5 倍行距 首行缩进:  2 字符 Char Char"/>
    <w:basedOn w:val="1"/>
    <w:qFormat/>
    <w:uiPriority w:val="0"/>
    <w:pPr>
      <w:spacing w:line="360" w:lineRule="auto"/>
      <w:ind w:firstLine="480" w:firstLineChars="200"/>
    </w:pPr>
    <w:rPr>
      <w:rFonts w:ascii="Arial" w:hAnsi="Arial" w:cs="宋体"/>
      <w:szCs w:val="20"/>
    </w:rPr>
  </w:style>
  <w:style w:type="paragraph" w:customStyle="1" w:styleId="785">
    <w:name w:val="引用1"/>
    <w:basedOn w:val="1"/>
    <w:next w:val="1"/>
    <w:link w:val="786"/>
    <w:qFormat/>
    <w:uiPriority w:val="29"/>
    <w:pPr>
      <w:widowControl/>
      <w:spacing w:line="240" w:lineRule="auto"/>
      <w:jc w:val="left"/>
    </w:pPr>
    <w:rPr>
      <w:rFonts w:ascii="Calibri" w:hAnsi="Calibri"/>
      <w:i/>
      <w:kern w:val="0"/>
    </w:rPr>
  </w:style>
  <w:style w:type="character" w:customStyle="1" w:styleId="786">
    <w:name w:val="引用 Char"/>
    <w:link w:val="785"/>
    <w:qFormat/>
    <w:uiPriority w:val="29"/>
    <w:rPr>
      <w:rFonts w:ascii="Calibri" w:hAnsi="Calibri"/>
      <w:i/>
      <w:sz w:val="24"/>
      <w:szCs w:val="24"/>
    </w:rPr>
  </w:style>
  <w:style w:type="paragraph" w:customStyle="1" w:styleId="787">
    <w:name w:val="明显引用1"/>
    <w:basedOn w:val="1"/>
    <w:next w:val="1"/>
    <w:link w:val="788"/>
    <w:qFormat/>
    <w:uiPriority w:val="30"/>
    <w:pPr>
      <w:widowControl/>
      <w:spacing w:line="240" w:lineRule="auto"/>
      <w:ind w:left="720" w:right="720"/>
      <w:jc w:val="left"/>
    </w:pPr>
    <w:rPr>
      <w:rFonts w:ascii="Calibri" w:hAnsi="Calibri"/>
      <w:b/>
      <w:i/>
      <w:kern w:val="0"/>
      <w:szCs w:val="20"/>
    </w:rPr>
  </w:style>
  <w:style w:type="character" w:customStyle="1" w:styleId="788">
    <w:name w:val="明显引用 Char"/>
    <w:link w:val="787"/>
    <w:qFormat/>
    <w:uiPriority w:val="30"/>
    <w:rPr>
      <w:rFonts w:ascii="Calibri" w:hAnsi="Calibri"/>
      <w:b/>
      <w:i/>
      <w:sz w:val="24"/>
    </w:rPr>
  </w:style>
  <w:style w:type="paragraph" w:customStyle="1" w:styleId="789">
    <w:name w:val="Char Char7"/>
    <w:basedOn w:val="1"/>
    <w:qFormat/>
    <w:uiPriority w:val="0"/>
    <w:pPr>
      <w:spacing w:line="360" w:lineRule="auto"/>
    </w:pPr>
    <w:rPr>
      <w:rFonts w:ascii="Tahoma" w:hAnsi="Tahoma"/>
      <w:szCs w:val="20"/>
    </w:rPr>
  </w:style>
  <w:style w:type="paragraph" w:customStyle="1" w:styleId="790">
    <w:name w:val="样式 正文首行缩进 + 首行缩进:  2 字符"/>
    <w:basedOn w:val="86"/>
    <w:qFormat/>
    <w:uiPriority w:val="0"/>
    <w:pPr>
      <w:spacing w:after="0" w:line="312" w:lineRule="auto"/>
      <w:ind w:firstLine="200" w:firstLineChars="200"/>
    </w:pPr>
    <w:rPr>
      <w:rFonts w:ascii="Times New Roman" w:hAnsi="Times New Roman" w:eastAsia="宋体"/>
      <w:sz w:val="24"/>
    </w:rPr>
  </w:style>
  <w:style w:type="paragraph" w:customStyle="1" w:styleId="791">
    <w:name w:val="Char3"/>
    <w:basedOn w:val="1"/>
    <w:qFormat/>
    <w:uiPriority w:val="0"/>
    <w:pPr>
      <w:widowControl/>
      <w:spacing w:after="160" w:line="240" w:lineRule="exact"/>
      <w:jc w:val="left"/>
    </w:pPr>
    <w:rPr>
      <w:rFonts w:ascii="Verdana" w:hAnsi="Verdana" w:eastAsia="仿宋_GB2312"/>
      <w:kern w:val="0"/>
      <w:sz w:val="30"/>
      <w:szCs w:val="30"/>
      <w:lang w:eastAsia="en-US"/>
    </w:rPr>
  </w:style>
  <w:style w:type="paragraph" w:customStyle="1" w:styleId="792">
    <w:name w:val="Char Char41"/>
    <w:basedOn w:val="1"/>
    <w:qFormat/>
    <w:uiPriority w:val="0"/>
    <w:pPr>
      <w:spacing w:line="360" w:lineRule="auto"/>
    </w:pPr>
    <w:rPr>
      <w:rFonts w:ascii="Tahoma" w:hAnsi="Tahoma"/>
      <w:szCs w:val="20"/>
    </w:rPr>
  </w:style>
  <w:style w:type="paragraph" w:customStyle="1" w:styleId="793">
    <w:name w:val="正文文本 212"/>
    <w:basedOn w:val="1"/>
    <w:qFormat/>
    <w:uiPriority w:val="0"/>
    <w:pPr>
      <w:adjustRightInd w:val="0"/>
      <w:spacing w:line="360" w:lineRule="auto"/>
      <w:textAlignment w:val="baseline"/>
    </w:pPr>
    <w:rPr>
      <w:rFonts w:ascii="宋体"/>
      <w:kern w:val="0"/>
      <w:sz w:val="28"/>
      <w:szCs w:val="20"/>
    </w:rPr>
  </w:style>
  <w:style w:type="paragraph" w:customStyle="1" w:styleId="794">
    <w:name w:val="Char Char4 Char Char1"/>
    <w:basedOn w:val="1"/>
    <w:qFormat/>
    <w:uiPriority w:val="0"/>
    <w:pPr>
      <w:spacing w:line="360" w:lineRule="auto"/>
    </w:pPr>
    <w:rPr>
      <w:rFonts w:ascii="Tahoma" w:hAnsi="Tahoma"/>
      <w:szCs w:val="20"/>
    </w:rPr>
  </w:style>
  <w:style w:type="paragraph" w:customStyle="1" w:styleId="795">
    <w:name w:val="Char1 Char Char Char1"/>
    <w:basedOn w:val="26"/>
    <w:qFormat/>
    <w:uiPriority w:val="0"/>
    <w:pPr>
      <w:adjustRightInd w:val="0"/>
      <w:snapToGrid w:val="0"/>
      <w:spacing w:line="360" w:lineRule="auto"/>
      <w:ind w:firstLine="200" w:firstLineChars="200"/>
    </w:pPr>
    <w:rPr>
      <w:rFonts w:ascii="Tahoma" w:hAnsi="Tahoma" w:eastAsia="仿宋_GB2312" w:cs="Tahoma"/>
      <w:kern w:val="0"/>
      <w:sz w:val="18"/>
    </w:rPr>
  </w:style>
  <w:style w:type="paragraph" w:customStyle="1" w:styleId="796">
    <w:name w:val="Char12"/>
    <w:basedOn w:val="1"/>
    <w:qFormat/>
    <w:uiPriority w:val="0"/>
    <w:pPr>
      <w:spacing w:line="240" w:lineRule="auto"/>
    </w:pPr>
    <w:rPr>
      <w:rFonts w:eastAsia="仿宋_GB2312" w:cs="Arial"/>
      <w:sz w:val="21"/>
      <w:szCs w:val="72"/>
    </w:rPr>
  </w:style>
  <w:style w:type="paragraph" w:customStyle="1" w:styleId="797">
    <w:name w:val="Char Char Char3"/>
    <w:basedOn w:val="1"/>
    <w:qFormat/>
    <w:uiPriority w:val="0"/>
    <w:pPr>
      <w:keepNext/>
      <w:widowControl/>
      <w:tabs>
        <w:tab w:val="left" w:pos="425"/>
      </w:tabs>
      <w:autoSpaceDE w:val="0"/>
      <w:autoSpaceDN w:val="0"/>
      <w:adjustRightInd w:val="0"/>
      <w:spacing w:before="80" w:after="80" w:line="240" w:lineRule="auto"/>
      <w:ind w:hanging="425"/>
    </w:pPr>
    <w:rPr>
      <w:rFonts w:ascii="Arial" w:hAnsi="Arial" w:eastAsia="仿宋_GB2312"/>
      <w:sz w:val="20"/>
      <w:szCs w:val="20"/>
    </w:rPr>
  </w:style>
  <w:style w:type="paragraph" w:customStyle="1" w:styleId="798">
    <w:name w:val="Char Char Char Char Char Char Char1"/>
    <w:basedOn w:val="1"/>
    <w:link w:val="799"/>
    <w:qFormat/>
    <w:uiPriority w:val="0"/>
    <w:pPr>
      <w:spacing w:line="240" w:lineRule="auto"/>
    </w:pPr>
    <w:rPr>
      <w:sz w:val="21"/>
    </w:rPr>
  </w:style>
  <w:style w:type="character" w:customStyle="1" w:styleId="799">
    <w:name w:val="Char Char Char Char Char Char Char Char Char Char Char Char Char Char Char Char1"/>
    <w:link w:val="798"/>
    <w:qFormat/>
    <w:uiPriority w:val="0"/>
    <w:rPr>
      <w:kern w:val="2"/>
      <w:sz w:val="21"/>
      <w:szCs w:val="24"/>
    </w:rPr>
  </w:style>
  <w:style w:type="paragraph" w:customStyle="1" w:styleId="800">
    <w:name w:val="Char22"/>
    <w:basedOn w:val="1"/>
    <w:qFormat/>
    <w:uiPriority w:val="0"/>
    <w:pPr>
      <w:spacing w:line="240" w:lineRule="auto"/>
    </w:pPr>
    <w:rPr>
      <w:rFonts w:eastAsia="仿宋_GB2312" w:cs="Arial"/>
      <w:sz w:val="21"/>
      <w:szCs w:val="72"/>
    </w:rPr>
  </w:style>
  <w:style w:type="paragraph" w:customStyle="1" w:styleId="801">
    <w:name w:val="正文文本缩进12"/>
    <w:basedOn w:val="1"/>
    <w:qFormat/>
    <w:uiPriority w:val="0"/>
    <w:pPr>
      <w:spacing w:line="360" w:lineRule="auto"/>
      <w:ind w:firstLine="425"/>
    </w:pPr>
    <w:rPr>
      <w:kern w:val="0"/>
    </w:rPr>
  </w:style>
  <w:style w:type="paragraph" w:customStyle="1" w:styleId="802">
    <w:name w:val="Char Char Char Char Char Char Char Char Char Char Char Char2"/>
    <w:basedOn w:val="1"/>
    <w:qFormat/>
    <w:uiPriority w:val="0"/>
    <w:pPr>
      <w:spacing w:line="240" w:lineRule="atLeast"/>
      <w:ind w:left="420" w:firstLine="420"/>
    </w:pPr>
    <w:rPr>
      <w:kern w:val="0"/>
      <w:sz w:val="21"/>
      <w:szCs w:val="20"/>
    </w:rPr>
  </w:style>
  <w:style w:type="paragraph" w:customStyle="1" w:styleId="803">
    <w:name w:val="Char Char Char Char1"/>
    <w:basedOn w:val="1"/>
    <w:qFormat/>
    <w:uiPriority w:val="0"/>
    <w:pPr>
      <w:adjustRightInd w:val="0"/>
      <w:snapToGrid w:val="0"/>
      <w:spacing w:line="400" w:lineRule="exact"/>
    </w:pPr>
    <w:rPr>
      <w:rFonts w:ascii="Tahoma" w:hAnsi="Tahoma"/>
      <w:szCs w:val="20"/>
    </w:rPr>
  </w:style>
  <w:style w:type="paragraph" w:customStyle="1" w:styleId="804">
    <w:name w:val="Char2 Char Char Char Char Char Char11"/>
    <w:basedOn w:val="1"/>
    <w:qFormat/>
    <w:uiPriority w:val="0"/>
    <w:pPr>
      <w:spacing w:line="240" w:lineRule="atLeast"/>
      <w:ind w:left="420" w:firstLine="420"/>
    </w:pPr>
    <w:rPr>
      <w:sz w:val="21"/>
      <w:szCs w:val="20"/>
    </w:rPr>
  </w:style>
  <w:style w:type="paragraph" w:customStyle="1" w:styleId="805">
    <w:name w:val="Char Char Char2 Char1"/>
    <w:basedOn w:val="1"/>
    <w:qFormat/>
    <w:uiPriority w:val="0"/>
    <w:pPr>
      <w:spacing w:line="400" w:lineRule="exact"/>
    </w:pPr>
    <w:rPr>
      <w:rFonts w:ascii="Tahoma" w:hAnsi="Tahoma"/>
      <w:szCs w:val="20"/>
    </w:rPr>
  </w:style>
  <w:style w:type="paragraph" w:customStyle="1" w:styleId="806">
    <w:name w:val="Char Char Char Char Char Char11"/>
    <w:basedOn w:val="1"/>
    <w:qFormat/>
    <w:uiPriority w:val="0"/>
    <w:pPr>
      <w:spacing w:line="400" w:lineRule="exact"/>
    </w:pPr>
    <w:rPr>
      <w:rFonts w:ascii="Tahoma" w:hAnsi="Tahoma"/>
      <w:szCs w:val="20"/>
    </w:rPr>
  </w:style>
  <w:style w:type="paragraph" w:customStyle="1" w:styleId="807">
    <w:name w:val="Char Char Char Char Char Char2"/>
    <w:basedOn w:val="1"/>
    <w:qFormat/>
    <w:uiPriority w:val="0"/>
    <w:pPr>
      <w:widowControl/>
      <w:spacing w:after="160" w:line="240" w:lineRule="exact"/>
      <w:jc w:val="left"/>
    </w:pPr>
    <w:rPr>
      <w:rFonts w:ascii="Verdana" w:hAnsi="Verdana" w:eastAsia="仿宋_GB2312"/>
      <w:b/>
      <w:kern w:val="0"/>
      <w:sz w:val="28"/>
      <w:szCs w:val="30"/>
      <w:lang w:eastAsia="en-US"/>
    </w:rPr>
  </w:style>
  <w:style w:type="paragraph" w:customStyle="1" w:styleId="808">
    <w:name w:val="正文22"/>
    <w:qFormat/>
    <w:uiPriority w:val="0"/>
    <w:pPr>
      <w:widowControl w:val="0"/>
      <w:adjustRightInd w:val="0"/>
      <w:spacing w:line="0" w:lineRule="atLeast"/>
      <w:textAlignment w:val="baseline"/>
    </w:pPr>
    <w:rPr>
      <w:rFonts w:ascii="Times New Roman" w:hAnsi="Times New Roman" w:eastAsia="宋体" w:cs="Times New Roman"/>
      <w:lang w:val="en-US" w:eastAsia="zh-CN" w:bidi="ar-SA"/>
    </w:rPr>
  </w:style>
  <w:style w:type="paragraph" w:customStyle="1" w:styleId="809">
    <w:name w:val="Char Char Char Char Char Char Char Char Char Char Char Char Char2"/>
    <w:basedOn w:val="1"/>
    <w:qFormat/>
    <w:uiPriority w:val="0"/>
    <w:pPr>
      <w:spacing w:line="360" w:lineRule="auto"/>
    </w:pPr>
    <w:rPr>
      <w:rFonts w:ascii="Tahoma" w:hAnsi="Tahoma"/>
      <w:szCs w:val="20"/>
    </w:rPr>
  </w:style>
  <w:style w:type="paragraph" w:customStyle="1" w:styleId="810">
    <w:name w:val="Char Char Char Char Char Char Char Char Char Char Char Char1 Char Char Char Char Char Char Char Char Char Char1"/>
    <w:basedOn w:val="1"/>
    <w:qFormat/>
    <w:uiPriority w:val="0"/>
    <w:pPr>
      <w:widowControl/>
      <w:spacing w:after="160" w:line="240" w:lineRule="exact"/>
      <w:jc w:val="left"/>
    </w:pPr>
    <w:rPr>
      <w:rFonts w:ascii="Verdana" w:hAnsi="Verdana" w:eastAsia="仿宋_GB2312"/>
      <w:kern w:val="0"/>
      <w:sz w:val="30"/>
      <w:szCs w:val="30"/>
      <w:lang w:eastAsia="en-US"/>
    </w:rPr>
  </w:style>
  <w:style w:type="paragraph" w:customStyle="1" w:styleId="811">
    <w:name w:val="Char Char Char Char Char Char Char Char Char1"/>
    <w:basedOn w:val="1"/>
    <w:qFormat/>
    <w:uiPriority w:val="0"/>
    <w:pPr>
      <w:widowControl/>
      <w:spacing w:after="160" w:line="240" w:lineRule="exact"/>
      <w:jc w:val="left"/>
    </w:pPr>
    <w:rPr>
      <w:rFonts w:ascii="Verdana" w:hAnsi="Verdana" w:eastAsia="仿宋_GB2312"/>
      <w:kern w:val="0"/>
      <w:sz w:val="30"/>
      <w:szCs w:val="30"/>
      <w:lang w:eastAsia="en-US"/>
    </w:rPr>
  </w:style>
  <w:style w:type="paragraph" w:customStyle="1" w:styleId="812">
    <w:name w:val="Char Char Char21"/>
    <w:basedOn w:val="1"/>
    <w:qFormat/>
    <w:uiPriority w:val="0"/>
    <w:pPr>
      <w:spacing w:line="400" w:lineRule="exact"/>
    </w:pPr>
    <w:rPr>
      <w:rFonts w:ascii="Tahoma" w:hAnsi="Tahoma"/>
      <w:szCs w:val="20"/>
    </w:rPr>
  </w:style>
  <w:style w:type="paragraph" w:customStyle="1" w:styleId="813">
    <w:name w:val="Char Char Char3 Char Char Char Char1"/>
    <w:basedOn w:val="1"/>
    <w:qFormat/>
    <w:uiPriority w:val="0"/>
    <w:pPr>
      <w:spacing w:line="360" w:lineRule="auto"/>
    </w:pPr>
  </w:style>
  <w:style w:type="paragraph" w:customStyle="1" w:styleId="814">
    <w:name w:val="Char Char Char11"/>
    <w:basedOn w:val="1"/>
    <w:qFormat/>
    <w:uiPriority w:val="0"/>
    <w:pPr>
      <w:spacing w:line="400" w:lineRule="exact"/>
    </w:pPr>
    <w:rPr>
      <w:rFonts w:ascii="Tahoma" w:hAnsi="Tahoma"/>
      <w:szCs w:val="20"/>
    </w:rPr>
  </w:style>
  <w:style w:type="paragraph" w:customStyle="1" w:styleId="815">
    <w:name w:val="Char Char Char Char Char Char Char Char Char Char1"/>
    <w:basedOn w:val="1"/>
    <w:qFormat/>
    <w:uiPriority w:val="0"/>
    <w:pPr>
      <w:widowControl/>
      <w:spacing w:after="160" w:line="240" w:lineRule="exact"/>
      <w:jc w:val="left"/>
    </w:pPr>
    <w:rPr>
      <w:rFonts w:ascii="Verdana" w:hAnsi="Verdana" w:eastAsia="仿宋_GB2312"/>
      <w:kern w:val="0"/>
      <w:sz w:val="30"/>
      <w:szCs w:val="30"/>
      <w:lang w:eastAsia="en-US"/>
    </w:rPr>
  </w:style>
  <w:style w:type="paragraph" w:customStyle="1" w:styleId="816">
    <w:name w:val="Char Char5"/>
    <w:basedOn w:val="1"/>
    <w:qFormat/>
    <w:uiPriority w:val="0"/>
    <w:pPr>
      <w:spacing w:line="360" w:lineRule="auto"/>
    </w:pPr>
    <w:rPr>
      <w:rFonts w:ascii="Tahoma" w:hAnsi="Tahoma"/>
      <w:szCs w:val="20"/>
    </w:rPr>
  </w:style>
  <w:style w:type="paragraph" w:customStyle="1" w:styleId="817">
    <w:name w:val="普通(网站)1"/>
    <w:basedOn w:val="1"/>
    <w:qFormat/>
    <w:uiPriority w:val="0"/>
    <w:pPr>
      <w:widowControl/>
      <w:adjustRightInd w:val="0"/>
      <w:snapToGrid w:val="0"/>
      <w:spacing w:before="100" w:beforeAutospacing="1" w:after="100" w:afterAutospacing="1" w:line="360" w:lineRule="auto"/>
      <w:ind w:firstLine="200" w:firstLineChars="200"/>
      <w:jc w:val="left"/>
    </w:pPr>
    <w:rPr>
      <w:rFonts w:ascii="宋体" w:hAnsi="宋体" w:cs="宋体"/>
      <w:kern w:val="0"/>
    </w:rPr>
  </w:style>
  <w:style w:type="paragraph" w:customStyle="1" w:styleId="818">
    <w:name w:val="正文缩进1"/>
    <w:basedOn w:val="1"/>
    <w:qFormat/>
    <w:uiPriority w:val="0"/>
    <w:pPr>
      <w:adjustRightInd w:val="0"/>
      <w:snapToGrid w:val="0"/>
      <w:spacing w:line="360" w:lineRule="auto"/>
      <w:ind w:firstLine="420" w:firstLineChars="200"/>
    </w:pPr>
  </w:style>
  <w:style w:type="paragraph" w:customStyle="1" w:styleId="819">
    <w:name w:val="日期1"/>
    <w:basedOn w:val="1"/>
    <w:next w:val="1"/>
    <w:link w:val="820"/>
    <w:qFormat/>
    <w:uiPriority w:val="0"/>
    <w:pPr>
      <w:adjustRightInd w:val="0"/>
      <w:snapToGrid w:val="0"/>
      <w:spacing w:line="360" w:lineRule="auto"/>
      <w:ind w:left="100" w:leftChars="2500" w:firstLine="200" w:firstLineChars="200"/>
    </w:pPr>
  </w:style>
  <w:style w:type="character" w:customStyle="1" w:styleId="820">
    <w:name w:val="日期 Char"/>
    <w:link w:val="819"/>
    <w:qFormat/>
    <w:uiPriority w:val="0"/>
    <w:rPr>
      <w:kern w:val="2"/>
      <w:sz w:val="24"/>
      <w:szCs w:val="24"/>
    </w:rPr>
  </w:style>
  <w:style w:type="paragraph" w:customStyle="1" w:styleId="821">
    <w:name w:val="批注主题1"/>
    <w:basedOn w:val="28"/>
    <w:next w:val="28"/>
    <w:link w:val="822"/>
    <w:qFormat/>
    <w:uiPriority w:val="99"/>
    <w:pPr>
      <w:adjustRightInd w:val="0"/>
      <w:snapToGrid w:val="0"/>
      <w:spacing w:line="360" w:lineRule="auto"/>
      <w:ind w:firstLine="200" w:firstLineChars="200"/>
    </w:pPr>
    <w:rPr>
      <w:b/>
      <w:bCs/>
      <w:szCs w:val="24"/>
    </w:rPr>
  </w:style>
  <w:style w:type="character" w:customStyle="1" w:styleId="822">
    <w:name w:val="批注主题 Char"/>
    <w:link w:val="821"/>
    <w:qFormat/>
    <w:uiPriority w:val="99"/>
    <w:rPr>
      <w:b/>
      <w:bCs/>
      <w:kern w:val="2"/>
      <w:sz w:val="24"/>
      <w:szCs w:val="24"/>
    </w:rPr>
  </w:style>
  <w:style w:type="paragraph" w:customStyle="1" w:styleId="823">
    <w:name w:val="标题 11"/>
    <w:basedOn w:val="1"/>
    <w:next w:val="1"/>
    <w:qFormat/>
    <w:uiPriority w:val="0"/>
    <w:pPr>
      <w:keepNext/>
      <w:keepLines/>
      <w:adjustRightInd w:val="0"/>
      <w:snapToGrid w:val="0"/>
      <w:spacing w:before="340" w:after="330" w:line="576" w:lineRule="auto"/>
      <w:ind w:firstLine="200" w:firstLineChars="200"/>
      <w:outlineLvl w:val="0"/>
    </w:pPr>
    <w:rPr>
      <w:kern w:val="44"/>
      <w:sz w:val="44"/>
      <w:szCs w:val="44"/>
    </w:rPr>
  </w:style>
  <w:style w:type="paragraph" w:customStyle="1" w:styleId="824">
    <w:name w:val="文档结构图1"/>
    <w:basedOn w:val="1"/>
    <w:link w:val="825"/>
    <w:qFormat/>
    <w:uiPriority w:val="99"/>
    <w:pPr>
      <w:shd w:val="clear" w:color="auto" w:fill="000080"/>
      <w:adjustRightInd w:val="0"/>
      <w:snapToGrid w:val="0"/>
      <w:spacing w:line="360" w:lineRule="auto"/>
      <w:ind w:firstLine="200" w:firstLineChars="200"/>
    </w:pPr>
  </w:style>
  <w:style w:type="character" w:customStyle="1" w:styleId="825">
    <w:name w:val="文档结构图 Char"/>
    <w:link w:val="824"/>
    <w:qFormat/>
    <w:uiPriority w:val="99"/>
    <w:rPr>
      <w:kern w:val="2"/>
      <w:sz w:val="24"/>
      <w:szCs w:val="24"/>
      <w:shd w:val="clear" w:color="auto" w:fill="000080"/>
    </w:rPr>
  </w:style>
  <w:style w:type="paragraph" w:customStyle="1" w:styleId="826">
    <w:name w:val="正文文本缩进11"/>
    <w:basedOn w:val="1"/>
    <w:qFormat/>
    <w:uiPriority w:val="0"/>
    <w:pPr>
      <w:adjustRightInd w:val="0"/>
      <w:snapToGrid w:val="0"/>
      <w:spacing w:line="360" w:lineRule="auto"/>
      <w:ind w:firstLine="680" w:firstLineChars="200"/>
    </w:pPr>
    <w:rPr>
      <w:rFonts w:ascii="宋体" w:hAnsi="宋体"/>
      <w:sz w:val="32"/>
      <w:szCs w:val="20"/>
    </w:rPr>
  </w:style>
  <w:style w:type="paragraph" w:customStyle="1" w:styleId="827">
    <w:name w:val="·段落"/>
    <w:basedOn w:val="1"/>
    <w:qFormat/>
    <w:uiPriority w:val="0"/>
    <w:pPr>
      <w:adjustRightInd w:val="0"/>
      <w:snapToGrid w:val="0"/>
      <w:spacing w:line="360" w:lineRule="auto"/>
      <w:ind w:firstLine="600" w:firstLineChars="200"/>
      <w:outlineLvl w:val="1"/>
    </w:pPr>
    <w:rPr>
      <w:rFonts w:ascii="黑体" w:hAnsi="宋体" w:eastAsia="黑体"/>
      <w:sz w:val="30"/>
    </w:rPr>
  </w:style>
  <w:style w:type="paragraph" w:customStyle="1" w:styleId="828">
    <w:name w:val="正文文本缩进 31"/>
    <w:basedOn w:val="1"/>
    <w:link w:val="829"/>
    <w:qFormat/>
    <w:uiPriority w:val="0"/>
    <w:pPr>
      <w:adjustRightInd w:val="0"/>
      <w:snapToGrid w:val="0"/>
      <w:spacing w:after="120" w:line="360" w:lineRule="auto"/>
      <w:ind w:left="420" w:leftChars="200" w:firstLine="200" w:firstLineChars="200"/>
    </w:pPr>
    <w:rPr>
      <w:sz w:val="16"/>
      <w:szCs w:val="16"/>
    </w:rPr>
  </w:style>
  <w:style w:type="character" w:customStyle="1" w:styleId="829">
    <w:name w:val="正文文本缩进 3 Char"/>
    <w:link w:val="828"/>
    <w:qFormat/>
    <w:uiPriority w:val="0"/>
    <w:rPr>
      <w:kern w:val="2"/>
      <w:sz w:val="16"/>
      <w:szCs w:val="16"/>
    </w:rPr>
  </w:style>
  <w:style w:type="paragraph" w:customStyle="1" w:styleId="830">
    <w:name w:val="正文文本缩进 21"/>
    <w:basedOn w:val="1"/>
    <w:link w:val="831"/>
    <w:qFormat/>
    <w:uiPriority w:val="0"/>
    <w:pPr>
      <w:adjustRightInd w:val="0"/>
      <w:snapToGrid w:val="0"/>
      <w:spacing w:after="120" w:line="480" w:lineRule="auto"/>
      <w:ind w:left="420" w:leftChars="200" w:firstLine="200" w:firstLineChars="200"/>
    </w:pPr>
  </w:style>
  <w:style w:type="character" w:customStyle="1" w:styleId="831">
    <w:name w:val="正文文本缩进 2 Char"/>
    <w:link w:val="830"/>
    <w:qFormat/>
    <w:uiPriority w:val="0"/>
    <w:rPr>
      <w:kern w:val="2"/>
      <w:sz w:val="24"/>
      <w:szCs w:val="24"/>
    </w:rPr>
  </w:style>
  <w:style w:type="paragraph" w:customStyle="1" w:styleId="832">
    <w:name w:val="Char11"/>
    <w:basedOn w:val="1"/>
    <w:qFormat/>
    <w:uiPriority w:val="0"/>
    <w:pPr>
      <w:widowControl/>
      <w:adjustRightInd w:val="0"/>
      <w:snapToGrid w:val="0"/>
      <w:spacing w:after="160" w:line="240" w:lineRule="exact"/>
      <w:ind w:firstLine="200" w:firstLineChars="200"/>
      <w:jc w:val="left"/>
    </w:pPr>
    <w:rPr>
      <w:rFonts w:ascii="Verdana" w:hAnsi="Verdana" w:eastAsia="仿宋_GB2312"/>
      <w:color w:val="000000"/>
      <w:kern w:val="0"/>
      <w:lang w:eastAsia="en-US"/>
    </w:rPr>
  </w:style>
  <w:style w:type="paragraph" w:customStyle="1" w:styleId="833">
    <w:name w:val="TOC 标题11"/>
    <w:basedOn w:val="823"/>
    <w:next w:val="1"/>
    <w:qFormat/>
    <w:uiPriority w:val="0"/>
    <w:pPr>
      <w:widowControl/>
      <w:spacing w:before="480" w:after="0" w:line="276" w:lineRule="auto"/>
      <w:jc w:val="left"/>
      <w:outlineLvl w:val="9"/>
    </w:pPr>
    <w:rPr>
      <w:rFonts w:ascii="Cambria" w:hAnsi="Cambria" w:cs="黑体"/>
      <w:b/>
      <w:bCs/>
      <w:color w:val="365F90"/>
      <w:kern w:val="0"/>
      <w:sz w:val="28"/>
      <w:szCs w:val="28"/>
    </w:rPr>
  </w:style>
  <w:style w:type="paragraph" w:customStyle="1" w:styleId="834">
    <w:name w:val="列出段落11"/>
    <w:basedOn w:val="1"/>
    <w:link w:val="835"/>
    <w:qFormat/>
    <w:uiPriority w:val="34"/>
    <w:pPr>
      <w:adjustRightInd w:val="0"/>
      <w:snapToGrid w:val="0"/>
      <w:spacing w:line="360" w:lineRule="auto"/>
      <w:ind w:firstLine="420" w:firstLineChars="200"/>
    </w:pPr>
  </w:style>
  <w:style w:type="character" w:customStyle="1" w:styleId="835">
    <w:name w:val="列出段落 Char"/>
    <w:link w:val="834"/>
    <w:qFormat/>
    <w:locked/>
    <w:uiPriority w:val="34"/>
    <w:rPr>
      <w:kern w:val="2"/>
      <w:sz w:val="24"/>
      <w:szCs w:val="24"/>
    </w:rPr>
  </w:style>
  <w:style w:type="paragraph" w:customStyle="1" w:styleId="836">
    <w:name w:val="tu biao ti"/>
    <w:basedOn w:val="1"/>
    <w:link w:val="837"/>
    <w:qFormat/>
    <w:uiPriority w:val="0"/>
    <w:pPr>
      <w:adjustRightInd w:val="0"/>
      <w:snapToGrid w:val="0"/>
      <w:spacing w:afterLines="50" w:line="240" w:lineRule="auto"/>
      <w:jc w:val="center"/>
    </w:pPr>
  </w:style>
  <w:style w:type="character" w:customStyle="1" w:styleId="837">
    <w:name w:val="tu biao ti Char"/>
    <w:link w:val="836"/>
    <w:qFormat/>
    <w:uiPriority w:val="0"/>
    <w:rPr>
      <w:kern w:val="2"/>
      <w:sz w:val="24"/>
      <w:szCs w:val="24"/>
    </w:rPr>
  </w:style>
  <w:style w:type="paragraph" w:customStyle="1" w:styleId="838">
    <w:name w:val="biao biao ti"/>
    <w:basedOn w:val="836"/>
    <w:link w:val="839"/>
    <w:qFormat/>
    <w:uiPriority w:val="0"/>
  </w:style>
  <w:style w:type="character" w:customStyle="1" w:styleId="839">
    <w:name w:val="biao biao ti Char"/>
    <w:link w:val="838"/>
    <w:qFormat/>
    <w:uiPriority w:val="0"/>
    <w:rPr>
      <w:kern w:val="2"/>
      <w:sz w:val="24"/>
      <w:szCs w:val="24"/>
    </w:rPr>
  </w:style>
  <w:style w:type="paragraph" w:customStyle="1" w:styleId="840">
    <w:name w:val="注释标题1"/>
    <w:basedOn w:val="1"/>
    <w:next w:val="1"/>
    <w:qFormat/>
    <w:uiPriority w:val="0"/>
    <w:pPr>
      <w:spacing w:beforeLines="25" w:afterLines="25" w:line="240" w:lineRule="auto"/>
      <w:jc w:val="center"/>
    </w:pPr>
    <w:rPr>
      <w:rFonts w:ascii="Arial" w:hAnsi="Arial" w:eastAsia="黑体"/>
      <w:sz w:val="21"/>
      <w:szCs w:val="20"/>
    </w:rPr>
  </w:style>
  <w:style w:type="paragraph" w:customStyle="1" w:styleId="841">
    <w:name w:val="HTML 预设格式1"/>
    <w:basedOn w:val="1"/>
    <w:link w:val="842"/>
    <w:qFormat/>
    <w:uiPriority w:val="0"/>
    <w:pPr>
      <w:topLinePunct/>
      <w:adjustRightInd w:val="0"/>
      <w:spacing w:line="240" w:lineRule="auto"/>
    </w:pPr>
    <w:rPr>
      <w:rFonts w:ascii="Courier New" w:hAnsi="Courier New"/>
      <w:sz w:val="20"/>
      <w:szCs w:val="20"/>
    </w:rPr>
  </w:style>
  <w:style w:type="character" w:customStyle="1" w:styleId="842">
    <w:name w:val="HTML 预设格式 Char"/>
    <w:link w:val="841"/>
    <w:qFormat/>
    <w:uiPriority w:val="0"/>
    <w:rPr>
      <w:rFonts w:ascii="Courier New" w:hAnsi="Courier New"/>
      <w:kern w:val="2"/>
    </w:rPr>
  </w:style>
  <w:style w:type="paragraph" w:customStyle="1" w:styleId="843">
    <w:name w:val="宏文本1"/>
    <w:basedOn w:val="1"/>
    <w:qFormat/>
    <w:uiPriority w:val="0"/>
    <w:pPr>
      <w:widowControl/>
      <w:spacing w:line="300" w:lineRule="auto"/>
      <w:jc w:val="left"/>
    </w:pPr>
    <w:rPr>
      <w:rFonts w:ascii="Courier New" w:hAnsi="Courier New"/>
      <w:kern w:val="0"/>
      <w:sz w:val="21"/>
      <w:szCs w:val="20"/>
    </w:rPr>
  </w:style>
  <w:style w:type="paragraph" w:customStyle="1" w:styleId="844">
    <w:name w:val="样式 Times New Roman 首行缩进:  0.74 厘米 段前: 0.1 行 行距1.15"/>
    <w:basedOn w:val="1"/>
    <w:link w:val="845"/>
    <w:qFormat/>
    <w:uiPriority w:val="0"/>
    <w:pPr>
      <w:spacing w:line="276" w:lineRule="auto"/>
      <w:ind w:firstLine="420"/>
    </w:pPr>
    <w:rPr>
      <w:rFonts w:hAnsi="宋体"/>
      <w:sz w:val="21"/>
      <w:szCs w:val="20"/>
    </w:rPr>
  </w:style>
  <w:style w:type="character" w:customStyle="1" w:styleId="845">
    <w:name w:val="样式 Times New Roman 首行缩进:  0.74 厘米 段前: 0.1 行 行距1.15 Char Char"/>
    <w:link w:val="844"/>
    <w:qFormat/>
    <w:uiPriority w:val="0"/>
    <w:rPr>
      <w:rFonts w:hAnsi="宋体"/>
      <w:kern w:val="2"/>
      <w:sz w:val="21"/>
    </w:rPr>
  </w:style>
  <w:style w:type="paragraph" w:customStyle="1" w:styleId="846">
    <w:name w:val="样式 样式 Times New Roman 首行缩进:  0.74 厘米 段前: 0行 行距1.15 + (符号) Tim..."/>
    <w:basedOn w:val="844"/>
    <w:link w:val="847"/>
    <w:qFormat/>
    <w:uiPriority w:val="0"/>
    <w:rPr>
      <w:rFonts w:hAnsi="Times New Roman"/>
      <w:kern w:val="0"/>
      <w:sz w:val="20"/>
    </w:rPr>
  </w:style>
  <w:style w:type="character" w:customStyle="1" w:styleId="847">
    <w:name w:val="样式 样式 Times New Roman 首行缩进:  0.74 厘米 段前: 0行 行距1.15 + (符号) Tim... Char Char"/>
    <w:link w:val="846"/>
    <w:qFormat/>
    <w:uiPriority w:val="0"/>
  </w:style>
  <w:style w:type="paragraph" w:customStyle="1" w:styleId="848">
    <w:name w:val="正文首行缩进1"/>
    <w:basedOn w:val="34"/>
    <w:qFormat/>
    <w:uiPriority w:val="0"/>
    <w:pPr>
      <w:spacing w:after="120"/>
      <w:ind w:firstLine="420" w:firstLineChars="100"/>
      <w:jc w:val="both"/>
    </w:pPr>
    <w:rPr>
      <w:szCs w:val="20"/>
    </w:rPr>
  </w:style>
  <w:style w:type="paragraph" w:customStyle="1" w:styleId="849">
    <w:name w:val="表格条文首行缩进"/>
    <w:basedOn w:val="1"/>
    <w:link w:val="850"/>
    <w:qFormat/>
    <w:uiPriority w:val="0"/>
    <w:pPr>
      <w:spacing w:line="360" w:lineRule="auto"/>
      <w:ind w:firstLine="480" w:firstLineChars="200"/>
      <w:jc w:val="left"/>
    </w:pPr>
    <w:rPr>
      <w:rFonts w:ascii="宋体" w:hAnsi="宋体"/>
      <w:kern w:val="0"/>
      <w:szCs w:val="20"/>
    </w:rPr>
  </w:style>
  <w:style w:type="character" w:customStyle="1" w:styleId="850">
    <w:name w:val="表格条文首行缩进 Char Char"/>
    <w:link w:val="849"/>
    <w:qFormat/>
    <w:uiPriority w:val="0"/>
    <w:rPr>
      <w:rFonts w:ascii="宋体" w:hAnsi="宋体"/>
      <w:sz w:val="24"/>
    </w:rPr>
  </w:style>
  <w:style w:type="paragraph" w:customStyle="1" w:styleId="851">
    <w:name w:val="HTML 地址1"/>
    <w:basedOn w:val="1"/>
    <w:link w:val="852"/>
    <w:qFormat/>
    <w:uiPriority w:val="0"/>
    <w:pPr>
      <w:topLinePunct/>
      <w:adjustRightInd w:val="0"/>
      <w:spacing w:line="240" w:lineRule="auto"/>
    </w:pPr>
    <w:rPr>
      <w:i/>
      <w:sz w:val="21"/>
      <w:szCs w:val="20"/>
    </w:rPr>
  </w:style>
  <w:style w:type="character" w:customStyle="1" w:styleId="852">
    <w:name w:val="HTML 地址 Char"/>
    <w:link w:val="851"/>
    <w:qFormat/>
    <w:uiPriority w:val="0"/>
    <w:rPr>
      <w:i/>
      <w:kern w:val="2"/>
      <w:sz w:val="21"/>
    </w:rPr>
  </w:style>
  <w:style w:type="paragraph" w:customStyle="1" w:styleId="853">
    <w:name w:val="基准页脚样式"/>
    <w:basedOn w:val="1"/>
    <w:qFormat/>
    <w:uiPriority w:val="0"/>
    <w:pPr>
      <w:keepLines/>
      <w:widowControl/>
      <w:spacing w:line="220" w:lineRule="atLeast"/>
      <w:jc w:val="left"/>
    </w:pPr>
    <w:rPr>
      <w:rFonts w:ascii="Arial" w:hAnsi="Arial"/>
      <w:kern w:val="0"/>
      <w:sz w:val="18"/>
      <w:szCs w:val="20"/>
    </w:rPr>
  </w:style>
  <w:style w:type="paragraph" w:customStyle="1" w:styleId="854">
    <w:name w:val="正文首行缩进 21"/>
    <w:basedOn w:val="826"/>
    <w:qFormat/>
    <w:uiPriority w:val="0"/>
    <w:pPr>
      <w:adjustRightInd/>
      <w:snapToGrid/>
      <w:spacing w:after="120" w:line="240" w:lineRule="auto"/>
      <w:ind w:left="420" w:leftChars="200" w:firstLine="200"/>
    </w:pPr>
    <w:rPr>
      <w:rFonts w:ascii="Times New Roman" w:hAnsi="Times New Roman"/>
      <w:sz w:val="21"/>
    </w:rPr>
  </w:style>
  <w:style w:type="paragraph" w:customStyle="1" w:styleId="855">
    <w:name w:val="样式1 悬挂缩进: 4 字符 段前: 0.1 行，小五"/>
    <w:basedOn w:val="1"/>
    <w:link w:val="856"/>
    <w:qFormat/>
    <w:uiPriority w:val="0"/>
    <w:pPr>
      <w:spacing w:beforeLines="10" w:line="312" w:lineRule="auto"/>
      <w:ind w:left="400" w:leftChars="400"/>
    </w:pPr>
    <w:rPr>
      <w:sz w:val="18"/>
      <w:szCs w:val="20"/>
    </w:rPr>
  </w:style>
  <w:style w:type="character" w:customStyle="1" w:styleId="856">
    <w:name w:val="样式1 悬挂缩进: 4 字符 段前: 0.1 行，小五 Char Char"/>
    <w:link w:val="855"/>
    <w:qFormat/>
    <w:uiPriority w:val="0"/>
    <w:rPr>
      <w:kern w:val="2"/>
      <w:sz w:val="18"/>
    </w:rPr>
  </w:style>
  <w:style w:type="paragraph" w:customStyle="1" w:styleId="857">
    <w:name w:val="样式1正文（首行缩进两字） Char"/>
    <w:basedOn w:val="1"/>
    <w:next w:val="1"/>
    <w:link w:val="858"/>
    <w:qFormat/>
    <w:uiPriority w:val="0"/>
    <w:pPr>
      <w:topLinePunct/>
      <w:snapToGrid w:val="0"/>
      <w:spacing w:before="40" w:after="40" w:line="240" w:lineRule="auto"/>
      <w:ind w:firstLine="396" w:firstLineChars="200"/>
    </w:pPr>
    <w:rPr>
      <w:sz w:val="21"/>
      <w:szCs w:val="20"/>
    </w:rPr>
  </w:style>
  <w:style w:type="character" w:customStyle="1" w:styleId="858">
    <w:name w:val="样式1正文（首行缩进两字） Char Char Char"/>
    <w:link w:val="857"/>
    <w:qFormat/>
    <w:uiPriority w:val="0"/>
    <w:rPr>
      <w:kern w:val="2"/>
      <w:sz w:val="21"/>
    </w:rPr>
  </w:style>
  <w:style w:type="paragraph" w:customStyle="1" w:styleId="859">
    <w:name w:val="样式 正文（首行缩进两字） Char + Times New Roman"/>
    <w:basedOn w:val="857"/>
    <w:link w:val="860"/>
    <w:qFormat/>
    <w:uiPriority w:val="0"/>
    <w:pPr>
      <w:ind w:firstLine="0" w:firstLineChars="0"/>
      <w:jc w:val="center"/>
    </w:pPr>
    <w:rPr>
      <w:kern w:val="0"/>
      <w:sz w:val="20"/>
    </w:rPr>
  </w:style>
  <w:style w:type="character" w:customStyle="1" w:styleId="860">
    <w:name w:val="样式 正文（首行缩进两字） Char + Times New Roman Char Char"/>
    <w:link w:val="859"/>
    <w:qFormat/>
    <w:uiPriority w:val="0"/>
  </w:style>
  <w:style w:type="paragraph" w:customStyle="1" w:styleId="861">
    <w:name w:val="样式 样式 样式 标题 2 + 段前: 0.1 行 + 段前: 0.1 行 + Times New Roman"/>
    <w:basedOn w:val="862"/>
    <w:link w:val="863"/>
    <w:qFormat/>
    <w:uiPriority w:val="0"/>
    <w:pPr>
      <w:tabs>
        <w:tab w:val="left" w:pos="210"/>
        <w:tab w:val="left" w:pos="360"/>
        <w:tab w:val="left" w:pos="500"/>
      </w:tabs>
      <w:spacing w:beforeLines="50" w:line="240" w:lineRule="auto"/>
    </w:pPr>
    <w:rPr>
      <w:rFonts w:eastAsia="宋体"/>
      <w:b w:val="0"/>
      <w:kern w:val="0"/>
      <w:sz w:val="20"/>
    </w:rPr>
  </w:style>
  <w:style w:type="paragraph" w:customStyle="1" w:styleId="862">
    <w:name w:val="样式1 样式 标题 2 + 段前: 0行"/>
    <w:basedOn w:val="5"/>
    <w:next w:val="1"/>
    <w:qFormat/>
    <w:uiPriority w:val="0"/>
    <w:pPr>
      <w:numPr>
        <w:numId w:val="0"/>
      </w:numPr>
      <w:tabs>
        <w:tab w:val="left" w:pos="210"/>
        <w:tab w:val="left" w:pos="360"/>
      </w:tabs>
      <w:adjustRightInd w:val="0"/>
      <w:snapToGrid w:val="0"/>
      <w:spacing w:beforeLines="0" w:line="276" w:lineRule="auto"/>
    </w:pPr>
    <w:rPr>
      <w:rFonts w:eastAsia="仿宋"/>
      <w:bCs w:val="0"/>
      <w:sz w:val="21"/>
      <w:szCs w:val="20"/>
    </w:rPr>
  </w:style>
  <w:style w:type="character" w:customStyle="1" w:styleId="863">
    <w:name w:val="样式 样式 样式 标题 2 + 段前: 0.1 行 + 段前: 0.1 行 + Times New Roman Char Char"/>
    <w:link w:val="861"/>
    <w:qFormat/>
    <w:uiPriority w:val="0"/>
  </w:style>
  <w:style w:type="paragraph" w:customStyle="1" w:styleId="864">
    <w:name w:val="正文文本 211"/>
    <w:basedOn w:val="1"/>
    <w:qFormat/>
    <w:uiPriority w:val="0"/>
    <w:pPr>
      <w:spacing w:after="120" w:line="480" w:lineRule="auto"/>
    </w:pPr>
    <w:rPr>
      <w:rFonts w:ascii="Arial" w:hAnsi="Arial"/>
      <w:sz w:val="21"/>
      <w:szCs w:val="20"/>
    </w:rPr>
  </w:style>
  <w:style w:type="paragraph" w:customStyle="1" w:styleId="865">
    <w:name w:val="附录标题2"/>
    <w:basedOn w:val="5"/>
    <w:next w:val="848"/>
    <w:link w:val="866"/>
    <w:qFormat/>
    <w:uiPriority w:val="0"/>
    <w:pPr>
      <w:numPr>
        <w:numId w:val="0"/>
      </w:numPr>
      <w:tabs>
        <w:tab w:val="left" w:pos="500"/>
      </w:tabs>
      <w:adjustRightInd w:val="0"/>
      <w:snapToGrid w:val="0"/>
      <w:spacing w:beforeLines="25" w:afterLines="15" w:line="240" w:lineRule="auto"/>
      <w:ind w:left="500" w:hanging="500"/>
      <w:jc w:val="left"/>
    </w:pPr>
    <w:rPr>
      <w:rFonts w:ascii="Arial" w:hAnsi="Arial" w:eastAsia="黑体"/>
      <w:b w:val="0"/>
      <w:bCs w:val="0"/>
      <w:sz w:val="21"/>
      <w:szCs w:val="20"/>
    </w:rPr>
  </w:style>
  <w:style w:type="character" w:customStyle="1" w:styleId="866">
    <w:name w:val="附录标题2 Char Char"/>
    <w:link w:val="865"/>
    <w:qFormat/>
    <w:uiPriority w:val="0"/>
    <w:rPr>
      <w:rFonts w:ascii="Arial" w:hAnsi="Arial" w:eastAsia="黑体"/>
      <w:kern w:val="2"/>
      <w:sz w:val="21"/>
    </w:rPr>
  </w:style>
  <w:style w:type="paragraph" w:customStyle="1" w:styleId="867">
    <w:name w:val="样式 a首行缩进:  0 字符 段前: 0 行 + 黑体"/>
    <w:basedOn w:val="868"/>
    <w:link w:val="870"/>
    <w:qFormat/>
    <w:uiPriority w:val="0"/>
    <w:rPr>
      <w:rFonts w:eastAsia="黑体"/>
    </w:rPr>
  </w:style>
  <w:style w:type="paragraph" w:customStyle="1" w:styleId="868">
    <w:name w:val="样式 a首行缩进:  2 字符 段前: 0 行"/>
    <w:basedOn w:val="1"/>
    <w:link w:val="869"/>
    <w:qFormat/>
    <w:uiPriority w:val="0"/>
    <w:pPr>
      <w:adjustRightInd w:val="0"/>
      <w:spacing w:afterLines="50" w:line="240" w:lineRule="auto"/>
      <w:jc w:val="left"/>
      <w:textAlignment w:val="baseline"/>
    </w:pPr>
    <w:rPr>
      <w:kern w:val="0"/>
      <w:sz w:val="21"/>
      <w:szCs w:val="20"/>
    </w:rPr>
  </w:style>
  <w:style w:type="character" w:customStyle="1" w:styleId="869">
    <w:name w:val="样式 a首行缩进:  2 字符 段前: 0 行 Char Char"/>
    <w:link w:val="868"/>
    <w:qFormat/>
    <w:uiPriority w:val="0"/>
    <w:rPr>
      <w:sz w:val="21"/>
    </w:rPr>
  </w:style>
  <w:style w:type="character" w:customStyle="1" w:styleId="870">
    <w:name w:val="样式 a首行缩进:  0 字符 段前: 0 行 + 黑体 Char Char"/>
    <w:link w:val="867"/>
    <w:qFormat/>
    <w:uiPriority w:val="0"/>
    <w:rPr>
      <w:rFonts w:eastAsia="黑体"/>
      <w:sz w:val="21"/>
    </w:rPr>
  </w:style>
  <w:style w:type="paragraph" w:customStyle="1" w:styleId="871">
    <w:name w:val="附录三"/>
    <w:basedOn w:val="1"/>
    <w:link w:val="872"/>
    <w:qFormat/>
    <w:uiPriority w:val="0"/>
    <w:pPr>
      <w:tabs>
        <w:tab w:val="center" w:pos="4706"/>
        <w:tab w:val="right" w:pos="9072"/>
      </w:tabs>
      <w:spacing w:before="120" w:after="60" w:line="312" w:lineRule="exact"/>
    </w:pPr>
    <w:rPr>
      <w:rFonts w:ascii="E-F1" w:eastAsia="黑体"/>
      <w:kern w:val="21"/>
      <w:sz w:val="21"/>
      <w:szCs w:val="20"/>
    </w:rPr>
  </w:style>
  <w:style w:type="character" w:customStyle="1" w:styleId="872">
    <w:name w:val="附录三 Char Char"/>
    <w:link w:val="871"/>
    <w:qFormat/>
    <w:uiPriority w:val="0"/>
    <w:rPr>
      <w:rFonts w:ascii="E-F1" w:eastAsia="黑体"/>
      <w:kern w:val="21"/>
      <w:sz w:val="21"/>
    </w:rPr>
  </w:style>
  <w:style w:type="paragraph" w:customStyle="1" w:styleId="873">
    <w:name w:val="纯文本1"/>
    <w:basedOn w:val="1"/>
    <w:link w:val="874"/>
    <w:qFormat/>
    <w:uiPriority w:val="0"/>
    <w:pPr>
      <w:topLinePunct/>
      <w:spacing w:line="240" w:lineRule="auto"/>
    </w:pPr>
    <w:rPr>
      <w:rFonts w:ascii="宋体" w:hAnsi="Courier New"/>
      <w:sz w:val="21"/>
      <w:szCs w:val="20"/>
    </w:rPr>
  </w:style>
  <w:style w:type="character" w:customStyle="1" w:styleId="874">
    <w:name w:val="纯文本 Char"/>
    <w:link w:val="873"/>
    <w:qFormat/>
    <w:uiPriority w:val="0"/>
    <w:rPr>
      <w:rFonts w:ascii="宋体" w:hAnsi="Courier New"/>
      <w:kern w:val="2"/>
      <w:sz w:val="21"/>
    </w:rPr>
  </w:style>
  <w:style w:type="paragraph" w:customStyle="1" w:styleId="875">
    <w:name w:val="样式1 正文（首行缩进2字） Char + 首行缩进:  2 字符 段前: 0 行"/>
    <w:basedOn w:val="1"/>
    <w:next w:val="1"/>
    <w:link w:val="876"/>
    <w:qFormat/>
    <w:uiPriority w:val="0"/>
    <w:pPr>
      <w:spacing w:line="276" w:lineRule="auto"/>
      <w:ind w:firstLine="420" w:firstLineChars="200"/>
    </w:pPr>
    <w:rPr>
      <w:rFonts w:hAnsi="Arial"/>
      <w:sz w:val="21"/>
      <w:szCs w:val="20"/>
    </w:rPr>
  </w:style>
  <w:style w:type="character" w:customStyle="1" w:styleId="876">
    <w:name w:val="样式1 正文（首行缩进2字） Char + 首行缩进:  2 字符 段前: 0 行 Char Char"/>
    <w:link w:val="875"/>
    <w:qFormat/>
    <w:uiPriority w:val="0"/>
    <w:rPr>
      <w:rFonts w:hAnsi="Arial"/>
      <w:kern w:val="2"/>
      <w:sz w:val="21"/>
    </w:rPr>
  </w:style>
  <w:style w:type="paragraph" w:customStyle="1" w:styleId="877">
    <w:name w:val="样式 a)"/>
    <w:basedOn w:val="1"/>
    <w:next w:val="1"/>
    <w:link w:val="878"/>
    <w:qFormat/>
    <w:uiPriority w:val="0"/>
    <w:pPr>
      <w:tabs>
        <w:tab w:val="left" w:pos="780"/>
      </w:tabs>
      <w:spacing w:beforeLines="10" w:line="312" w:lineRule="auto"/>
      <w:ind w:firstLine="200" w:firstLineChars="200"/>
    </w:pPr>
    <w:rPr>
      <w:sz w:val="21"/>
      <w:szCs w:val="20"/>
    </w:rPr>
  </w:style>
  <w:style w:type="character" w:customStyle="1" w:styleId="878">
    <w:name w:val="样式 a) Char Char"/>
    <w:link w:val="877"/>
    <w:qFormat/>
    <w:uiPriority w:val="0"/>
    <w:rPr>
      <w:kern w:val="2"/>
      <w:sz w:val="21"/>
    </w:rPr>
  </w:style>
  <w:style w:type="paragraph" w:customStyle="1" w:styleId="879">
    <w:name w:val="样式 正文缩进正文缩进 Char正文（首行缩进两字） Char Char正文（首行缩进两字） Char1正文（首行缩进两...1"/>
    <w:basedOn w:val="1"/>
    <w:link w:val="880"/>
    <w:qFormat/>
    <w:uiPriority w:val="0"/>
    <w:pPr>
      <w:spacing w:beforeLines="10" w:line="312" w:lineRule="auto"/>
      <w:ind w:firstLine="200" w:firstLineChars="200"/>
    </w:pPr>
    <w:rPr>
      <w:sz w:val="21"/>
      <w:szCs w:val="20"/>
    </w:rPr>
  </w:style>
  <w:style w:type="character" w:customStyle="1" w:styleId="880">
    <w:name w:val="样式 正文缩进正文缩进 Char正文（首行缩进两字） Char Char正文（首行缩进两字） Char1正文（首行缩进两...1 Char Char"/>
    <w:link w:val="879"/>
    <w:qFormat/>
    <w:uiPriority w:val="0"/>
    <w:rPr>
      <w:kern w:val="2"/>
      <w:sz w:val="21"/>
    </w:rPr>
  </w:style>
  <w:style w:type="paragraph" w:customStyle="1" w:styleId="881">
    <w:name w:val="样式 样式 正文缩进正文缩进 Char正文（首行缩进两字） Char Char正文（首行缩进两字） Char1正文（首行缩进两...."/>
    <w:basedOn w:val="879"/>
    <w:link w:val="882"/>
    <w:qFormat/>
    <w:uiPriority w:val="0"/>
    <w:pPr>
      <w:spacing w:line="300" w:lineRule="auto"/>
    </w:pPr>
    <w:rPr>
      <w:kern w:val="0"/>
      <w:sz w:val="20"/>
    </w:rPr>
  </w:style>
  <w:style w:type="character" w:customStyle="1" w:styleId="882">
    <w:name w:val="样式 样式 正文缩进正文缩进 Char正文（首行缩进两字） Char Char正文（首行缩进两字） Char1正文（首行缩进两.... Char Char"/>
    <w:link w:val="881"/>
    <w:qFormat/>
    <w:uiPriority w:val="0"/>
  </w:style>
  <w:style w:type="paragraph" w:customStyle="1" w:styleId="883">
    <w:name w:val="_标准条文"/>
    <w:basedOn w:val="1"/>
    <w:link w:val="884"/>
    <w:qFormat/>
    <w:uiPriority w:val="0"/>
    <w:pPr>
      <w:overflowPunct w:val="0"/>
      <w:snapToGrid w:val="0"/>
      <w:spacing w:line="276" w:lineRule="auto"/>
      <w:ind w:firstLine="420" w:firstLineChars="200"/>
    </w:pPr>
    <w:rPr>
      <w:rFonts w:ascii="Arial" w:hAnsi="Arial"/>
      <w:sz w:val="21"/>
      <w:szCs w:val="20"/>
    </w:rPr>
  </w:style>
  <w:style w:type="character" w:customStyle="1" w:styleId="884">
    <w:name w:val="_标准条文 Char Char"/>
    <w:link w:val="883"/>
    <w:qFormat/>
    <w:uiPriority w:val="0"/>
    <w:rPr>
      <w:rFonts w:ascii="Arial" w:hAnsi="Arial"/>
      <w:kern w:val="2"/>
      <w:sz w:val="21"/>
    </w:rPr>
  </w:style>
  <w:style w:type="paragraph" w:customStyle="1" w:styleId="885">
    <w:name w:val="朱2"/>
    <w:basedOn w:val="466"/>
    <w:link w:val="886"/>
    <w:qFormat/>
    <w:uiPriority w:val="0"/>
    <w:pPr>
      <w:topLinePunct/>
      <w:adjustRightInd w:val="0"/>
      <w:spacing w:line="312" w:lineRule="exact"/>
      <w:ind w:firstLine="0" w:firstLineChars="0"/>
    </w:pPr>
    <w:rPr>
      <w:rFonts w:ascii="Times New Roman" w:eastAsia="宋体"/>
      <w:b w:val="0"/>
      <w:bCs w:val="0"/>
      <w:kern w:val="0"/>
      <w:sz w:val="20"/>
      <w:szCs w:val="20"/>
    </w:rPr>
  </w:style>
  <w:style w:type="character" w:customStyle="1" w:styleId="886">
    <w:name w:val="朱2 Char Char"/>
    <w:link w:val="885"/>
    <w:qFormat/>
    <w:uiPriority w:val="0"/>
  </w:style>
  <w:style w:type="paragraph" w:customStyle="1" w:styleId="887">
    <w:name w:val="朱表头"/>
    <w:basedOn w:val="381"/>
    <w:link w:val="888"/>
    <w:qFormat/>
    <w:uiPriority w:val="0"/>
    <w:pPr>
      <w:topLinePunct/>
      <w:spacing w:before="160" w:after="60" w:line="312" w:lineRule="exact"/>
    </w:pPr>
    <w:rPr>
      <w:rFonts w:ascii="EU-F1" w:hAnsi="Times New Roman" w:eastAsia="黑体"/>
      <w:b w:val="0"/>
      <w:snapToGrid w:val="0"/>
      <w:szCs w:val="20"/>
    </w:rPr>
  </w:style>
  <w:style w:type="character" w:customStyle="1" w:styleId="888">
    <w:name w:val="朱表头 Char Char"/>
    <w:link w:val="887"/>
    <w:qFormat/>
    <w:uiPriority w:val="0"/>
    <w:rPr>
      <w:rFonts w:ascii="EU-F1" w:eastAsia="黑体"/>
      <w:snapToGrid w:val="0"/>
      <w:kern w:val="2"/>
      <w:sz w:val="21"/>
    </w:rPr>
  </w:style>
  <w:style w:type="paragraph" w:customStyle="1" w:styleId="889">
    <w:name w:val="朱1"/>
    <w:basedOn w:val="383"/>
    <w:link w:val="890"/>
    <w:qFormat/>
    <w:uiPriority w:val="0"/>
    <w:pPr>
      <w:topLinePunct/>
      <w:adjustRightInd w:val="0"/>
      <w:spacing w:line="480" w:lineRule="auto"/>
      <w:jc w:val="both"/>
    </w:pPr>
    <w:rPr>
      <w:rFonts w:ascii="EU-F1" w:hAnsi="Times New Roman"/>
      <w:bCs w:val="0"/>
      <w:kern w:val="21"/>
      <w:sz w:val="21"/>
    </w:rPr>
  </w:style>
  <w:style w:type="character" w:customStyle="1" w:styleId="890">
    <w:name w:val="朱1 Char Char"/>
    <w:link w:val="889"/>
    <w:qFormat/>
    <w:uiPriority w:val="0"/>
    <w:rPr>
      <w:rFonts w:ascii="EU-F1" w:eastAsia="黑体"/>
      <w:b/>
      <w:kern w:val="21"/>
      <w:sz w:val="21"/>
    </w:rPr>
  </w:style>
  <w:style w:type="paragraph" w:customStyle="1" w:styleId="891">
    <w:name w:val="Lincer表格样式"/>
    <w:basedOn w:val="1"/>
    <w:link w:val="892"/>
    <w:qFormat/>
    <w:uiPriority w:val="0"/>
    <w:pPr>
      <w:spacing w:line="240" w:lineRule="auto"/>
      <w:ind w:left="344" w:hanging="344" w:hangingChars="164"/>
    </w:pPr>
    <w:rPr>
      <w:sz w:val="21"/>
      <w:szCs w:val="20"/>
    </w:rPr>
  </w:style>
  <w:style w:type="character" w:customStyle="1" w:styleId="892">
    <w:name w:val="Lincer表格样式 Char Char"/>
    <w:link w:val="891"/>
    <w:qFormat/>
    <w:uiPriority w:val="0"/>
    <w:rPr>
      <w:kern w:val="2"/>
      <w:sz w:val="21"/>
    </w:rPr>
  </w:style>
  <w:style w:type="paragraph" w:customStyle="1" w:styleId="893">
    <w:name w:val="样式 标题 2 + 段前: 0.1 行"/>
    <w:basedOn w:val="5"/>
    <w:link w:val="894"/>
    <w:qFormat/>
    <w:uiPriority w:val="0"/>
    <w:pPr>
      <w:numPr>
        <w:numId w:val="0"/>
      </w:numPr>
      <w:adjustRightInd w:val="0"/>
      <w:snapToGrid w:val="0"/>
      <w:spacing w:beforeLines="10" w:line="312" w:lineRule="auto"/>
    </w:pPr>
    <w:rPr>
      <w:bCs w:val="0"/>
      <w:sz w:val="21"/>
      <w:szCs w:val="20"/>
    </w:rPr>
  </w:style>
  <w:style w:type="character" w:customStyle="1" w:styleId="894">
    <w:name w:val="样式 标题 2 + 段前: 0.1 行 Char Char"/>
    <w:link w:val="893"/>
    <w:qFormat/>
    <w:uiPriority w:val="0"/>
    <w:rPr>
      <w:b/>
      <w:kern w:val="2"/>
      <w:sz w:val="21"/>
    </w:rPr>
  </w:style>
  <w:style w:type="paragraph" w:customStyle="1" w:styleId="895">
    <w:name w:val="样式1 样式 编号 a + Times New Roman 段前: 0 行 行距: 多倍行距 1.15 字行 + 左侧....."/>
    <w:basedOn w:val="896"/>
    <w:qFormat/>
    <w:uiPriority w:val="0"/>
    <w:pPr>
      <w:ind w:left="400" w:leftChars="200"/>
    </w:pPr>
  </w:style>
  <w:style w:type="paragraph" w:customStyle="1" w:styleId="896">
    <w:name w:val="样式1 样式 编号 a + Times New Roman 段前: 0 行 行距: 多倍行距 1.15 字行 + 左侧... + ..."/>
    <w:basedOn w:val="897"/>
    <w:qFormat/>
    <w:uiPriority w:val="0"/>
    <w:pPr>
      <w:spacing w:before="0"/>
      <w:ind w:left="620" w:hanging="200" w:hangingChars="200"/>
    </w:pPr>
  </w:style>
  <w:style w:type="paragraph" w:customStyle="1" w:styleId="897">
    <w:name w:val="样式 编号 a + Times New Roman 段前: 0 行 行距: 多倍行距 1.15 字行 + 左侧..."/>
    <w:basedOn w:val="857"/>
    <w:next w:val="898"/>
    <w:qFormat/>
    <w:uiPriority w:val="0"/>
    <w:pPr>
      <w:spacing w:before="24" w:afterLines="10"/>
      <w:ind w:firstLine="0" w:firstLineChars="0"/>
    </w:pPr>
  </w:style>
  <w:style w:type="paragraph" w:customStyle="1" w:styleId="898">
    <w:name w:val="样式1-4 Times New Roman行距: 多倍行距 1.15 字行 + 左侧:  4 字符"/>
    <w:basedOn w:val="899"/>
    <w:qFormat/>
    <w:uiPriority w:val="0"/>
    <w:pPr>
      <w:tabs>
        <w:tab w:val="left" w:pos="315"/>
      </w:tabs>
      <w:ind w:left="840" w:leftChars="400"/>
    </w:pPr>
  </w:style>
  <w:style w:type="paragraph" w:customStyle="1" w:styleId="899">
    <w:name w:val="样式 Times New Roman 段前: 0.1 行 行距: 多倍行距 1.2 字行"/>
    <w:basedOn w:val="1"/>
    <w:qFormat/>
    <w:uiPriority w:val="0"/>
    <w:pPr>
      <w:spacing w:line="276" w:lineRule="auto"/>
      <w:ind w:left="420" w:leftChars="200"/>
    </w:pPr>
    <w:rPr>
      <w:sz w:val="21"/>
      <w:szCs w:val="20"/>
    </w:rPr>
  </w:style>
  <w:style w:type="paragraph" w:customStyle="1" w:styleId="900">
    <w:name w:val="样式 正文（首行缩进两字） Char + 宋体 加粗 首行缩进:  2 字符 段前: 0.1 行"/>
    <w:basedOn w:val="857"/>
    <w:qFormat/>
    <w:uiPriority w:val="0"/>
    <w:pPr>
      <w:spacing w:afterLines="10" w:line="300" w:lineRule="auto"/>
      <w:ind w:firstLine="200"/>
    </w:pPr>
    <w:rPr>
      <w:rFonts w:ascii="宋体" w:hAnsi="宋体"/>
      <w:b/>
    </w:rPr>
  </w:style>
  <w:style w:type="paragraph" w:customStyle="1" w:styleId="901">
    <w:name w:val="奇页脚样式"/>
    <w:basedOn w:val="55"/>
    <w:qFormat/>
    <w:uiPriority w:val="0"/>
    <w:pPr>
      <w:keepLines/>
      <w:widowControl/>
      <w:pBdr>
        <w:bottom w:val="single" w:color="auto" w:sz="6" w:space="1"/>
      </w:pBdr>
      <w:tabs>
        <w:tab w:val="center" w:pos="-18551"/>
        <w:tab w:val="right" w:pos="4320"/>
        <w:tab w:val="clear" w:pos="4153"/>
        <w:tab w:val="clear" w:pos="8306"/>
      </w:tabs>
      <w:snapToGrid/>
      <w:spacing w:before="600" w:line="300" w:lineRule="auto"/>
    </w:pPr>
    <w:rPr>
      <w:rFonts w:ascii="Arial" w:hAnsi="Arial"/>
      <w:b/>
      <w:spacing w:val="-4"/>
      <w:kern w:val="0"/>
      <w:sz w:val="21"/>
      <w:szCs w:val="20"/>
    </w:rPr>
  </w:style>
  <w:style w:type="paragraph" w:customStyle="1" w:styleId="902">
    <w:name w:val="CM40"/>
    <w:basedOn w:val="399"/>
    <w:next w:val="399"/>
    <w:qFormat/>
    <w:uiPriority w:val="0"/>
    <w:pPr>
      <w:spacing w:line="320" w:lineRule="atLeast"/>
    </w:pPr>
    <w:rPr>
      <w:rFonts w:ascii="Times New Roman" w:eastAsia="宋体"/>
      <w:color w:val="auto"/>
    </w:rPr>
  </w:style>
  <w:style w:type="paragraph" w:customStyle="1" w:styleId="903">
    <w:name w:val="奇页页眉样式"/>
    <w:basedOn w:val="57"/>
    <w:qFormat/>
    <w:uiPriority w:val="0"/>
    <w:pPr>
      <w:keepLines/>
      <w:widowControl/>
      <w:pBdr>
        <w:bottom w:val="none" w:color="auto" w:sz="0" w:space="0"/>
      </w:pBdr>
      <w:tabs>
        <w:tab w:val="center" w:pos="-18551"/>
        <w:tab w:val="right" w:pos="4320"/>
        <w:tab w:val="clear" w:pos="4153"/>
        <w:tab w:val="clear" w:pos="8306"/>
      </w:tabs>
      <w:spacing w:line="240" w:lineRule="atLeast"/>
      <w:jc w:val="left"/>
    </w:pPr>
    <w:rPr>
      <w:rFonts w:ascii="Arial" w:hAnsi="Arial" w:eastAsia="黑体"/>
      <w:spacing w:val="-4"/>
      <w:kern w:val="0"/>
      <w:sz w:val="21"/>
      <w:szCs w:val="20"/>
    </w:rPr>
  </w:style>
  <w:style w:type="paragraph" w:customStyle="1" w:styleId="904">
    <w:name w:val="样式 标题 1 + 段前: 0.7 行 段后: 0.7 行 + 段前: 0.7 行 段后: 0.7 行"/>
    <w:qFormat/>
    <w:uiPriority w:val="0"/>
    <w:pPr>
      <w:tabs>
        <w:tab w:val="left" w:pos="400"/>
      </w:tabs>
      <w:spacing w:beforeLines="100" w:afterLines="100"/>
    </w:pPr>
    <w:rPr>
      <w:rFonts w:ascii="Times New Roman" w:hAnsi="Times New Roman" w:eastAsia="宋体" w:cs="Times New Roman"/>
      <w:b/>
      <w:kern w:val="21"/>
      <w:sz w:val="21"/>
      <w:lang w:val="en-US" w:eastAsia="zh-CN" w:bidi="ar-SA"/>
    </w:rPr>
  </w:style>
  <w:style w:type="paragraph" w:customStyle="1" w:styleId="905">
    <w:name w:val="工程建设条标题"/>
    <w:basedOn w:val="906"/>
    <w:next w:val="322"/>
    <w:qFormat/>
    <w:uiPriority w:val="0"/>
    <w:pPr>
      <w:spacing w:before="0" w:after="0"/>
      <w:jc w:val="left"/>
      <w:outlineLvl w:val="3"/>
    </w:pPr>
    <w:rPr>
      <w:b w:val="0"/>
    </w:rPr>
  </w:style>
  <w:style w:type="paragraph" w:customStyle="1" w:styleId="906">
    <w:name w:val="工程建设节标题"/>
    <w:basedOn w:val="907"/>
    <w:next w:val="322"/>
    <w:qFormat/>
    <w:uiPriority w:val="0"/>
    <w:pPr>
      <w:spacing w:before="400" w:after="400" w:line="240" w:lineRule="auto"/>
      <w:outlineLvl w:val="2"/>
    </w:pPr>
    <w:rPr>
      <w:sz w:val="21"/>
    </w:rPr>
  </w:style>
  <w:style w:type="paragraph" w:customStyle="1" w:styleId="907">
    <w:name w:val="工程建设章标题"/>
    <w:next w:val="322"/>
    <w:qFormat/>
    <w:uiPriority w:val="0"/>
    <w:pPr>
      <w:spacing w:before="640" w:after="560" w:line="480" w:lineRule="exact"/>
      <w:jc w:val="center"/>
      <w:outlineLvl w:val="1"/>
    </w:pPr>
    <w:rPr>
      <w:rFonts w:ascii="黑体" w:hAnsi="Times New Roman" w:eastAsia="黑体" w:cs="Times New Roman"/>
      <w:b/>
      <w:sz w:val="28"/>
      <w:lang w:val="en-US" w:eastAsia="zh-CN" w:bidi="ar-SA"/>
    </w:rPr>
  </w:style>
  <w:style w:type="paragraph" w:customStyle="1" w:styleId="908">
    <w:name w:val="工程建设款标题"/>
    <w:basedOn w:val="905"/>
    <w:qFormat/>
    <w:uiPriority w:val="0"/>
    <w:pPr>
      <w:outlineLvl w:val="9"/>
    </w:pPr>
  </w:style>
  <w:style w:type="paragraph" w:customStyle="1" w:styleId="909">
    <w:name w:val="索引 41"/>
    <w:basedOn w:val="1"/>
    <w:next w:val="1"/>
    <w:qFormat/>
    <w:uiPriority w:val="0"/>
    <w:pPr>
      <w:spacing w:line="300" w:lineRule="auto"/>
      <w:ind w:left="1260"/>
    </w:pPr>
    <w:rPr>
      <w:rFonts w:ascii="Arial" w:hAnsi="Arial"/>
      <w:sz w:val="21"/>
      <w:szCs w:val="20"/>
    </w:rPr>
  </w:style>
  <w:style w:type="paragraph" w:customStyle="1" w:styleId="910">
    <w:name w:val="图说a"/>
    <w:basedOn w:val="1"/>
    <w:qFormat/>
    <w:uiPriority w:val="0"/>
    <w:pPr>
      <w:topLinePunct/>
      <w:adjustRightInd w:val="0"/>
      <w:spacing w:before="60" w:after="160" w:line="312" w:lineRule="exact"/>
      <w:ind w:firstLine="420"/>
      <w:jc w:val="center"/>
    </w:pPr>
    <w:rPr>
      <w:rFonts w:eastAsia="黑体"/>
      <w:sz w:val="21"/>
      <w:szCs w:val="20"/>
    </w:rPr>
  </w:style>
  <w:style w:type="paragraph" w:customStyle="1" w:styleId="911">
    <w:name w:val="连续正文文字"/>
    <w:basedOn w:val="34"/>
    <w:qFormat/>
    <w:uiPriority w:val="0"/>
    <w:pPr>
      <w:keepNext/>
      <w:widowControl/>
      <w:spacing w:beforeLines="15" w:afterLines="10" w:line="360" w:lineRule="atLeast"/>
      <w:ind w:left="357" w:firstLine="425"/>
    </w:pPr>
    <w:rPr>
      <w:rFonts w:ascii="Arial" w:hAnsi="Arial"/>
      <w:kern w:val="0"/>
      <w:sz w:val="18"/>
      <w:szCs w:val="20"/>
    </w:rPr>
  </w:style>
  <w:style w:type="paragraph" w:customStyle="1" w:styleId="912">
    <w:name w:val="样式 样式 首行缩进:  0.77 厘米 段前: 0.1 行 + 首行缩进:  2 字符 段前: 0.1 行1"/>
    <w:basedOn w:val="1"/>
    <w:qFormat/>
    <w:uiPriority w:val="0"/>
    <w:pPr>
      <w:spacing w:beforeLines="10" w:line="300" w:lineRule="auto"/>
      <w:ind w:firstLine="420" w:firstLineChars="200"/>
    </w:pPr>
    <w:rPr>
      <w:rFonts w:ascii="宋体"/>
      <w:sz w:val="21"/>
      <w:szCs w:val="20"/>
    </w:rPr>
  </w:style>
  <w:style w:type="paragraph" w:customStyle="1" w:styleId="913">
    <w:name w:val="Table Text"/>
    <w:qFormat/>
    <w:uiPriority w:val="0"/>
    <w:pPr>
      <w:snapToGrid w:val="0"/>
      <w:spacing w:before="80" w:after="80"/>
    </w:pPr>
    <w:rPr>
      <w:rFonts w:ascii="Arial" w:hAnsi="Arial" w:eastAsia="宋体" w:cs="Times New Roman"/>
      <w:sz w:val="18"/>
      <w:lang w:val="en-US" w:eastAsia="zh-CN" w:bidi="ar-SA"/>
    </w:rPr>
  </w:style>
  <w:style w:type="paragraph" w:customStyle="1" w:styleId="914">
    <w:name w:val="批注框文本 Char Char"/>
    <w:basedOn w:val="1"/>
    <w:qFormat/>
    <w:uiPriority w:val="0"/>
    <w:pPr>
      <w:spacing w:line="300" w:lineRule="auto"/>
    </w:pPr>
    <w:rPr>
      <w:rFonts w:ascii="Arial" w:hAnsi="Arial"/>
      <w:sz w:val="18"/>
      <w:szCs w:val="20"/>
    </w:rPr>
  </w:style>
  <w:style w:type="paragraph" w:customStyle="1" w:styleId="915">
    <w:name w:val="列表编号 31"/>
    <w:basedOn w:val="1"/>
    <w:qFormat/>
    <w:uiPriority w:val="0"/>
    <w:pPr>
      <w:tabs>
        <w:tab w:val="left" w:pos="1200"/>
      </w:tabs>
      <w:spacing w:beforeLines="25" w:line="300" w:lineRule="auto"/>
      <w:ind w:left="1200" w:hanging="360"/>
    </w:pPr>
    <w:rPr>
      <w:rFonts w:ascii="Arial" w:hAnsi="Arial"/>
      <w:sz w:val="21"/>
      <w:szCs w:val="20"/>
    </w:rPr>
  </w:style>
  <w:style w:type="paragraph" w:customStyle="1" w:styleId="916">
    <w:name w:val="图表目录1"/>
    <w:basedOn w:val="1"/>
    <w:next w:val="1"/>
    <w:qFormat/>
    <w:uiPriority w:val="0"/>
    <w:pPr>
      <w:spacing w:line="300" w:lineRule="auto"/>
      <w:ind w:left="840" w:hanging="420"/>
    </w:pPr>
    <w:rPr>
      <w:rFonts w:ascii="Arial" w:hAnsi="Arial"/>
      <w:sz w:val="21"/>
      <w:szCs w:val="20"/>
    </w:rPr>
  </w:style>
  <w:style w:type="paragraph" w:customStyle="1" w:styleId="917">
    <w:name w:val="Char Char Char Char Char Char Char Char Char Char Char1 Char"/>
    <w:basedOn w:val="1"/>
    <w:qFormat/>
    <w:uiPriority w:val="0"/>
    <w:pPr>
      <w:widowControl/>
      <w:spacing w:after="160" w:line="240" w:lineRule="exact"/>
      <w:jc w:val="left"/>
    </w:pPr>
    <w:rPr>
      <w:sz w:val="21"/>
      <w:szCs w:val="20"/>
    </w:rPr>
  </w:style>
  <w:style w:type="paragraph" w:customStyle="1" w:styleId="918">
    <w:name w:val="样式 左侧:  0.77 厘米 段前: 0 行 行距: 多倍行距 1.15 字行"/>
    <w:basedOn w:val="1"/>
    <w:qFormat/>
    <w:uiPriority w:val="0"/>
    <w:pPr>
      <w:spacing w:line="276" w:lineRule="auto"/>
      <w:ind w:left="420"/>
    </w:pPr>
    <w:rPr>
      <w:rFonts w:ascii="宋体"/>
      <w:sz w:val="21"/>
      <w:szCs w:val="20"/>
    </w:rPr>
  </w:style>
  <w:style w:type="paragraph" w:customStyle="1" w:styleId="919">
    <w:name w:val="样式 样式 首行缩进:  0.77 厘米 段前: 0.1 行 + 首行缩进:  2 字符 段前: 0.1 行"/>
    <w:basedOn w:val="1"/>
    <w:qFormat/>
    <w:uiPriority w:val="0"/>
    <w:pPr>
      <w:spacing w:line="276" w:lineRule="auto"/>
      <w:ind w:firstLine="200" w:firstLineChars="200"/>
    </w:pPr>
    <w:rPr>
      <w:sz w:val="21"/>
      <w:szCs w:val="20"/>
    </w:rPr>
  </w:style>
  <w:style w:type="paragraph" w:customStyle="1" w:styleId="920">
    <w:name w:val="样式 样式 段前: 0.1 行 + 段前: 0.1 行"/>
    <w:basedOn w:val="921"/>
    <w:qFormat/>
    <w:uiPriority w:val="0"/>
    <w:pPr>
      <w:ind w:left="200" w:leftChars="200"/>
    </w:pPr>
  </w:style>
  <w:style w:type="paragraph" w:customStyle="1" w:styleId="921">
    <w:name w:val="样式 段前: 0.1 行"/>
    <w:basedOn w:val="1"/>
    <w:qFormat/>
    <w:uiPriority w:val="0"/>
    <w:pPr>
      <w:spacing w:beforeLines="10" w:line="300" w:lineRule="auto"/>
    </w:pPr>
    <w:rPr>
      <w:sz w:val="21"/>
      <w:szCs w:val="20"/>
    </w:rPr>
  </w:style>
  <w:style w:type="paragraph" w:customStyle="1" w:styleId="922">
    <w:name w:val="样式 样式 悬挂缩进: 9 字符 段前: 0.1 行 + 左侧:  3.93 字符 悬挂缩进: 8 字符 段前: 0.1 行"/>
    <w:basedOn w:val="1"/>
    <w:qFormat/>
    <w:uiPriority w:val="0"/>
    <w:pPr>
      <w:tabs>
        <w:tab w:val="left" w:pos="0"/>
      </w:tabs>
      <w:spacing w:beforeLines="10" w:line="312" w:lineRule="auto"/>
      <w:ind w:left="800" w:hanging="400" w:hangingChars="200"/>
    </w:pPr>
    <w:rPr>
      <w:sz w:val="21"/>
      <w:szCs w:val="20"/>
    </w:rPr>
  </w:style>
  <w:style w:type="paragraph" w:customStyle="1" w:styleId="923">
    <w:name w:val="CM54"/>
    <w:basedOn w:val="399"/>
    <w:next w:val="399"/>
    <w:qFormat/>
    <w:uiPriority w:val="0"/>
    <w:rPr>
      <w:rFonts w:ascii="Times New Roman" w:eastAsia="宋体"/>
      <w:color w:val="auto"/>
    </w:rPr>
  </w:style>
  <w:style w:type="paragraph" w:customStyle="1" w:styleId="924">
    <w:name w:val="样式 样式 目录 2 + 段前: 0.15 行 段后: 0.15 行4 + 左侧:  0.5 字符 右侧:  0.5 字符 ..."/>
    <w:basedOn w:val="1"/>
    <w:qFormat/>
    <w:uiPriority w:val="0"/>
    <w:pPr>
      <w:tabs>
        <w:tab w:val="left" w:pos="840"/>
        <w:tab w:val="left" w:pos="1050"/>
        <w:tab w:val="right" w:leader="dot" w:pos="9344"/>
      </w:tabs>
      <w:snapToGrid w:val="0"/>
      <w:spacing w:beforeLines="15" w:afterLines="15" w:line="240" w:lineRule="auto"/>
      <w:ind w:left="100" w:leftChars="100" w:right="100" w:rightChars="100"/>
      <w:jc w:val="left"/>
    </w:pPr>
    <w:rPr>
      <w:rFonts w:ascii="Arial" w:hAnsi="Arial"/>
      <w:smallCaps/>
      <w:kern w:val="0"/>
      <w:sz w:val="21"/>
      <w:szCs w:val="20"/>
    </w:rPr>
  </w:style>
  <w:style w:type="paragraph" w:customStyle="1" w:styleId="925">
    <w:name w:val="工程建设公式标题"/>
    <w:basedOn w:val="905"/>
    <w:qFormat/>
    <w:uiPriority w:val="0"/>
    <w:pPr>
      <w:ind w:left="288" w:firstLine="288"/>
      <w:jc w:val="center"/>
      <w:outlineLvl w:val="6"/>
    </w:pPr>
  </w:style>
  <w:style w:type="paragraph" w:customStyle="1" w:styleId="926">
    <w:name w:val="列表1"/>
    <w:basedOn w:val="1"/>
    <w:qFormat/>
    <w:uiPriority w:val="0"/>
    <w:pPr>
      <w:spacing w:line="360" w:lineRule="auto"/>
      <w:ind w:left="200" w:hanging="200" w:hangingChars="200"/>
    </w:pPr>
    <w:rPr>
      <w:sz w:val="21"/>
      <w:szCs w:val="20"/>
    </w:rPr>
  </w:style>
  <w:style w:type="paragraph" w:customStyle="1" w:styleId="927">
    <w:name w:val="样式 标题 4 + 段前: 0.1 行"/>
    <w:basedOn w:val="7"/>
    <w:qFormat/>
    <w:uiPriority w:val="0"/>
    <w:pPr>
      <w:numPr>
        <w:numId w:val="0"/>
      </w:numPr>
      <w:tabs>
        <w:tab w:val="left" w:pos="105"/>
        <w:tab w:val="left" w:pos="840"/>
        <w:tab w:val="left" w:pos="900"/>
        <w:tab w:val="left" w:pos="1155"/>
      </w:tabs>
      <w:adjustRightInd w:val="0"/>
      <w:snapToGrid w:val="0"/>
      <w:spacing w:beforeLines="0" w:line="276" w:lineRule="auto"/>
    </w:pPr>
    <w:rPr>
      <w:bCs w:val="0"/>
      <w:sz w:val="21"/>
      <w:szCs w:val="20"/>
    </w:rPr>
  </w:style>
  <w:style w:type="paragraph" w:customStyle="1" w:styleId="928">
    <w:name w:val="首页页眉样式"/>
    <w:basedOn w:val="57"/>
    <w:qFormat/>
    <w:uiPriority w:val="0"/>
    <w:pPr>
      <w:keepLines/>
      <w:widowControl/>
      <w:pBdr>
        <w:bottom w:val="none" w:color="auto" w:sz="0" w:space="0"/>
      </w:pBdr>
      <w:tabs>
        <w:tab w:val="center" w:pos="-18551"/>
        <w:tab w:val="right" w:pos="4320"/>
        <w:tab w:val="clear" w:pos="4153"/>
        <w:tab w:val="clear" w:pos="8306"/>
      </w:tabs>
      <w:spacing w:line="240" w:lineRule="atLeast"/>
      <w:jc w:val="left"/>
    </w:pPr>
    <w:rPr>
      <w:rFonts w:ascii="Arial" w:hAnsi="Arial" w:eastAsia="黑体"/>
      <w:spacing w:val="-4"/>
      <w:kern w:val="0"/>
      <w:sz w:val="21"/>
      <w:szCs w:val="20"/>
    </w:rPr>
  </w:style>
  <w:style w:type="paragraph" w:customStyle="1" w:styleId="929">
    <w:name w:val="样式 样式 正文文本 2 + 段前: 0.1 行 + 悬挂缩进: 0.03 字符 段后: 1.2 磅 行距: 单倍行距"/>
    <w:basedOn w:val="930"/>
    <w:qFormat/>
    <w:uiPriority w:val="0"/>
    <w:pPr>
      <w:spacing w:after="24" w:line="240" w:lineRule="auto"/>
      <w:ind w:hanging="6"/>
      <w:jc w:val="center"/>
    </w:pPr>
  </w:style>
  <w:style w:type="paragraph" w:customStyle="1" w:styleId="930">
    <w:name w:val="样式 正文文本 2 + 段前: 0.1 行"/>
    <w:basedOn w:val="864"/>
    <w:qFormat/>
    <w:uiPriority w:val="0"/>
    <w:pPr>
      <w:spacing w:beforeLines="10" w:after="0" w:line="264" w:lineRule="auto"/>
      <w:jc w:val="left"/>
    </w:pPr>
    <w:rPr>
      <w:rFonts w:ascii="Times New Roman" w:hAnsi="Times New Roman"/>
      <w:sz w:val="18"/>
    </w:rPr>
  </w:style>
  <w:style w:type="paragraph" w:customStyle="1" w:styleId="931">
    <w:name w:val="1.1.1.1"/>
    <w:basedOn w:val="84"/>
    <w:next w:val="1"/>
    <w:qFormat/>
    <w:uiPriority w:val="0"/>
    <w:pPr>
      <w:tabs>
        <w:tab w:val="clear" w:pos="4423"/>
        <w:tab w:val="clear" w:pos="8845"/>
      </w:tabs>
      <w:snapToGrid/>
      <w:spacing w:line="360" w:lineRule="auto"/>
      <w:ind w:firstLine="0" w:firstLineChars="0"/>
    </w:pPr>
    <w:rPr>
      <w:rFonts w:ascii="宋体" w:eastAsia="宋体"/>
      <w:bCs w:val="0"/>
      <w:color w:val="auto"/>
      <w:kern w:val="0"/>
      <w:sz w:val="24"/>
      <w:szCs w:val="20"/>
    </w:rPr>
  </w:style>
  <w:style w:type="paragraph" w:customStyle="1" w:styleId="932">
    <w:name w:val="_图表编号"/>
    <w:basedOn w:val="22"/>
    <w:next w:val="883"/>
    <w:qFormat/>
    <w:uiPriority w:val="0"/>
    <w:pPr>
      <w:snapToGrid w:val="0"/>
      <w:spacing w:beforeLines="15" w:afterLines="15" w:line="240" w:lineRule="auto"/>
    </w:pPr>
    <w:rPr>
      <w:rFonts w:eastAsia="黑体"/>
      <w:b w:val="0"/>
    </w:rPr>
  </w:style>
  <w:style w:type="paragraph" w:customStyle="1" w:styleId="933">
    <w:name w:val="Char Char Char1 Char"/>
    <w:basedOn w:val="1"/>
    <w:qFormat/>
    <w:uiPriority w:val="0"/>
    <w:pPr>
      <w:spacing w:line="240" w:lineRule="atLeast"/>
      <w:ind w:left="420" w:firstLine="420"/>
    </w:pPr>
    <w:rPr>
      <w:kern w:val="0"/>
      <w:sz w:val="21"/>
      <w:szCs w:val="20"/>
    </w:rPr>
  </w:style>
  <w:style w:type="paragraph" w:customStyle="1" w:styleId="934">
    <w:name w:val="样式 首页脚样式 + 黑色 段前: 3 磅 段后: 3 磅 底端: (单实线 自动设置  0.75 磅 行宽 距正文..."/>
    <w:basedOn w:val="935"/>
    <w:qFormat/>
    <w:uiPriority w:val="0"/>
    <w:pPr>
      <w:pBdr>
        <w:bottom w:val="single" w:color="auto" w:sz="6" w:space="0"/>
      </w:pBdr>
      <w:tabs>
        <w:tab w:val="center" w:pos="-18551"/>
        <w:tab w:val="right" w:pos="4320"/>
      </w:tabs>
      <w:snapToGrid w:val="0"/>
      <w:spacing w:before="0"/>
    </w:pPr>
    <w:rPr>
      <w:b w:val="0"/>
      <w:color w:val="000000"/>
      <w:sz w:val="28"/>
    </w:rPr>
  </w:style>
  <w:style w:type="paragraph" w:customStyle="1" w:styleId="935">
    <w:name w:val="首页脚样式"/>
    <w:basedOn w:val="55"/>
    <w:qFormat/>
    <w:uiPriority w:val="0"/>
    <w:pPr>
      <w:keepLines/>
      <w:widowControl/>
      <w:pBdr>
        <w:bottom w:val="single" w:color="auto" w:sz="6" w:space="1"/>
      </w:pBdr>
      <w:tabs>
        <w:tab w:val="center" w:pos="-18551"/>
        <w:tab w:val="right" w:pos="4320"/>
        <w:tab w:val="clear" w:pos="4153"/>
        <w:tab w:val="clear" w:pos="8306"/>
      </w:tabs>
      <w:snapToGrid/>
      <w:spacing w:before="600" w:line="300" w:lineRule="auto"/>
    </w:pPr>
    <w:rPr>
      <w:rFonts w:ascii="Arial" w:hAnsi="Arial" w:eastAsia="黑体"/>
      <w:b/>
      <w:spacing w:val="-4"/>
      <w:kern w:val="0"/>
      <w:sz w:val="24"/>
      <w:szCs w:val="20"/>
    </w:rPr>
  </w:style>
  <w:style w:type="paragraph" w:customStyle="1" w:styleId="936">
    <w:name w:val="列表接续 31"/>
    <w:basedOn w:val="1"/>
    <w:qFormat/>
    <w:uiPriority w:val="0"/>
    <w:pPr>
      <w:spacing w:beforeLines="10" w:afterLines="10" w:line="300" w:lineRule="auto"/>
      <w:ind w:left="550" w:leftChars="550"/>
    </w:pPr>
    <w:rPr>
      <w:rFonts w:ascii="Arial" w:hAnsi="Arial"/>
      <w:sz w:val="21"/>
      <w:szCs w:val="20"/>
    </w:rPr>
  </w:style>
  <w:style w:type="paragraph" w:customStyle="1" w:styleId="937">
    <w:name w:val="式中"/>
    <w:next w:val="322"/>
    <w:qFormat/>
    <w:uiPriority w:val="0"/>
    <w:pPr>
      <w:tabs>
        <w:tab w:val="left" w:pos="210"/>
      </w:tabs>
      <w:ind w:firstLine="198"/>
    </w:pPr>
    <w:rPr>
      <w:rFonts w:ascii="宋体" w:hAnsi="Times New Roman" w:eastAsia="宋体" w:cs="Times New Roman"/>
      <w:sz w:val="18"/>
      <w:lang w:val="en-US" w:eastAsia="zh-CN" w:bidi="ar-SA"/>
    </w:rPr>
  </w:style>
  <w:style w:type="paragraph" w:customStyle="1" w:styleId="938">
    <w:name w:val="样式 样式 段前: 0.1 行 首行缩进:  2 字符 + 首行缩进:  2 字符 段前: 0.1 行1"/>
    <w:basedOn w:val="939"/>
    <w:qFormat/>
    <w:uiPriority w:val="0"/>
    <w:pPr>
      <w:spacing w:line="276" w:lineRule="auto"/>
      <w:ind w:firstLine="420"/>
    </w:pPr>
  </w:style>
  <w:style w:type="paragraph" w:customStyle="1" w:styleId="939">
    <w:name w:val="样式 段前: 0.1 行 首行缩进:  2 字符"/>
    <w:basedOn w:val="1"/>
    <w:qFormat/>
    <w:uiPriority w:val="0"/>
    <w:pPr>
      <w:spacing w:beforeLines="10" w:line="300" w:lineRule="auto"/>
      <w:ind w:firstLine="200" w:firstLineChars="200"/>
    </w:pPr>
    <w:rPr>
      <w:sz w:val="21"/>
      <w:szCs w:val="20"/>
    </w:rPr>
  </w:style>
  <w:style w:type="paragraph" w:customStyle="1" w:styleId="940">
    <w:name w:val="样式 目录 1 + 首行缩进:  0.74 厘米"/>
    <w:basedOn w:val="59"/>
    <w:qFormat/>
    <w:uiPriority w:val="0"/>
    <w:pPr>
      <w:spacing w:beforeLines="10" w:line="312" w:lineRule="auto"/>
    </w:pPr>
    <w:rPr>
      <w:bCs w:val="0"/>
    </w:rPr>
  </w:style>
  <w:style w:type="paragraph" w:customStyle="1" w:styleId="941">
    <w:name w:val="样式 样式1 样式 编号 a + Times New Roman 段前: 0 行 行距: 多倍行距 1.15 字行 + 左..."/>
    <w:basedOn w:val="942"/>
    <w:qFormat/>
    <w:uiPriority w:val="0"/>
  </w:style>
  <w:style w:type="paragraph" w:customStyle="1" w:styleId="942">
    <w:name w:val="样式 样式1 样式 编号 a + Times New Roman 段前: 0 行 行距: 多倍行距 1.15 字行 + 左侧....."/>
    <w:basedOn w:val="896"/>
    <w:qFormat/>
    <w:uiPriority w:val="0"/>
    <w:pPr>
      <w:ind w:left="840" w:leftChars="200" w:hanging="420"/>
    </w:pPr>
  </w:style>
  <w:style w:type="paragraph" w:customStyle="1" w:styleId="943">
    <w:name w:val="图片a"/>
    <w:basedOn w:val="1"/>
    <w:qFormat/>
    <w:uiPriority w:val="0"/>
    <w:pPr>
      <w:topLinePunct/>
      <w:adjustRightInd w:val="0"/>
      <w:snapToGrid w:val="0"/>
      <w:spacing w:before="160" w:after="60" w:line="240" w:lineRule="auto"/>
      <w:jc w:val="center"/>
    </w:pPr>
    <w:rPr>
      <w:sz w:val="21"/>
      <w:szCs w:val="20"/>
    </w:rPr>
  </w:style>
  <w:style w:type="paragraph" w:customStyle="1" w:styleId="944">
    <w:name w:val="_表格条文"/>
    <w:basedOn w:val="1"/>
    <w:qFormat/>
    <w:uiPriority w:val="0"/>
    <w:pPr>
      <w:spacing w:line="276" w:lineRule="auto"/>
    </w:pPr>
    <w:rPr>
      <w:rFonts w:ascii="Arial" w:hAnsi="Arial"/>
      <w:color w:val="000000"/>
      <w:sz w:val="18"/>
      <w:szCs w:val="20"/>
    </w:rPr>
  </w:style>
  <w:style w:type="paragraph" w:customStyle="1" w:styleId="945">
    <w:name w:val="样式 样式1 正文（首行缩进两字） Char + 黑色 首行缩进:  2 字符 段前: 0 行 行距: 多倍行距 1.15 ....."/>
    <w:basedOn w:val="946"/>
    <w:qFormat/>
    <w:uiPriority w:val="0"/>
    <w:pPr>
      <w:tabs>
        <w:tab w:val="left" w:pos="3885"/>
      </w:tabs>
      <w:spacing w:beforeLines="50"/>
    </w:pPr>
  </w:style>
  <w:style w:type="paragraph" w:customStyle="1" w:styleId="946">
    <w:name w:val="样式1 正文（首行缩进两字） Char + 黑色 首行缩进:  2 字符 段前: 0 行 行距: 多倍行距 1.15 ..."/>
    <w:basedOn w:val="1"/>
    <w:qFormat/>
    <w:uiPriority w:val="0"/>
    <w:pPr>
      <w:tabs>
        <w:tab w:val="left" w:pos="3885"/>
      </w:tabs>
      <w:overflowPunct w:val="0"/>
      <w:snapToGrid w:val="0"/>
      <w:spacing w:beforeLines="10" w:line="276" w:lineRule="auto"/>
      <w:ind w:firstLine="420"/>
    </w:pPr>
    <w:rPr>
      <w:sz w:val="21"/>
      <w:szCs w:val="20"/>
    </w:rPr>
  </w:style>
  <w:style w:type="paragraph" w:customStyle="1" w:styleId="947">
    <w:name w:val="样式 样式 段前: 0.1 行 + 段前: 0.1 行 + 左侧:  2 字符 段前: 0.1 行1"/>
    <w:basedOn w:val="920"/>
    <w:qFormat/>
    <w:uiPriority w:val="0"/>
    <w:pPr>
      <w:spacing w:line="276" w:lineRule="auto"/>
    </w:pPr>
  </w:style>
  <w:style w:type="paragraph" w:customStyle="1" w:styleId="948">
    <w:name w:val="基准索引样式"/>
    <w:basedOn w:val="1"/>
    <w:qFormat/>
    <w:uiPriority w:val="0"/>
    <w:pPr>
      <w:widowControl/>
      <w:spacing w:line="220" w:lineRule="atLeast"/>
      <w:ind w:left="360"/>
      <w:jc w:val="left"/>
    </w:pPr>
    <w:rPr>
      <w:rFonts w:ascii="Arial" w:hAnsi="Arial"/>
      <w:kern w:val="0"/>
      <w:sz w:val="21"/>
      <w:szCs w:val="20"/>
    </w:rPr>
  </w:style>
  <w:style w:type="paragraph" w:customStyle="1" w:styleId="949">
    <w:name w:val="样式 样式 目录 1toc1 + + 左侧:  1 字符 右侧:  1 字符 段前: 0.15 行 段后: 0.15 行"/>
    <w:basedOn w:val="950"/>
    <w:qFormat/>
    <w:uiPriority w:val="0"/>
    <w:pPr>
      <w:tabs>
        <w:tab w:val="left" w:pos="420"/>
        <w:tab w:val="right" w:leader="dot" w:pos="9345"/>
      </w:tabs>
    </w:pPr>
  </w:style>
  <w:style w:type="paragraph" w:customStyle="1" w:styleId="950">
    <w:name w:val="样式 目录 1toc1 +"/>
    <w:basedOn w:val="59"/>
    <w:qFormat/>
    <w:uiPriority w:val="0"/>
    <w:pPr>
      <w:tabs>
        <w:tab w:val="left" w:pos="420"/>
        <w:tab w:val="right" w:leader="dot" w:pos="9345"/>
      </w:tabs>
      <w:snapToGrid w:val="0"/>
      <w:spacing w:before="15" w:after="15" w:line="240" w:lineRule="auto"/>
      <w:ind w:left="100" w:leftChars="100" w:right="100" w:rightChars="100"/>
    </w:pPr>
    <w:rPr>
      <w:rFonts w:ascii="Arial" w:hAnsi="Arial"/>
      <w:b w:val="0"/>
      <w:bCs w:val="0"/>
      <w:sz w:val="21"/>
    </w:rPr>
  </w:style>
  <w:style w:type="paragraph" w:customStyle="1" w:styleId="951">
    <w:name w:val="_列项符号2"/>
    <w:basedOn w:val="24"/>
    <w:qFormat/>
    <w:uiPriority w:val="0"/>
    <w:pPr>
      <w:numPr>
        <w:ilvl w:val="0"/>
        <w:numId w:val="0"/>
      </w:numPr>
      <w:tabs>
        <w:tab w:val="left" w:pos="820"/>
        <w:tab w:val="clear" w:pos="360"/>
      </w:tabs>
      <w:snapToGrid w:val="0"/>
      <w:spacing w:line="276" w:lineRule="auto"/>
      <w:ind w:left="820" w:hanging="420"/>
    </w:pPr>
    <w:rPr>
      <w:rFonts w:ascii="Arial" w:hAnsi="Arial" w:eastAsia="宋体"/>
      <w:sz w:val="21"/>
    </w:rPr>
  </w:style>
  <w:style w:type="paragraph" w:customStyle="1" w:styleId="952">
    <w:name w:val="样式2 样式 a) + 段前: 0行"/>
    <w:basedOn w:val="877"/>
    <w:qFormat/>
    <w:uiPriority w:val="0"/>
    <w:pPr>
      <w:tabs>
        <w:tab w:val="clear" w:pos="780"/>
      </w:tabs>
      <w:spacing w:line="276" w:lineRule="auto"/>
      <w:ind w:left="420" w:leftChars="200" w:firstLine="0" w:firstLineChars="0"/>
    </w:pPr>
  </w:style>
  <w:style w:type="paragraph" w:customStyle="1" w:styleId="953">
    <w:name w:val="样式 正文（首行缩进两字） Char + 首行缩进:  2 字符"/>
    <w:basedOn w:val="857"/>
    <w:qFormat/>
    <w:uiPriority w:val="0"/>
    <w:pPr>
      <w:spacing w:afterLines="10"/>
      <w:ind w:firstLine="200"/>
      <w:jc w:val="center"/>
    </w:pPr>
    <w:rPr>
      <w:b/>
    </w:rPr>
  </w:style>
  <w:style w:type="paragraph" w:customStyle="1" w:styleId="954">
    <w:name w:val="附录标题3"/>
    <w:basedOn w:val="6"/>
    <w:next w:val="848"/>
    <w:qFormat/>
    <w:uiPriority w:val="0"/>
    <w:pPr>
      <w:numPr>
        <w:numId w:val="0"/>
      </w:numPr>
      <w:tabs>
        <w:tab w:val="left" w:pos="660"/>
      </w:tabs>
      <w:adjustRightInd w:val="0"/>
      <w:spacing w:beforeLines="0" w:line="240" w:lineRule="auto"/>
      <w:ind w:left="700" w:hanging="700"/>
    </w:pPr>
    <w:rPr>
      <w:rFonts w:ascii="Arial" w:hAnsi="Arial" w:eastAsia="黑体"/>
      <w:b w:val="0"/>
      <w:bCs w:val="0"/>
      <w:kern w:val="0"/>
      <w:sz w:val="21"/>
      <w:szCs w:val="20"/>
    </w:rPr>
  </w:style>
  <w:style w:type="paragraph" w:customStyle="1" w:styleId="955">
    <w:name w:val="部分副题目"/>
    <w:basedOn w:val="1"/>
    <w:next w:val="34"/>
    <w:qFormat/>
    <w:uiPriority w:val="0"/>
    <w:pPr>
      <w:keepNext/>
      <w:keepLines/>
      <w:widowControl/>
      <w:spacing w:after="160" w:line="400" w:lineRule="atLeast"/>
      <w:ind w:right="2160"/>
      <w:jc w:val="left"/>
    </w:pPr>
    <w:rPr>
      <w:rFonts w:ascii="Arial" w:hAnsi="Arial"/>
      <w:i/>
      <w:spacing w:val="-14"/>
      <w:kern w:val="28"/>
      <w:sz w:val="34"/>
      <w:szCs w:val="20"/>
    </w:rPr>
  </w:style>
  <w:style w:type="paragraph" w:customStyle="1" w:styleId="956">
    <w:name w:val="样式 正文（首行缩进两字） Char + 加粗"/>
    <w:basedOn w:val="857"/>
    <w:qFormat/>
    <w:uiPriority w:val="0"/>
    <w:pPr>
      <w:spacing w:afterLines="10"/>
      <w:ind w:firstLine="200"/>
    </w:pPr>
    <w:rPr>
      <w:b/>
    </w:rPr>
  </w:style>
  <w:style w:type="paragraph" w:customStyle="1" w:styleId="957">
    <w:name w:val="正文（首行缩进两字） Char Char1"/>
    <w:basedOn w:val="1"/>
    <w:next w:val="1"/>
    <w:qFormat/>
    <w:uiPriority w:val="0"/>
    <w:pPr>
      <w:spacing w:beforeLines="25" w:line="300" w:lineRule="auto"/>
      <w:ind w:firstLine="420" w:firstLineChars="200"/>
    </w:pPr>
    <w:rPr>
      <w:rFonts w:ascii="Arial" w:hAnsi="Arial"/>
      <w:sz w:val="21"/>
      <w:szCs w:val="20"/>
    </w:rPr>
  </w:style>
  <w:style w:type="paragraph" w:customStyle="1" w:styleId="958">
    <w:name w:val="样式 标题 5 + 段前: 0.1 行2"/>
    <w:basedOn w:val="959"/>
    <w:next w:val="959"/>
    <w:qFormat/>
    <w:uiPriority w:val="0"/>
    <w:pPr>
      <w:tabs>
        <w:tab w:val="left" w:pos="0"/>
        <w:tab w:val="left" w:pos="210"/>
        <w:tab w:val="left" w:pos="1050"/>
        <w:tab w:val="left" w:pos="1080"/>
        <w:tab w:val="left" w:pos="1134"/>
      </w:tabs>
      <w:spacing w:beforeLines="30" w:afterLines="50"/>
    </w:pPr>
    <w:rPr>
      <w:rFonts w:eastAsia="黑体"/>
      <w:b w:val="0"/>
    </w:rPr>
  </w:style>
  <w:style w:type="paragraph" w:customStyle="1" w:styleId="959">
    <w:name w:val="样式1 样式 标题 5 + 段前: 0 行"/>
    <w:basedOn w:val="960"/>
    <w:next w:val="1"/>
    <w:qFormat/>
    <w:uiPriority w:val="0"/>
    <w:pPr>
      <w:tabs>
        <w:tab w:val="left" w:pos="0"/>
        <w:tab w:val="left" w:pos="210"/>
        <w:tab w:val="left" w:pos="1050"/>
        <w:tab w:val="left" w:pos="1080"/>
      </w:tabs>
      <w:spacing w:line="276" w:lineRule="auto"/>
    </w:pPr>
  </w:style>
  <w:style w:type="paragraph" w:customStyle="1" w:styleId="960">
    <w:name w:val="样式 标题 5 + 段前: 0.1 行"/>
    <w:basedOn w:val="8"/>
    <w:qFormat/>
    <w:uiPriority w:val="0"/>
    <w:pPr>
      <w:numPr>
        <w:numId w:val="0"/>
      </w:numPr>
      <w:tabs>
        <w:tab w:val="left" w:pos="0"/>
        <w:tab w:val="left" w:pos="210"/>
      </w:tabs>
      <w:adjustRightInd w:val="0"/>
      <w:snapToGrid w:val="0"/>
      <w:spacing w:beforeLines="10" w:line="312" w:lineRule="auto"/>
      <w:jc w:val="both"/>
    </w:pPr>
    <w:rPr>
      <w:bCs w:val="0"/>
      <w:szCs w:val="20"/>
    </w:rPr>
  </w:style>
  <w:style w:type="paragraph" w:customStyle="1" w:styleId="961">
    <w:name w:val="索引 61"/>
    <w:basedOn w:val="1"/>
    <w:next w:val="1"/>
    <w:qFormat/>
    <w:uiPriority w:val="0"/>
    <w:pPr>
      <w:spacing w:line="300" w:lineRule="auto"/>
      <w:ind w:left="2100"/>
    </w:pPr>
    <w:rPr>
      <w:rFonts w:ascii="Arial" w:hAnsi="Arial"/>
      <w:sz w:val="21"/>
      <w:szCs w:val="20"/>
    </w:rPr>
  </w:style>
  <w:style w:type="paragraph" w:customStyle="1" w:styleId="962">
    <w:name w:val="样式 样式 正文（首行缩进两字） Char + 宋体 加粗 首行缩进:  2 字符 段前: 0.1 行 + 首行缩进:  2 字..."/>
    <w:basedOn w:val="900"/>
    <w:qFormat/>
    <w:uiPriority w:val="0"/>
    <w:pPr>
      <w:spacing w:line="276" w:lineRule="auto"/>
    </w:pPr>
  </w:style>
  <w:style w:type="paragraph" w:customStyle="1" w:styleId="963">
    <w:name w:val="样式 章标题 + 小四 段前: 0.5 行 段后: 0.5 行"/>
    <w:basedOn w:val="321"/>
    <w:qFormat/>
    <w:uiPriority w:val="0"/>
    <w:pPr>
      <w:numPr>
        <w:numId w:val="0"/>
      </w:numPr>
      <w:tabs>
        <w:tab w:val="left" w:pos="420"/>
        <w:tab w:val="clear" w:pos="840"/>
        <w:tab w:val="clear" w:pos="900"/>
      </w:tabs>
      <w:spacing w:before="156" w:after="156"/>
      <w:ind w:left="840" w:hanging="420"/>
    </w:pPr>
    <w:rPr>
      <w:b/>
      <w:sz w:val="24"/>
    </w:rPr>
  </w:style>
  <w:style w:type="paragraph" w:customStyle="1" w:styleId="964">
    <w:name w:val="_术语说明"/>
    <w:basedOn w:val="2"/>
    <w:qFormat/>
    <w:uiPriority w:val="0"/>
    <w:pPr>
      <w:overflowPunct w:val="0"/>
      <w:snapToGrid w:val="0"/>
      <w:spacing w:beforeLines="10" w:line="276" w:lineRule="auto"/>
    </w:pPr>
    <w:rPr>
      <w:rFonts w:ascii="Arial" w:hAnsi="Arial"/>
      <w:color w:val="000000"/>
      <w:sz w:val="21"/>
      <w:szCs w:val="20"/>
    </w:rPr>
  </w:style>
  <w:style w:type="paragraph" w:customStyle="1" w:styleId="965">
    <w:name w:val="引言二级条标题"/>
    <w:basedOn w:val="966"/>
    <w:next w:val="322"/>
    <w:qFormat/>
    <w:uiPriority w:val="0"/>
  </w:style>
  <w:style w:type="paragraph" w:customStyle="1" w:styleId="966">
    <w:name w:val="引言一级条标题"/>
    <w:basedOn w:val="1"/>
    <w:next w:val="322"/>
    <w:qFormat/>
    <w:uiPriority w:val="0"/>
    <w:pPr>
      <w:widowControl/>
      <w:spacing w:line="240" w:lineRule="auto"/>
    </w:pPr>
    <w:rPr>
      <w:rFonts w:eastAsia="黑体"/>
      <w:b/>
      <w:sz w:val="21"/>
      <w:szCs w:val="20"/>
    </w:rPr>
  </w:style>
  <w:style w:type="paragraph" w:customStyle="1" w:styleId="967">
    <w:name w:val="_列表编号2"/>
    <w:basedOn w:val="21"/>
    <w:qFormat/>
    <w:uiPriority w:val="0"/>
    <w:pPr>
      <w:widowControl/>
      <w:numPr>
        <w:ilvl w:val="0"/>
        <w:numId w:val="0"/>
      </w:numPr>
      <w:tabs>
        <w:tab w:val="left" w:pos="1200"/>
        <w:tab w:val="clear" w:pos="360"/>
      </w:tabs>
      <w:snapToGrid w:val="0"/>
      <w:spacing w:beforeLines="10" w:line="276" w:lineRule="auto"/>
      <w:ind w:left="1200" w:hanging="400"/>
    </w:pPr>
    <w:rPr>
      <w:rFonts w:ascii="Arial" w:hAnsi="Arial" w:eastAsia="宋体"/>
      <w:kern w:val="0"/>
      <w:sz w:val="21"/>
    </w:rPr>
  </w:style>
  <w:style w:type="paragraph" w:customStyle="1" w:styleId="968">
    <w:name w:val="图说"/>
    <w:basedOn w:val="1"/>
    <w:qFormat/>
    <w:uiPriority w:val="0"/>
    <w:pPr>
      <w:topLinePunct/>
      <w:spacing w:before="60" w:after="160" w:line="240" w:lineRule="auto"/>
      <w:jc w:val="center"/>
    </w:pPr>
    <w:rPr>
      <w:sz w:val="18"/>
      <w:szCs w:val="20"/>
    </w:rPr>
  </w:style>
  <w:style w:type="paragraph" w:customStyle="1" w:styleId="969">
    <w:name w:val="_附录编号标题"/>
    <w:basedOn w:val="1"/>
    <w:next w:val="970"/>
    <w:qFormat/>
    <w:uiPriority w:val="0"/>
    <w:pPr>
      <w:snapToGrid w:val="0"/>
      <w:spacing w:before="567" w:line="240" w:lineRule="auto"/>
      <w:jc w:val="center"/>
    </w:pPr>
    <w:rPr>
      <w:rFonts w:ascii="Arial" w:hAnsi="Arial" w:eastAsia="黑体"/>
      <w:color w:val="000000"/>
      <w:sz w:val="21"/>
      <w:szCs w:val="20"/>
    </w:rPr>
  </w:style>
  <w:style w:type="paragraph" w:customStyle="1" w:styleId="970">
    <w:name w:val="附录标题1"/>
    <w:basedOn w:val="4"/>
    <w:next w:val="865"/>
    <w:qFormat/>
    <w:uiPriority w:val="0"/>
    <w:pPr>
      <w:numPr>
        <w:numId w:val="0"/>
      </w:numPr>
      <w:tabs>
        <w:tab w:val="left" w:pos="700"/>
      </w:tabs>
      <w:adjustRightInd w:val="0"/>
      <w:snapToGrid w:val="0"/>
      <w:spacing w:beforeLines="0" w:line="240" w:lineRule="auto"/>
      <w:ind w:left="300" w:hanging="300"/>
    </w:pPr>
    <w:rPr>
      <w:rFonts w:ascii="Arial" w:hAnsi="Arial" w:eastAsia="黑体"/>
      <w:bCs w:val="0"/>
      <w:color w:val="FFFFFF"/>
      <w:kern w:val="21"/>
      <w:sz w:val="18"/>
      <w:szCs w:val="20"/>
    </w:rPr>
  </w:style>
  <w:style w:type="paragraph" w:customStyle="1" w:styleId="971">
    <w:name w:val="_标准名称"/>
    <w:basedOn w:val="1"/>
    <w:next w:val="34"/>
    <w:qFormat/>
    <w:uiPriority w:val="0"/>
    <w:pPr>
      <w:snapToGrid w:val="0"/>
      <w:spacing w:before="567" w:after="680" w:line="240" w:lineRule="auto"/>
      <w:jc w:val="center"/>
    </w:pPr>
    <w:rPr>
      <w:rFonts w:ascii="Arial" w:hAnsi="Arial" w:eastAsia="黑体"/>
      <w:sz w:val="32"/>
      <w:szCs w:val="20"/>
    </w:rPr>
  </w:style>
  <w:style w:type="paragraph" w:customStyle="1" w:styleId="972">
    <w:name w:val="CM56"/>
    <w:basedOn w:val="399"/>
    <w:next w:val="399"/>
    <w:qFormat/>
    <w:uiPriority w:val="0"/>
    <w:rPr>
      <w:rFonts w:ascii="Times New Roman" w:eastAsia="宋体"/>
      <w:color w:val="auto"/>
    </w:rPr>
  </w:style>
  <w:style w:type="paragraph" w:customStyle="1" w:styleId="973">
    <w:name w:val="插图名称"/>
    <w:basedOn w:val="1"/>
    <w:next w:val="1"/>
    <w:qFormat/>
    <w:uiPriority w:val="0"/>
    <w:pPr>
      <w:tabs>
        <w:tab w:val="left" w:pos="420"/>
      </w:tabs>
      <w:spacing w:line="240" w:lineRule="auto"/>
      <w:jc w:val="center"/>
    </w:pPr>
    <w:rPr>
      <w:rFonts w:ascii="黑体" w:eastAsia="黑体"/>
      <w:sz w:val="21"/>
      <w:szCs w:val="20"/>
    </w:rPr>
  </w:style>
  <w:style w:type="paragraph" w:customStyle="1" w:styleId="974">
    <w:name w:val="样式 标题 5 + 黑色 段前: 1.2 磅"/>
    <w:basedOn w:val="1"/>
    <w:qFormat/>
    <w:uiPriority w:val="0"/>
    <w:pPr>
      <w:tabs>
        <w:tab w:val="left" w:pos="1200"/>
      </w:tabs>
      <w:spacing w:line="300" w:lineRule="auto"/>
    </w:pPr>
    <w:rPr>
      <w:rFonts w:ascii="Arial" w:hAnsi="Arial"/>
      <w:sz w:val="21"/>
      <w:szCs w:val="20"/>
    </w:rPr>
  </w:style>
  <w:style w:type="paragraph" w:customStyle="1" w:styleId="975">
    <w:name w:val="样式 标题 3 + 黑色 段前: 0.1 行"/>
    <w:basedOn w:val="976"/>
    <w:qFormat/>
    <w:uiPriority w:val="0"/>
    <w:pPr>
      <w:tabs>
        <w:tab w:val="left" w:pos="210"/>
        <w:tab w:val="left" w:pos="630"/>
        <w:tab w:val="left" w:pos="700"/>
        <w:tab w:val="left" w:pos="720"/>
      </w:tabs>
      <w:spacing w:beforeLines="50" w:afterLines="50" w:line="240" w:lineRule="auto"/>
    </w:pPr>
    <w:rPr>
      <w:rFonts w:eastAsia="黑体"/>
      <w:b w:val="0"/>
      <w:color w:val="000000"/>
    </w:rPr>
  </w:style>
  <w:style w:type="paragraph" w:customStyle="1" w:styleId="976">
    <w:name w:val="样式1 样式 标题 3 + 段前: 0.1 行 + 段前: 0.1 行"/>
    <w:basedOn w:val="1"/>
    <w:qFormat/>
    <w:uiPriority w:val="0"/>
    <w:pPr>
      <w:tabs>
        <w:tab w:val="left" w:pos="210"/>
        <w:tab w:val="left" w:pos="630"/>
        <w:tab w:val="left" w:pos="720"/>
      </w:tabs>
      <w:spacing w:line="276" w:lineRule="auto"/>
      <w:outlineLvl w:val="2"/>
    </w:pPr>
    <w:rPr>
      <w:b/>
      <w:sz w:val="21"/>
      <w:szCs w:val="20"/>
    </w:rPr>
  </w:style>
  <w:style w:type="paragraph" w:customStyle="1" w:styleId="977">
    <w:name w:val=".."/>
    <w:basedOn w:val="399"/>
    <w:next w:val="399"/>
    <w:qFormat/>
    <w:uiPriority w:val="0"/>
    <w:rPr>
      <w:rFonts w:ascii="宋体" w:eastAsia="宋体"/>
      <w:color w:val="auto"/>
    </w:rPr>
  </w:style>
  <w:style w:type="paragraph" w:customStyle="1" w:styleId="978">
    <w:name w:val="样式 样式 正文缩进正文缩进 Char正文（首行缩进两字） Char Char正文（首行缩进两字） Char1正文（首行缩进两....2"/>
    <w:basedOn w:val="979"/>
    <w:qFormat/>
    <w:uiPriority w:val="0"/>
    <w:pPr>
      <w:spacing w:line="276" w:lineRule="auto"/>
      <w:ind w:firstLine="420"/>
    </w:pPr>
  </w:style>
  <w:style w:type="paragraph" w:customStyle="1" w:styleId="979">
    <w:name w:val="样式 正文缩进正文缩进 Char正文（首行缩进两字） Char Char正文（首行缩进两字） Char1正文（首行缩进两...2"/>
    <w:basedOn w:val="1"/>
    <w:qFormat/>
    <w:uiPriority w:val="0"/>
    <w:pPr>
      <w:spacing w:beforeLines="10" w:line="300" w:lineRule="auto"/>
      <w:ind w:firstLine="200" w:firstLineChars="200"/>
    </w:pPr>
    <w:rPr>
      <w:sz w:val="21"/>
      <w:szCs w:val="20"/>
    </w:rPr>
  </w:style>
  <w:style w:type="paragraph" w:customStyle="1" w:styleId="980">
    <w:name w:val="样式 样式 标题 1 + 小四 段前: 0 磅 段后: 0 磅 行距: 1.5 倍行距 + 宋体2"/>
    <w:basedOn w:val="4"/>
    <w:qFormat/>
    <w:uiPriority w:val="0"/>
    <w:pPr>
      <w:numPr>
        <w:numId w:val="0"/>
      </w:numPr>
      <w:tabs>
        <w:tab w:val="left" w:pos="425"/>
      </w:tabs>
      <w:adjustRightInd w:val="0"/>
      <w:spacing w:beforeLines="0" w:line="576" w:lineRule="auto"/>
      <w:ind w:left="360" w:hanging="360"/>
      <w:jc w:val="both"/>
    </w:pPr>
    <w:rPr>
      <w:rFonts w:ascii="宋体" w:hAnsi="宋体" w:eastAsia="黑体"/>
      <w:bCs w:val="0"/>
      <w:sz w:val="44"/>
      <w:szCs w:val="20"/>
    </w:rPr>
  </w:style>
  <w:style w:type="paragraph" w:customStyle="1" w:styleId="981">
    <w:name w:val="样式 样式 样式 段前: 0.1 行 + 段前: 0.1 行 + 左侧:  2 字符 段前: 0.1 行"/>
    <w:basedOn w:val="920"/>
    <w:qFormat/>
    <w:uiPriority w:val="0"/>
    <w:pPr>
      <w:spacing w:line="276" w:lineRule="auto"/>
      <w:ind w:left="420"/>
    </w:pPr>
  </w:style>
  <w:style w:type="paragraph" w:customStyle="1" w:styleId="982">
    <w:name w:val="Char Char Char Char Char Char Char Char Char Char Char Char Char1"/>
    <w:basedOn w:val="1"/>
    <w:qFormat/>
    <w:uiPriority w:val="0"/>
    <w:pPr>
      <w:spacing w:line="240" w:lineRule="auto"/>
    </w:pPr>
    <w:rPr>
      <w:rFonts w:ascii="Tahoma" w:hAnsi="Tahoma"/>
      <w:szCs w:val="20"/>
    </w:rPr>
  </w:style>
  <w:style w:type="paragraph" w:customStyle="1" w:styleId="983">
    <w:name w:val="样式 样式 标题 1 + 小四 段前: 0 磅 段后: 0 磅 行距: 1.5 倍行距 + 宋体"/>
    <w:basedOn w:val="4"/>
    <w:qFormat/>
    <w:uiPriority w:val="0"/>
    <w:pPr>
      <w:numPr>
        <w:numId w:val="0"/>
      </w:numPr>
      <w:tabs>
        <w:tab w:val="left" w:pos="425"/>
      </w:tabs>
      <w:adjustRightInd w:val="0"/>
      <w:spacing w:beforeLines="0" w:line="576" w:lineRule="auto"/>
      <w:ind w:left="425" w:hanging="425"/>
      <w:jc w:val="both"/>
    </w:pPr>
    <w:rPr>
      <w:rFonts w:ascii="宋体" w:hAnsi="宋体" w:eastAsia="黑体"/>
      <w:bCs w:val="0"/>
      <w:sz w:val="44"/>
      <w:szCs w:val="20"/>
    </w:rPr>
  </w:style>
  <w:style w:type="paragraph" w:customStyle="1" w:styleId="984">
    <w:name w:val="样式 样式 标题 6 + 段前: 0.1 行 + Times New Roman"/>
    <w:basedOn w:val="985"/>
    <w:qFormat/>
    <w:uiPriority w:val="0"/>
    <w:pPr>
      <w:tabs>
        <w:tab w:val="left" w:pos="210"/>
      </w:tabs>
      <w:spacing w:line="276" w:lineRule="auto"/>
    </w:pPr>
  </w:style>
  <w:style w:type="paragraph" w:customStyle="1" w:styleId="985">
    <w:name w:val="样式 标题 6 + 段前: 0.1 行"/>
    <w:basedOn w:val="9"/>
    <w:qFormat/>
    <w:uiPriority w:val="0"/>
    <w:pPr>
      <w:keepLines/>
      <w:numPr>
        <w:numId w:val="0"/>
      </w:numPr>
      <w:tabs>
        <w:tab w:val="left" w:pos="210"/>
      </w:tabs>
      <w:spacing w:beforeLines="10" w:after="0" w:afterAutospacing="0" w:line="312" w:lineRule="auto"/>
      <w:jc w:val="both"/>
    </w:pPr>
    <w:rPr>
      <w:bCs w:val="0"/>
      <w:szCs w:val="20"/>
    </w:rPr>
  </w:style>
  <w:style w:type="paragraph" w:customStyle="1" w:styleId="986">
    <w:name w:val="样式 样式 样式 悬挂缩进: 9 字符 段前: 0.1 行 + 左侧:  3.93 字符 悬挂缩进: 8 字符 段前: 0.1 ..."/>
    <w:basedOn w:val="857"/>
    <w:next w:val="1"/>
    <w:qFormat/>
    <w:uiPriority w:val="0"/>
    <w:pPr>
      <w:tabs>
        <w:tab w:val="left" w:pos="0"/>
      </w:tabs>
      <w:spacing w:before="24" w:afterLines="10"/>
      <w:ind w:left="800" w:hanging="400" w:firstLineChars="0"/>
    </w:pPr>
  </w:style>
  <w:style w:type="paragraph" w:customStyle="1" w:styleId="987">
    <w:name w:val="列表接续 41"/>
    <w:basedOn w:val="1"/>
    <w:qFormat/>
    <w:uiPriority w:val="0"/>
    <w:pPr>
      <w:spacing w:after="120" w:line="300" w:lineRule="auto"/>
      <w:ind w:left="1680" w:leftChars="800"/>
    </w:pPr>
    <w:rPr>
      <w:rFonts w:ascii="Arial" w:hAnsi="Arial"/>
      <w:sz w:val="21"/>
      <w:szCs w:val="20"/>
    </w:rPr>
  </w:style>
  <w:style w:type="paragraph" w:customStyle="1" w:styleId="988">
    <w:name w:val="基准页眉样式"/>
    <w:basedOn w:val="1"/>
    <w:qFormat/>
    <w:uiPriority w:val="0"/>
    <w:pPr>
      <w:keepLines/>
      <w:widowControl/>
      <w:tabs>
        <w:tab w:val="center" w:pos="-18551"/>
        <w:tab w:val="right" w:pos="4320"/>
      </w:tabs>
      <w:spacing w:line="300" w:lineRule="auto"/>
      <w:jc w:val="left"/>
    </w:pPr>
    <w:rPr>
      <w:rFonts w:ascii="Arial" w:hAnsi="Arial"/>
      <w:spacing w:val="-4"/>
      <w:kern w:val="0"/>
      <w:sz w:val="21"/>
      <w:szCs w:val="20"/>
    </w:rPr>
  </w:style>
  <w:style w:type="paragraph" w:customStyle="1" w:styleId="989">
    <w:name w:val="索引 91"/>
    <w:basedOn w:val="1"/>
    <w:next w:val="1"/>
    <w:qFormat/>
    <w:uiPriority w:val="0"/>
    <w:pPr>
      <w:spacing w:line="300" w:lineRule="auto"/>
      <w:ind w:left="3360"/>
    </w:pPr>
    <w:rPr>
      <w:rFonts w:ascii="Arial" w:hAnsi="Arial"/>
      <w:sz w:val="21"/>
      <w:szCs w:val="20"/>
    </w:rPr>
  </w:style>
  <w:style w:type="paragraph" w:customStyle="1" w:styleId="990">
    <w:name w:val="术语定义五级条标题"/>
    <w:basedOn w:val="321"/>
    <w:next w:val="322"/>
    <w:qFormat/>
    <w:uiPriority w:val="0"/>
    <w:pPr>
      <w:numPr>
        <w:numId w:val="0"/>
      </w:numPr>
      <w:tabs>
        <w:tab w:val="left" w:pos="420"/>
        <w:tab w:val="clear" w:pos="840"/>
        <w:tab w:val="clear" w:pos="900"/>
      </w:tabs>
      <w:spacing w:before="156" w:after="156"/>
      <w:outlineLvl w:val="9"/>
    </w:pPr>
    <w:rPr>
      <w:b/>
    </w:rPr>
  </w:style>
  <w:style w:type="paragraph" w:customStyle="1" w:styleId="991">
    <w:name w:val="_术语条目"/>
    <w:basedOn w:val="2"/>
    <w:next w:val="964"/>
    <w:qFormat/>
    <w:uiPriority w:val="0"/>
    <w:pPr>
      <w:overflowPunct w:val="0"/>
      <w:snapToGrid w:val="0"/>
      <w:spacing w:beforeLines="10" w:line="276" w:lineRule="auto"/>
      <w:jc w:val="left"/>
    </w:pPr>
    <w:rPr>
      <w:rFonts w:ascii="Arial" w:hAnsi="Arial" w:eastAsia="黑体"/>
      <w:color w:val="000000"/>
      <w:sz w:val="21"/>
      <w:szCs w:val="20"/>
    </w:rPr>
  </w:style>
  <w:style w:type="paragraph" w:customStyle="1" w:styleId="992">
    <w:name w:val="样式1 样式 标题 4 + 段前: 0 行 + Times New Roman"/>
    <w:basedOn w:val="1"/>
    <w:next w:val="1"/>
    <w:qFormat/>
    <w:uiPriority w:val="0"/>
    <w:pPr>
      <w:tabs>
        <w:tab w:val="left" w:pos="105"/>
        <w:tab w:val="left" w:pos="840"/>
        <w:tab w:val="left" w:pos="1021"/>
        <w:tab w:val="left" w:pos="1155"/>
      </w:tabs>
      <w:spacing w:line="276" w:lineRule="auto"/>
      <w:outlineLvl w:val="3"/>
    </w:pPr>
    <w:rPr>
      <w:b/>
      <w:sz w:val="21"/>
      <w:szCs w:val="20"/>
    </w:rPr>
  </w:style>
  <w:style w:type="paragraph" w:customStyle="1" w:styleId="993">
    <w:name w:val="样式1 标题 5 + 段前: 0.1 行 + 段前: 0.1 行"/>
    <w:basedOn w:val="1"/>
    <w:qFormat/>
    <w:uiPriority w:val="0"/>
    <w:pPr>
      <w:tabs>
        <w:tab w:val="left" w:pos="357"/>
        <w:tab w:val="left" w:pos="1134"/>
      </w:tabs>
      <w:spacing w:beforeLines="10" w:line="312" w:lineRule="auto"/>
    </w:pPr>
    <w:rPr>
      <w:sz w:val="21"/>
      <w:szCs w:val="20"/>
    </w:rPr>
  </w:style>
  <w:style w:type="paragraph" w:customStyle="1" w:styleId="994">
    <w:name w:val="样式 正文（首行缩进两字） Char + 黑色 首行缩进:  2 字符 段前: 0.1 行"/>
    <w:basedOn w:val="857"/>
    <w:qFormat/>
    <w:uiPriority w:val="0"/>
    <w:pPr>
      <w:spacing w:before="24" w:afterLines="10"/>
      <w:ind w:firstLine="200"/>
    </w:pPr>
    <w:rPr>
      <w:color w:val="000000"/>
    </w:rPr>
  </w:style>
  <w:style w:type="paragraph" w:customStyle="1" w:styleId="995">
    <w:name w:val="工程建设图标题"/>
    <w:basedOn w:val="905"/>
    <w:qFormat/>
    <w:uiPriority w:val="0"/>
    <w:pPr>
      <w:jc w:val="center"/>
      <w:outlineLvl w:val="5"/>
    </w:pPr>
  </w:style>
  <w:style w:type="paragraph" w:customStyle="1" w:styleId="996">
    <w:name w:val="自2"/>
    <w:basedOn w:val="1"/>
    <w:qFormat/>
    <w:uiPriority w:val="0"/>
    <w:pPr>
      <w:topLinePunct/>
      <w:adjustRightInd w:val="0"/>
      <w:spacing w:line="240" w:lineRule="auto"/>
      <w:ind w:left="1260" w:hanging="420"/>
    </w:pPr>
    <w:rPr>
      <w:sz w:val="21"/>
      <w:szCs w:val="20"/>
    </w:rPr>
  </w:style>
  <w:style w:type="paragraph" w:customStyle="1" w:styleId="997">
    <w:name w:val="列表编号 21"/>
    <w:basedOn w:val="1"/>
    <w:qFormat/>
    <w:uiPriority w:val="0"/>
    <w:pPr>
      <w:tabs>
        <w:tab w:val="left" w:pos="1133"/>
      </w:tabs>
      <w:spacing w:beforeLines="10" w:line="312" w:lineRule="auto"/>
      <w:ind w:left="1133" w:hanging="334"/>
    </w:pPr>
    <w:rPr>
      <w:rFonts w:ascii="Arial" w:hAnsi="Arial"/>
      <w:kern w:val="0"/>
      <w:sz w:val="21"/>
      <w:szCs w:val="20"/>
    </w:rPr>
  </w:style>
  <w:style w:type="paragraph" w:customStyle="1" w:styleId="998">
    <w:name w:val="附录标题"/>
    <w:basedOn w:val="84"/>
    <w:qFormat/>
    <w:uiPriority w:val="0"/>
    <w:pPr>
      <w:tabs>
        <w:tab w:val="clear" w:pos="0"/>
        <w:tab w:val="clear" w:pos="4423"/>
        <w:tab w:val="clear" w:pos="8845"/>
      </w:tabs>
      <w:snapToGrid/>
      <w:spacing w:beforeLines="25" w:afterLines="25" w:line="240" w:lineRule="auto"/>
      <w:ind w:firstLine="0" w:firstLineChars="0"/>
    </w:pPr>
    <w:rPr>
      <w:rFonts w:ascii="Times New Roman" w:hAnsi="Times New Roman"/>
      <w:b w:val="0"/>
      <w:bCs w:val="0"/>
      <w:color w:val="auto"/>
      <w:szCs w:val="20"/>
    </w:rPr>
  </w:style>
  <w:style w:type="paragraph" w:customStyle="1" w:styleId="999">
    <w:name w:val="_列项符号1"/>
    <w:basedOn w:val="24"/>
    <w:qFormat/>
    <w:uiPriority w:val="0"/>
    <w:pPr>
      <w:numPr>
        <w:ilvl w:val="0"/>
        <w:numId w:val="0"/>
      </w:numPr>
      <w:snapToGrid w:val="0"/>
      <w:spacing w:line="276" w:lineRule="auto"/>
      <w:ind w:left="400" w:leftChars="200" w:hanging="200" w:hangingChars="200"/>
    </w:pPr>
    <w:rPr>
      <w:rFonts w:ascii="Arial" w:hAnsi="Arial" w:eastAsia="宋体"/>
      <w:color w:val="000000"/>
      <w:sz w:val="21"/>
    </w:rPr>
  </w:style>
  <w:style w:type="paragraph" w:customStyle="1" w:styleId="1000">
    <w:name w:val="样式1 标题 1 + 段前: 1 行 段后: 1 行"/>
    <w:basedOn w:val="1001"/>
    <w:qFormat/>
    <w:uiPriority w:val="0"/>
    <w:pPr>
      <w:tabs>
        <w:tab w:val="left" w:pos="360"/>
      </w:tabs>
      <w:spacing w:beforeLines="100" w:afterLines="100"/>
    </w:pPr>
    <w:rPr>
      <w:b w:val="0"/>
    </w:rPr>
  </w:style>
  <w:style w:type="paragraph" w:customStyle="1" w:styleId="1001">
    <w:name w:val="样式 标题 1 + 段前: 0.7 行 段后: 0.7 行"/>
    <w:basedOn w:val="4"/>
    <w:qFormat/>
    <w:uiPriority w:val="0"/>
    <w:pPr>
      <w:numPr>
        <w:numId w:val="0"/>
      </w:numPr>
      <w:tabs>
        <w:tab w:val="left" w:pos="360"/>
      </w:tabs>
      <w:adjustRightInd w:val="0"/>
      <w:spacing w:beforeLines="70" w:afterLines="70" w:line="240" w:lineRule="auto"/>
    </w:pPr>
    <w:rPr>
      <w:rFonts w:eastAsia="黑体"/>
      <w:bCs w:val="0"/>
      <w:kern w:val="21"/>
      <w:sz w:val="21"/>
      <w:szCs w:val="20"/>
    </w:rPr>
  </w:style>
  <w:style w:type="paragraph" w:customStyle="1" w:styleId="1002">
    <w:name w:val="标题 3 + 小四 段前: 0 磅 段后: 0 磅 行距: 1.5 倍行距"/>
    <w:basedOn w:val="6"/>
    <w:next w:val="6"/>
    <w:qFormat/>
    <w:uiPriority w:val="0"/>
    <w:pPr>
      <w:numPr>
        <w:numId w:val="0"/>
      </w:numPr>
      <w:spacing w:beforeLines="0"/>
    </w:pPr>
    <w:rPr>
      <w:rFonts w:ascii="宋体" w:hAnsi="宋体" w:eastAsia="Times New Roman"/>
      <w:bCs w:val="0"/>
      <w:sz w:val="24"/>
      <w:szCs w:val="20"/>
    </w:rPr>
  </w:style>
  <w:style w:type="paragraph" w:customStyle="1" w:styleId="1003">
    <w:name w:val="样式 Times New Roman 首行缩进:  0.74 厘米 段前: 0.1 行"/>
    <w:basedOn w:val="1"/>
    <w:qFormat/>
    <w:uiPriority w:val="0"/>
    <w:pPr>
      <w:spacing w:beforeLines="10" w:line="312" w:lineRule="auto"/>
      <w:ind w:firstLine="420"/>
    </w:pPr>
    <w:rPr>
      <w:b/>
      <w:sz w:val="21"/>
      <w:szCs w:val="20"/>
    </w:rPr>
  </w:style>
  <w:style w:type="paragraph" w:customStyle="1" w:styleId="1004">
    <w:name w:val="Char Char Char Char Char Char1 Char"/>
    <w:basedOn w:val="1"/>
    <w:qFormat/>
    <w:uiPriority w:val="0"/>
    <w:pPr>
      <w:snapToGrid w:val="0"/>
      <w:spacing w:line="360" w:lineRule="auto"/>
    </w:pPr>
    <w:rPr>
      <w:rFonts w:ascii="Tahoma" w:hAnsi="Tahoma"/>
      <w:szCs w:val="20"/>
    </w:rPr>
  </w:style>
  <w:style w:type="paragraph" w:customStyle="1" w:styleId="1005">
    <w:name w:val="副标题2"/>
    <w:basedOn w:val="1"/>
    <w:qFormat/>
    <w:uiPriority w:val="0"/>
    <w:pPr>
      <w:spacing w:before="240" w:after="60" w:line="312" w:lineRule="auto"/>
      <w:jc w:val="center"/>
      <w:outlineLvl w:val="1"/>
    </w:pPr>
    <w:rPr>
      <w:rFonts w:ascii="Arial" w:hAnsi="Arial"/>
      <w:b/>
      <w:kern w:val="28"/>
      <w:sz w:val="32"/>
      <w:szCs w:val="20"/>
    </w:rPr>
  </w:style>
  <w:style w:type="paragraph" w:customStyle="1" w:styleId="1006">
    <w:name w:val="自1"/>
    <w:basedOn w:val="1"/>
    <w:qFormat/>
    <w:uiPriority w:val="0"/>
    <w:pPr>
      <w:topLinePunct/>
      <w:adjustRightInd w:val="0"/>
      <w:spacing w:line="240" w:lineRule="auto"/>
      <w:ind w:left="850" w:hanging="425"/>
    </w:pPr>
    <w:rPr>
      <w:kern w:val="0"/>
      <w:sz w:val="21"/>
      <w:szCs w:val="20"/>
    </w:rPr>
  </w:style>
  <w:style w:type="paragraph" w:customStyle="1" w:styleId="1007">
    <w:name w:val="样式1 标题 1 + 段前: 0.7 行 段后: 0.7 行 + 段前: 1 行 段后: 1 行"/>
    <w:basedOn w:val="1001"/>
    <w:qFormat/>
    <w:uiPriority w:val="0"/>
    <w:pPr>
      <w:tabs>
        <w:tab w:val="left" w:pos="1021"/>
        <w:tab w:val="clear" w:pos="360"/>
      </w:tabs>
      <w:spacing w:beforeLines="100" w:afterLines="100"/>
    </w:pPr>
  </w:style>
  <w:style w:type="paragraph" w:customStyle="1" w:styleId="1008">
    <w:name w:val="索引 11"/>
    <w:basedOn w:val="1"/>
    <w:next w:val="1"/>
    <w:qFormat/>
    <w:uiPriority w:val="0"/>
    <w:pPr>
      <w:spacing w:line="240" w:lineRule="auto"/>
    </w:pPr>
    <w:rPr>
      <w:sz w:val="21"/>
      <w:szCs w:val="20"/>
    </w:rPr>
  </w:style>
  <w:style w:type="paragraph" w:customStyle="1" w:styleId="1009">
    <w:name w:val="样式 标题 1 + 宋体 小四"/>
    <w:basedOn w:val="4"/>
    <w:qFormat/>
    <w:uiPriority w:val="0"/>
    <w:pPr>
      <w:numPr>
        <w:numId w:val="0"/>
      </w:numPr>
      <w:tabs>
        <w:tab w:val="left" w:pos="425"/>
      </w:tabs>
      <w:adjustRightInd w:val="0"/>
      <w:spacing w:beforeLines="0" w:beforeAutospacing="1" w:afterAutospacing="1"/>
      <w:ind w:left="425" w:hanging="425"/>
      <w:jc w:val="both"/>
    </w:pPr>
    <w:rPr>
      <w:rFonts w:ascii="宋体" w:hAnsi="宋体" w:eastAsia="黑体"/>
      <w:bCs w:val="0"/>
      <w:kern w:val="0"/>
      <w:sz w:val="24"/>
      <w:szCs w:val="20"/>
    </w:rPr>
  </w:style>
  <w:style w:type="paragraph" w:customStyle="1" w:styleId="1010">
    <w:name w:val="样式 Times New Roman 段前: 0.1 行 行距: 多倍行距 1.25 字行1"/>
    <w:basedOn w:val="1"/>
    <w:qFormat/>
    <w:uiPriority w:val="0"/>
    <w:pPr>
      <w:spacing w:line="276" w:lineRule="auto"/>
      <w:ind w:firstLine="200" w:firstLineChars="200"/>
    </w:pPr>
    <w:rPr>
      <w:rFonts w:hAnsi="宋体"/>
      <w:sz w:val="21"/>
      <w:szCs w:val="20"/>
    </w:rPr>
  </w:style>
  <w:style w:type="paragraph" w:customStyle="1" w:styleId="1011">
    <w:name w:val="样式 样式 标题 2 + 段前: 0.5 行 段后: 0.5 行 + 首行缩进:  2 字符 段前: 0.5 行 段后: 0..."/>
    <w:basedOn w:val="1"/>
    <w:qFormat/>
    <w:uiPriority w:val="0"/>
    <w:pPr>
      <w:keepNext/>
      <w:keepLines/>
      <w:adjustRightInd w:val="0"/>
      <w:spacing w:beforeLines="50" w:afterLines="50" w:line="240" w:lineRule="auto"/>
      <w:jc w:val="left"/>
      <w:textAlignment w:val="baseline"/>
      <w:outlineLvl w:val="1"/>
    </w:pPr>
    <w:rPr>
      <w:rFonts w:eastAsia="黑体"/>
      <w:kern w:val="0"/>
      <w:sz w:val="21"/>
      <w:szCs w:val="20"/>
    </w:rPr>
  </w:style>
  <w:style w:type="paragraph" w:customStyle="1" w:styleId="1012">
    <w:name w:val="批注主题 Char Char"/>
    <w:basedOn w:val="28"/>
    <w:next w:val="28"/>
    <w:qFormat/>
    <w:uiPriority w:val="0"/>
    <w:pPr>
      <w:spacing w:line="300" w:lineRule="auto"/>
    </w:pPr>
    <w:rPr>
      <w:rFonts w:ascii="Arial" w:hAnsi="Arial"/>
      <w:b/>
      <w:sz w:val="21"/>
      <w:szCs w:val="20"/>
    </w:rPr>
  </w:style>
  <w:style w:type="paragraph" w:customStyle="1" w:styleId="1013">
    <w:name w:val="名称"/>
    <w:basedOn w:val="391"/>
    <w:next w:val="322"/>
    <w:qFormat/>
    <w:uiPriority w:val="0"/>
    <w:pPr>
      <w:tabs>
        <w:tab w:val="clear" w:pos="360"/>
      </w:tabs>
      <w:spacing w:line="460" w:lineRule="exact"/>
      <w:outlineLvl w:val="9"/>
    </w:pPr>
    <w:rPr>
      <w:b/>
    </w:rPr>
  </w:style>
  <w:style w:type="paragraph" w:customStyle="1" w:styleId="1014">
    <w:name w:val="_列表编号1"/>
    <w:basedOn w:val="21"/>
    <w:qFormat/>
    <w:uiPriority w:val="0"/>
    <w:pPr>
      <w:widowControl/>
      <w:numPr>
        <w:ilvl w:val="0"/>
        <w:numId w:val="0"/>
      </w:numPr>
      <w:tabs>
        <w:tab w:val="left" w:pos="800"/>
        <w:tab w:val="clear" w:pos="360"/>
      </w:tabs>
      <w:snapToGrid w:val="0"/>
      <w:spacing w:beforeLines="10" w:line="276" w:lineRule="auto"/>
      <w:ind w:left="800" w:hanging="400"/>
    </w:pPr>
    <w:rPr>
      <w:rFonts w:ascii="Arial" w:hAnsi="Arial" w:eastAsia="宋体"/>
      <w:kern w:val="0"/>
      <w:sz w:val="21"/>
    </w:rPr>
  </w:style>
  <w:style w:type="paragraph" w:customStyle="1" w:styleId="1015">
    <w:name w:val="样式 Times New Roman 段前: 0.1 行 行距: 多倍行距 1.15 字行"/>
    <w:basedOn w:val="1"/>
    <w:qFormat/>
    <w:uiPriority w:val="0"/>
    <w:pPr>
      <w:spacing w:line="276" w:lineRule="auto"/>
    </w:pPr>
    <w:rPr>
      <w:sz w:val="21"/>
      <w:szCs w:val="20"/>
    </w:rPr>
  </w:style>
  <w:style w:type="paragraph" w:customStyle="1" w:styleId="1016">
    <w:name w:val="样式 样式 正文（首行缩进两字） Char + 首行缩进:  2 字符 段前: 0.1 行 + 行距: 多倍行距 1.25 字行"/>
    <w:basedOn w:val="1017"/>
    <w:qFormat/>
    <w:uiPriority w:val="0"/>
  </w:style>
  <w:style w:type="paragraph" w:customStyle="1" w:styleId="1017">
    <w:name w:val="样式 正文（首行缩进两字） Char + 首行缩进:  2 字符 段前: 0.1 行"/>
    <w:basedOn w:val="857"/>
    <w:qFormat/>
    <w:uiPriority w:val="0"/>
    <w:pPr>
      <w:spacing w:afterLines="10" w:line="300" w:lineRule="auto"/>
      <w:ind w:firstLine="200"/>
    </w:pPr>
  </w:style>
  <w:style w:type="paragraph" w:customStyle="1" w:styleId="1018">
    <w:name w:val="样式标题 3 + Arial 段前: 0.1 行"/>
    <w:basedOn w:val="1"/>
    <w:qFormat/>
    <w:uiPriority w:val="0"/>
    <w:pPr>
      <w:tabs>
        <w:tab w:val="left" w:pos="357"/>
      </w:tabs>
      <w:spacing w:beforeLines="10" w:line="312" w:lineRule="auto"/>
    </w:pPr>
    <w:rPr>
      <w:sz w:val="21"/>
      <w:szCs w:val="20"/>
    </w:rPr>
  </w:style>
  <w:style w:type="paragraph" w:customStyle="1" w:styleId="1019">
    <w:name w:val="样式 正文首行缩进 + Times New Roman 五号 首行缩进:  2 字符 段前: 0.1 行 行距: 多倍行..."/>
    <w:basedOn w:val="848"/>
    <w:qFormat/>
    <w:uiPriority w:val="0"/>
    <w:pPr>
      <w:tabs>
        <w:tab w:val="left" w:pos="360"/>
      </w:tabs>
      <w:spacing w:after="0" w:line="276" w:lineRule="auto"/>
      <w:ind w:firstLine="0" w:firstLineChars="200"/>
    </w:pPr>
  </w:style>
  <w:style w:type="paragraph" w:customStyle="1" w:styleId="1020">
    <w:name w:val="CM38"/>
    <w:basedOn w:val="399"/>
    <w:next w:val="399"/>
    <w:qFormat/>
    <w:uiPriority w:val="0"/>
    <w:pPr>
      <w:spacing w:line="320" w:lineRule="atLeast"/>
    </w:pPr>
    <w:rPr>
      <w:rFonts w:ascii="Times New Roman" w:eastAsia="宋体"/>
      <w:color w:val="auto"/>
    </w:rPr>
  </w:style>
  <w:style w:type="paragraph" w:customStyle="1" w:styleId="1021">
    <w:name w:val="正文21"/>
    <w:qFormat/>
    <w:uiPriority w:val="0"/>
    <w:pPr>
      <w:widowControl w:val="0"/>
      <w:adjustRightInd w:val="0"/>
      <w:spacing w:line="312" w:lineRule="atLeast"/>
      <w:jc w:val="both"/>
      <w:textAlignment w:val="baseline"/>
    </w:pPr>
    <w:rPr>
      <w:rFonts w:ascii="宋体" w:hAnsi="Times New Roman" w:eastAsia="宋体" w:cs="Times New Roman"/>
      <w:sz w:val="34"/>
      <w:lang w:val="en-US" w:eastAsia="zh-CN" w:bidi="ar-SA"/>
    </w:rPr>
  </w:style>
  <w:style w:type="paragraph" w:customStyle="1" w:styleId="1022">
    <w:name w:val="列项●（二级）"/>
    <w:qFormat/>
    <w:uiPriority w:val="0"/>
    <w:pPr>
      <w:widowControl w:val="0"/>
      <w:tabs>
        <w:tab w:val="left" w:pos="840"/>
      </w:tabs>
      <w:adjustRightInd w:val="0"/>
      <w:spacing w:line="360" w:lineRule="atLeast"/>
      <w:ind w:left="600" w:leftChars="400" w:hanging="200" w:hangingChars="200"/>
      <w:jc w:val="both"/>
      <w:textAlignment w:val="baseline"/>
    </w:pPr>
    <w:rPr>
      <w:rFonts w:ascii="宋体" w:hAnsi="Times New Roman" w:eastAsia="宋体" w:cs="Times New Roman"/>
      <w:sz w:val="21"/>
      <w:lang w:val="en-US" w:eastAsia="zh-CN" w:bidi="ar-SA"/>
    </w:rPr>
  </w:style>
  <w:style w:type="paragraph" w:customStyle="1" w:styleId="1023">
    <w:name w:val="条文说明"/>
    <w:basedOn w:val="1013"/>
    <w:qFormat/>
    <w:uiPriority w:val="0"/>
    <w:pPr/>
  </w:style>
  <w:style w:type="paragraph" w:customStyle="1" w:styleId="1024">
    <w:name w:val="块引用"/>
    <w:basedOn w:val="34"/>
    <w:qFormat/>
    <w:uiPriority w:val="0"/>
    <w:pPr>
      <w:keepLines/>
      <w:widowControl/>
      <w:pBdr>
        <w:left w:val="single" w:color="808080" w:sz="36" w:space="3"/>
        <w:bottom w:val="single" w:color="FFFFFF" w:sz="48" w:space="3"/>
      </w:pBdr>
      <w:spacing w:beforeLines="10" w:line="360" w:lineRule="atLeast"/>
      <w:ind w:left="2109" w:right="284" w:hanging="635"/>
    </w:pPr>
    <w:rPr>
      <w:rFonts w:ascii="Arial" w:hAnsi="Arial"/>
      <w:kern w:val="0"/>
      <w:sz w:val="18"/>
      <w:szCs w:val="20"/>
    </w:rPr>
  </w:style>
  <w:style w:type="paragraph" w:customStyle="1" w:styleId="1025">
    <w:name w:val="索引 51"/>
    <w:basedOn w:val="1"/>
    <w:next w:val="1"/>
    <w:qFormat/>
    <w:uiPriority w:val="0"/>
    <w:pPr>
      <w:spacing w:line="300" w:lineRule="auto"/>
      <w:ind w:left="1680"/>
    </w:pPr>
    <w:rPr>
      <w:rFonts w:ascii="Arial" w:hAnsi="Arial"/>
      <w:sz w:val="21"/>
      <w:szCs w:val="20"/>
    </w:rPr>
  </w:style>
  <w:style w:type="paragraph" w:customStyle="1" w:styleId="1026">
    <w:name w:val="Char21"/>
    <w:basedOn w:val="1"/>
    <w:qFormat/>
    <w:uiPriority w:val="0"/>
    <w:pPr>
      <w:spacing w:line="240" w:lineRule="auto"/>
    </w:pPr>
    <w:rPr>
      <w:sz w:val="21"/>
      <w:szCs w:val="20"/>
    </w:rPr>
  </w:style>
  <w:style w:type="paragraph" w:customStyle="1" w:styleId="1027">
    <w:name w:val="样式 标题 5 + 段前: 0.1 行1"/>
    <w:basedOn w:val="8"/>
    <w:next w:val="8"/>
    <w:qFormat/>
    <w:uiPriority w:val="0"/>
    <w:pPr>
      <w:numPr>
        <w:numId w:val="0"/>
      </w:numPr>
      <w:tabs>
        <w:tab w:val="left" w:pos="0"/>
        <w:tab w:val="left" w:pos="210"/>
      </w:tabs>
      <w:adjustRightInd w:val="0"/>
      <w:snapToGrid w:val="0"/>
      <w:spacing w:beforeLines="10" w:line="312" w:lineRule="auto"/>
      <w:jc w:val="both"/>
    </w:pPr>
    <w:rPr>
      <w:bCs w:val="0"/>
      <w:szCs w:val="20"/>
    </w:rPr>
  </w:style>
  <w:style w:type="paragraph" w:customStyle="1" w:styleId="1028">
    <w:name w:val="样式 样式 标题 1 + 小四 段前: 0 磅 段后: 0 磅 行距: 1.5 倍行距 + 宋体1"/>
    <w:basedOn w:val="4"/>
    <w:qFormat/>
    <w:uiPriority w:val="0"/>
    <w:pPr>
      <w:numPr>
        <w:numId w:val="0"/>
      </w:numPr>
      <w:tabs>
        <w:tab w:val="left" w:pos="425"/>
      </w:tabs>
      <w:adjustRightInd w:val="0"/>
      <w:spacing w:beforeLines="0" w:line="576" w:lineRule="auto"/>
      <w:ind w:left="360" w:hanging="360"/>
      <w:jc w:val="both"/>
    </w:pPr>
    <w:rPr>
      <w:rFonts w:ascii="宋体" w:hAnsi="宋体" w:eastAsia="黑体"/>
      <w:bCs w:val="0"/>
      <w:sz w:val="44"/>
      <w:szCs w:val="20"/>
    </w:rPr>
  </w:style>
  <w:style w:type="paragraph" w:customStyle="1" w:styleId="1029">
    <w:name w:val="样式 样式 样式 首行缩进:  0.77 厘米 段前: 0.1 行 + 首行缩进:  2 字符 段前: 0.1 行 + 首行缩进..."/>
    <w:basedOn w:val="919"/>
    <w:qFormat/>
    <w:uiPriority w:val="0"/>
    <w:pPr>
      <w:ind w:firstLine="420"/>
    </w:pPr>
  </w:style>
  <w:style w:type="paragraph" w:customStyle="1" w:styleId="1030">
    <w:name w:val="样式 正文（首行缩进两字） Char + 首行缩进:  2 字符 段前: 0.1 行 行距: 多倍行距 1.25 字行"/>
    <w:basedOn w:val="857"/>
    <w:qFormat/>
    <w:uiPriority w:val="0"/>
    <w:pPr>
      <w:spacing w:afterLines="10"/>
      <w:ind w:firstLine="200"/>
    </w:pPr>
  </w:style>
  <w:style w:type="paragraph" w:customStyle="1" w:styleId="1031">
    <w:name w:val="列项◆（三级）"/>
    <w:qFormat/>
    <w:uiPriority w:val="0"/>
    <w:pPr>
      <w:widowControl w:val="0"/>
      <w:tabs>
        <w:tab w:val="left" w:pos="960"/>
      </w:tabs>
      <w:adjustRightInd w:val="0"/>
      <w:spacing w:line="360" w:lineRule="atLeast"/>
      <w:ind w:left="800" w:leftChars="600" w:hanging="200" w:hangingChars="200"/>
      <w:jc w:val="both"/>
      <w:textAlignment w:val="baseline"/>
    </w:pPr>
    <w:rPr>
      <w:rFonts w:ascii="宋体" w:hAnsi="Times New Roman" w:eastAsia="宋体" w:cs="Times New Roman"/>
      <w:sz w:val="21"/>
      <w:lang w:val="en-US" w:eastAsia="zh-CN" w:bidi="ar-SA"/>
    </w:rPr>
  </w:style>
  <w:style w:type="paragraph" w:customStyle="1" w:styleId="1032">
    <w:name w:val="基准目录样式"/>
    <w:basedOn w:val="1"/>
    <w:qFormat/>
    <w:uiPriority w:val="0"/>
    <w:pPr>
      <w:widowControl/>
      <w:tabs>
        <w:tab w:val="right" w:leader="dot" w:pos="-18551"/>
      </w:tabs>
      <w:spacing w:after="220" w:line="220" w:lineRule="atLeast"/>
      <w:jc w:val="left"/>
    </w:pPr>
    <w:rPr>
      <w:rFonts w:ascii="Arial" w:hAnsi="Arial"/>
      <w:kern w:val="0"/>
      <w:sz w:val="21"/>
      <w:szCs w:val="20"/>
    </w:rPr>
  </w:style>
  <w:style w:type="paragraph" w:customStyle="1" w:styleId="1033">
    <w:name w:val="样式1 加粗 居中 首行缩进:  0.74 厘米 段前: 0.1 行"/>
    <w:basedOn w:val="1"/>
    <w:qFormat/>
    <w:uiPriority w:val="0"/>
    <w:pPr>
      <w:spacing w:line="276" w:lineRule="auto"/>
      <w:ind w:firstLine="420"/>
      <w:jc w:val="center"/>
    </w:pPr>
    <w:rPr>
      <w:b/>
      <w:sz w:val="21"/>
      <w:szCs w:val="20"/>
    </w:rPr>
  </w:style>
  <w:style w:type="paragraph" w:customStyle="1" w:styleId="1034">
    <w:name w:val="引文目录1"/>
    <w:basedOn w:val="1"/>
    <w:next w:val="1"/>
    <w:qFormat/>
    <w:uiPriority w:val="0"/>
    <w:pPr>
      <w:spacing w:line="300" w:lineRule="auto"/>
      <w:ind w:left="420"/>
    </w:pPr>
    <w:rPr>
      <w:rFonts w:ascii="Arial" w:hAnsi="Arial"/>
      <w:sz w:val="21"/>
      <w:szCs w:val="20"/>
    </w:rPr>
  </w:style>
  <w:style w:type="paragraph" w:customStyle="1" w:styleId="1035">
    <w:name w:val="样式 样式 正文缩进正文缩进 Char正文（首行缩进两字） Char Char正文（首行缩进两字） Char1正文（首行缩进两....1"/>
    <w:basedOn w:val="879"/>
    <w:qFormat/>
    <w:uiPriority w:val="0"/>
    <w:pPr>
      <w:spacing w:line="276" w:lineRule="auto"/>
      <w:ind w:firstLine="420"/>
    </w:pPr>
  </w:style>
  <w:style w:type="paragraph" w:customStyle="1" w:styleId="1036">
    <w:name w:val="样式 标题 4 + Arial 段前: 0.1 行"/>
    <w:basedOn w:val="1"/>
    <w:qFormat/>
    <w:uiPriority w:val="0"/>
    <w:pPr>
      <w:tabs>
        <w:tab w:val="left" w:pos="357"/>
        <w:tab w:val="left" w:pos="900"/>
      </w:tabs>
      <w:spacing w:beforeLines="10" w:line="312" w:lineRule="auto"/>
    </w:pPr>
    <w:rPr>
      <w:sz w:val="21"/>
      <w:szCs w:val="20"/>
    </w:rPr>
  </w:style>
  <w:style w:type="paragraph" w:customStyle="1" w:styleId="1037">
    <w:name w:val="样式1 标题 2 + 段前: 0行 + 段前: 0.5 行 段后: 0.5 行"/>
    <w:basedOn w:val="862"/>
    <w:qFormat/>
    <w:uiPriority w:val="0"/>
    <w:pPr>
      <w:tabs>
        <w:tab w:val="left" w:pos="500"/>
        <w:tab w:val="clear" w:pos="210"/>
        <w:tab w:val="clear" w:pos="360"/>
      </w:tabs>
      <w:spacing w:beforeLines="30" w:afterLines="30" w:line="240" w:lineRule="auto"/>
    </w:pPr>
    <w:rPr>
      <w:rFonts w:eastAsia="黑体"/>
      <w:b w:val="0"/>
    </w:rPr>
  </w:style>
  <w:style w:type="paragraph" w:customStyle="1" w:styleId="1038">
    <w:name w:val="样式 样式 列表编号 2 + Times New Roman 段前: 0.1 行 行距: 多倍行距 1.2 字行 + 左侧:  ..."/>
    <w:basedOn w:val="1"/>
    <w:qFormat/>
    <w:uiPriority w:val="0"/>
    <w:pPr>
      <w:keepNext/>
      <w:keepLines/>
      <w:widowControl/>
      <w:spacing w:line="276" w:lineRule="auto"/>
    </w:pPr>
    <w:rPr>
      <w:kern w:val="0"/>
      <w:sz w:val="21"/>
      <w:szCs w:val="20"/>
    </w:rPr>
  </w:style>
  <w:style w:type="paragraph" w:customStyle="1" w:styleId="1039">
    <w:name w:val="样式 正文文本 2 + 段前: 0.1 行 + Times New Roman 悬挂缩进: 0.13 字符 段前: 0..."/>
    <w:basedOn w:val="930"/>
    <w:qFormat/>
    <w:uiPriority w:val="0"/>
    <w:pPr>
      <w:spacing w:afterLines="10" w:line="240" w:lineRule="auto"/>
      <w:ind w:left="2" w:leftChars="-11" w:hanging="13" w:hangingChars="13"/>
    </w:pPr>
  </w:style>
  <w:style w:type="paragraph" w:customStyle="1" w:styleId="1040">
    <w:name w:val="样式1 首行缩进:  0.74 厘米 段前: 0.1 行"/>
    <w:basedOn w:val="857"/>
    <w:next w:val="857"/>
    <w:qFormat/>
    <w:uiPriority w:val="0"/>
    <w:pPr>
      <w:tabs>
        <w:tab w:val="left" w:pos="820"/>
      </w:tabs>
      <w:spacing w:afterLines="10"/>
      <w:ind w:left="820" w:hanging="420" w:firstLineChars="0"/>
    </w:pPr>
    <w:rPr>
      <w:kern w:val="0"/>
    </w:rPr>
  </w:style>
  <w:style w:type="paragraph" w:customStyle="1" w:styleId="1041">
    <w:name w:val="偶页脚样式"/>
    <w:basedOn w:val="55"/>
    <w:qFormat/>
    <w:uiPriority w:val="0"/>
    <w:pPr>
      <w:keepLines/>
      <w:widowControl/>
      <w:pBdr>
        <w:bottom w:val="single" w:color="auto" w:sz="6" w:space="1"/>
      </w:pBdr>
      <w:tabs>
        <w:tab w:val="center" w:pos="-18551"/>
        <w:tab w:val="right" w:pos="4320"/>
        <w:tab w:val="clear" w:pos="4153"/>
        <w:tab w:val="clear" w:pos="8306"/>
      </w:tabs>
      <w:snapToGrid/>
      <w:spacing w:before="600" w:line="300" w:lineRule="auto"/>
    </w:pPr>
    <w:rPr>
      <w:rFonts w:ascii="Arial" w:hAnsi="Arial"/>
      <w:b/>
      <w:spacing w:val="-4"/>
      <w:kern w:val="0"/>
      <w:sz w:val="21"/>
      <w:szCs w:val="20"/>
    </w:rPr>
  </w:style>
  <w:style w:type="paragraph" w:customStyle="1" w:styleId="1042">
    <w:name w:val="回信地址"/>
    <w:basedOn w:val="1"/>
    <w:qFormat/>
    <w:uiPriority w:val="0"/>
    <w:pPr>
      <w:keepLines/>
      <w:widowControl/>
      <w:spacing w:line="220" w:lineRule="atLeast"/>
      <w:jc w:val="left"/>
    </w:pPr>
    <w:rPr>
      <w:rFonts w:ascii="Arial" w:hAnsi="Arial"/>
      <w:kern w:val="0"/>
      <w:sz w:val="15"/>
      <w:szCs w:val="20"/>
    </w:rPr>
  </w:style>
  <w:style w:type="paragraph" w:customStyle="1" w:styleId="1043">
    <w:name w:val="偶页页眉样式"/>
    <w:basedOn w:val="57"/>
    <w:qFormat/>
    <w:uiPriority w:val="0"/>
    <w:pPr>
      <w:keepLines/>
      <w:widowControl/>
      <w:pBdr>
        <w:bottom w:val="none" w:color="auto" w:sz="0" w:space="0"/>
      </w:pBdr>
      <w:tabs>
        <w:tab w:val="center" w:pos="-18551"/>
        <w:tab w:val="right" w:pos="4320"/>
        <w:tab w:val="clear" w:pos="4153"/>
        <w:tab w:val="clear" w:pos="8306"/>
      </w:tabs>
      <w:spacing w:line="240" w:lineRule="atLeast"/>
      <w:jc w:val="left"/>
    </w:pPr>
    <w:rPr>
      <w:rFonts w:ascii="Arial" w:hAnsi="Arial" w:eastAsia="黑体"/>
      <w:spacing w:val="-4"/>
      <w:kern w:val="0"/>
      <w:sz w:val="21"/>
      <w:szCs w:val="20"/>
    </w:rPr>
  </w:style>
  <w:style w:type="paragraph" w:customStyle="1" w:styleId="1044">
    <w:name w:val="索引 21"/>
    <w:basedOn w:val="1"/>
    <w:next w:val="1"/>
    <w:qFormat/>
    <w:uiPriority w:val="0"/>
    <w:pPr>
      <w:spacing w:line="300" w:lineRule="auto"/>
      <w:ind w:left="420"/>
    </w:pPr>
    <w:rPr>
      <w:rFonts w:ascii="Arial" w:hAnsi="Arial"/>
      <w:sz w:val="21"/>
      <w:szCs w:val="20"/>
    </w:rPr>
  </w:style>
  <w:style w:type="paragraph" w:customStyle="1" w:styleId="1045">
    <w:name w:val="术语定义四级条标题"/>
    <w:basedOn w:val="1046"/>
    <w:next w:val="322"/>
    <w:qFormat/>
    <w:uiPriority w:val="0"/>
    <w:pPr>
      <w:tabs>
        <w:tab w:val="left" w:pos="420"/>
      </w:tabs>
    </w:pPr>
  </w:style>
  <w:style w:type="paragraph" w:customStyle="1" w:styleId="1046">
    <w:name w:val="术语定义条标题"/>
    <w:basedOn w:val="321"/>
    <w:next w:val="322"/>
    <w:qFormat/>
    <w:uiPriority w:val="0"/>
    <w:pPr>
      <w:numPr>
        <w:numId w:val="0"/>
      </w:numPr>
      <w:tabs>
        <w:tab w:val="left" w:pos="420"/>
        <w:tab w:val="clear" w:pos="840"/>
        <w:tab w:val="clear" w:pos="900"/>
      </w:tabs>
      <w:spacing w:before="156" w:after="156"/>
      <w:jc w:val="left"/>
      <w:outlineLvl w:val="9"/>
    </w:pPr>
    <w:rPr>
      <w:b/>
    </w:rPr>
  </w:style>
  <w:style w:type="paragraph" w:customStyle="1" w:styleId="1047">
    <w:name w:val="CM64"/>
    <w:basedOn w:val="399"/>
    <w:next w:val="399"/>
    <w:qFormat/>
    <w:uiPriority w:val="0"/>
    <w:rPr>
      <w:rFonts w:ascii="Times New Roman" w:eastAsia="宋体"/>
      <w:color w:val="auto"/>
    </w:rPr>
  </w:style>
  <w:style w:type="paragraph" w:customStyle="1" w:styleId="1048">
    <w:name w:val="Char Char1 Char Char Char"/>
    <w:basedOn w:val="824"/>
    <w:qFormat/>
    <w:uiPriority w:val="0"/>
    <w:pPr>
      <w:adjustRightInd/>
      <w:snapToGrid/>
      <w:spacing w:line="240" w:lineRule="auto"/>
      <w:ind w:firstLine="0" w:firstLineChars="0"/>
    </w:pPr>
    <w:rPr>
      <w:sz w:val="21"/>
      <w:szCs w:val="20"/>
    </w:rPr>
  </w:style>
  <w:style w:type="paragraph" w:customStyle="1" w:styleId="1049">
    <w:name w:val="样式 段前: 0.1 行1"/>
    <w:basedOn w:val="1"/>
    <w:qFormat/>
    <w:uiPriority w:val="0"/>
    <w:pPr>
      <w:spacing w:beforeLines="10" w:line="312" w:lineRule="auto"/>
    </w:pPr>
    <w:rPr>
      <w:sz w:val="21"/>
      <w:szCs w:val="20"/>
    </w:rPr>
  </w:style>
  <w:style w:type="paragraph" w:customStyle="1" w:styleId="1050">
    <w:name w:val="样式 标题 1 + 小四 段前: 0 磅 段后: 0 磅 行距: 1.5 倍行距"/>
    <w:basedOn w:val="4"/>
    <w:qFormat/>
    <w:uiPriority w:val="0"/>
    <w:pPr>
      <w:numPr>
        <w:numId w:val="0"/>
      </w:numPr>
      <w:tabs>
        <w:tab w:val="left" w:pos="425"/>
      </w:tabs>
      <w:adjustRightInd w:val="0"/>
      <w:spacing w:before="156" w:after="156"/>
      <w:ind w:left="425" w:hanging="425"/>
      <w:jc w:val="both"/>
    </w:pPr>
    <w:rPr>
      <w:rFonts w:eastAsia="黑体"/>
      <w:bCs w:val="0"/>
      <w:kern w:val="0"/>
      <w:sz w:val="24"/>
      <w:szCs w:val="20"/>
    </w:rPr>
  </w:style>
  <w:style w:type="paragraph" w:customStyle="1" w:styleId="1051">
    <w:name w:val="列表 31"/>
    <w:basedOn w:val="1"/>
    <w:qFormat/>
    <w:uiPriority w:val="0"/>
    <w:pPr>
      <w:spacing w:line="300" w:lineRule="auto"/>
      <w:ind w:left="100" w:leftChars="400" w:hanging="200" w:hangingChars="200"/>
    </w:pPr>
    <w:rPr>
      <w:rFonts w:ascii="Arial" w:hAnsi="Arial"/>
      <w:sz w:val="21"/>
      <w:szCs w:val="20"/>
    </w:rPr>
  </w:style>
  <w:style w:type="paragraph" w:customStyle="1" w:styleId="1052">
    <w:name w:val="修订11"/>
    <w:qFormat/>
    <w:uiPriority w:val="0"/>
    <w:rPr>
      <w:rFonts w:ascii="Times New Roman" w:hAnsi="Times New Roman" w:eastAsia="宋体" w:cs="Times New Roman"/>
      <w:kern w:val="2"/>
      <w:sz w:val="21"/>
      <w:lang w:val="en-US" w:eastAsia="zh-CN" w:bidi="ar-SA"/>
    </w:rPr>
  </w:style>
  <w:style w:type="paragraph" w:customStyle="1" w:styleId="1053">
    <w:name w:val="图片"/>
    <w:basedOn w:val="1"/>
    <w:qFormat/>
    <w:uiPriority w:val="0"/>
    <w:pPr>
      <w:topLinePunct/>
      <w:snapToGrid w:val="0"/>
      <w:spacing w:before="160" w:after="60" w:line="240" w:lineRule="auto"/>
      <w:jc w:val="center"/>
    </w:pPr>
    <w:rPr>
      <w:sz w:val="21"/>
      <w:szCs w:val="20"/>
    </w:rPr>
  </w:style>
  <w:style w:type="paragraph" w:customStyle="1" w:styleId="1054">
    <w:name w:val="索引标题1"/>
    <w:basedOn w:val="1"/>
    <w:next w:val="1008"/>
    <w:qFormat/>
    <w:uiPriority w:val="0"/>
    <w:pPr>
      <w:spacing w:line="300" w:lineRule="auto"/>
      <w:jc w:val="center"/>
    </w:pPr>
    <w:rPr>
      <w:rFonts w:ascii="Arial" w:hAnsi="Arial" w:eastAsia="黑体"/>
      <w:b/>
      <w:sz w:val="32"/>
      <w:szCs w:val="20"/>
    </w:rPr>
  </w:style>
  <w:style w:type="paragraph" w:customStyle="1" w:styleId="1055">
    <w:name w:val="Char1 Char Char Char Char Char Char Char Char Char Char Char"/>
    <w:basedOn w:val="1"/>
    <w:qFormat/>
    <w:uiPriority w:val="0"/>
    <w:pPr>
      <w:pageBreakBefore/>
      <w:tabs>
        <w:tab w:val="left" w:pos="432"/>
      </w:tabs>
      <w:spacing w:line="240" w:lineRule="auto"/>
      <w:ind w:left="432" w:hanging="432"/>
    </w:pPr>
    <w:rPr>
      <w:rFonts w:ascii="Tahoma" w:hAnsi="Tahoma"/>
      <w:szCs w:val="20"/>
    </w:rPr>
  </w:style>
  <w:style w:type="paragraph" w:customStyle="1" w:styleId="1056">
    <w:name w:val="部分标签"/>
    <w:basedOn w:val="573"/>
    <w:next w:val="1"/>
    <w:qFormat/>
    <w:uiPriority w:val="0"/>
    <w:pPr>
      <w:keepNext/>
      <w:keepLines/>
      <w:spacing w:before="400" w:after="440" w:line="220" w:lineRule="atLeast"/>
    </w:pPr>
    <w:rPr>
      <w:rFonts w:ascii="Times New Roman" w:hAnsi="Times New Roman" w:eastAsia="宋体"/>
      <w:spacing w:val="-30"/>
      <w:kern w:val="28"/>
      <w:sz w:val="60"/>
      <w:szCs w:val="20"/>
    </w:rPr>
  </w:style>
  <w:style w:type="paragraph" w:customStyle="1" w:styleId="1057">
    <w:name w:val="样式 样式 正文缩进 + 首行缩进:  0 厘米1 +"/>
    <w:basedOn w:val="1"/>
    <w:qFormat/>
    <w:uiPriority w:val="0"/>
    <w:pPr>
      <w:spacing w:beforeLines="10" w:line="240" w:lineRule="auto"/>
    </w:pPr>
    <w:rPr>
      <w:kern w:val="0"/>
      <w:sz w:val="18"/>
      <w:szCs w:val="20"/>
    </w:rPr>
  </w:style>
  <w:style w:type="paragraph" w:customStyle="1" w:styleId="1058">
    <w:name w:val="样式 正文文本 2 + 段前: 0.1 行 + 段后: 1.2 磅 行距: 单倍行距"/>
    <w:basedOn w:val="930"/>
    <w:qFormat/>
    <w:uiPriority w:val="0"/>
    <w:pPr>
      <w:spacing w:line="240" w:lineRule="auto"/>
      <w:jc w:val="center"/>
    </w:pPr>
  </w:style>
  <w:style w:type="paragraph" w:customStyle="1" w:styleId="1059">
    <w:name w:val="正文正式1"/>
    <w:basedOn w:val="1"/>
    <w:qFormat/>
    <w:uiPriority w:val="0"/>
    <w:pPr>
      <w:tabs>
        <w:tab w:val="left" w:pos="0"/>
      </w:tabs>
      <w:spacing w:line="360" w:lineRule="auto"/>
    </w:pPr>
    <w:rPr>
      <w:rFonts w:ascii="宋体" w:hAnsi="宋体"/>
      <w:kern w:val="0"/>
      <w:szCs w:val="20"/>
    </w:rPr>
  </w:style>
  <w:style w:type="paragraph" w:customStyle="1" w:styleId="1060">
    <w:name w:val="_列项符号3"/>
    <w:basedOn w:val="24"/>
    <w:qFormat/>
    <w:uiPriority w:val="0"/>
    <w:pPr>
      <w:numPr>
        <w:ilvl w:val="0"/>
        <w:numId w:val="0"/>
      </w:numPr>
      <w:tabs>
        <w:tab w:val="left" w:pos="1680"/>
        <w:tab w:val="clear" w:pos="360"/>
      </w:tabs>
      <w:snapToGrid w:val="0"/>
      <w:spacing w:line="276" w:lineRule="auto"/>
      <w:ind w:left="1680" w:leftChars="600" w:hanging="420" w:hangingChars="800"/>
    </w:pPr>
    <w:rPr>
      <w:rFonts w:ascii="Arial" w:hAnsi="Arial" w:eastAsia="宋体"/>
      <w:sz w:val="21"/>
    </w:rPr>
  </w:style>
  <w:style w:type="paragraph" w:customStyle="1" w:styleId="1061">
    <w:name w:val="样式 样式 标题 1 + 段前: 0.7 行 段后: 0.7 行"/>
    <w:basedOn w:val="1001"/>
    <w:qFormat/>
    <w:uiPriority w:val="0"/>
    <w:pPr>
      <w:tabs>
        <w:tab w:val="left" w:pos="340"/>
        <w:tab w:val="clear" w:pos="360"/>
      </w:tabs>
      <w:spacing w:beforeLines="100" w:afterLines="100"/>
    </w:pPr>
  </w:style>
  <w:style w:type="paragraph" w:customStyle="1" w:styleId="1062">
    <w:name w:val="样式 正文缩进正文缩进 Char正文（首行缩进两字） Char Char正文（首行缩进两字） Char1正文（首行缩进两..."/>
    <w:basedOn w:val="1"/>
    <w:qFormat/>
    <w:uiPriority w:val="0"/>
    <w:pPr>
      <w:spacing w:beforeLines="10" w:line="312" w:lineRule="auto"/>
      <w:ind w:left="800" w:hanging="400" w:firstLineChars="200"/>
    </w:pPr>
    <w:rPr>
      <w:sz w:val="21"/>
      <w:szCs w:val="20"/>
    </w:rPr>
  </w:style>
  <w:style w:type="paragraph" w:customStyle="1" w:styleId="1063">
    <w:name w:val="朱公式"/>
    <w:basedOn w:val="857"/>
    <w:qFormat/>
    <w:uiPriority w:val="0"/>
    <w:pPr>
      <w:tabs>
        <w:tab w:val="center" w:pos="4763"/>
        <w:tab w:val="right" w:pos="9412"/>
      </w:tabs>
    </w:pPr>
  </w:style>
  <w:style w:type="paragraph" w:customStyle="1" w:styleId="1064">
    <w:name w:val="样式 标题 3 + 宋体 段前: 0.1 行"/>
    <w:basedOn w:val="976"/>
    <w:qFormat/>
    <w:uiPriority w:val="0"/>
    <w:pPr>
      <w:tabs>
        <w:tab w:val="left" w:pos="700"/>
        <w:tab w:val="clear" w:pos="210"/>
        <w:tab w:val="clear" w:pos="630"/>
        <w:tab w:val="clear" w:pos="720"/>
      </w:tabs>
      <w:spacing w:beforeLines="50" w:afterLines="50" w:line="240" w:lineRule="auto"/>
    </w:pPr>
    <w:rPr>
      <w:rFonts w:ascii="宋体" w:hAnsi="宋体" w:eastAsia="黑体"/>
      <w:b w:val="0"/>
    </w:rPr>
  </w:style>
  <w:style w:type="paragraph" w:customStyle="1" w:styleId="1065">
    <w:name w:val="样式 样式 样式 标题 2 + 段前: 0.1 行 + 段前: 0.1 行 + 段前: 0.1 行 行距: 多倍行距 1.1 ..."/>
    <w:basedOn w:val="862"/>
    <w:qFormat/>
    <w:uiPriority w:val="0"/>
    <w:pPr>
      <w:tabs>
        <w:tab w:val="left" w:pos="500"/>
        <w:tab w:val="clear" w:pos="210"/>
        <w:tab w:val="clear" w:pos="360"/>
      </w:tabs>
      <w:spacing w:beforeLines="50" w:line="240" w:lineRule="auto"/>
    </w:pPr>
    <w:rPr>
      <w:rFonts w:eastAsia="黑体"/>
      <w:b w:val="0"/>
    </w:rPr>
  </w:style>
  <w:style w:type="paragraph" w:customStyle="1" w:styleId="1066">
    <w:name w:val="部分题目"/>
    <w:basedOn w:val="573"/>
    <w:next w:val="955"/>
    <w:qFormat/>
    <w:uiPriority w:val="0"/>
    <w:pPr>
      <w:keepNext/>
      <w:keepLines/>
      <w:spacing w:before="660" w:after="400" w:line="540" w:lineRule="atLeast"/>
      <w:ind w:right="2160"/>
    </w:pPr>
    <w:rPr>
      <w:rFonts w:ascii="Times New Roman" w:hAnsi="Times New Roman" w:eastAsia="宋体"/>
      <w:spacing w:val="-40"/>
      <w:kern w:val="28"/>
      <w:sz w:val="60"/>
      <w:szCs w:val="20"/>
    </w:rPr>
  </w:style>
  <w:style w:type="paragraph" w:customStyle="1" w:styleId="1067">
    <w:name w:val="样式 Times New Roman 段前: 0.1 行"/>
    <w:basedOn w:val="1"/>
    <w:qFormat/>
    <w:uiPriority w:val="0"/>
    <w:pPr>
      <w:spacing w:beforeLines="10" w:line="300" w:lineRule="auto"/>
      <w:ind w:firstLine="200" w:firstLineChars="200"/>
    </w:pPr>
    <w:rPr>
      <w:sz w:val="21"/>
      <w:szCs w:val="20"/>
    </w:rPr>
  </w:style>
  <w:style w:type="paragraph" w:customStyle="1" w:styleId="1068">
    <w:name w:val="Char Char Char Char Char Char Char Char Char Char Char Char1"/>
    <w:basedOn w:val="1"/>
    <w:qFormat/>
    <w:uiPriority w:val="0"/>
    <w:pPr>
      <w:spacing w:line="240" w:lineRule="auto"/>
    </w:pPr>
    <w:rPr>
      <w:rFonts w:ascii="Tahoma" w:hAnsi="Tahoma"/>
      <w:szCs w:val="20"/>
    </w:rPr>
  </w:style>
  <w:style w:type="paragraph" w:customStyle="1" w:styleId="1069">
    <w:name w:val="样式 样式1 样式 编号 a + Times New Roman 段前: 0 行 行距: 多倍行距 1.15 字行 + 左侧.....1"/>
    <w:basedOn w:val="896"/>
    <w:qFormat/>
    <w:uiPriority w:val="0"/>
    <w:pPr>
      <w:ind w:left="400" w:leftChars="200"/>
    </w:pPr>
  </w:style>
  <w:style w:type="paragraph" w:customStyle="1" w:styleId="1070">
    <w:name w:val="样式 段 + Verdana 小四 自定义颜(RGB(171717))"/>
    <w:basedOn w:val="322"/>
    <w:qFormat/>
    <w:uiPriority w:val="0"/>
    <w:pPr>
      <w:snapToGrid w:val="0"/>
      <w:spacing w:line="300" w:lineRule="auto"/>
    </w:pPr>
    <w:rPr>
      <w:rFonts w:ascii="Verdana" w:hAnsi="Verdana"/>
      <w:color w:val="111111"/>
      <w:sz w:val="24"/>
    </w:rPr>
  </w:style>
  <w:style w:type="paragraph" w:customStyle="1" w:styleId="1071">
    <w:name w:val="样式 正文缩进正文缩进 Char正文（首行缩进两字） Char Char正文（首行缩进两字） Char1正文（首行缩进两...3"/>
    <w:basedOn w:val="1"/>
    <w:qFormat/>
    <w:uiPriority w:val="0"/>
    <w:pPr>
      <w:spacing w:beforeLines="10" w:line="300" w:lineRule="auto"/>
      <w:ind w:firstLine="200" w:firstLineChars="200"/>
    </w:pPr>
    <w:rPr>
      <w:sz w:val="21"/>
      <w:szCs w:val="20"/>
    </w:rPr>
  </w:style>
  <w:style w:type="paragraph" w:customStyle="1" w:styleId="1072">
    <w:name w:val="术语定义二级条标题"/>
    <w:basedOn w:val="1046"/>
    <w:next w:val="322"/>
    <w:qFormat/>
    <w:uiPriority w:val="0"/>
  </w:style>
  <w:style w:type="paragraph" w:customStyle="1" w:styleId="1073">
    <w:name w:val="样式1 样式 标题 6 + 段前: 0.1 行 + Times New Roman 段前: 0.1 行"/>
    <w:basedOn w:val="1"/>
    <w:qFormat/>
    <w:uiPriority w:val="0"/>
    <w:pPr>
      <w:tabs>
        <w:tab w:val="left" w:pos="210"/>
        <w:tab w:val="left" w:pos="1080"/>
      </w:tabs>
      <w:spacing w:line="276" w:lineRule="auto"/>
      <w:outlineLvl w:val="5"/>
    </w:pPr>
    <w:rPr>
      <w:b/>
      <w:sz w:val="21"/>
      <w:szCs w:val="20"/>
    </w:rPr>
  </w:style>
  <w:style w:type="paragraph" w:customStyle="1" w:styleId="1074">
    <w:name w:val="副题目 – 封页"/>
    <w:basedOn w:val="1075"/>
    <w:next w:val="34"/>
    <w:qFormat/>
    <w:uiPriority w:val="0"/>
    <w:pPr>
      <w:widowControl w:val="0"/>
      <w:spacing w:before="0" w:after="60" w:line="240" w:lineRule="auto"/>
    </w:pPr>
    <w:rPr>
      <w:rFonts w:ascii="Arial"/>
      <w:snapToGrid w:val="0"/>
      <w:color w:val="000000"/>
      <w:sz w:val="28"/>
    </w:rPr>
  </w:style>
  <w:style w:type="paragraph" w:customStyle="1" w:styleId="1075">
    <w:name w:val="题目封页"/>
    <w:basedOn w:val="573"/>
    <w:next w:val="1074"/>
    <w:qFormat/>
    <w:uiPriority w:val="0"/>
    <w:pPr>
      <w:keepNext/>
      <w:keepLines/>
      <w:spacing w:before="1800" w:line="240" w:lineRule="atLeast"/>
      <w:jc w:val="center"/>
    </w:pPr>
    <w:rPr>
      <w:rFonts w:ascii="黑体" w:hAnsi="Arial" w:eastAsia="黑体"/>
      <w:b/>
      <w:kern w:val="28"/>
      <w:sz w:val="52"/>
      <w:szCs w:val="20"/>
    </w:rPr>
  </w:style>
  <w:style w:type="paragraph" w:customStyle="1" w:styleId="1076">
    <w:name w:val="样式 题目封页 + (西文) 华文中宋 (中文) 华文中宋 32 磅 黑色 两端对齐 段前: 3 磅 段后: 3 磅..."/>
    <w:basedOn w:val="1075"/>
    <w:qFormat/>
    <w:uiPriority w:val="0"/>
    <w:pPr>
      <w:spacing w:before="60" w:after="60" w:line="300" w:lineRule="auto"/>
      <w:jc w:val="both"/>
    </w:pPr>
    <w:rPr>
      <w:rFonts w:ascii="华文中宋" w:hAnsi="华文中宋" w:eastAsia="华文中宋"/>
      <w:color w:val="000000"/>
      <w:spacing w:val="24"/>
      <w:kern w:val="2"/>
      <w:sz w:val="60"/>
    </w:rPr>
  </w:style>
  <w:style w:type="paragraph" w:customStyle="1" w:styleId="1077">
    <w:name w:val="节标签"/>
    <w:basedOn w:val="573"/>
    <w:next w:val="34"/>
    <w:qFormat/>
    <w:uiPriority w:val="0"/>
    <w:pPr>
      <w:keepNext/>
      <w:keepLines/>
      <w:spacing w:before="400" w:after="440" w:line="220" w:lineRule="atLeast"/>
    </w:pPr>
    <w:rPr>
      <w:rFonts w:ascii="Times New Roman" w:hAnsi="Times New Roman" w:eastAsia="宋体"/>
      <w:spacing w:val="-30"/>
      <w:kern w:val="28"/>
      <w:sz w:val="60"/>
      <w:szCs w:val="20"/>
    </w:rPr>
  </w:style>
  <w:style w:type="paragraph" w:customStyle="1" w:styleId="1078">
    <w:name w:val="附录表标题续表"/>
    <w:basedOn w:val="585"/>
    <w:next w:val="322"/>
    <w:qFormat/>
    <w:uiPriority w:val="0"/>
    <w:pPr>
      <w:tabs>
        <w:tab w:val="left" w:pos="210"/>
        <w:tab w:val="left" w:pos="420"/>
      </w:tabs>
      <w:spacing w:line="360" w:lineRule="auto"/>
    </w:pPr>
    <w:rPr>
      <w:rFonts w:ascii="宋体" w:hAnsi="宋体" w:eastAsia="宋体"/>
      <w:szCs w:val="20"/>
    </w:rPr>
  </w:style>
  <w:style w:type="paragraph" w:customStyle="1" w:styleId="1079">
    <w:name w:val="工程建设无节条标题"/>
    <w:basedOn w:val="1"/>
    <w:next w:val="322"/>
    <w:qFormat/>
    <w:uiPriority w:val="0"/>
    <w:pPr>
      <w:spacing w:line="240" w:lineRule="auto"/>
      <w:outlineLvl w:val="3"/>
    </w:pPr>
    <w:rPr>
      <w:sz w:val="21"/>
      <w:szCs w:val="20"/>
    </w:rPr>
  </w:style>
  <w:style w:type="paragraph" w:customStyle="1" w:styleId="1080">
    <w:name w:val="副标题1"/>
    <w:basedOn w:val="84"/>
    <w:next w:val="1"/>
    <w:link w:val="1081"/>
    <w:qFormat/>
    <w:uiPriority w:val="0"/>
    <w:pPr>
      <w:tabs>
        <w:tab w:val="clear" w:pos="0"/>
        <w:tab w:val="clear" w:pos="4423"/>
        <w:tab w:val="clear" w:pos="8845"/>
      </w:tabs>
      <w:spacing w:before="360" w:after="680" w:line="240" w:lineRule="auto"/>
      <w:ind w:firstLine="0" w:firstLineChars="0"/>
    </w:pPr>
    <w:rPr>
      <w:rFonts w:ascii="Arial" w:hAnsi="Arial"/>
      <w:b w:val="0"/>
      <w:bCs w:val="0"/>
      <w:color w:val="auto"/>
      <w:sz w:val="48"/>
      <w:szCs w:val="20"/>
    </w:rPr>
  </w:style>
  <w:style w:type="character" w:customStyle="1" w:styleId="1081">
    <w:name w:val="副标题 Char"/>
    <w:link w:val="1080"/>
    <w:qFormat/>
    <w:uiPriority w:val="0"/>
    <w:rPr>
      <w:rFonts w:ascii="Arial" w:hAnsi="Arial" w:eastAsia="黑体"/>
      <w:kern w:val="2"/>
      <w:sz w:val="48"/>
    </w:rPr>
  </w:style>
  <w:style w:type="paragraph" w:customStyle="1" w:styleId="1082">
    <w:name w:val="工程建设表标题"/>
    <w:basedOn w:val="905"/>
    <w:qFormat/>
    <w:uiPriority w:val="0"/>
    <w:pPr>
      <w:jc w:val="center"/>
      <w:outlineLvl w:val="4"/>
    </w:pPr>
  </w:style>
  <w:style w:type="paragraph" w:customStyle="1" w:styleId="1083">
    <w:name w:val="公式"/>
    <w:basedOn w:val="873"/>
    <w:qFormat/>
    <w:uiPriority w:val="0"/>
    <w:pPr>
      <w:tabs>
        <w:tab w:val="center" w:pos="4706"/>
        <w:tab w:val="right" w:pos="9412"/>
      </w:tabs>
    </w:pPr>
    <w:rPr>
      <w:rFonts w:ascii="Times New Roman" w:hAnsi="宋体"/>
    </w:rPr>
  </w:style>
  <w:style w:type="paragraph" w:customStyle="1" w:styleId="1084">
    <w:name w:val="样式 标题 3 + 段前: 0.1 行"/>
    <w:basedOn w:val="6"/>
    <w:qFormat/>
    <w:uiPriority w:val="0"/>
    <w:pPr>
      <w:numPr>
        <w:numId w:val="0"/>
      </w:numPr>
      <w:tabs>
        <w:tab w:val="left" w:pos="210"/>
      </w:tabs>
      <w:spacing w:beforeLines="10" w:line="312" w:lineRule="auto"/>
    </w:pPr>
    <w:rPr>
      <w:rFonts w:ascii="宋体" w:hAnsi="宋体" w:eastAsia="Times New Roman"/>
      <w:bCs w:val="0"/>
      <w:sz w:val="21"/>
      <w:szCs w:val="20"/>
    </w:rPr>
  </w:style>
  <w:style w:type="paragraph" w:customStyle="1" w:styleId="1085">
    <w:name w:val="术语定义三级条标题"/>
    <w:basedOn w:val="1046"/>
    <w:next w:val="322"/>
    <w:qFormat/>
    <w:uiPriority w:val="0"/>
  </w:style>
  <w:style w:type="paragraph" w:customStyle="1" w:styleId="1086">
    <w:name w:val="注释"/>
    <w:basedOn w:val="1"/>
    <w:qFormat/>
    <w:uiPriority w:val="0"/>
    <w:pPr>
      <w:spacing w:beforeLines="10" w:line="264" w:lineRule="auto"/>
      <w:ind w:left="400" w:leftChars="200" w:right="200" w:rightChars="200" w:hanging="200" w:hangingChars="200"/>
    </w:pPr>
    <w:rPr>
      <w:rFonts w:ascii="Arial" w:hAnsi="Arial"/>
      <w:sz w:val="21"/>
      <w:szCs w:val="20"/>
    </w:rPr>
  </w:style>
  <w:style w:type="paragraph" w:customStyle="1" w:styleId="1087">
    <w:name w:val="_列项接续1"/>
    <w:basedOn w:val="1088"/>
    <w:qFormat/>
    <w:uiPriority w:val="0"/>
    <w:pPr>
      <w:spacing w:after="0" w:line="276" w:lineRule="auto"/>
      <w:ind w:left="400" w:leftChars="400"/>
    </w:pPr>
    <w:rPr>
      <w:color w:val="000000"/>
    </w:rPr>
  </w:style>
  <w:style w:type="paragraph" w:customStyle="1" w:styleId="1088">
    <w:name w:val="列表接续1"/>
    <w:basedOn w:val="1"/>
    <w:qFormat/>
    <w:uiPriority w:val="0"/>
    <w:pPr>
      <w:spacing w:after="120" w:line="300" w:lineRule="auto"/>
      <w:ind w:left="420" w:leftChars="200"/>
    </w:pPr>
    <w:rPr>
      <w:sz w:val="21"/>
      <w:szCs w:val="20"/>
    </w:rPr>
  </w:style>
  <w:style w:type="paragraph" w:customStyle="1" w:styleId="1089">
    <w:name w:val="样式1 标题 2 + 段前: 0.1 行 + 宋体"/>
    <w:basedOn w:val="1"/>
    <w:qFormat/>
    <w:uiPriority w:val="0"/>
    <w:pPr>
      <w:tabs>
        <w:tab w:val="left" w:pos="500"/>
      </w:tabs>
      <w:spacing w:beforeLines="10" w:line="312" w:lineRule="auto"/>
    </w:pPr>
    <w:rPr>
      <w:sz w:val="21"/>
      <w:szCs w:val="20"/>
    </w:rPr>
  </w:style>
  <w:style w:type="paragraph" w:customStyle="1" w:styleId="1090">
    <w:name w:val="索引 81"/>
    <w:basedOn w:val="1"/>
    <w:next w:val="1"/>
    <w:qFormat/>
    <w:uiPriority w:val="0"/>
    <w:pPr>
      <w:spacing w:line="300" w:lineRule="auto"/>
      <w:ind w:left="2940"/>
    </w:pPr>
    <w:rPr>
      <w:rFonts w:ascii="Arial" w:hAnsi="Arial"/>
      <w:sz w:val="21"/>
      <w:szCs w:val="20"/>
    </w:rPr>
  </w:style>
  <w:style w:type="paragraph" w:customStyle="1" w:styleId="1091">
    <w:name w:val="样式 标题 5 + 段前: 0.15 行 段后: 0.15 行"/>
    <w:basedOn w:val="8"/>
    <w:qFormat/>
    <w:uiPriority w:val="0"/>
    <w:pPr>
      <w:numPr>
        <w:numId w:val="0"/>
      </w:numPr>
      <w:tabs>
        <w:tab w:val="left" w:pos="1134"/>
      </w:tabs>
      <w:adjustRightInd w:val="0"/>
      <w:snapToGrid w:val="0"/>
      <w:spacing w:before="36" w:after="36"/>
      <w:jc w:val="both"/>
    </w:pPr>
    <w:rPr>
      <w:rFonts w:ascii="Arial" w:hAnsi="Arial" w:eastAsia="黑体"/>
      <w:b w:val="0"/>
      <w:bCs w:val="0"/>
      <w:szCs w:val="20"/>
    </w:rPr>
  </w:style>
  <w:style w:type="paragraph" w:customStyle="1" w:styleId="1092">
    <w:name w:val="Style 三级条标题 + Before:  6 pt"/>
    <w:basedOn w:val="327"/>
    <w:qFormat/>
    <w:uiPriority w:val="0"/>
    <w:pPr>
      <w:tabs>
        <w:tab w:val="left" w:pos="1440"/>
        <w:tab w:val="clear" w:pos="360"/>
      </w:tabs>
    </w:pPr>
  </w:style>
  <w:style w:type="paragraph" w:customStyle="1" w:styleId="1093">
    <w:name w:val="样式 样式1 标题 1 + 段前: 0.7 行 段后: 0.7 行 + 段前: 1 行 段后: 1 行 + 段前: 0.7 行..."/>
    <w:basedOn w:val="1000"/>
    <w:qFormat/>
    <w:uiPriority w:val="0"/>
  </w:style>
  <w:style w:type="paragraph" w:customStyle="1" w:styleId="1094">
    <w:name w:val="样式 目录 2 + 段前: 0.15 行 段后: 0.15 行1"/>
    <w:basedOn w:val="74"/>
    <w:qFormat/>
    <w:uiPriority w:val="0"/>
    <w:pPr>
      <w:tabs>
        <w:tab w:val="left" w:pos="840"/>
        <w:tab w:val="left" w:pos="993"/>
        <w:tab w:val="right" w:leader="dot" w:pos="9344"/>
        <w:tab w:val="clear" w:pos="8495"/>
      </w:tabs>
      <w:snapToGrid w:val="0"/>
      <w:spacing w:beforeLines="15" w:afterLines="15" w:line="240" w:lineRule="auto"/>
      <w:ind w:left="100" w:leftChars="100" w:right="100" w:rightChars="100" w:firstLine="357" w:firstLineChars="170"/>
    </w:pPr>
    <w:rPr>
      <w:rFonts w:ascii="Arial" w:hAnsi="Arial"/>
      <w:kern w:val="0"/>
      <w:sz w:val="21"/>
    </w:rPr>
  </w:style>
  <w:style w:type="paragraph" w:customStyle="1" w:styleId="1095">
    <w:name w:val="列表接续 21"/>
    <w:basedOn w:val="1"/>
    <w:qFormat/>
    <w:uiPriority w:val="0"/>
    <w:pPr>
      <w:spacing w:beforeLines="10" w:line="312" w:lineRule="auto"/>
      <w:ind w:left="380" w:leftChars="380"/>
    </w:pPr>
    <w:rPr>
      <w:rFonts w:ascii="Arial" w:hAnsi="Arial"/>
      <w:sz w:val="21"/>
      <w:szCs w:val="20"/>
    </w:rPr>
  </w:style>
  <w:style w:type="paragraph" w:customStyle="1" w:styleId="1096">
    <w:name w:val="正文表标题续表"/>
    <w:basedOn w:val="639"/>
    <w:next w:val="322"/>
    <w:qFormat/>
    <w:uiPriority w:val="0"/>
    <w:pPr>
      <w:tabs>
        <w:tab w:val="left" w:pos="420"/>
      </w:tabs>
      <w:spacing w:line="360" w:lineRule="auto"/>
    </w:pPr>
    <w:rPr>
      <w:rFonts w:ascii="宋体" w:hAnsi="宋体" w:eastAsia="宋体"/>
      <w:kern w:val="0"/>
      <w:szCs w:val="20"/>
    </w:rPr>
  </w:style>
  <w:style w:type="paragraph" w:customStyle="1" w:styleId="1097">
    <w:name w:val="样式 样式 正文文本 2 + 段前: 0.1 行 + 悬挂缩进: 0.03 字符"/>
    <w:basedOn w:val="930"/>
    <w:qFormat/>
    <w:uiPriority w:val="0"/>
    <w:pPr>
      <w:ind w:hanging="6"/>
      <w:jc w:val="center"/>
    </w:pPr>
  </w:style>
  <w:style w:type="paragraph" w:customStyle="1" w:styleId="1098">
    <w:name w:val="编号列项（三级）"/>
    <w:qFormat/>
    <w:uiPriority w:val="0"/>
    <w:pPr>
      <w:widowControl w:val="0"/>
      <w:adjustRightInd w:val="0"/>
      <w:spacing w:line="360" w:lineRule="atLeast"/>
      <w:ind w:left="800" w:leftChars="600" w:hanging="200" w:hangingChars="200"/>
      <w:jc w:val="both"/>
      <w:textAlignment w:val="baseline"/>
    </w:pPr>
    <w:rPr>
      <w:rFonts w:ascii="宋体" w:hAnsi="Times New Roman" w:eastAsia="宋体" w:cs="Times New Roman"/>
      <w:sz w:val="21"/>
      <w:lang w:val="en-US" w:eastAsia="zh-CN" w:bidi="ar-SA"/>
    </w:rPr>
  </w:style>
  <w:style w:type="paragraph" w:customStyle="1" w:styleId="1099">
    <w:name w:val="列表 21"/>
    <w:basedOn w:val="1"/>
    <w:qFormat/>
    <w:uiPriority w:val="0"/>
    <w:pPr>
      <w:spacing w:line="360" w:lineRule="auto"/>
      <w:ind w:left="100" w:leftChars="200" w:hanging="200" w:hangingChars="200"/>
    </w:pPr>
    <w:rPr>
      <w:sz w:val="21"/>
      <w:szCs w:val="20"/>
    </w:rPr>
  </w:style>
  <w:style w:type="paragraph" w:customStyle="1" w:styleId="1100">
    <w:name w:val="样式1 正文文本 小五 + Times New Roman 段前: 0 行 行距: 多倍行距 1.15 字行"/>
    <w:basedOn w:val="864"/>
    <w:qFormat/>
    <w:uiPriority w:val="0"/>
    <w:pPr>
      <w:spacing w:afterLines="20" w:line="276" w:lineRule="auto"/>
      <w:jc w:val="center"/>
    </w:pPr>
    <w:rPr>
      <w:rFonts w:ascii="Times New Roman" w:hAnsi="Times New Roman"/>
      <w:sz w:val="18"/>
    </w:rPr>
  </w:style>
  <w:style w:type="paragraph" w:customStyle="1" w:styleId="1101">
    <w:name w:val="表"/>
    <w:basedOn w:val="1"/>
    <w:qFormat/>
    <w:uiPriority w:val="0"/>
    <w:pPr>
      <w:wordWrap w:val="0"/>
      <w:adjustRightInd w:val="0"/>
      <w:spacing w:beforeLines="10" w:after="120" w:line="180" w:lineRule="atLeast"/>
      <w:jc w:val="left"/>
      <w:textAlignment w:val="baseline"/>
    </w:pPr>
    <w:rPr>
      <w:rFonts w:ascii="细宋体" w:eastAsia="细宋体"/>
      <w:kern w:val="0"/>
      <w:szCs w:val="20"/>
    </w:rPr>
  </w:style>
  <w:style w:type="paragraph" w:customStyle="1" w:styleId="1102">
    <w:name w:val="样式 段前: 0.1 行2"/>
    <w:basedOn w:val="1"/>
    <w:qFormat/>
    <w:uiPriority w:val="0"/>
    <w:pPr>
      <w:spacing w:line="276" w:lineRule="auto"/>
    </w:pPr>
    <w:rPr>
      <w:sz w:val="21"/>
      <w:szCs w:val="20"/>
    </w:rPr>
  </w:style>
  <w:style w:type="paragraph" w:customStyle="1" w:styleId="1103">
    <w:name w:val="样式 段前: 0.1 行 左  4 字符"/>
    <w:basedOn w:val="1"/>
    <w:qFormat/>
    <w:uiPriority w:val="0"/>
    <w:pPr>
      <w:spacing w:beforeLines="10" w:line="300" w:lineRule="auto"/>
      <w:ind w:left="400" w:leftChars="400"/>
    </w:pPr>
    <w:rPr>
      <w:sz w:val="21"/>
      <w:szCs w:val="20"/>
    </w:rPr>
  </w:style>
  <w:style w:type="paragraph" w:customStyle="1" w:styleId="1104">
    <w:name w:val="索引 31"/>
    <w:basedOn w:val="1"/>
    <w:next w:val="1"/>
    <w:qFormat/>
    <w:uiPriority w:val="0"/>
    <w:pPr>
      <w:spacing w:line="300" w:lineRule="auto"/>
      <w:ind w:left="840"/>
    </w:pPr>
    <w:rPr>
      <w:rFonts w:ascii="Arial" w:hAnsi="Arial"/>
      <w:sz w:val="21"/>
      <w:szCs w:val="20"/>
    </w:rPr>
  </w:style>
  <w:style w:type="paragraph" w:customStyle="1" w:styleId="1105">
    <w:name w:val="索引 71"/>
    <w:basedOn w:val="1"/>
    <w:next w:val="1"/>
    <w:qFormat/>
    <w:uiPriority w:val="0"/>
    <w:pPr>
      <w:spacing w:line="300" w:lineRule="auto"/>
      <w:ind w:left="2520"/>
    </w:pPr>
    <w:rPr>
      <w:rFonts w:ascii="Arial" w:hAnsi="Arial"/>
      <w:sz w:val="21"/>
      <w:szCs w:val="20"/>
    </w:rPr>
  </w:style>
  <w:style w:type="paragraph" w:customStyle="1" w:styleId="1106">
    <w:name w:val="编号1"/>
    <w:basedOn w:val="1"/>
    <w:qFormat/>
    <w:uiPriority w:val="0"/>
    <w:pPr>
      <w:widowControl/>
      <w:tabs>
        <w:tab w:val="left" w:pos="964"/>
      </w:tabs>
      <w:spacing w:before="156" w:after="10" w:line="360" w:lineRule="auto"/>
      <w:jc w:val="left"/>
    </w:pPr>
    <w:rPr>
      <w:rFonts w:ascii="宋体" w:hAnsi="宋体"/>
      <w:kern w:val="0"/>
      <w:szCs w:val="20"/>
    </w:rPr>
  </w:style>
  <w:style w:type="paragraph" w:customStyle="1" w:styleId="1107">
    <w:name w:val="样式 首行缩进:  0 厘米 行距: 单倍行距"/>
    <w:basedOn w:val="1"/>
    <w:qFormat/>
    <w:uiPriority w:val="0"/>
    <w:pPr>
      <w:adjustRightInd w:val="0"/>
      <w:spacing w:line="240" w:lineRule="auto"/>
      <w:textAlignment w:val="baseline"/>
    </w:pPr>
    <w:rPr>
      <w:kern w:val="0"/>
      <w:sz w:val="21"/>
      <w:szCs w:val="20"/>
    </w:rPr>
  </w:style>
  <w:style w:type="paragraph" w:customStyle="1" w:styleId="1108">
    <w:name w:val="默认段落字体 Para Char Char Char Char"/>
    <w:basedOn w:val="1"/>
    <w:qFormat/>
    <w:uiPriority w:val="0"/>
    <w:pPr>
      <w:spacing w:line="240" w:lineRule="auto"/>
    </w:pPr>
    <w:rPr>
      <w:sz w:val="21"/>
      <w:szCs w:val="20"/>
    </w:rPr>
  </w:style>
  <w:style w:type="paragraph" w:customStyle="1" w:styleId="1109">
    <w:name w:val="公司名"/>
    <w:basedOn w:val="971"/>
    <w:qFormat/>
    <w:uiPriority w:val="0"/>
    <w:pPr>
      <w:spacing w:before="0"/>
    </w:pPr>
  </w:style>
  <w:style w:type="paragraph" w:customStyle="1" w:styleId="1110">
    <w:name w:val="样式1 标题 3 + 段前: 0.1 行 + 段前: 0.1 行 + 段前: 0.5 行 段后: 0.5 行"/>
    <w:basedOn w:val="976"/>
    <w:qFormat/>
    <w:uiPriority w:val="0"/>
    <w:pPr>
      <w:tabs>
        <w:tab w:val="left" w:pos="700"/>
        <w:tab w:val="clear" w:pos="210"/>
        <w:tab w:val="clear" w:pos="630"/>
        <w:tab w:val="clear" w:pos="720"/>
      </w:tabs>
      <w:spacing w:beforeLines="30" w:afterLines="30" w:line="240" w:lineRule="auto"/>
    </w:pPr>
    <w:rPr>
      <w:rFonts w:eastAsia="黑体"/>
      <w:b w:val="0"/>
    </w:rPr>
  </w:style>
  <w:style w:type="paragraph" w:customStyle="1" w:styleId="1111">
    <w:name w:val="样式 样式 段前: 0.1 行 首行缩进:  2 字符 + 首行缩进:  2 字符 段前: 0.1 行"/>
    <w:basedOn w:val="939"/>
    <w:qFormat/>
    <w:uiPriority w:val="0"/>
    <w:pPr>
      <w:spacing w:line="276" w:lineRule="auto"/>
      <w:ind w:firstLine="420"/>
    </w:pPr>
  </w:style>
  <w:style w:type="paragraph" w:customStyle="1" w:styleId="1112">
    <w:name w:val="样式 Times New Roman 段前: 0.1 行 行距: 多倍行距 1.25 字行"/>
    <w:basedOn w:val="1"/>
    <w:qFormat/>
    <w:uiPriority w:val="0"/>
    <w:pPr>
      <w:spacing w:line="276" w:lineRule="auto"/>
    </w:pPr>
    <w:rPr>
      <w:rFonts w:hAnsi="宋体"/>
      <w:sz w:val="21"/>
      <w:szCs w:val="20"/>
    </w:rPr>
  </w:style>
  <w:style w:type="paragraph" w:customStyle="1" w:styleId="1113">
    <w:name w:val="样式 标题 3标题 3 二级节二级节名条标题h33rd level3l3Level 3 HeadH3head...3"/>
    <w:basedOn w:val="6"/>
    <w:qFormat/>
    <w:uiPriority w:val="0"/>
    <w:pPr>
      <w:ind w:left="284"/>
    </w:pPr>
    <w:rPr>
      <w:rFonts w:ascii="宋体" w:hAnsi="宋体" w:cs="宋体"/>
      <w:szCs w:val="20"/>
    </w:rPr>
  </w:style>
  <w:style w:type="paragraph" w:customStyle="1" w:styleId="1114">
    <w:name w:val="样式 标题 3标题 3 二级节二级节名条标题h33rd level3l3Level 3 HeadH3head...4"/>
    <w:basedOn w:val="6"/>
    <w:qFormat/>
    <w:uiPriority w:val="0"/>
    <w:pPr>
      <w:ind w:left="284"/>
    </w:pPr>
    <w:rPr>
      <w:rFonts w:ascii="宋体" w:hAnsi="宋体" w:cs="宋体"/>
      <w:szCs w:val="20"/>
    </w:rPr>
  </w:style>
  <w:style w:type="paragraph" w:customStyle="1" w:styleId="1115">
    <w:name w:val="样式 标题 3标题 3 二级节二级节名条标题h33rd level3l3Level 3 HeadH3head...5"/>
    <w:basedOn w:val="6"/>
    <w:qFormat/>
    <w:uiPriority w:val="0"/>
    <w:pPr>
      <w:ind w:left="284"/>
    </w:pPr>
    <w:rPr>
      <w:rFonts w:ascii="宋体" w:hAnsi="宋体" w:cs="宋体"/>
      <w:szCs w:val="20"/>
    </w:rPr>
  </w:style>
  <w:style w:type="paragraph" w:customStyle="1" w:styleId="1116">
    <w:name w:val="批注框文本1"/>
    <w:basedOn w:val="1"/>
    <w:link w:val="1117"/>
    <w:qFormat/>
    <w:uiPriority w:val="0"/>
    <w:pPr>
      <w:spacing w:line="240" w:lineRule="auto"/>
    </w:pPr>
    <w:rPr>
      <w:sz w:val="18"/>
      <w:szCs w:val="20"/>
    </w:rPr>
  </w:style>
  <w:style w:type="character" w:customStyle="1" w:styleId="1117">
    <w:name w:val="批注框文本 Char"/>
    <w:link w:val="1116"/>
    <w:qFormat/>
    <w:uiPriority w:val="0"/>
    <w:rPr>
      <w:kern w:val="2"/>
      <w:sz w:val="18"/>
    </w:rPr>
  </w:style>
  <w:style w:type="paragraph" w:customStyle="1" w:styleId="1118">
    <w:name w:val="页脚1"/>
    <w:basedOn w:val="1"/>
    <w:link w:val="1119"/>
    <w:qFormat/>
    <w:uiPriority w:val="99"/>
    <w:pPr>
      <w:tabs>
        <w:tab w:val="center" w:pos="4153"/>
        <w:tab w:val="right" w:pos="8306"/>
      </w:tabs>
      <w:snapToGrid w:val="0"/>
      <w:spacing w:line="240" w:lineRule="auto"/>
      <w:jc w:val="left"/>
    </w:pPr>
    <w:rPr>
      <w:sz w:val="18"/>
      <w:szCs w:val="20"/>
    </w:rPr>
  </w:style>
  <w:style w:type="character" w:customStyle="1" w:styleId="1119">
    <w:name w:val="页脚 Char"/>
    <w:link w:val="1118"/>
    <w:qFormat/>
    <w:uiPriority w:val="99"/>
    <w:rPr>
      <w:kern w:val="2"/>
      <w:sz w:val="18"/>
    </w:rPr>
  </w:style>
  <w:style w:type="paragraph" w:customStyle="1" w:styleId="1120">
    <w:name w:val="标题1"/>
    <w:basedOn w:val="1"/>
    <w:link w:val="1121"/>
    <w:qFormat/>
    <w:uiPriority w:val="0"/>
    <w:pPr>
      <w:spacing w:before="240" w:after="60" w:line="240" w:lineRule="auto"/>
      <w:jc w:val="center"/>
      <w:outlineLvl w:val="0"/>
    </w:pPr>
    <w:rPr>
      <w:rFonts w:ascii="Cambria" w:hAnsi="Cambria"/>
      <w:b/>
      <w:kern w:val="0"/>
      <w:sz w:val="32"/>
      <w:szCs w:val="20"/>
    </w:rPr>
  </w:style>
  <w:style w:type="character" w:customStyle="1" w:styleId="1121">
    <w:name w:val="标题 Char"/>
    <w:link w:val="1120"/>
    <w:qFormat/>
    <w:uiPriority w:val="0"/>
    <w:rPr>
      <w:rFonts w:ascii="Cambria" w:hAnsi="Cambria"/>
      <w:b/>
      <w:sz w:val="32"/>
    </w:rPr>
  </w:style>
  <w:style w:type="paragraph" w:customStyle="1" w:styleId="1122">
    <w:name w:val="脚注文本1"/>
    <w:basedOn w:val="1"/>
    <w:link w:val="1123"/>
    <w:qFormat/>
    <w:uiPriority w:val="0"/>
    <w:pPr>
      <w:snapToGrid w:val="0"/>
      <w:spacing w:line="240" w:lineRule="auto"/>
      <w:jc w:val="left"/>
    </w:pPr>
    <w:rPr>
      <w:sz w:val="18"/>
      <w:szCs w:val="20"/>
    </w:rPr>
  </w:style>
  <w:style w:type="character" w:customStyle="1" w:styleId="1123">
    <w:name w:val="脚注文本 Char"/>
    <w:link w:val="1122"/>
    <w:qFormat/>
    <w:uiPriority w:val="0"/>
    <w:rPr>
      <w:kern w:val="2"/>
      <w:sz w:val="18"/>
    </w:rPr>
  </w:style>
  <w:style w:type="paragraph" w:customStyle="1" w:styleId="1124">
    <w:name w:val="批注文字1"/>
    <w:basedOn w:val="1"/>
    <w:link w:val="1125"/>
    <w:qFormat/>
    <w:uiPriority w:val="0"/>
    <w:pPr>
      <w:spacing w:line="240" w:lineRule="auto"/>
      <w:jc w:val="left"/>
    </w:pPr>
    <w:rPr>
      <w:sz w:val="21"/>
      <w:szCs w:val="20"/>
    </w:rPr>
  </w:style>
  <w:style w:type="character" w:customStyle="1" w:styleId="1125">
    <w:name w:val="批注文字 Char"/>
    <w:link w:val="1124"/>
    <w:qFormat/>
    <w:uiPriority w:val="0"/>
    <w:rPr>
      <w:kern w:val="2"/>
      <w:sz w:val="21"/>
    </w:rPr>
  </w:style>
  <w:style w:type="paragraph" w:customStyle="1" w:styleId="1126">
    <w:name w:val="尾注文本1"/>
    <w:basedOn w:val="1"/>
    <w:link w:val="1127"/>
    <w:qFormat/>
    <w:uiPriority w:val="0"/>
    <w:pPr>
      <w:snapToGrid w:val="0"/>
      <w:spacing w:line="240" w:lineRule="auto"/>
      <w:jc w:val="left"/>
    </w:pPr>
    <w:rPr>
      <w:sz w:val="21"/>
      <w:szCs w:val="20"/>
    </w:rPr>
  </w:style>
  <w:style w:type="character" w:customStyle="1" w:styleId="1127">
    <w:name w:val="尾注文本 Char"/>
    <w:link w:val="1126"/>
    <w:qFormat/>
    <w:uiPriority w:val="0"/>
    <w:rPr>
      <w:kern w:val="2"/>
      <w:sz w:val="21"/>
    </w:rPr>
  </w:style>
  <w:style w:type="paragraph" w:customStyle="1" w:styleId="1128">
    <w:name w:val="正文文本1"/>
    <w:basedOn w:val="1"/>
    <w:link w:val="1129"/>
    <w:qFormat/>
    <w:uiPriority w:val="0"/>
    <w:pPr>
      <w:spacing w:after="120" w:line="240" w:lineRule="auto"/>
    </w:pPr>
    <w:rPr>
      <w:kern w:val="0"/>
      <w:sz w:val="20"/>
      <w:szCs w:val="20"/>
    </w:rPr>
  </w:style>
  <w:style w:type="character" w:customStyle="1" w:styleId="1129">
    <w:name w:val="正文文本 Char"/>
    <w:link w:val="1128"/>
    <w:qFormat/>
    <w:uiPriority w:val="0"/>
  </w:style>
  <w:style w:type="paragraph" w:customStyle="1" w:styleId="1130">
    <w:name w:val="Char Char Char3 Char Char Char Char2"/>
    <w:basedOn w:val="1"/>
    <w:qFormat/>
    <w:uiPriority w:val="0"/>
    <w:pPr>
      <w:spacing w:line="360" w:lineRule="auto"/>
    </w:pPr>
    <w:rPr>
      <w:szCs w:val="20"/>
    </w:rPr>
  </w:style>
  <w:style w:type="paragraph" w:customStyle="1" w:styleId="1131">
    <w:name w:val="Char Char18"/>
    <w:basedOn w:val="1"/>
    <w:qFormat/>
    <w:uiPriority w:val="0"/>
    <w:pPr>
      <w:spacing w:line="400" w:lineRule="exact"/>
    </w:pPr>
    <w:rPr>
      <w:rFonts w:ascii="Tahoma" w:hAnsi="Tahoma"/>
      <w:szCs w:val="20"/>
    </w:rPr>
  </w:style>
  <w:style w:type="paragraph" w:customStyle="1" w:styleId="1132">
    <w:name w:val="Char Char Char3 Char Char Char Char3"/>
    <w:basedOn w:val="1"/>
    <w:qFormat/>
    <w:uiPriority w:val="0"/>
    <w:pPr>
      <w:spacing w:line="360" w:lineRule="auto"/>
    </w:pPr>
    <w:rPr>
      <w:szCs w:val="20"/>
    </w:rPr>
  </w:style>
  <w:style w:type="paragraph" w:customStyle="1" w:styleId="1133">
    <w:name w:val="无间隔11"/>
    <w:qFormat/>
    <w:uiPriority w:val="0"/>
    <w:pPr>
      <w:widowControl w:val="0"/>
      <w:jc w:val="both"/>
    </w:pPr>
    <w:rPr>
      <w:rFonts w:ascii="Calibri" w:hAnsi="Calibri" w:eastAsia="宋体" w:cs="Times New Roman"/>
      <w:kern w:val="2"/>
      <w:sz w:val="21"/>
      <w:lang w:val="en-US" w:eastAsia="zh-CN" w:bidi="ar-SA"/>
    </w:rPr>
  </w:style>
  <w:style w:type="paragraph" w:customStyle="1" w:styleId="1134">
    <w:name w:val="网格化正文"/>
    <w:basedOn w:val="1"/>
    <w:qFormat/>
    <w:uiPriority w:val="0"/>
    <w:pPr>
      <w:adjustRightInd w:val="0"/>
      <w:snapToGrid w:val="0"/>
      <w:spacing w:line="360" w:lineRule="auto"/>
      <w:ind w:firstLine="560" w:firstLineChars="200"/>
    </w:pPr>
    <w:rPr>
      <w:rFonts w:eastAsia="仿宋_GB2312"/>
      <w:sz w:val="28"/>
      <w:szCs w:val="28"/>
    </w:rPr>
  </w:style>
  <w:style w:type="paragraph" w:customStyle="1" w:styleId="1135">
    <w:name w:val="p15"/>
    <w:basedOn w:val="1"/>
    <w:qFormat/>
    <w:uiPriority w:val="0"/>
    <w:pPr>
      <w:widowControl/>
      <w:spacing w:line="360" w:lineRule="auto"/>
    </w:pPr>
    <w:rPr>
      <w:kern w:val="0"/>
      <w:sz w:val="28"/>
      <w:szCs w:val="20"/>
    </w:rPr>
  </w:style>
  <w:style w:type="paragraph" w:customStyle="1" w:styleId="1136">
    <w:name w:val="p17"/>
    <w:basedOn w:val="1"/>
    <w:qFormat/>
    <w:uiPriority w:val="0"/>
    <w:pPr>
      <w:widowControl/>
      <w:spacing w:line="240" w:lineRule="atLeast"/>
    </w:pPr>
    <w:rPr>
      <w:rFonts w:ascii="仿宋_GB2312" w:hAnsi="宋体" w:eastAsia="仿宋_GB2312" w:cs="宋体"/>
      <w:kern w:val="0"/>
      <w:sz w:val="32"/>
      <w:szCs w:val="32"/>
    </w:rPr>
  </w:style>
  <w:style w:type="paragraph" w:customStyle="1" w:styleId="1137">
    <w:name w:val="00图形"/>
    <w:basedOn w:val="1"/>
    <w:link w:val="1138"/>
    <w:qFormat/>
    <w:uiPriority w:val="0"/>
    <w:pPr>
      <w:keepNext/>
      <w:spacing w:line="240" w:lineRule="auto"/>
      <w:jc w:val="center"/>
    </w:pPr>
    <w:rPr>
      <w:sz w:val="28"/>
      <w:szCs w:val="20"/>
    </w:rPr>
  </w:style>
  <w:style w:type="character" w:customStyle="1" w:styleId="1138">
    <w:name w:val="00图形 Char"/>
    <w:link w:val="1137"/>
    <w:qFormat/>
    <w:uiPriority w:val="0"/>
    <w:rPr>
      <w:rFonts w:cs="宋体"/>
      <w:kern w:val="2"/>
      <w:sz w:val="28"/>
    </w:rPr>
  </w:style>
  <w:style w:type="paragraph" w:customStyle="1" w:styleId="1139">
    <w:name w:val="0图标题"/>
    <w:basedOn w:val="9"/>
    <w:qFormat/>
    <w:uiPriority w:val="0"/>
    <w:pPr>
      <w:spacing w:afterLines="50" w:afterAutospacing="0"/>
      <w:outlineLvl w:val="4"/>
    </w:pPr>
    <w:rPr>
      <w:rFonts w:cs="宋体"/>
      <w:szCs w:val="20"/>
    </w:rPr>
  </w:style>
  <w:style w:type="paragraph" w:customStyle="1" w:styleId="1140">
    <w:name w:val="0文本正文"/>
    <w:basedOn w:val="1"/>
    <w:link w:val="1141"/>
    <w:qFormat/>
    <w:uiPriority w:val="0"/>
    <w:pPr>
      <w:adjustRightInd w:val="0"/>
      <w:snapToGrid w:val="0"/>
      <w:spacing w:line="360" w:lineRule="auto"/>
      <w:ind w:firstLine="200" w:firstLineChars="200"/>
    </w:pPr>
    <w:rPr>
      <w:szCs w:val="20"/>
    </w:rPr>
  </w:style>
  <w:style w:type="character" w:customStyle="1" w:styleId="1141">
    <w:name w:val="0文本正文 Char"/>
    <w:link w:val="1140"/>
    <w:qFormat/>
    <w:uiPriority w:val="0"/>
    <w:rPr>
      <w:kern w:val="2"/>
      <w:sz w:val="24"/>
    </w:rPr>
  </w:style>
  <w:style w:type="paragraph" w:customStyle="1" w:styleId="1142">
    <w:name w:val="00小小节"/>
    <w:basedOn w:val="150"/>
    <w:qFormat/>
    <w:uiPriority w:val="0"/>
    <w:pPr>
      <w:outlineLvl w:val="3"/>
    </w:pPr>
    <w:rPr>
      <w:rFonts w:eastAsia="宋体" w:cs="宋体"/>
      <w:b/>
      <w:sz w:val="24"/>
    </w:rPr>
  </w:style>
  <w:style w:type="paragraph" w:customStyle="1" w:styleId="1143">
    <w:name w:val="标题 4+仿宋"/>
    <w:basedOn w:val="1"/>
    <w:qFormat/>
    <w:uiPriority w:val="0"/>
    <w:pPr>
      <w:keepNext/>
      <w:adjustRightInd w:val="0"/>
      <w:snapToGrid w:val="0"/>
      <w:spacing w:beforeLines="50" w:afterLines="50" w:line="360" w:lineRule="auto"/>
      <w:outlineLvl w:val="2"/>
    </w:pPr>
    <w:rPr>
      <w:rFonts w:eastAsia="仿宋"/>
      <w:b/>
      <w:sz w:val="28"/>
      <w:szCs w:val="28"/>
    </w:rPr>
  </w:style>
  <w:style w:type="paragraph" w:customStyle="1" w:styleId="1144">
    <w:name w:val="标题 2+仿宋"/>
    <w:basedOn w:val="1"/>
    <w:qFormat/>
    <w:uiPriority w:val="0"/>
    <w:pPr>
      <w:keepNext/>
      <w:adjustRightInd w:val="0"/>
      <w:snapToGrid w:val="0"/>
      <w:spacing w:beforeLines="50" w:afterLines="50" w:line="360" w:lineRule="auto"/>
      <w:outlineLvl w:val="1"/>
    </w:pPr>
    <w:rPr>
      <w:rFonts w:eastAsia="仿宋"/>
      <w:b/>
      <w:sz w:val="28"/>
      <w:szCs w:val="28"/>
    </w:rPr>
  </w:style>
  <w:style w:type="paragraph" w:customStyle="1" w:styleId="1145">
    <w:name w:val="标题5"/>
    <w:basedOn w:val="1"/>
    <w:qFormat/>
    <w:uiPriority w:val="0"/>
    <w:pPr>
      <w:keepNext/>
      <w:spacing w:afterLines="50" w:line="326" w:lineRule="auto"/>
      <w:outlineLvl w:val="4"/>
    </w:pPr>
    <w:rPr>
      <w:rFonts w:eastAsia="仿宋"/>
      <w:b/>
      <w:sz w:val="28"/>
      <w:szCs w:val="28"/>
    </w:rPr>
  </w:style>
  <w:style w:type="paragraph" w:customStyle="1" w:styleId="1146">
    <w:name w:val="Char Char Char Char Char Char Char Char Char1 Char Char Char Char Char Char Char Char Char Char"/>
    <w:basedOn w:val="1"/>
    <w:qFormat/>
    <w:uiPriority w:val="0"/>
    <w:pPr>
      <w:widowControl/>
      <w:spacing w:after="160" w:line="240" w:lineRule="exact"/>
      <w:jc w:val="left"/>
    </w:pPr>
    <w:rPr>
      <w:rFonts w:ascii="Verdana" w:hAnsi="Verdana" w:eastAsia="仿宋_GB2312"/>
      <w:kern w:val="0"/>
      <w:sz w:val="28"/>
      <w:szCs w:val="20"/>
      <w:lang w:eastAsia="en-US"/>
    </w:rPr>
  </w:style>
  <w:style w:type="paragraph" w:customStyle="1" w:styleId="1147">
    <w:name w:val="Char Char1 Char Char Char Char Char Char"/>
    <w:basedOn w:val="1"/>
    <w:qFormat/>
    <w:uiPriority w:val="0"/>
    <w:pPr>
      <w:widowControl/>
      <w:spacing w:after="160" w:line="240" w:lineRule="exact"/>
      <w:jc w:val="left"/>
    </w:pPr>
    <w:rPr>
      <w:rFonts w:ascii="Verdana" w:hAnsi="Verdana" w:eastAsia="仿宋_GB2312"/>
      <w:kern w:val="0"/>
      <w:szCs w:val="20"/>
      <w:lang w:eastAsia="en-US"/>
    </w:rPr>
  </w:style>
  <w:style w:type="paragraph" w:customStyle="1" w:styleId="1148">
    <w:name w:val="标题2+段前6磅  段后6磅"/>
    <w:basedOn w:val="1"/>
    <w:qFormat/>
    <w:uiPriority w:val="0"/>
    <w:pPr>
      <w:spacing w:line="360" w:lineRule="auto"/>
      <w:jc w:val="center"/>
      <w:outlineLvl w:val="5"/>
    </w:pPr>
    <w:rPr>
      <w:rFonts w:ascii="Tahoma" w:hAnsi="Tahoma"/>
      <w:sz w:val="28"/>
      <w:szCs w:val="20"/>
    </w:rPr>
  </w:style>
  <w:style w:type="paragraph" w:customStyle="1" w:styleId="1149">
    <w:name w:val="表文字"/>
    <w:basedOn w:val="1"/>
    <w:link w:val="1150"/>
    <w:qFormat/>
    <w:uiPriority w:val="0"/>
    <w:pPr>
      <w:widowControl/>
      <w:spacing w:line="240" w:lineRule="auto"/>
      <w:jc w:val="center"/>
    </w:pPr>
    <w:rPr>
      <w:kern w:val="0"/>
      <w:sz w:val="18"/>
      <w:szCs w:val="18"/>
    </w:rPr>
  </w:style>
  <w:style w:type="character" w:customStyle="1" w:styleId="1150">
    <w:name w:val="表文字 Char"/>
    <w:link w:val="1149"/>
    <w:qFormat/>
    <w:uiPriority w:val="0"/>
    <w:rPr>
      <w:sz w:val="18"/>
      <w:szCs w:val="18"/>
    </w:rPr>
  </w:style>
  <w:style w:type="paragraph" w:customStyle="1" w:styleId="1151">
    <w:name w:val="我的正文"/>
    <w:basedOn w:val="1"/>
    <w:link w:val="1152"/>
    <w:qFormat/>
    <w:uiPriority w:val="0"/>
    <w:pPr>
      <w:spacing w:line="360" w:lineRule="auto"/>
      <w:ind w:firstLine="200" w:firstLineChars="200"/>
      <w:textAlignment w:val="center"/>
    </w:pPr>
    <w:rPr>
      <w:rFonts w:eastAsia="仿宋_GB2312"/>
      <w:sz w:val="28"/>
      <w:szCs w:val="28"/>
    </w:rPr>
  </w:style>
  <w:style w:type="character" w:customStyle="1" w:styleId="1152">
    <w:name w:val="我的正文 Char"/>
    <w:link w:val="1151"/>
    <w:qFormat/>
    <w:uiPriority w:val="0"/>
    <w:rPr>
      <w:rFonts w:eastAsia="仿宋_GB2312"/>
      <w:kern w:val="2"/>
      <w:sz w:val="28"/>
      <w:szCs w:val="28"/>
    </w:rPr>
  </w:style>
  <w:style w:type="paragraph" w:customStyle="1" w:styleId="1153">
    <w:name w:val="图附五三"/>
    <w:basedOn w:val="22"/>
    <w:qFormat/>
    <w:uiPriority w:val="0"/>
    <w:pPr>
      <w:numPr>
        <w:ilvl w:val="0"/>
        <w:numId w:val="21"/>
      </w:numPr>
      <w:spacing w:beforeLines="100" w:afterLines="100" w:line="240" w:lineRule="auto"/>
    </w:pPr>
    <w:rPr>
      <w:rFonts w:ascii="Times New Roman" w:hAnsi="Times New Roman"/>
      <w:sz w:val="24"/>
    </w:rPr>
  </w:style>
  <w:style w:type="character" w:customStyle="1" w:styleId="1154">
    <w:name w:val="“上标”样式"/>
    <w:qFormat/>
    <w:uiPriority w:val="0"/>
    <w:rPr>
      <w:rFonts w:ascii="Times New Roman" w:hAnsi="Times New Roman" w:eastAsia="宋体"/>
      <w:sz w:val="24"/>
      <w:vertAlign w:val="superscript"/>
    </w:rPr>
  </w:style>
  <w:style w:type="character" w:customStyle="1" w:styleId="1155">
    <w:name w:val="标题 5 小标题2 Char"/>
    <w:qFormat/>
    <w:uiPriority w:val="0"/>
    <w:rPr>
      <w:b/>
      <w:bCs/>
      <w:kern w:val="2"/>
      <w:sz w:val="21"/>
      <w:szCs w:val="28"/>
    </w:rPr>
  </w:style>
  <w:style w:type="character" w:customStyle="1" w:styleId="1156">
    <w:name w:val="标题 5 小标题2 Char1"/>
    <w:qFormat/>
    <w:uiPriority w:val="0"/>
    <w:rPr>
      <w:b/>
      <w:bCs/>
      <w:kern w:val="2"/>
      <w:sz w:val="21"/>
      <w:szCs w:val="28"/>
    </w:rPr>
  </w:style>
  <w:style w:type="character" w:customStyle="1" w:styleId="1157">
    <w:name w:val="小标题3 Char Char1"/>
    <w:qFormat/>
    <w:uiPriority w:val="0"/>
    <w:rPr>
      <w:rFonts w:ascii="Times New Roman" w:hAnsi="Times New Roman"/>
      <w:b/>
      <w:bCs/>
      <w:kern w:val="2"/>
      <w:sz w:val="21"/>
      <w:szCs w:val="24"/>
    </w:rPr>
  </w:style>
  <w:style w:type="character" w:customStyle="1" w:styleId="1158">
    <w:name w:val="h Char2"/>
    <w:qFormat/>
    <w:uiPriority w:val="0"/>
    <w:rPr>
      <w:sz w:val="18"/>
      <w:szCs w:val="18"/>
    </w:rPr>
  </w:style>
  <w:style w:type="character" w:customStyle="1" w:styleId="1159">
    <w:name w:val="Char Char17"/>
    <w:qFormat/>
    <w:uiPriority w:val="0"/>
    <w:rPr>
      <w:sz w:val="18"/>
      <w:szCs w:val="18"/>
    </w:rPr>
  </w:style>
  <w:style w:type="character" w:customStyle="1" w:styleId="1160">
    <w:name w:val="h Char Char"/>
    <w:qFormat/>
    <w:uiPriority w:val="0"/>
    <w:rPr>
      <w:kern w:val="2"/>
      <w:sz w:val="18"/>
      <w:szCs w:val="18"/>
    </w:rPr>
  </w:style>
  <w:style w:type="character" w:customStyle="1" w:styleId="1161">
    <w:name w:val="正文缩进 Char4"/>
    <w:qFormat/>
    <w:uiPriority w:val="0"/>
    <w:rPr>
      <w:rFonts w:eastAsia="宋体"/>
      <w:kern w:val="2"/>
      <w:sz w:val="28"/>
      <w:szCs w:val="24"/>
      <w:lang w:val="en-US" w:eastAsia="zh-CN" w:bidi="ar-SA"/>
    </w:rPr>
  </w:style>
  <w:style w:type="character" w:customStyle="1" w:styleId="1162">
    <w:name w:val="题注 Char1"/>
    <w:qFormat/>
    <w:uiPriority w:val="0"/>
    <w:rPr>
      <w:rFonts w:ascii="仿宋_GB2312" w:hAnsi="宋体" w:eastAsia="仿宋_GB2312" w:cs="Arial"/>
      <w:kern w:val="2"/>
      <w:sz w:val="21"/>
      <w:szCs w:val="21"/>
      <w:lang w:val="en-US" w:eastAsia="zh-CN" w:bidi="ar-SA"/>
    </w:rPr>
  </w:style>
  <w:style w:type="character" w:customStyle="1" w:styleId="1163">
    <w:name w:val="shadow31"/>
    <w:qFormat/>
    <w:uiPriority w:val="0"/>
    <w:rPr>
      <w:rFonts w:eastAsia="仿宋_GB2312" w:cs="Arial"/>
      <w:kern w:val="2"/>
      <w:sz w:val="21"/>
      <w:szCs w:val="72"/>
      <w:lang w:val="en-US" w:eastAsia="zh-CN" w:bidi="ar-SA"/>
    </w:rPr>
  </w:style>
  <w:style w:type="character" w:customStyle="1" w:styleId="1164">
    <w:name w:val="14black11"/>
    <w:qFormat/>
    <w:uiPriority w:val="0"/>
    <w:rPr>
      <w:rFonts w:eastAsia="仿宋_GB2312" w:cs="Arial"/>
      <w:color w:val="000000"/>
      <w:kern w:val="2"/>
      <w:sz w:val="21"/>
      <w:szCs w:val="21"/>
      <w:u w:val="none"/>
      <w:lang w:val="en-US" w:eastAsia="zh-CN" w:bidi="ar-SA"/>
    </w:rPr>
  </w:style>
  <w:style w:type="character" w:customStyle="1" w:styleId="1165">
    <w:name w:val="MTEquationSection"/>
    <w:qFormat/>
    <w:uiPriority w:val="0"/>
    <w:rPr>
      <w:rFonts w:ascii="黑体" w:eastAsia="黑体" w:cs="Arial"/>
      <w:b/>
      <w:vanish/>
      <w:color w:val="FF0000"/>
      <w:kern w:val="2"/>
      <w:sz w:val="36"/>
      <w:szCs w:val="36"/>
      <w:lang w:val="en-US" w:eastAsia="zh-CN" w:bidi="ar-SA"/>
    </w:rPr>
  </w:style>
  <w:style w:type="character" w:customStyle="1" w:styleId="1166">
    <w:name w:val="Char Char19"/>
    <w:qFormat/>
    <w:uiPriority w:val="0"/>
    <w:rPr>
      <w:rFonts w:eastAsia="宋体" w:cs="Arial"/>
      <w:b/>
      <w:kern w:val="44"/>
      <w:sz w:val="44"/>
      <w:szCs w:val="72"/>
      <w:lang w:val="en-US" w:eastAsia="zh-CN" w:bidi="ar-SA"/>
    </w:rPr>
  </w:style>
  <w:style w:type="character" w:customStyle="1" w:styleId="1167">
    <w:name w:val="Char Char3"/>
    <w:qFormat/>
    <w:uiPriority w:val="0"/>
    <w:rPr>
      <w:rFonts w:hAnsi="宋体" w:eastAsia="仿宋_GB2312" w:cs="Arial"/>
      <w:color w:val="000000"/>
      <w:spacing w:val="4"/>
      <w:kern w:val="2"/>
      <w:sz w:val="24"/>
      <w:szCs w:val="24"/>
      <w:lang w:val="en-US" w:eastAsia="zh-CN" w:bidi="ar-SA"/>
    </w:rPr>
  </w:style>
  <w:style w:type="character" w:customStyle="1" w:styleId="1168">
    <w:name w:val="Char Char6"/>
    <w:qFormat/>
    <w:uiPriority w:val="0"/>
    <w:rPr>
      <w:rFonts w:hAnsi="宋体" w:eastAsia="仿宋_GB2312" w:cs="Arial"/>
      <w:b/>
      <w:color w:val="000000"/>
      <w:kern w:val="2"/>
      <w:sz w:val="28"/>
      <w:szCs w:val="32"/>
      <w:lang w:val="en-US" w:eastAsia="zh-CN" w:bidi="ar-SA"/>
    </w:rPr>
  </w:style>
  <w:style w:type="character" w:customStyle="1" w:styleId="1169">
    <w:name w:val="样式 宋体 四号"/>
    <w:qFormat/>
    <w:uiPriority w:val="0"/>
    <w:rPr>
      <w:rFonts w:ascii="宋体" w:hAnsi="宋体"/>
      <w:kern w:val="32"/>
      <w:sz w:val="24"/>
    </w:rPr>
  </w:style>
  <w:style w:type="character" w:customStyle="1" w:styleId="1170">
    <w:name w:val="cn1"/>
    <w:qFormat/>
    <w:uiPriority w:val="0"/>
    <w:rPr>
      <w:rFonts w:hint="default" w:ascii="ˎ̥" w:hAnsi="ˎ̥"/>
      <w:color w:val="333333"/>
      <w:sz w:val="18"/>
      <w:szCs w:val="18"/>
      <w:u w:val="none"/>
    </w:rPr>
  </w:style>
  <w:style w:type="character" w:customStyle="1" w:styleId="1171">
    <w:name w:val="样式7 Char Char"/>
    <w:qFormat/>
    <w:uiPriority w:val="0"/>
  </w:style>
  <w:style w:type="character" w:customStyle="1" w:styleId="1172">
    <w:name w:val="标题 3 Char2"/>
    <w:qFormat/>
    <w:uiPriority w:val="0"/>
    <w:rPr>
      <w:rFonts w:ascii="宋体" w:hAnsi="宋体"/>
      <w:b/>
      <w:bCs/>
      <w:kern w:val="2"/>
      <w:sz w:val="32"/>
      <w:szCs w:val="32"/>
    </w:rPr>
  </w:style>
  <w:style w:type="character" w:customStyle="1" w:styleId="1173">
    <w:name w:val="正文标准 Char Char Char Char Char Char Char Char Char Char Char"/>
    <w:qFormat/>
    <w:uiPriority w:val="0"/>
    <w:rPr>
      <w:rFonts w:ascii="Tahoma" w:hAnsi="Tahoma" w:eastAsia="宋体"/>
      <w:kern w:val="2"/>
      <w:sz w:val="24"/>
      <w:szCs w:val="24"/>
      <w:lang w:val="en-US" w:eastAsia="zh-CN" w:bidi="ar-SA"/>
    </w:rPr>
  </w:style>
  <w:style w:type="character" w:customStyle="1" w:styleId="1174">
    <w:name w:val="标题 22 Char Char"/>
    <w:qFormat/>
    <w:uiPriority w:val="0"/>
    <w:rPr>
      <w:rFonts w:ascii="宋体" w:hAnsi="宋体" w:eastAsia="黑体"/>
      <w:b/>
      <w:bCs/>
      <w:kern w:val="2"/>
      <w:sz w:val="32"/>
      <w:szCs w:val="32"/>
      <w:lang w:val="en-US" w:eastAsia="zh-CN" w:bidi="ar-SA"/>
    </w:rPr>
  </w:style>
  <w:style w:type="character" w:customStyle="1" w:styleId="1175">
    <w:name w:val="个人撰写风格"/>
    <w:qFormat/>
    <w:uiPriority w:val="0"/>
    <w:rPr>
      <w:rFonts w:ascii="Arial" w:hAnsi="Arial" w:eastAsia="宋体"/>
      <w:color w:val="auto"/>
      <w:sz w:val="20"/>
    </w:rPr>
  </w:style>
  <w:style w:type="character" w:customStyle="1" w:styleId="1176">
    <w:name w:val="lh151"/>
    <w:qFormat/>
    <w:uiPriority w:val="0"/>
  </w:style>
  <w:style w:type="character" w:customStyle="1" w:styleId="1177">
    <w:name w:val="图形标注 Char1"/>
    <w:qFormat/>
    <w:uiPriority w:val="0"/>
    <w:rPr>
      <w:rFonts w:eastAsia="仿宋_GB2312"/>
      <w:kern w:val="2"/>
      <w:sz w:val="21"/>
      <w:szCs w:val="24"/>
      <w:lang w:val="en-US" w:eastAsia="zh-CN" w:bidi="ar-SA"/>
    </w:rPr>
  </w:style>
  <w:style w:type="character" w:customStyle="1" w:styleId="1178">
    <w:name w:val="p7"/>
    <w:qFormat/>
    <w:uiPriority w:val="0"/>
  </w:style>
  <w:style w:type="character" w:customStyle="1" w:styleId="1179">
    <w:name w:val="g1b1"/>
    <w:qFormat/>
    <w:uiPriority w:val="0"/>
    <w:rPr>
      <w:rFonts w:hint="default" w:ascii="ˎ̥" w:hAnsi="ˎ̥"/>
      <w:color w:val="000000"/>
      <w:sz w:val="22"/>
      <w:szCs w:val="22"/>
      <w:u w:val="none"/>
    </w:rPr>
  </w:style>
  <w:style w:type="character" w:customStyle="1" w:styleId="1180">
    <w:name w:val="表格标题 Char Char"/>
    <w:qFormat/>
    <w:uiPriority w:val="0"/>
    <w:rPr>
      <w:rFonts w:eastAsia="宋体"/>
      <w:kern w:val="2"/>
      <w:sz w:val="21"/>
      <w:szCs w:val="28"/>
      <w:lang w:val="en-US" w:eastAsia="zh-CN" w:bidi="ar-SA"/>
    </w:rPr>
  </w:style>
  <w:style w:type="character" w:customStyle="1" w:styleId="1181">
    <w:name w:val="正文标准 Char Char Char Char Char"/>
    <w:qFormat/>
    <w:uiPriority w:val="0"/>
    <w:rPr>
      <w:rFonts w:ascii="Verdana" w:hAnsi="Verdana" w:eastAsia="宋体"/>
      <w:kern w:val="2"/>
      <w:sz w:val="28"/>
      <w:szCs w:val="24"/>
      <w:lang w:val="en-US" w:eastAsia="zh-CN" w:bidi="ar-SA"/>
    </w:rPr>
  </w:style>
  <w:style w:type="character" w:customStyle="1" w:styleId="1182">
    <w:name w:val="mlt-四号正文 Char Char"/>
    <w:qFormat/>
    <w:uiPriority w:val="0"/>
    <w:rPr>
      <w:rFonts w:ascii="Verdana" w:hAnsi="Verdana" w:eastAsia="宋体"/>
      <w:kern w:val="2"/>
      <w:sz w:val="28"/>
      <w:szCs w:val="30"/>
      <w:lang w:val="en-US" w:eastAsia="zh-CN" w:bidi="ar-SA"/>
    </w:rPr>
  </w:style>
  <w:style w:type="character" w:customStyle="1" w:styleId="1183">
    <w:name w:val="Plain Text Char Char Char Char Char"/>
    <w:qFormat/>
    <w:uiPriority w:val="0"/>
    <w:rPr>
      <w:rFonts w:ascii="宋体" w:hAnsi="Courier New" w:eastAsia="宋体"/>
      <w:kern w:val="2"/>
      <w:sz w:val="21"/>
      <w:lang w:val="en-US" w:eastAsia="zh-CN"/>
    </w:rPr>
  </w:style>
  <w:style w:type="character" w:customStyle="1" w:styleId="1184">
    <w:name w:val="正文标准 Char C"/>
    <w:qFormat/>
    <w:uiPriority w:val="0"/>
    <w:rPr>
      <w:rFonts w:ascii="Tahoma" w:hAnsi="Tahoma" w:eastAsia="宋体"/>
      <w:kern w:val="2"/>
      <w:sz w:val="24"/>
      <w:szCs w:val="24"/>
      <w:lang w:val="en-US" w:eastAsia="zh-CN" w:bidi="ar-SA"/>
    </w:rPr>
  </w:style>
  <w:style w:type="character" w:customStyle="1" w:styleId="1185">
    <w:name w:val="标题 4 Char2"/>
    <w:qFormat/>
    <w:uiPriority w:val="0"/>
    <w:rPr>
      <w:rFonts w:ascii="Arial" w:hAnsi="Arial" w:eastAsia="宋体"/>
      <w:b/>
      <w:kern w:val="2"/>
      <w:sz w:val="28"/>
      <w:szCs w:val="28"/>
      <w:lang w:val="en-US" w:eastAsia="zh-CN" w:bidi="ar-SA"/>
    </w:rPr>
  </w:style>
  <w:style w:type="character" w:customStyle="1" w:styleId="1186">
    <w:name w:val="Char Char16"/>
    <w:qFormat/>
    <w:uiPriority w:val="0"/>
    <w:rPr>
      <w:kern w:val="2"/>
      <w:sz w:val="18"/>
      <w:szCs w:val="18"/>
    </w:rPr>
  </w:style>
  <w:style w:type="character" w:customStyle="1" w:styleId="1187">
    <w:name w:val="表格图标题 Char2"/>
    <w:qFormat/>
    <w:uiPriority w:val="0"/>
    <w:rPr>
      <w:rFonts w:ascii="宋体" w:hAnsi="宋体" w:eastAsia="宋体"/>
      <w:iCs/>
      <w:sz w:val="21"/>
      <w:szCs w:val="24"/>
      <w:lang w:val="en-US" w:eastAsia="zh-CN" w:bidi="ar-SA"/>
    </w:rPr>
  </w:style>
  <w:style w:type="character" w:customStyle="1" w:styleId="1188">
    <w:name w:val="节标题 Char1"/>
    <w:qFormat/>
    <w:uiPriority w:val="0"/>
    <w:rPr>
      <w:rFonts w:eastAsia="宋体"/>
      <w:b/>
      <w:kern w:val="2"/>
      <w:sz w:val="32"/>
      <w:szCs w:val="32"/>
      <w:lang w:val="en-US" w:eastAsia="zh-CN" w:bidi="ar-SA"/>
    </w:rPr>
  </w:style>
  <w:style w:type="character" w:customStyle="1" w:styleId="1189">
    <w:name w:val="个人答复风格"/>
    <w:qFormat/>
    <w:uiPriority w:val="0"/>
    <w:rPr>
      <w:rFonts w:ascii="Arial" w:hAnsi="Arial" w:eastAsia="宋体"/>
      <w:color w:val="auto"/>
      <w:sz w:val="20"/>
    </w:rPr>
  </w:style>
  <w:style w:type="character" w:customStyle="1" w:styleId="1190">
    <w:name w:val="postbody"/>
    <w:qFormat/>
    <w:uiPriority w:val="0"/>
  </w:style>
  <w:style w:type="character" w:customStyle="1" w:styleId="1191">
    <w:name w:val="附表 Char Char"/>
    <w:qFormat/>
    <w:uiPriority w:val="0"/>
    <w:rPr>
      <w:rFonts w:eastAsia="黑体"/>
      <w:kern w:val="2"/>
      <w:sz w:val="32"/>
      <w:szCs w:val="24"/>
      <w:lang w:val="en-US" w:eastAsia="zh-CN" w:bidi="ar-SA"/>
    </w:rPr>
  </w:style>
  <w:style w:type="character" w:customStyle="1" w:styleId="1192">
    <w:name w:val="表格标注 Char Char"/>
    <w:qFormat/>
    <w:uiPriority w:val="0"/>
    <w:rPr>
      <w:rFonts w:eastAsia="宋体"/>
      <w:kern w:val="2"/>
      <w:sz w:val="21"/>
      <w:szCs w:val="24"/>
      <w:lang w:val="en-US" w:eastAsia="zh-CN" w:bidi="ar-SA"/>
    </w:rPr>
  </w:style>
  <w:style w:type="character" w:customStyle="1" w:styleId="1193">
    <w:name w:val="white1"/>
    <w:qFormat/>
    <w:uiPriority w:val="0"/>
    <w:rPr>
      <w:color w:val="FFFFFF"/>
      <w:sz w:val="18"/>
      <w:szCs w:val="18"/>
      <w:u w:val="none"/>
    </w:rPr>
  </w:style>
  <w:style w:type="character" w:customStyle="1" w:styleId="1194">
    <w:name w:val="样式 表格内容 + 仿宋_GB23122 Char Char"/>
    <w:qFormat/>
    <w:uiPriority w:val="0"/>
    <w:rPr>
      <w:rFonts w:ascii="仿宋_GB2312" w:hAnsi="仿宋_GB2312" w:eastAsia="仿宋_GB2312"/>
      <w:kern w:val="2"/>
      <w:sz w:val="21"/>
      <w:szCs w:val="24"/>
      <w:lang w:val="en-US" w:eastAsia="zh-CN" w:bidi="ar-SA"/>
    </w:rPr>
  </w:style>
  <w:style w:type="character" w:customStyle="1" w:styleId="1195">
    <w:name w:val="文档结构图 Char Char"/>
    <w:qFormat/>
    <w:uiPriority w:val="0"/>
    <w:rPr>
      <w:rFonts w:ascii="Tahoma" w:hAnsi="Tahoma" w:eastAsia="楷体_GB2312"/>
      <w:kern w:val="2"/>
      <w:sz w:val="21"/>
      <w:szCs w:val="24"/>
      <w:lang w:val="en-US" w:eastAsia="zh-CN" w:bidi="ar-SA"/>
    </w:rPr>
  </w:style>
  <w:style w:type="character" w:customStyle="1" w:styleId="1196">
    <w:name w:val="style61"/>
    <w:qFormat/>
    <w:uiPriority w:val="0"/>
    <w:rPr>
      <w:color w:val="333333"/>
    </w:rPr>
  </w:style>
  <w:style w:type="character" w:customStyle="1" w:styleId="1197">
    <w:name w:val="正文文本缩进 2 Char Char"/>
    <w:qFormat/>
    <w:uiPriority w:val="0"/>
    <w:rPr>
      <w:rFonts w:eastAsia="宋体"/>
      <w:sz w:val="24"/>
      <w:lang w:val="en-US" w:eastAsia="zh-CN" w:bidi="ar-SA"/>
    </w:rPr>
  </w:style>
  <w:style w:type="character" w:customStyle="1" w:styleId="1198">
    <w:name w:val="图形 Char Char"/>
    <w:qFormat/>
    <w:uiPriority w:val="0"/>
    <w:rPr>
      <w:rFonts w:eastAsia="仿宋_GB2312"/>
      <w:kern w:val="2"/>
      <w:sz w:val="30"/>
      <w:szCs w:val="24"/>
    </w:rPr>
  </w:style>
  <w:style w:type="character" w:customStyle="1" w:styleId="1199">
    <w:name w:val="表格内容 Char Char Char Char Char"/>
    <w:qFormat/>
    <w:uiPriority w:val="0"/>
    <w:rPr>
      <w:rFonts w:ascii="宋体" w:hAnsi="宋体" w:eastAsia="仿宋_GB2312"/>
      <w:kern w:val="2"/>
      <w:sz w:val="21"/>
      <w:szCs w:val="24"/>
      <w:lang w:val="en-US" w:eastAsia="zh-CN" w:bidi="ar-SA"/>
    </w:rPr>
  </w:style>
  <w:style w:type="character" w:customStyle="1" w:styleId="1200">
    <w:name w:val="unnamed11"/>
    <w:qFormat/>
    <w:uiPriority w:val="0"/>
    <w:rPr>
      <w:sz w:val="18"/>
      <w:szCs w:val="18"/>
      <w:u w:val="none"/>
    </w:rPr>
  </w:style>
  <w:style w:type="character" w:customStyle="1" w:styleId="1201">
    <w:name w:val="标题 2 Char1"/>
    <w:qFormat/>
    <w:uiPriority w:val="0"/>
    <w:rPr>
      <w:rFonts w:ascii="宋体" w:hAnsi="宋体"/>
      <w:b/>
      <w:kern w:val="2"/>
      <w:sz w:val="28"/>
    </w:rPr>
  </w:style>
  <w:style w:type="character" w:customStyle="1" w:styleId="1202">
    <w:name w:val="表格内容 Char Char Char Char"/>
    <w:qFormat/>
    <w:uiPriority w:val="0"/>
    <w:rPr>
      <w:rFonts w:eastAsia="仿宋_GB2312"/>
      <w:kern w:val="2"/>
      <w:sz w:val="21"/>
      <w:szCs w:val="24"/>
    </w:rPr>
  </w:style>
  <w:style w:type="character" w:customStyle="1" w:styleId="1203">
    <w:name w:val="zi style2"/>
    <w:qFormat/>
    <w:uiPriority w:val="0"/>
  </w:style>
  <w:style w:type="character" w:customStyle="1" w:styleId="1204">
    <w:name w:val="正文缩进 Char3"/>
    <w:qFormat/>
    <w:uiPriority w:val="0"/>
    <w:rPr>
      <w:rFonts w:eastAsia="宋体"/>
      <w:kern w:val="2"/>
      <w:sz w:val="28"/>
      <w:szCs w:val="28"/>
      <w:lang w:val="en-US" w:eastAsia="zh-CN" w:bidi="ar-SA"/>
    </w:rPr>
  </w:style>
  <w:style w:type="character" w:customStyle="1" w:styleId="1205">
    <w:name w:val="链接"/>
    <w:qFormat/>
    <w:uiPriority w:val="0"/>
    <w:rPr>
      <w:color w:val="0000FF"/>
      <w:sz w:val="21"/>
      <w:szCs w:val="21"/>
      <w:u w:val="single"/>
      <w:lang w:val="zh-CN" w:eastAsia="zh-CN"/>
    </w:rPr>
  </w:style>
  <w:style w:type="character" w:customStyle="1" w:styleId="1206">
    <w:name w:val="纯文本 Char Char"/>
    <w:qFormat/>
    <w:uiPriority w:val="0"/>
    <w:rPr>
      <w:rFonts w:ascii="宋体" w:hAnsi="Courier New" w:eastAsia="宋体" w:cs="Courier New"/>
      <w:kern w:val="2"/>
      <w:sz w:val="21"/>
      <w:szCs w:val="21"/>
      <w:lang w:val="en-US" w:eastAsia="zh-CN" w:bidi="ar-SA"/>
    </w:rPr>
  </w:style>
  <w:style w:type="character" w:customStyle="1" w:styleId="1207">
    <w:name w:val="发布"/>
    <w:qFormat/>
    <w:uiPriority w:val="0"/>
    <w:rPr>
      <w:rFonts w:ascii="黑体" w:eastAsia="黑体"/>
      <w:spacing w:val="22"/>
      <w:w w:val="100"/>
      <w:position w:val="3"/>
      <w:sz w:val="28"/>
    </w:rPr>
  </w:style>
  <w:style w:type="character" w:customStyle="1" w:styleId="1208">
    <w:name w:val="标题 4 Char3"/>
    <w:qFormat/>
    <w:uiPriority w:val="0"/>
    <w:rPr>
      <w:rFonts w:ascii="Cambria" w:hAnsi="Cambria"/>
      <w:b/>
      <w:bCs/>
      <w:kern w:val="2"/>
      <w:sz w:val="28"/>
      <w:szCs w:val="28"/>
    </w:rPr>
  </w:style>
  <w:style w:type="character" w:customStyle="1" w:styleId="1209">
    <w:name w:val="postbody1"/>
    <w:qFormat/>
    <w:uiPriority w:val="0"/>
    <w:rPr>
      <w:sz w:val="18"/>
      <w:szCs w:val="18"/>
    </w:rPr>
  </w:style>
  <w:style w:type="character" w:customStyle="1" w:styleId="1210">
    <w:name w:val="标题 7 Char1"/>
    <w:qFormat/>
    <w:uiPriority w:val="0"/>
    <w:rPr>
      <w:rFonts w:ascii="宋体" w:hAnsi="宋体"/>
      <w:b/>
      <w:kern w:val="2"/>
      <w:sz w:val="28"/>
      <w:szCs w:val="24"/>
    </w:rPr>
  </w:style>
  <w:style w:type="character" w:customStyle="1" w:styleId="1211">
    <w:name w:val="样式 表格内容 + 仿宋_GB23121 Char Char"/>
    <w:qFormat/>
    <w:uiPriority w:val="0"/>
    <w:rPr>
      <w:rFonts w:ascii="仿宋_GB2312" w:hAnsi="仿宋_GB2312" w:eastAsia="仿宋_GB2312"/>
      <w:kern w:val="2"/>
      <w:sz w:val="21"/>
      <w:szCs w:val="24"/>
      <w:lang w:val="en-US" w:eastAsia="zh-CN" w:bidi="ar-SA"/>
    </w:rPr>
  </w:style>
  <w:style w:type="character" w:customStyle="1" w:styleId="1212">
    <w:name w:val="lan91"/>
    <w:qFormat/>
    <w:uiPriority w:val="0"/>
    <w:rPr>
      <w:rFonts w:hint="default" w:ascii="ˎ̥" w:hAnsi="ˎ̥" w:eastAsia="宋体"/>
      <w:kern w:val="2"/>
      <w:sz w:val="18"/>
      <w:szCs w:val="18"/>
      <w:u w:val="none"/>
      <w:lang w:val="en-US" w:eastAsia="zh-CN" w:bidi="ar-SA"/>
    </w:rPr>
  </w:style>
  <w:style w:type="character" w:customStyle="1" w:styleId="1213">
    <w:name w:val="h141"/>
    <w:qFormat/>
    <w:uiPriority w:val="0"/>
    <w:rPr>
      <w:rFonts w:hint="default"/>
      <w:sz w:val="21"/>
      <w:szCs w:val="21"/>
    </w:rPr>
  </w:style>
  <w:style w:type="character" w:customStyle="1" w:styleId="1214">
    <w:name w:val="text1"/>
    <w:qFormat/>
    <w:uiPriority w:val="0"/>
  </w:style>
  <w:style w:type="character" w:customStyle="1" w:styleId="1215">
    <w:name w:val="slink1"/>
    <w:qFormat/>
    <w:uiPriority w:val="0"/>
    <w:rPr>
      <w:rFonts w:hint="default" w:ascii="ˎ̥" w:hAnsi="ˎ̥"/>
      <w:sz w:val="18"/>
      <w:szCs w:val="18"/>
      <w:u w:val="none"/>
    </w:rPr>
  </w:style>
  <w:style w:type="character" w:customStyle="1" w:styleId="1216">
    <w:name w:val="样式 正文缩进正文标准正文标准 Char Char正文标准 Char正文不缩进表正文正文非缩进段1四号Body...10 Char Char"/>
    <w:qFormat/>
    <w:uiPriority w:val="0"/>
    <w:rPr>
      <w:rFonts w:eastAsia="仿宋_GB2312" w:cs="宋体"/>
      <w:kern w:val="2"/>
      <w:sz w:val="30"/>
      <w:szCs w:val="28"/>
    </w:rPr>
  </w:style>
  <w:style w:type="character" w:customStyle="1" w:styleId="1217">
    <w:name w:val="样式8 Char Char"/>
    <w:qFormat/>
    <w:uiPriority w:val="0"/>
  </w:style>
  <w:style w:type="character" w:customStyle="1" w:styleId="1218">
    <w:name w:val="缩进正文 Char Char"/>
    <w:qFormat/>
    <w:uiPriority w:val="0"/>
    <w:rPr>
      <w:rFonts w:ascii="宋体" w:hAnsi="宋体" w:eastAsia="宋体" w:cs="宋体"/>
      <w:kern w:val="2"/>
      <w:sz w:val="28"/>
      <w:szCs w:val="28"/>
      <w:lang w:val="en-US" w:eastAsia="zh-CN" w:bidi="ar-SA"/>
    </w:rPr>
  </w:style>
  <w:style w:type="character" w:customStyle="1" w:styleId="1219">
    <w:name w:val="t_h121"/>
    <w:qFormat/>
    <w:uiPriority w:val="0"/>
    <w:rPr>
      <w:color w:val="999999"/>
      <w:sz w:val="12"/>
      <w:szCs w:val="12"/>
      <w:u w:val="none"/>
    </w:rPr>
  </w:style>
  <w:style w:type="character" w:customStyle="1" w:styleId="1220">
    <w:name w:val="小标题2 Char1"/>
    <w:qFormat/>
    <w:uiPriority w:val="0"/>
    <w:rPr>
      <w:rFonts w:ascii="宋体" w:hAnsi="宋体" w:eastAsia="宋体"/>
      <w:b/>
      <w:kern w:val="2"/>
      <w:sz w:val="28"/>
      <w:szCs w:val="24"/>
      <w:lang w:val="en-US" w:eastAsia="zh-CN" w:bidi="ar-SA"/>
    </w:rPr>
  </w:style>
  <w:style w:type="character" w:customStyle="1" w:styleId="1221">
    <w:name w:val="图形标注 Char2"/>
    <w:qFormat/>
    <w:uiPriority w:val="0"/>
    <w:rPr>
      <w:rFonts w:eastAsia="宋体"/>
      <w:kern w:val="2"/>
      <w:sz w:val="21"/>
      <w:szCs w:val="28"/>
      <w:lang w:val="en-US" w:eastAsia="zh-CN" w:bidi="ar-SA"/>
    </w:rPr>
  </w:style>
  <w:style w:type="character" w:customStyle="1" w:styleId="1222">
    <w:name w:val="text11"/>
    <w:qFormat/>
    <w:uiPriority w:val="0"/>
    <w:rPr>
      <w:color w:val="000000"/>
      <w:sz w:val="20"/>
      <w:szCs w:val="20"/>
    </w:rPr>
  </w:style>
  <w:style w:type="character" w:customStyle="1" w:styleId="1223">
    <w:name w:val="小标题3 Char Char"/>
    <w:qFormat/>
    <w:uiPriority w:val="0"/>
    <w:rPr>
      <w:rFonts w:eastAsia="仿宋_GB2312"/>
      <w:kern w:val="2"/>
      <w:sz w:val="30"/>
      <w:szCs w:val="24"/>
    </w:rPr>
  </w:style>
  <w:style w:type="character" w:customStyle="1" w:styleId="1224">
    <w:name w:val="样式6 Char Char"/>
    <w:qFormat/>
    <w:uiPriority w:val="0"/>
    <w:rPr>
      <w:rFonts w:ascii="仿宋_GB2312" w:hAnsi="仿宋_GB2312" w:eastAsia="仿宋_GB2312"/>
      <w:kern w:val="2"/>
      <w:sz w:val="30"/>
      <w:szCs w:val="24"/>
      <w:lang w:val="en-US" w:eastAsia="zh-CN" w:bidi="ar-SA"/>
    </w:rPr>
  </w:style>
  <w:style w:type="character" w:customStyle="1" w:styleId="1225">
    <w:name w:val="表格字体2 Char Char"/>
    <w:qFormat/>
    <w:uiPriority w:val="0"/>
    <w:rPr>
      <w:rFonts w:ascii="宋体" w:eastAsia="宋体"/>
      <w:bCs/>
      <w:snapToGrid w:val="0"/>
      <w:kern w:val="6"/>
      <w:sz w:val="21"/>
      <w:szCs w:val="21"/>
      <w:lang w:val="en-US" w:eastAsia="zh-CN" w:bidi="ar-SA"/>
    </w:rPr>
  </w:style>
  <w:style w:type="character" w:customStyle="1" w:styleId="1226">
    <w:name w:val="文档结构图 Char1"/>
    <w:qFormat/>
    <w:uiPriority w:val="99"/>
    <w:rPr>
      <w:rFonts w:ascii="宋体" w:hAnsi="宋体"/>
      <w:kern w:val="2"/>
      <w:sz w:val="18"/>
      <w:szCs w:val="18"/>
    </w:rPr>
  </w:style>
  <w:style w:type="character" w:customStyle="1" w:styleId="1227">
    <w:name w:val="日期 Char1"/>
    <w:qFormat/>
    <w:uiPriority w:val="0"/>
    <w:rPr>
      <w:rFonts w:ascii="宋体" w:hAnsi="宋体"/>
      <w:kern w:val="2"/>
      <w:sz w:val="24"/>
    </w:rPr>
  </w:style>
  <w:style w:type="character" w:customStyle="1" w:styleId="1228">
    <w:name w:val="页脚 Char1"/>
    <w:qFormat/>
    <w:uiPriority w:val="99"/>
    <w:rPr>
      <w:rFonts w:ascii="宋体" w:hAnsi="宋体"/>
      <w:kern w:val="2"/>
      <w:sz w:val="18"/>
      <w:szCs w:val="18"/>
    </w:rPr>
  </w:style>
  <w:style w:type="character" w:customStyle="1" w:styleId="1229">
    <w:name w:val="正文文本 Char1"/>
    <w:qFormat/>
    <w:uiPriority w:val="0"/>
    <w:rPr>
      <w:rFonts w:ascii="宋体" w:hAnsi="宋体"/>
      <w:kern w:val="2"/>
      <w:sz w:val="24"/>
    </w:rPr>
  </w:style>
  <w:style w:type="character" w:customStyle="1" w:styleId="1230">
    <w:name w:val="标题 Char1"/>
    <w:qFormat/>
    <w:uiPriority w:val="10"/>
    <w:rPr>
      <w:rFonts w:ascii="Cambria" w:hAnsi="Cambria" w:cs="Times New Roman"/>
      <w:b/>
      <w:bCs/>
      <w:kern w:val="2"/>
      <w:sz w:val="32"/>
      <w:szCs w:val="32"/>
    </w:rPr>
  </w:style>
  <w:style w:type="character" w:customStyle="1" w:styleId="1231">
    <w:name w:val="正文文本缩进 2 Char1"/>
    <w:qFormat/>
    <w:uiPriority w:val="0"/>
    <w:rPr>
      <w:rFonts w:ascii="宋体" w:hAnsi="宋体"/>
      <w:kern w:val="2"/>
      <w:sz w:val="24"/>
    </w:rPr>
  </w:style>
  <w:style w:type="character" w:customStyle="1" w:styleId="1232">
    <w:name w:val="正文文本缩进 Char1"/>
    <w:semiHidden/>
    <w:qFormat/>
    <w:uiPriority w:val="99"/>
    <w:rPr>
      <w:rFonts w:ascii="宋体" w:hAnsi="宋体"/>
      <w:kern w:val="2"/>
      <w:sz w:val="24"/>
    </w:rPr>
  </w:style>
  <w:style w:type="character" w:customStyle="1" w:styleId="1233">
    <w:name w:val="正文首行缩进 2 Char1"/>
    <w:semiHidden/>
    <w:qFormat/>
    <w:uiPriority w:val="99"/>
  </w:style>
  <w:style w:type="character" w:customStyle="1" w:styleId="1234">
    <w:name w:val="批注文字 Char1"/>
    <w:qFormat/>
    <w:uiPriority w:val="99"/>
    <w:rPr>
      <w:rFonts w:ascii="宋体" w:hAnsi="宋体"/>
      <w:kern w:val="2"/>
      <w:sz w:val="24"/>
    </w:rPr>
  </w:style>
  <w:style w:type="character" w:customStyle="1" w:styleId="1235">
    <w:name w:val="批注框文本 Char1"/>
    <w:qFormat/>
    <w:uiPriority w:val="99"/>
    <w:rPr>
      <w:rFonts w:ascii="宋体" w:hAnsi="宋体"/>
      <w:kern w:val="2"/>
      <w:sz w:val="18"/>
      <w:szCs w:val="18"/>
    </w:rPr>
  </w:style>
  <w:style w:type="character" w:customStyle="1" w:styleId="1236">
    <w:name w:val="HTML 预设格式 Char1"/>
    <w:qFormat/>
    <w:uiPriority w:val="0"/>
    <w:rPr>
      <w:rFonts w:ascii="Courier New" w:hAnsi="Courier New" w:cs="Courier New"/>
      <w:kern w:val="2"/>
    </w:rPr>
  </w:style>
  <w:style w:type="character" w:customStyle="1" w:styleId="1237">
    <w:name w:val="脚注文本 Char1"/>
    <w:semiHidden/>
    <w:qFormat/>
    <w:uiPriority w:val="99"/>
    <w:rPr>
      <w:rFonts w:ascii="宋体" w:hAnsi="宋体"/>
      <w:kern w:val="2"/>
      <w:sz w:val="18"/>
      <w:szCs w:val="18"/>
    </w:rPr>
  </w:style>
  <w:style w:type="character" w:customStyle="1" w:styleId="1238">
    <w:name w:val="批注主题 Char1"/>
    <w:qFormat/>
    <w:uiPriority w:val="99"/>
    <w:rPr>
      <w:rFonts w:ascii="宋体" w:hAnsi="宋体"/>
      <w:b/>
      <w:bCs/>
      <w:kern w:val="2"/>
      <w:sz w:val="24"/>
    </w:rPr>
  </w:style>
  <w:style w:type="character" w:customStyle="1" w:styleId="1239">
    <w:name w:val="HTML 地址 Char1"/>
    <w:semiHidden/>
    <w:qFormat/>
    <w:uiPriority w:val="99"/>
    <w:rPr>
      <w:rFonts w:ascii="宋体" w:hAnsi="宋体"/>
      <w:i/>
      <w:iCs/>
      <w:kern w:val="2"/>
      <w:sz w:val="24"/>
    </w:rPr>
  </w:style>
  <w:style w:type="character" w:customStyle="1" w:styleId="1240">
    <w:name w:val="正文文本缩进 3 Char1"/>
    <w:semiHidden/>
    <w:qFormat/>
    <w:uiPriority w:val="99"/>
    <w:rPr>
      <w:rFonts w:ascii="宋体" w:hAnsi="宋体"/>
      <w:kern w:val="2"/>
      <w:sz w:val="16"/>
      <w:szCs w:val="16"/>
    </w:rPr>
  </w:style>
  <w:style w:type="character" w:customStyle="1" w:styleId="1241">
    <w:name w:val="页眉 Char1"/>
    <w:qFormat/>
    <w:uiPriority w:val="99"/>
    <w:rPr>
      <w:rFonts w:ascii="宋体" w:hAnsi="宋体"/>
      <w:kern w:val="2"/>
      <w:sz w:val="18"/>
      <w:szCs w:val="18"/>
    </w:rPr>
  </w:style>
  <w:style w:type="character" w:customStyle="1" w:styleId="1242">
    <w:name w:val="尾注文本 Char1"/>
    <w:qFormat/>
    <w:uiPriority w:val="99"/>
    <w:rPr>
      <w:kern w:val="2"/>
      <w:sz w:val="24"/>
      <w:szCs w:val="24"/>
    </w:rPr>
  </w:style>
  <w:style w:type="character" w:customStyle="1" w:styleId="1243">
    <w:name w:val="样式 样式 标题 2 + 段前: 1 行 段后: 1 行 + 段前: 0.5 行 段后: 0.5 行 Char Char"/>
    <w:qFormat/>
    <w:uiPriority w:val="0"/>
    <w:rPr>
      <w:rFonts w:cs="宋体"/>
      <w:b/>
      <w:bCs/>
      <w:kern w:val="2"/>
      <w:sz w:val="30"/>
      <w:szCs w:val="30"/>
      <w:lang w:val="en-US" w:eastAsia="zh-CN" w:bidi="ar-SA"/>
    </w:rPr>
  </w:style>
  <w:style w:type="character" w:customStyle="1" w:styleId="1244">
    <w:name w:val="样式 样式 样式 标题 2 + 段前: 1 行 段后: 1 行 + 段前: 0.5 行 段后: 0.5 行 + Times Ne... Char Char Char Char Char Char Char Char Char Char Char Char Char Char Char Char Char Char Char Char Char Char Char Char Char Char Char Char Char Char Char Char Char Char Char"/>
    <w:qFormat/>
    <w:uiPriority w:val="0"/>
  </w:style>
  <w:style w:type="character" w:customStyle="1" w:styleId="1245">
    <w:name w:val="顶格正文 Char"/>
    <w:qFormat/>
    <w:uiPriority w:val="0"/>
    <w:rPr>
      <w:rFonts w:eastAsia="仿宋_GB2312"/>
      <w:kern w:val="2"/>
      <w:sz w:val="30"/>
      <w:szCs w:val="24"/>
      <w:lang w:val="en-US" w:eastAsia="zh-CN" w:bidi="ar-SA"/>
    </w:rPr>
  </w:style>
  <w:style w:type="character" w:customStyle="1" w:styleId="1246">
    <w:name w:val="图形标注 Char"/>
    <w:qFormat/>
    <w:uiPriority w:val="0"/>
    <w:rPr>
      <w:rFonts w:eastAsia="仿宋_GB2312"/>
      <w:kern w:val="2"/>
      <w:sz w:val="21"/>
      <w:szCs w:val="24"/>
      <w:lang w:val="en-US" w:eastAsia="zh-CN" w:bidi="ar-SA"/>
    </w:rPr>
  </w:style>
  <w:style w:type="character" w:customStyle="1" w:styleId="1247">
    <w:name w:val="表格标注 Char"/>
    <w:qFormat/>
    <w:uiPriority w:val="0"/>
    <w:rPr>
      <w:rFonts w:eastAsia="宋体"/>
      <w:kern w:val="2"/>
      <w:sz w:val="21"/>
      <w:szCs w:val="24"/>
      <w:lang w:val="en-US" w:eastAsia="zh-CN" w:bidi="ar-SA"/>
    </w:rPr>
  </w:style>
  <w:style w:type="character" w:customStyle="1" w:styleId="1248">
    <w:name w:val="小标题2 Char"/>
    <w:qFormat/>
    <w:uiPriority w:val="0"/>
    <w:rPr>
      <w:rFonts w:ascii="Arial" w:hAnsi="Arial" w:eastAsia="仿宋_GB2312"/>
      <w:b/>
      <w:kern w:val="2"/>
      <w:sz w:val="30"/>
      <w:szCs w:val="24"/>
      <w:lang w:val="en-US" w:eastAsia="zh-CN" w:bidi="ar-SA"/>
    </w:rPr>
  </w:style>
  <w:style w:type="character" w:customStyle="1" w:styleId="1249">
    <w:name w:val="附表 Char"/>
    <w:semiHidden/>
    <w:qFormat/>
    <w:uiPriority w:val="0"/>
    <w:rPr>
      <w:rFonts w:eastAsia="黑体"/>
      <w:kern w:val="2"/>
      <w:sz w:val="32"/>
      <w:szCs w:val="24"/>
      <w:lang w:val="en-US" w:eastAsia="zh-CN" w:bidi="ar-SA"/>
    </w:rPr>
  </w:style>
  <w:style w:type="character" w:customStyle="1" w:styleId="1250">
    <w:name w:val="表格 Char"/>
    <w:qFormat/>
    <w:uiPriority w:val="0"/>
    <w:rPr>
      <w:rFonts w:ascii="宋体" w:eastAsia="仿宋_GB2312"/>
      <w:kern w:val="2"/>
      <w:sz w:val="18"/>
      <w:szCs w:val="28"/>
      <w:lang w:val="en-US" w:eastAsia="zh-CN" w:bidi="ar-SA"/>
    </w:rPr>
  </w:style>
  <w:style w:type="character" w:customStyle="1" w:styleId="1251">
    <w:name w:val="表格内容 Char Char Char"/>
    <w:semiHidden/>
    <w:qFormat/>
    <w:uiPriority w:val="0"/>
    <w:rPr>
      <w:rFonts w:ascii="宋体" w:hAnsi="宋体" w:eastAsia="仿宋_GB2312"/>
      <w:kern w:val="2"/>
      <w:sz w:val="21"/>
      <w:szCs w:val="24"/>
      <w:lang w:val="en-US" w:eastAsia="zh-CN" w:bidi="ar-SA"/>
    </w:rPr>
  </w:style>
  <w:style w:type="character" w:customStyle="1" w:styleId="1252">
    <w:name w:val="样式6 Char"/>
    <w:semiHidden/>
    <w:qFormat/>
    <w:uiPriority w:val="0"/>
    <w:rPr>
      <w:rFonts w:ascii="仿宋_GB2312" w:hAnsi="仿宋_GB2312" w:eastAsia="仿宋_GB2312"/>
      <w:kern w:val="2"/>
      <w:sz w:val="30"/>
      <w:szCs w:val="24"/>
      <w:lang w:val="en-US" w:eastAsia="zh-CN" w:bidi="ar-SA"/>
    </w:rPr>
  </w:style>
  <w:style w:type="character" w:customStyle="1" w:styleId="1253">
    <w:name w:val="样式7 Char"/>
    <w:semiHidden/>
    <w:qFormat/>
    <w:uiPriority w:val="0"/>
  </w:style>
  <w:style w:type="character" w:customStyle="1" w:styleId="1254">
    <w:name w:val="样式8 Char"/>
    <w:semiHidden/>
    <w:qFormat/>
    <w:uiPriority w:val="0"/>
  </w:style>
  <w:style w:type="character" w:customStyle="1" w:styleId="1255">
    <w:name w:val="样式 表格内容 + 仿宋_GB23121 Char"/>
    <w:semiHidden/>
    <w:qFormat/>
    <w:uiPriority w:val="0"/>
    <w:rPr>
      <w:rFonts w:ascii="仿宋_GB2312" w:hAnsi="仿宋_GB2312" w:eastAsia="仿宋_GB2312"/>
      <w:kern w:val="2"/>
      <w:sz w:val="21"/>
      <w:szCs w:val="24"/>
      <w:lang w:val="en-US" w:eastAsia="zh-CN" w:bidi="ar-SA"/>
    </w:rPr>
  </w:style>
  <w:style w:type="character" w:customStyle="1" w:styleId="1256">
    <w:name w:val="样式 表格内容 + 仿宋_GB23122 Char"/>
    <w:semiHidden/>
    <w:qFormat/>
    <w:uiPriority w:val="0"/>
    <w:rPr>
      <w:rFonts w:ascii="仿宋_GB2312" w:hAnsi="仿宋_GB2312" w:eastAsia="仿宋_GB2312"/>
      <w:kern w:val="2"/>
      <w:sz w:val="21"/>
      <w:szCs w:val="24"/>
      <w:lang w:val="en-US" w:eastAsia="zh-CN" w:bidi="ar-SA"/>
    </w:rPr>
  </w:style>
  <w:style w:type="character" w:customStyle="1" w:styleId="1257">
    <w:name w:val="表格字体2 Char"/>
    <w:semiHidden/>
    <w:qFormat/>
    <w:uiPriority w:val="0"/>
    <w:rPr>
      <w:rFonts w:ascii="宋体" w:eastAsia="宋体"/>
      <w:bCs/>
      <w:snapToGrid w:val="0"/>
      <w:kern w:val="6"/>
      <w:sz w:val="21"/>
      <w:szCs w:val="21"/>
      <w:lang w:val="en-US" w:eastAsia="zh-CN" w:bidi="ar-SA"/>
    </w:rPr>
  </w:style>
  <w:style w:type="character" w:customStyle="1" w:styleId="1258">
    <w:name w:val="标题 22 Char"/>
    <w:semiHidden/>
    <w:qFormat/>
    <w:uiPriority w:val="0"/>
    <w:rPr>
      <w:rFonts w:ascii="宋体" w:hAnsi="宋体" w:eastAsia="黑体"/>
      <w:b/>
      <w:bCs/>
      <w:kern w:val="2"/>
      <w:sz w:val="32"/>
      <w:szCs w:val="32"/>
      <w:lang w:val="en-US" w:eastAsia="zh-CN" w:bidi="ar-SA"/>
    </w:rPr>
  </w:style>
  <w:style w:type="character" w:customStyle="1" w:styleId="1259">
    <w:name w:val="缩进正文 Char"/>
    <w:qFormat/>
    <w:uiPriority w:val="0"/>
    <w:rPr>
      <w:rFonts w:eastAsia="宋体" w:cs="宋体"/>
      <w:kern w:val="2"/>
      <w:sz w:val="28"/>
      <w:szCs w:val="28"/>
      <w:lang w:val="en-US" w:eastAsia="zh-CN" w:bidi="ar-SA"/>
    </w:rPr>
  </w:style>
  <w:style w:type="character" w:customStyle="1" w:styleId="1260">
    <w:name w:val="mlt-四号正文 Char"/>
    <w:qFormat/>
    <w:uiPriority w:val="0"/>
    <w:rPr>
      <w:rFonts w:ascii="Verdana" w:hAnsi="Verdana" w:eastAsia="宋体"/>
      <w:kern w:val="2"/>
      <w:sz w:val="28"/>
      <w:szCs w:val="30"/>
      <w:lang w:val="en-US" w:eastAsia="zh-CN" w:bidi="ar-SA"/>
    </w:rPr>
  </w:style>
  <w:style w:type="character" w:customStyle="1" w:styleId="1261">
    <w:name w:val="缩进正文徐海东 Char Char Char Char Char Char Char Char Char Char"/>
    <w:qFormat/>
    <w:uiPriority w:val="0"/>
    <w:rPr>
      <w:rFonts w:eastAsia="宋体" w:cs="宋体"/>
      <w:kern w:val="2"/>
      <w:sz w:val="24"/>
      <w:szCs w:val="24"/>
      <w:lang w:val="en-US" w:eastAsia="zh-CN" w:bidi="ar-SA"/>
    </w:rPr>
  </w:style>
  <w:style w:type="character" w:customStyle="1" w:styleId="1262">
    <w:name w:val="缩进正文徐海东 Char Char Char Char Char Char Char Char"/>
    <w:qFormat/>
    <w:uiPriority w:val="0"/>
    <w:rPr>
      <w:rFonts w:eastAsia="宋体" w:cs="宋体"/>
      <w:kern w:val="2"/>
      <w:sz w:val="24"/>
      <w:szCs w:val="24"/>
      <w:lang w:val="en-US" w:eastAsia="zh-CN" w:bidi="ar-SA"/>
    </w:rPr>
  </w:style>
  <w:style w:type="character" w:customStyle="1" w:styleId="1263">
    <w:name w:val="小标题1 Char Char Char Char Char Char Char Char"/>
    <w:qFormat/>
    <w:uiPriority w:val="0"/>
    <w:rPr>
      <w:rFonts w:eastAsia="宋体"/>
      <w:b/>
      <w:kern w:val="2"/>
      <w:sz w:val="24"/>
      <w:szCs w:val="24"/>
      <w:lang w:val="en-US" w:eastAsia="zh-CN" w:bidi="ar-SA"/>
    </w:rPr>
  </w:style>
  <w:style w:type="character" w:customStyle="1" w:styleId="1264">
    <w:name w:val="样式 正文缩进正文（首行缩进两字）正文标准 + 首行缩进:  2 字符 行距: 固定值 24 磅 Char Char Char Char Char Char Char"/>
    <w:qFormat/>
    <w:uiPriority w:val="0"/>
    <w:rPr>
      <w:rFonts w:eastAsia="宋体" w:cs="宋体"/>
      <w:kern w:val="2"/>
      <w:sz w:val="24"/>
      <w:szCs w:val="24"/>
      <w:lang w:val="en-US" w:eastAsia="zh-CN" w:bidi="ar-SA"/>
    </w:rPr>
  </w:style>
  <w:style w:type="character" w:customStyle="1" w:styleId="1265">
    <w:name w:val="样式 标题 2节标题一级节名h22nd levelTitre2l22Header 2Head 2 + 三号 ... Char Char Char Char Char Char Char Char Char Char Char"/>
    <w:qFormat/>
    <w:uiPriority w:val="0"/>
    <w:rPr>
      <w:rFonts w:eastAsia="宋体"/>
      <w:b/>
      <w:bCs/>
      <w:kern w:val="24"/>
      <w:sz w:val="32"/>
      <w:szCs w:val="24"/>
      <w:lang w:val="en-US" w:eastAsia="zh-CN" w:bidi="ar-SA"/>
    </w:rPr>
  </w:style>
  <w:style w:type="character" w:customStyle="1" w:styleId="1266">
    <w:name w:val="样式 样式 正文缩进正文（首行缩进两字）正文标准 + 首行缩进:  2 字符 行距: 固定值 24 磅 + 首行缩进:  2 字... Char Char Char Char Char Char Char"/>
    <w:qFormat/>
    <w:uiPriority w:val="0"/>
  </w:style>
  <w:style w:type="character" w:customStyle="1" w:styleId="1267">
    <w:name w:val="样式 小标题1 + 四号 Char Char Char Char Char Char Char Char Char Char Char Char Char Char Char Char Char Char Char Char Char Char Char Char Char Char Char Char"/>
    <w:qFormat/>
    <w:uiPriority w:val="0"/>
    <w:rPr>
      <w:rFonts w:eastAsia="宋体"/>
      <w:b/>
      <w:bCs/>
      <w:kern w:val="2"/>
      <w:sz w:val="28"/>
      <w:szCs w:val="24"/>
      <w:lang w:val="en-US" w:eastAsia="zh-CN" w:bidi="ar-SA"/>
    </w:rPr>
  </w:style>
  <w:style w:type="character" w:customStyle="1" w:styleId="1268">
    <w:name w:val="样式 小标题1 + 四号 Char Char Char Char Char Char Char Char Char Char Char Char Char Char Char Char Char Char Char Char Char"/>
    <w:qFormat/>
    <w:uiPriority w:val="0"/>
    <w:rPr>
      <w:rFonts w:eastAsia="宋体"/>
      <w:b/>
      <w:bCs/>
      <w:kern w:val="2"/>
      <w:sz w:val="28"/>
      <w:szCs w:val="24"/>
      <w:lang w:val="en-US" w:eastAsia="zh-CN" w:bidi="ar-SA"/>
    </w:rPr>
  </w:style>
  <w:style w:type="character" w:customStyle="1" w:styleId="1269">
    <w:name w:val="样式 样式 正文缩进正文（首行缩进两字）正文标准 + 首行缩进:  2 字符 行距: 固定值 24 磅 + 首行缩进:  2 字... Char Char Char Char Char"/>
    <w:qFormat/>
    <w:uiPriority w:val="0"/>
  </w:style>
  <w:style w:type="character" w:customStyle="1" w:styleId="1270">
    <w:name w:val="样式 正文缩进正文（首行缩进两字）正文标准 + 首行缩进:  2 字符 行距: 固定值 24 磅 Char Char Char Char Char"/>
    <w:qFormat/>
    <w:uiPriority w:val="0"/>
    <w:rPr>
      <w:rFonts w:ascii="Tahoma" w:hAnsi="Tahoma" w:eastAsia="宋体" w:cs="宋体"/>
      <w:kern w:val="2"/>
      <w:sz w:val="24"/>
      <w:szCs w:val="24"/>
      <w:lang w:val="en-US" w:eastAsia="zh-CN" w:bidi="ar-SA"/>
    </w:rPr>
  </w:style>
  <w:style w:type="character" w:customStyle="1" w:styleId="1271">
    <w:name w:val="小标题1 Char Char Char Char Char Char"/>
    <w:qFormat/>
    <w:uiPriority w:val="0"/>
    <w:rPr>
      <w:rFonts w:eastAsia="宋体"/>
      <w:b/>
      <w:kern w:val="2"/>
      <w:sz w:val="24"/>
      <w:szCs w:val="24"/>
      <w:lang w:val="en-US" w:eastAsia="zh-CN" w:bidi="ar-SA"/>
    </w:rPr>
  </w:style>
  <w:style w:type="character" w:customStyle="1" w:styleId="1272">
    <w:name w:val="样式 标题 2节标题一级节名h22nd levelTitre2l22Header 2Head 2 + 三号 ... Char Char Char Char Char Char Char Char Char"/>
    <w:qFormat/>
    <w:uiPriority w:val="0"/>
    <w:rPr>
      <w:rFonts w:eastAsia="宋体"/>
      <w:b/>
      <w:bCs/>
      <w:kern w:val="24"/>
      <w:sz w:val="32"/>
      <w:szCs w:val="24"/>
      <w:lang w:val="en-US" w:eastAsia="zh-CN" w:bidi="ar-SA"/>
    </w:rPr>
  </w:style>
  <w:style w:type="character" w:customStyle="1" w:styleId="1273">
    <w:name w:val="样式 小标题1 + 四号 Char Char Char Char Char Char Char Char Char Char Char Char Char Char Char Char Char Char Char Char Char Char Char Char Char Char"/>
    <w:qFormat/>
    <w:uiPriority w:val="0"/>
    <w:rPr>
      <w:rFonts w:eastAsia="宋体"/>
      <w:b/>
      <w:bCs/>
      <w:kern w:val="2"/>
      <w:sz w:val="28"/>
      <w:szCs w:val="24"/>
      <w:lang w:val="en-US" w:eastAsia="zh-CN" w:bidi="ar-SA"/>
    </w:rPr>
  </w:style>
  <w:style w:type="character" w:customStyle="1" w:styleId="1274">
    <w:name w:val="样式 小标题1 + 四号 Char Char Char Char Char Char Char Char Char Char Char Char Char Char Char Char Char Char Char"/>
    <w:qFormat/>
    <w:uiPriority w:val="0"/>
    <w:rPr>
      <w:rFonts w:eastAsia="宋体"/>
      <w:b/>
      <w:bCs/>
      <w:kern w:val="2"/>
      <w:sz w:val="28"/>
      <w:szCs w:val="24"/>
      <w:lang w:val="en-US" w:eastAsia="zh-CN" w:bidi="ar-SA"/>
    </w:rPr>
  </w:style>
  <w:style w:type="character" w:customStyle="1" w:styleId="1275">
    <w:name w:val="样式 (中文) 仿宋_GB2312 三号 加粗 Char"/>
    <w:qFormat/>
    <w:uiPriority w:val="0"/>
    <w:rPr>
      <w:rFonts w:ascii="黑体" w:hAnsi="Arial" w:eastAsia="宋体"/>
      <w:b/>
      <w:sz w:val="32"/>
      <w:szCs w:val="32"/>
      <w:lang w:val="en-US" w:eastAsia="zh-CN" w:bidi="ar-SA"/>
    </w:rPr>
  </w:style>
  <w:style w:type="character" w:customStyle="1" w:styleId="1276">
    <w:name w:val="Char Char Char Char Char Char Char Char"/>
    <w:qFormat/>
    <w:uiPriority w:val="0"/>
    <w:rPr>
      <w:rFonts w:ascii="Tahoma" w:hAnsi="Tahoma" w:eastAsia="宋体"/>
      <w:kern w:val="2"/>
      <w:sz w:val="24"/>
      <w:lang w:val="en-US" w:eastAsia="zh-CN" w:bidi="ar-SA"/>
    </w:rPr>
  </w:style>
  <w:style w:type="character" w:customStyle="1" w:styleId="1277">
    <w:name w:val="A0 Char"/>
    <w:qFormat/>
    <w:uiPriority w:val="0"/>
    <w:rPr>
      <w:rFonts w:eastAsia="宋体"/>
      <w:kern w:val="2"/>
      <w:sz w:val="28"/>
      <w:szCs w:val="28"/>
      <w:lang w:val="en-US" w:eastAsia="zh-CN" w:bidi="ar-SA"/>
    </w:rPr>
  </w:style>
  <w:style w:type="character" w:customStyle="1" w:styleId="1278">
    <w:name w:val="表文字- Char"/>
    <w:qFormat/>
    <w:uiPriority w:val="0"/>
    <w:rPr>
      <w:rFonts w:eastAsia="宋体"/>
      <w:kern w:val="2"/>
      <w:sz w:val="18"/>
      <w:szCs w:val="18"/>
      <w:lang w:bidi="ar-SA"/>
    </w:rPr>
  </w:style>
  <w:style w:type="character" w:customStyle="1" w:styleId="1279">
    <w:name w:val="表名称- Char"/>
    <w:qFormat/>
    <w:uiPriority w:val="0"/>
    <w:rPr>
      <w:rFonts w:eastAsia="宋体"/>
      <w:kern w:val="2"/>
      <w:sz w:val="21"/>
      <w:szCs w:val="21"/>
      <w:lang w:bidi="ar-SA"/>
    </w:rPr>
  </w:style>
  <w:style w:type="character" w:customStyle="1" w:styleId="1280">
    <w:name w:val="style1021"/>
    <w:qFormat/>
    <w:uiPriority w:val="0"/>
    <w:rPr>
      <w:rFonts w:hint="eastAsia" w:ascii="楷体_GB2312" w:eastAsia="楷体_GB2312"/>
      <w:sz w:val="24"/>
      <w:szCs w:val="24"/>
    </w:rPr>
  </w:style>
  <w:style w:type="character" w:customStyle="1" w:styleId="1281">
    <w:name w:val="btitle"/>
    <w:qFormat/>
    <w:uiPriority w:val="0"/>
  </w:style>
  <w:style w:type="character" w:customStyle="1" w:styleId="1282">
    <w:name w:val="style1"/>
    <w:qFormat/>
    <w:uiPriority w:val="0"/>
  </w:style>
  <w:style w:type="character" w:customStyle="1" w:styleId="1283">
    <w:name w:val="Char Char1"/>
    <w:qFormat/>
    <w:uiPriority w:val="0"/>
    <w:rPr>
      <w:rFonts w:eastAsia="宋体"/>
      <w:kern w:val="2"/>
      <w:sz w:val="24"/>
      <w:lang w:val="en-US" w:eastAsia="zh-CN" w:bidi="ar-SA"/>
    </w:rPr>
  </w:style>
  <w:style w:type="character" w:customStyle="1" w:styleId="1284">
    <w:name w:val="Char Char"/>
    <w:qFormat/>
    <w:uiPriority w:val="0"/>
    <w:rPr>
      <w:rFonts w:ascii="宋体" w:eastAsia="宋体"/>
      <w:kern w:val="2"/>
      <w:sz w:val="28"/>
      <w:lang w:val="en-US" w:eastAsia="zh-CN"/>
    </w:rPr>
  </w:style>
  <w:style w:type="character" w:customStyle="1" w:styleId="1285">
    <w:name w:val="明显强调1"/>
    <w:qFormat/>
    <w:uiPriority w:val="21"/>
    <w:rPr>
      <w:b/>
      <w:i/>
      <w:sz w:val="24"/>
      <w:szCs w:val="24"/>
      <w:u w:val="single"/>
    </w:rPr>
  </w:style>
  <w:style w:type="character" w:customStyle="1" w:styleId="1286">
    <w:name w:val="不明显强调1"/>
    <w:qFormat/>
    <w:uiPriority w:val="0"/>
    <w:rPr>
      <w:i/>
      <w:color w:val="5A5A5A"/>
    </w:rPr>
  </w:style>
  <w:style w:type="character" w:customStyle="1" w:styleId="1287">
    <w:name w:val="不明显参考1"/>
    <w:qFormat/>
    <w:uiPriority w:val="31"/>
    <w:rPr>
      <w:sz w:val="24"/>
      <w:szCs w:val="24"/>
      <w:u w:val="single"/>
    </w:rPr>
  </w:style>
  <w:style w:type="character" w:customStyle="1" w:styleId="1288">
    <w:name w:val="明显参考1"/>
    <w:qFormat/>
    <w:uiPriority w:val="32"/>
    <w:rPr>
      <w:b/>
      <w:sz w:val="24"/>
      <w:u w:val="single"/>
    </w:rPr>
  </w:style>
  <w:style w:type="character" w:customStyle="1" w:styleId="1289">
    <w:name w:val="书籍标题1"/>
    <w:qFormat/>
    <w:uiPriority w:val="33"/>
    <w:rPr>
      <w:rFonts w:ascii="Cambria" w:hAnsi="Cambria" w:eastAsia="宋体"/>
      <w:b/>
      <w:i/>
      <w:sz w:val="24"/>
      <w:szCs w:val="24"/>
    </w:rPr>
  </w:style>
  <w:style w:type="character" w:customStyle="1" w:styleId="1290">
    <w:name w:val="标题 3 Char1"/>
    <w:qFormat/>
    <w:uiPriority w:val="0"/>
    <w:rPr>
      <w:rFonts w:ascii="仿宋_GB2312" w:hAnsi="仿宋_GB2312" w:eastAsia="仿宋_GB2312" w:cs="Arial"/>
      <w:kern w:val="2"/>
      <w:sz w:val="28"/>
      <w:szCs w:val="72"/>
      <w:lang w:val="en-US" w:eastAsia="zh-CN" w:bidi="ar-SA"/>
    </w:rPr>
  </w:style>
  <w:style w:type="character" w:customStyle="1" w:styleId="1291">
    <w:name w:val="Char Char171"/>
    <w:qFormat/>
    <w:uiPriority w:val="0"/>
    <w:rPr>
      <w:sz w:val="18"/>
      <w:szCs w:val="18"/>
    </w:rPr>
  </w:style>
  <w:style w:type="character" w:customStyle="1" w:styleId="1292">
    <w:name w:val="Char Char191"/>
    <w:qFormat/>
    <w:uiPriority w:val="0"/>
    <w:rPr>
      <w:rFonts w:eastAsia="宋体" w:cs="Arial"/>
      <w:b/>
      <w:kern w:val="44"/>
      <w:sz w:val="44"/>
      <w:szCs w:val="72"/>
      <w:lang w:val="en-US" w:eastAsia="zh-CN" w:bidi="ar-SA"/>
    </w:rPr>
  </w:style>
  <w:style w:type="character" w:customStyle="1" w:styleId="1293">
    <w:name w:val="Char Char31"/>
    <w:qFormat/>
    <w:uiPriority w:val="0"/>
    <w:rPr>
      <w:rFonts w:hAnsi="宋体" w:eastAsia="仿宋_GB2312" w:cs="Arial"/>
      <w:color w:val="000000"/>
      <w:spacing w:val="4"/>
      <w:kern w:val="2"/>
      <w:sz w:val="24"/>
      <w:szCs w:val="24"/>
      <w:lang w:val="en-US" w:eastAsia="zh-CN" w:bidi="ar-SA"/>
    </w:rPr>
  </w:style>
  <w:style w:type="character" w:customStyle="1" w:styleId="1294">
    <w:name w:val="Char Char61"/>
    <w:qFormat/>
    <w:uiPriority w:val="0"/>
    <w:rPr>
      <w:rFonts w:hAnsi="宋体" w:eastAsia="仿宋_GB2312" w:cs="Arial"/>
      <w:b/>
      <w:color w:val="000000"/>
      <w:kern w:val="2"/>
      <w:sz w:val="28"/>
      <w:szCs w:val="32"/>
      <w:lang w:val="en-US" w:eastAsia="zh-CN" w:bidi="ar-SA"/>
    </w:rPr>
  </w:style>
  <w:style w:type="character" w:customStyle="1" w:styleId="1295">
    <w:name w:val="Char Char161"/>
    <w:qFormat/>
    <w:uiPriority w:val="0"/>
    <w:rPr>
      <w:kern w:val="2"/>
      <w:sz w:val="18"/>
      <w:szCs w:val="18"/>
    </w:rPr>
  </w:style>
  <w:style w:type="character" w:customStyle="1" w:styleId="1296">
    <w:name w:val="Char Char Char Char Char Char Char Char1"/>
    <w:qFormat/>
    <w:uiPriority w:val="0"/>
    <w:rPr>
      <w:rFonts w:ascii="Tahoma" w:hAnsi="Tahoma" w:eastAsia="宋体"/>
      <w:kern w:val="2"/>
      <w:sz w:val="24"/>
      <w:lang w:val="en-US" w:eastAsia="zh-CN" w:bidi="ar-SA"/>
    </w:rPr>
  </w:style>
  <w:style w:type="character" w:customStyle="1" w:styleId="1297">
    <w:name w:val="Char Char11"/>
    <w:qFormat/>
    <w:uiPriority w:val="0"/>
    <w:rPr>
      <w:rFonts w:eastAsia="宋体"/>
      <w:kern w:val="2"/>
      <w:sz w:val="24"/>
      <w:lang w:val="en-US" w:eastAsia="zh-CN" w:bidi="ar-SA"/>
    </w:rPr>
  </w:style>
  <w:style w:type="character" w:customStyle="1" w:styleId="1298">
    <w:name w:val="批注引用1"/>
    <w:qFormat/>
    <w:uiPriority w:val="0"/>
    <w:rPr>
      <w:sz w:val="21"/>
      <w:szCs w:val="21"/>
    </w:rPr>
  </w:style>
  <w:style w:type="character" w:customStyle="1" w:styleId="1299">
    <w:name w:val="页码1"/>
    <w:qFormat/>
    <w:uiPriority w:val="0"/>
  </w:style>
  <w:style w:type="character" w:customStyle="1" w:styleId="1300">
    <w:name w:val="标题 1 Char1"/>
    <w:qFormat/>
    <w:uiPriority w:val="0"/>
    <w:rPr>
      <w:rFonts w:eastAsia="宋体"/>
      <w:b/>
      <w:kern w:val="44"/>
      <w:sz w:val="44"/>
      <w:lang w:val="en-US" w:eastAsia="zh-CN"/>
    </w:rPr>
  </w:style>
  <w:style w:type="character" w:customStyle="1" w:styleId="1301">
    <w:name w:val="图名称- Char Char"/>
    <w:qFormat/>
    <w:uiPriority w:val="0"/>
    <w:rPr>
      <w:rFonts w:cs="宋体"/>
      <w:kern w:val="2"/>
      <w:sz w:val="21"/>
    </w:rPr>
  </w:style>
  <w:style w:type="character" w:customStyle="1" w:styleId="1302">
    <w:name w:val="正文文本 Char1 Char"/>
    <w:qFormat/>
    <w:uiPriority w:val="0"/>
    <w:rPr>
      <w:rFonts w:ascii="Arial" w:hAnsi="Arial" w:eastAsia="宋体"/>
      <w:kern w:val="2"/>
      <w:sz w:val="18"/>
      <w:lang w:val="en-US" w:eastAsia="zh-CN"/>
    </w:rPr>
  </w:style>
  <w:style w:type="character" w:customStyle="1" w:styleId="1303">
    <w:name w:val="HTML 引文1"/>
    <w:qFormat/>
    <w:uiPriority w:val="0"/>
    <w:rPr>
      <w:i/>
    </w:rPr>
  </w:style>
  <w:style w:type="character" w:customStyle="1" w:styleId="1304">
    <w:name w:val="样式 正文（首行缩进两字） Char + 加粗 Char Char"/>
    <w:qFormat/>
    <w:uiPriority w:val="0"/>
    <w:rPr>
      <w:rFonts w:eastAsia="宋体"/>
      <w:b/>
      <w:spacing w:val="-6"/>
      <w:kern w:val="21"/>
      <w:sz w:val="21"/>
      <w:lang w:val="en-US" w:eastAsia="zh-CN"/>
    </w:rPr>
  </w:style>
  <w:style w:type="character" w:customStyle="1" w:styleId="1305">
    <w:name w:val="HTML 定义1"/>
    <w:qFormat/>
    <w:uiPriority w:val="0"/>
    <w:rPr>
      <w:i/>
    </w:rPr>
  </w:style>
  <w:style w:type="character" w:customStyle="1" w:styleId="1306">
    <w:name w:val="页脚 Char Char"/>
    <w:qFormat/>
    <w:uiPriority w:val="0"/>
    <w:rPr>
      <w:sz w:val="18"/>
    </w:rPr>
  </w:style>
  <w:style w:type="character" w:customStyle="1" w:styleId="1307">
    <w:name w:val="一级条标题 Char Char"/>
    <w:qFormat/>
    <w:uiPriority w:val="0"/>
    <w:rPr>
      <w:rFonts w:eastAsia="黑体"/>
      <w:sz w:val="21"/>
      <w:lang w:val="en-US" w:eastAsia="zh-CN" w:bidi="ar-SA"/>
    </w:rPr>
  </w:style>
  <w:style w:type="character" w:customStyle="1" w:styleId="1308">
    <w:name w:val="列表编号 2 Char Char"/>
    <w:qFormat/>
    <w:uiPriority w:val="0"/>
    <w:rPr>
      <w:rFonts w:ascii="Arial" w:hAnsi="Arial" w:eastAsia="宋体"/>
      <w:sz w:val="18"/>
      <w:lang w:val="en-US" w:eastAsia="zh-CN"/>
    </w:rPr>
  </w:style>
  <w:style w:type="character" w:customStyle="1" w:styleId="1309">
    <w:name w:val="着重强调"/>
    <w:qFormat/>
    <w:uiPriority w:val="0"/>
    <w:rPr>
      <w:rFonts w:ascii="Arial" w:hAnsi="Arial"/>
      <w:b/>
      <w:spacing w:val="-4"/>
    </w:rPr>
  </w:style>
  <w:style w:type="character" w:customStyle="1" w:styleId="1310">
    <w:name w:val="msoins"/>
    <w:qFormat/>
    <w:uiPriority w:val="0"/>
    <w:rPr>
      <w:u w:val="single"/>
    </w:rPr>
  </w:style>
  <w:style w:type="character" w:customStyle="1" w:styleId="1311">
    <w:name w:val="样式1 样式 标题 2 + 段前: 0行 Char Char"/>
    <w:qFormat/>
    <w:uiPriority w:val="0"/>
    <w:rPr>
      <w:rFonts w:eastAsia="黑体"/>
      <w:b/>
      <w:kern w:val="2"/>
      <w:sz w:val="21"/>
      <w:lang w:val="en-US" w:eastAsia="zh-CN"/>
    </w:rPr>
  </w:style>
  <w:style w:type="character" w:customStyle="1" w:styleId="1312">
    <w:name w:val="标题 2 Char Char"/>
    <w:qFormat/>
    <w:uiPriority w:val="0"/>
    <w:rPr>
      <w:rFonts w:ascii="Cambria" w:hAnsi="Cambria" w:eastAsia="宋体"/>
      <w:b/>
      <w:sz w:val="32"/>
    </w:rPr>
  </w:style>
  <w:style w:type="character" w:customStyle="1" w:styleId="1313">
    <w:name w:val="正文1 Char Char"/>
    <w:qFormat/>
    <w:uiPriority w:val="0"/>
    <w:rPr>
      <w:rFonts w:eastAsia="宋体"/>
      <w:kern w:val="2"/>
      <w:sz w:val="24"/>
      <w:lang w:val="en-US" w:eastAsia="zh-CN"/>
    </w:rPr>
  </w:style>
  <w:style w:type="character" w:customStyle="1" w:styleId="1314">
    <w:name w:val="表头 Char Char"/>
    <w:qFormat/>
    <w:uiPriority w:val="0"/>
    <w:rPr>
      <w:rFonts w:ascii="仿宋_GB2312" w:hAnsi="宋体" w:eastAsia="仿宋_GB2312"/>
      <w:b/>
      <w:sz w:val="28"/>
      <w:szCs w:val="28"/>
    </w:rPr>
  </w:style>
  <w:style w:type="character" w:customStyle="1" w:styleId="1315">
    <w:name w:val="apple-style-span"/>
    <w:qFormat/>
    <w:uiPriority w:val="0"/>
  </w:style>
  <w:style w:type="character" w:customStyle="1" w:styleId="1316">
    <w:name w:val="正文缩2 Char Char"/>
    <w:qFormat/>
    <w:uiPriority w:val="0"/>
    <w:rPr>
      <w:sz w:val="24"/>
      <w:szCs w:val="24"/>
    </w:rPr>
  </w:style>
  <w:style w:type="character" w:customStyle="1" w:styleId="1317">
    <w:name w:val="HTML 打字机1"/>
    <w:qFormat/>
    <w:uiPriority w:val="0"/>
    <w:rPr>
      <w:rFonts w:ascii="Courier New" w:hAnsi="Courier New"/>
      <w:sz w:val="20"/>
    </w:rPr>
  </w:style>
  <w:style w:type="character" w:customStyle="1" w:styleId="1318">
    <w:name w:val="样式 宋体"/>
    <w:qFormat/>
    <w:uiPriority w:val="0"/>
    <w:rPr>
      <w:rFonts w:ascii="宋体" w:eastAsia="宋体"/>
      <w:sz w:val="18"/>
    </w:rPr>
  </w:style>
  <w:style w:type="character" w:customStyle="1" w:styleId="1319">
    <w:name w:val="HTML 键盘1"/>
    <w:qFormat/>
    <w:uiPriority w:val="0"/>
    <w:rPr>
      <w:rFonts w:ascii="Courier New" w:hAnsi="Courier New"/>
      <w:sz w:val="20"/>
    </w:rPr>
  </w:style>
  <w:style w:type="character" w:customStyle="1" w:styleId="1320">
    <w:name w:val="HTML 样本1"/>
    <w:qFormat/>
    <w:uiPriority w:val="0"/>
    <w:rPr>
      <w:rFonts w:ascii="Courier New" w:hAnsi="Courier New"/>
    </w:rPr>
  </w:style>
  <w:style w:type="character" w:customStyle="1" w:styleId="1321">
    <w:name w:val="style251"/>
    <w:qFormat/>
    <w:uiPriority w:val="0"/>
    <w:rPr>
      <w:rFonts w:eastAsia="宋体"/>
      <w:kern w:val="2"/>
      <w:sz w:val="21"/>
      <w:lang w:val="en-US" w:eastAsia="zh-CN"/>
    </w:rPr>
  </w:style>
  <w:style w:type="character" w:customStyle="1" w:styleId="1322">
    <w:name w:val="标语"/>
    <w:qFormat/>
    <w:uiPriority w:val="0"/>
    <w:rPr>
      <w:i/>
      <w:spacing w:val="-6"/>
      <w:sz w:val="24"/>
    </w:rPr>
  </w:style>
  <w:style w:type="character" w:customStyle="1" w:styleId="1323">
    <w:name w:val="上标"/>
    <w:qFormat/>
    <w:uiPriority w:val="0"/>
    <w:rPr>
      <w:b/>
      <w:vertAlign w:val="superscript"/>
    </w:rPr>
  </w:style>
  <w:style w:type="character" w:customStyle="1" w:styleId="1324">
    <w:name w:val="页脚 Char2"/>
    <w:qFormat/>
    <w:uiPriority w:val="0"/>
    <w:rPr>
      <w:kern w:val="2"/>
      <w:sz w:val="18"/>
    </w:rPr>
  </w:style>
  <w:style w:type="character" w:customStyle="1" w:styleId="1325">
    <w:name w:val="HTML 缩写1"/>
    <w:qFormat/>
    <w:uiPriority w:val="0"/>
  </w:style>
  <w:style w:type="character" w:customStyle="1" w:styleId="1326">
    <w:name w:val="Char Char2"/>
    <w:qFormat/>
    <w:uiPriority w:val="0"/>
    <w:rPr>
      <w:rFonts w:hint="default" w:ascii="Arial" w:hAnsi="Arial" w:eastAsia="宋体"/>
      <w:kern w:val="2"/>
      <w:sz w:val="21"/>
      <w:lang w:val="en-US" w:eastAsia="zh-CN"/>
    </w:rPr>
  </w:style>
  <w:style w:type="character" w:customStyle="1" w:styleId="1327">
    <w:name w:val="HTML 代码1"/>
    <w:qFormat/>
    <w:uiPriority w:val="0"/>
    <w:rPr>
      <w:rFonts w:ascii="Courier New" w:hAnsi="Courier New"/>
      <w:sz w:val="20"/>
    </w:rPr>
  </w:style>
  <w:style w:type="character" w:customStyle="1" w:styleId="1328">
    <w:name w:val="HTML 变量1"/>
    <w:qFormat/>
    <w:uiPriority w:val="0"/>
    <w:rPr>
      <w:i/>
    </w:rPr>
  </w:style>
  <w:style w:type="character" w:customStyle="1" w:styleId="1329">
    <w:name w:val="文档结构图 Char2"/>
    <w:semiHidden/>
    <w:qFormat/>
    <w:uiPriority w:val="99"/>
    <w:rPr>
      <w:rFonts w:ascii="宋体"/>
      <w:kern w:val="2"/>
      <w:sz w:val="18"/>
      <w:szCs w:val="18"/>
    </w:rPr>
  </w:style>
  <w:style w:type="character" w:customStyle="1" w:styleId="1330">
    <w:name w:val="尾注引用1"/>
    <w:qFormat/>
    <w:uiPriority w:val="0"/>
    <w:rPr>
      <w:vertAlign w:val="superscript"/>
    </w:rPr>
  </w:style>
  <w:style w:type="character" w:customStyle="1" w:styleId="1331">
    <w:name w:val="脚注引用1"/>
    <w:qFormat/>
    <w:uiPriority w:val="0"/>
    <w:rPr>
      <w:vertAlign w:val="superscript"/>
    </w:rPr>
  </w:style>
  <w:style w:type="character" w:customStyle="1" w:styleId="1332">
    <w:name w:val="访问过的超链接1"/>
    <w:qFormat/>
    <w:uiPriority w:val="0"/>
    <w:rPr>
      <w:color w:val="800080"/>
      <w:u w:val="single"/>
    </w:rPr>
  </w:style>
  <w:style w:type="character" w:customStyle="1" w:styleId="1333">
    <w:name w:val="不明显强调11"/>
    <w:qFormat/>
    <w:uiPriority w:val="0"/>
    <w:rPr>
      <w:i/>
      <w:color w:val="808080"/>
    </w:rPr>
  </w:style>
  <w:style w:type="character" w:customStyle="1" w:styleId="1334">
    <w:name w:val="font01"/>
    <w:qFormat/>
    <w:uiPriority w:val="0"/>
    <w:rPr>
      <w:rFonts w:hint="eastAsia" w:ascii="仿宋_GB2312" w:eastAsia="仿宋_GB2312"/>
      <w:color w:val="000000"/>
      <w:sz w:val="21"/>
    </w:rPr>
  </w:style>
  <w:style w:type="character" w:customStyle="1" w:styleId="1335">
    <w:name w:val="朱表头 Char"/>
    <w:qFormat/>
    <w:uiPriority w:val="0"/>
    <w:rPr>
      <w:rFonts w:ascii="EU-F1" w:eastAsia="黑体"/>
      <w:snapToGrid w:val="0"/>
      <w:kern w:val="2"/>
      <w:sz w:val="21"/>
    </w:rPr>
  </w:style>
  <w:style w:type="paragraph" w:customStyle="1" w:styleId="1336">
    <w:name w:val="列出段落2"/>
    <w:basedOn w:val="1"/>
    <w:qFormat/>
    <w:uiPriority w:val="0"/>
    <w:pPr>
      <w:spacing w:line="240" w:lineRule="auto"/>
      <w:ind w:firstLine="420" w:firstLineChars="200"/>
    </w:pPr>
    <w:rPr>
      <w:rFonts w:ascii="Calibri" w:hAnsi="Calibri"/>
      <w:sz w:val="21"/>
      <w:szCs w:val="20"/>
    </w:rPr>
  </w:style>
  <w:style w:type="character" w:customStyle="1" w:styleId="1337">
    <w:name w:val="已访问的超链接1"/>
    <w:qFormat/>
    <w:uiPriority w:val="0"/>
    <w:rPr>
      <w:color w:val="800080"/>
      <w:u w:val="single"/>
    </w:rPr>
  </w:style>
  <w:style w:type="paragraph" w:styleId="1338">
    <w:name w:val="List Paragraph"/>
    <w:basedOn w:val="1"/>
    <w:qFormat/>
    <w:uiPriority w:val="0"/>
    <w:pPr>
      <w:spacing w:line="240" w:lineRule="auto"/>
      <w:ind w:firstLine="420" w:firstLineChars="200"/>
    </w:pPr>
    <w:rPr>
      <w:rFonts w:hint="eastAsia"/>
      <w:sz w:val="21"/>
      <w:szCs w:val="20"/>
    </w:rPr>
  </w:style>
  <w:style w:type="paragraph" w:customStyle="1" w:styleId="1339">
    <w:name w:val="缩进"/>
    <w:basedOn w:val="1"/>
    <w:qFormat/>
    <w:uiPriority w:val="0"/>
    <w:pPr>
      <w:adjustRightInd w:val="0"/>
      <w:spacing w:line="640" w:lineRule="atLeast"/>
      <w:ind w:firstLine="200" w:firstLineChars="200"/>
    </w:pPr>
    <w:rPr>
      <w:rFonts w:hint="eastAsia" w:ascii="宋体"/>
      <w:kern w:val="0"/>
      <w:sz w:val="32"/>
      <w:szCs w:val="20"/>
    </w:rPr>
  </w:style>
  <w:style w:type="paragraph" w:customStyle="1" w:styleId="1340">
    <w:name w:val="标题11"/>
    <w:qFormat/>
    <w:uiPriority w:val="0"/>
    <w:pPr>
      <w:spacing w:before="240" w:after="240" w:line="360" w:lineRule="auto"/>
      <w:ind w:left="425" w:hanging="425"/>
      <w:outlineLvl w:val="0"/>
    </w:pPr>
    <w:rPr>
      <w:rFonts w:ascii="黑体" w:hAnsi="Times New Roman" w:eastAsia="黑体" w:cs="Times New Roman"/>
      <w:kern w:val="44"/>
      <w:sz w:val="30"/>
      <w:lang w:val="en-US" w:eastAsia="zh-CN" w:bidi="ar-SA"/>
    </w:rPr>
  </w:style>
  <w:style w:type="paragraph" w:customStyle="1" w:styleId="1341">
    <w:name w:val="国网规划报告格式-正文"/>
    <w:basedOn w:val="1"/>
    <w:link w:val="1342"/>
    <w:qFormat/>
    <w:uiPriority w:val="0"/>
    <w:pPr>
      <w:spacing w:line="360" w:lineRule="auto"/>
      <w:ind w:right="210" w:firstLine="562"/>
    </w:pPr>
    <w:rPr>
      <w:b/>
      <w:sz w:val="28"/>
      <w:szCs w:val="20"/>
    </w:rPr>
  </w:style>
  <w:style w:type="character" w:customStyle="1" w:styleId="1342">
    <w:name w:val="国网规划报告格式-正文 Char"/>
    <w:link w:val="1341"/>
    <w:qFormat/>
    <w:uiPriority w:val="0"/>
    <w:rPr>
      <w:b/>
      <w:kern w:val="2"/>
      <w:sz w:val="28"/>
    </w:rPr>
  </w:style>
  <w:style w:type="character" w:customStyle="1" w:styleId="1343">
    <w:name w:val="font21"/>
    <w:basedOn w:val="90"/>
    <w:qFormat/>
    <w:uiPriority w:val="0"/>
    <w:rPr>
      <w:rFonts w:hint="eastAsia" w:ascii="宋体" w:hAnsi="宋体" w:eastAsia="宋体" w:cs="宋体"/>
      <w:b/>
      <w:color w:val="000000"/>
      <w:sz w:val="20"/>
      <w:szCs w:val="20"/>
      <w:u w:val="none"/>
    </w:rPr>
  </w:style>
  <w:style w:type="character" w:customStyle="1" w:styleId="1344">
    <w:name w:val="font31"/>
    <w:basedOn w:val="90"/>
    <w:qFormat/>
    <w:uiPriority w:val="0"/>
    <w:rPr>
      <w:rFonts w:hint="default" w:ascii="Arial" w:hAnsi="Arial" w:cs="Arial"/>
      <w:b/>
      <w:color w:val="000000"/>
      <w:sz w:val="20"/>
      <w:szCs w:val="20"/>
      <w:u w:val="none"/>
    </w:rPr>
  </w:style>
  <w:style w:type="character" w:customStyle="1" w:styleId="1345">
    <w:name w:val="font111"/>
    <w:basedOn w:val="90"/>
    <w:qFormat/>
    <w:uiPriority w:val="0"/>
    <w:rPr>
      <w:rFonts w:hint="eastAsia" w:ascii="宋体" w:hAnsi="宋体" w:eastAsia="宋体" w:cs="宋体"/>
      <w:b/>
      <w:color w:val="000000"/>
      <w:sz w:val="20"/>
      <w:szCs w:val="20"/>
      <w:u w:val="none"/>
    </w:rPr>
  </w:style>
  <w:style w:type="character" w:customStyle="1" w:styleId="1346">
    <w:name w:val="font51"/>
    <w:basedOn w:val="90"/>
    <w:qFormat/>
    <w:uiPriority w:val="0"/>
    <w:rPr>
      <w:rFonts w:hint="default" w:ascii="Arial" w:hAnsi="Arial" w:cs="Arial"/>
      <w:color w:val="FF0000"/>
      <w:sz w:val="20"/>
      <w:szCs w:val="20"/>
      <w:u w:val="none"/>
    </w:rPr>
  </w:style>
  <w:style w:type="character" w:customStyle="1" w:styleId="1347">
    <w:name w:val="font91"/>
    <w:basedOn w:val="90"/>
    <w:qFormat/>
    <w:uiPriority w:val="0"/>
    <w:rPr>
      <w:rFonts w:hint="eastAsia" w:ascii="宋体" w:hAnsi="宋体" w:eastAsia="宋体" w:cs="宋体"/>
      <w:color w:val="FF0000"/>
      <w:sz w:val="20"/>
      <w:szCs w:val="20"/>
      <w:u w:val="none"/>
    </w:rPr>
  </w:style>
  <w:style w:type="character" w:customStyle="1" w:styleId="1348">
    <w:name w:val="font101"/>
    <w:basedOn w:val="90"/>
    <w:qFormat/>
    <w:uiPriority w:val="0"/>
    <w:rPr>
      <w:rFonts w:hint="eastAsia" w:ascii="宋体" w:hAnsi="宋体" w:eastAsia="宋体" w:cs="宋体"/>
      <w:color w:val="000000"/>
      <w:sz w:val="20"/>
      <w:szCs w:val="20"/>
      <w:u w:val="none"/>
    </w:rPr>
  </w:style>
  <w:style w:type="character" w:customStyle="1" w:styleId="1349">
    <w:name w:val="font112"/>
    <w:basedOn w:val="90"/>
    <w:qFormat/>
    <w:uiPriority w:val="0"/>
    <w:rPr>
      <w:rFonts w:hint="eastAsia" w:ascii="宋体" w:hAnsi="宋体" w:eastAsia="宋体" w:cs="宋体"/>
      <w:b/>
      <w:color w:val="000000"/>
      <w:sz w:val="20"/>
      <w:szCs w:val="20"/>
      <w:u w:val="none"/>
    </w:rPr>
  </w:style>
  <w:style w:type="character" w:customStyle="1" w:styleId="1350">
    <w:name w:val="font61"/>
    <w:basedOn w:val="90"/>
    <w:qFormat/>
    <w:uiPriority w:val="0"/>
    <w:rPr>
      <w:rFonts w:ascii="Arial" w:hAnsi="Arial" w:cs="Arial"/>
      <w:b/>
      <w:color w:val="000000"/>
      <w:sz w:val="20"/>
      <w:szCs w:val="20"/>
      <w:u w:val="none"/>
    </w:rPr>
  </w:style>
  <w:style w:type="character" w:customStyle="1" w:styleId="1351">
    <w:name w:val="font71"/>
    <w:basedOn w:val="90"/>
    <w:qFormat/>
    <w:uiPriority w:val="0"/>
    <w:rPr>
      <w:rFonts w:hint="eastAsia" w:ascii="宋体" w:hAnsi="宋体" w:eastAsia="宋体" w:cs="宋体"/>
      <w:b/>
      <w:color w:val="000000"/>
      <w:sz w:val="20"/>
      <w:szCs w:val="20"/>
      <w:u w:val="none"/>
    </w:rPr>
  </w:style>
  <w:style w:type="character" w:customStyle="1" w:styleId="1352">
    <w:name w:val="font81"/>
    <w:basedOn w:val="90"/>
    <w:qFormat/>
    <w:uiPriority w:val="0"/>
    <w:rPr>
      <w:rFonts w:hint="default" w:ascii="Arial" w:hAnsi="Arial" w:cs="Arial"/>
      <w:color w:val="000000"/>
      <w:sz w:val="20"/>
      <w:szCs w:val="20"/>
      <w:u w:val="none"/>
    </w:rPr>
  </w:style>
  <w:style w:type="character" w:customStyle="1" w:styleId="1353">
    <w:name w:val="font41"/>
    <w:basedOn w:val="90"/>
    <w:qFormat/>
    <w:uiPriority w:val="0"/>
    <w:rPr>
      <w:rFonts w:hint="eastAsia" w:ascii="宋体" w:hAnsi="宋体" w:eastAsia="宋体" w:cs="宋体"/>
      <w:color w:val="FF0000"/>
      <w:sz w:val="20"/>
      <w:szCs w:val="20"/>
      <w:u w:val="none"/>
    </w:rPr>
  </w:style>
  <w:style w:type="paragraph" w:customStyle="1" w:styleId="1354">
    <w:name w:val="样式 首行缩进:  0.85 厘米"/>
    <w:basedOn w:val="1"/>
    <w:qFormat/>
    <w:uiPriority w:val="0"/>
    <w:pPr>
      <w:spacing w:line="360" w:lineRule="auto"/>
      <w:ind w:firstLine="198"/>
    </w:pPr>
    <w:rPr>
      <w:rFonts w:ascii="Calibri" w:hAnsi="Calibri"/>
      <w:szCs w:val="20"/>
    </w:rPr>
  </w:style>
  <w:style w:type="paragraph" w:customStyle="1" w:styleId="1355">
    <w:name w:val="Table Paragraph"/>
    <w:basedOn w:val="1"/>
    <w:qFormat/>
    <w:uiPriority w:val="1"/>
    <w:pPr>
      <w:spacing w:line="240" w:lineRule="auto"/>
    </w:pPr>
    <w:rPr>
      <w:sz w:val="21"/>
    </w:rPr>
  </w:style>
  <w:style w:type="paragraph" w:customStyle="1" w:styleId="1356">
    <w:name w:val="正文1"/>
    <w:qFormat/>
    <w:uiPriority w:val="0"/>
    <w:pPr>
      <w:jc w:val="both"/>
    </w:pPr>
    <w:rPr>
      <w:rFonts w:ascii="Times New Roman" w:hAnsi="Times New Roman" w:eastAsia="宋体" w:cs="Times New Roman"/>
      <w:kern w:val="2"/>
      <w:sz w:val="21"/>
      <w:szCs w:val="21"/>
      <w:lang w:val="en-US" w:eastAsia="zh-CN" w:bidi="ar-SA"/>
    </w:rPr>
  </w:style>
  <w:style w:type="character" w:customStyle="1" w:styleId="1357">
    <w:name w:val="文档结构图 字符3"/>
    <w:semiHidden/>
    <w:qFormat/>
    <w:uiPriority w:val="99"/>
    <w:rPr>
      <w:rFonts w:ascii="宋体"/>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5" Type="http://schemas.openxmlformats.org/officeDocument/2006/relationships/fontTable" Target="fontTable.xml"/><Relationship Id="rId34" Type="http://schemas.openxmlformats.org/officeDocument/2006/relationships/numbering" Target="numbering.xml"/><Relationship Id="rId33" Type="http://schemas.openxmlformats.org/officeDocument/2006/relationships/customXml" Target="../customXml/item1.xml"/><Relationship Id="rId32" Type="http://schemas.openxmlformats.org/officeDocument/2006/relationships/chart" Target="charts/chart1.xml"/><Relationship Id="rId31" Type="http://schemas.openxmlformats.org/officeDocument/2006/relationships/image" Target="media/image20.png"/><Relationship Id="rId30" Type="http://schemas.openxmlformats.org/officeDocument/2006/relationships/image" Target="media/image19.png"/><Relationship Id="rId3" Type="http://schemas.openxmlformats.org/officeDocument/2006/relationships/footnotes" Target="footnotes.xml"/><Relationship Id="rId29" Type="http://schemas.openxmlformats.org/officeDocument/2006/relationships/image" Target="media/image18.png"/><Relationship Id="rId28" Type="http://schemas.openxmlformats.org/officeDocument/2006/relationships/image" Target="file:///C:\Users\&#36755;&#30005;&#36816;~1\AppData\Local\Temp\ksohtml\wps_clip_image-0.png" TargetMode="External"/><Relationship Id="rId27" Type="http://schemas.openxmlformats.org/officeDocument/2006/relationships/image" Target="media/image17.png"/><Relationship Id="rId26" Type="http://schemas.openxmlformats.org/officeDocument/2006/relationships/image" Target="media/image16.jpeg"/><Relationship Id="rId25" Type="http://schemas.openxmlformats.org/officeDocument/2006/relationships/image" Target="media/image15.jpeg"/><Relationship Id="rId24" Type="http://schemas.openxmlformats.org/officeDocument/2006/relationships/image" Target="media/image14.jpe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emf"/><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image" Target="media/image2.png"/><Relationship Id="rId11" Type="http://schemas.openxmlformats.org/officeDocument/2006/relationships/image" Target="media/image1.emf"/><Relationship Id="rId10" Type="http://schemas.openxmlformats.org/officeDocument/2006/relationships/theme" Target="theme/theme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package" Target="../embeddings/Workbook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0" i="0" u="none" strike="noStrike" kern="1200" spc="0" baseline="0">
                <a:solidFill>
                  <a:schemeClr val="tx1">
                    <a:lumMod val="65000"/>
                    <a:lumOff val="35000"/>
                  </a:schemeClr>
                </a:solidFill>
                <a:latin typeface="+mn-lt"/>
                <a:ea typeface="+mn-ea"/>
                <a:cs typeface="+mn-cs"/>
              </a:defRPr>
            </a:pPr>
            <a:r>
              <a:rPr lang="zh-CN" altLang="en-US"/>
              <a:t>配变容量及配变负载率预测表</a:t>
            </a:r>
            <a:endParaRPr lang="zh-CN" altLang="en-US"/>
          </a:p>
        </c:rich>
      </c:tx>
      <c:layout/>
      <c:overlay val="0"/>
      <c:spPr>
        <a:noFill/>
        <a:ln>
          <a:noFill/>
        </a:ln>
        <a:effectLst/>
      </c:spPr>
    </c:title>
    <c:autoTitleDeleted val="0"/>
    <c:plotArea>
      <c:layout/>
      <c:barChart>
        <c:barDir val="col"/>
        <c:grouping val="clustered"/>
        <c:varyColors val="0"/>
        <c:ser>
          <c:idx val="0"/>
          <c:order val="0"/>
          <c:tx>
            <c:strRef>
              <c:f>Sheet1!$B$1</c:f>
              <c:strCache>
                <c:ptCount val="1"/>
                <c:pt idx="0">
                  <c:v>配变容量</c:v>
                </c:pt>
              </c:strCache>
            </c:strRef>
          </c:tx>
          <c:spPr>
            <a:solidFill>
              <a:schemeClr val="accent1"/>
            </a:solidFill>
            <a:ln>
              <a:noFill/>
            </a:ln>
            <a:effectLst/>
          </c:spPr>
          <c:invertIfNegative val="0"/>
          <c:dLbls>
            <c:delete val="1"/>
          </c:dLbls>
          <c:cat>
            <c:numRef>
              <c:f>Sheet1!$A$2:$A$7</c:f>
              <c:numCache>
                <c:formatCode>General</c:formatCode>
                <c:ptCount val="6"/>
                <c:pt idx="0">
                  <c:v>2020</c:v>
                </c:pt>
                <c:pt idx="1">
                  <c:v>2021</c:v>
                </c:pt>
                <c:pt idx="2">
                  <c:v>2022</c:v>
                </c:pt>
                <c:pt idx="3">
                  <c:v>2023</c:v>
                </c:pt>
                <c:pt idx="4">
                  <c:v>2024</c:v>
                </c:pt>
                <c:pt idx="5">
                  <c:v>2025</c:v>
                </c:pt>
              </c:numCache>
            </c:numRef>
          </c:cat>
          <c:val>
            <c:numRef>
              <c:f>Sheet1!$B$2:$B$7</c:f>
              <c:numCache>
                <c:formatCode>General</c:formatCode>
                <c:ptCount val="6"/>
                <c:pt idx="0">
                  <c:v>1125.156</c:v>
                </c:pt>
                <c:pt idx="1">
                  <c:v>1201.956</c:v>
                </c:pt>
                <c:pt idx="2">
                  <c:v>1249.956</c:v>
                </c:pt>
                <c:pt idx="3">
                  <c:v>1283.956</c:v>
                </c:pt>
                <c:pt idx="4">
                  <c:v>1322.356</c:v>
                </c:pt>
                <c:pt idx="5">
                  <c:v>1375.956</c:v>
                </c:pt>
              </c:numCache>
            </c:numRef>
          </c:val>
        </c:ser>
        <c:dLbls>
          <c:showLegendKey val="0"/>
          <c:showVal val="0"/>
          <c:showCatName val="0"/>
          <c:showSerName val="0"/>
          <c:showPercent val="0"/>
          <c:showBubbleSize val="0"/>
        </c:dLbls>
        <c:gapWidth val="219"/>
        <c:overlap val="-27"/>
        <c:axId val="882201443"/>
        <c:axId val="470200842"/>
      </c:barChart>
      <c:lineChart>
        <c:grouping val="standard"/>
        <c:varyColors val="0"/>
        <c:ser>
          <c:idx val="2"/>
          <c:order val="1"/>
          <c:tx>
            <c:strRef>
              <c:f>Sheet1!$D$1</c:f>
              <c:strCache>
                <c:ptCount val="1"/>
                <c:pt idx="0">
                  <c:v>配变负载率</c:v>
                </c:pt>
              </c:strCache>
            </c:strRef>
          </c:tx>
          <c:spPr>
            <a:ln w="28575" cap="rnd">
              <a:solidFill>
                <a:schemeClr val="accent3"/>
              </a:solidFill>
              <a:round/>
            </a:ln>
            <a:effectLst/>
          </c:spPr>
          <c:marker>
            <c:symbol val="none"/>
          </c:marker>
          <c:dLbls>
            <c:delete val="1"/>
          </c:dLbls>
          <c:cat>
            <c:numRef>
              <c:f>Sheet1!$A$2:$A$7</c:f>
              <c:numCache>
                <c:formatCode>General</c:formatCode>
                <c:ptCount val="6"/>
                <c:pt idx="0">
                  <c:v>2020</c:v>
                </c:pt>
                <c:pt idx="1">
                  <c:v>2021</c:v>
                </c:pt>
                <c:pt idx="2">
                  <c:v>2022</c:v>
                </c:pt>
                <c:pt idx="3">
                  <c:v>2023</c:v>
                </c:pt>
                <c:pt idx="4">
                  <c:v>2024</c:v>
                </c:pt>
                <c:pt idx="5">
                  <c:v>2025</c:v>
                </c:pt>
              </c:numCache>
            </c:numRef>
          </c:cat>
          <c:val>
            <c:numRef>
              <c:f>Sheet1!$D$2:$D$7</c:f>
              <c:numCache>
                <c:formatCode>General</c:formatCode>
                <c:ptCount val="6"/>
                <c:pt idx="0">
                  <c:v>0.195528442278226</c:v>
                </c:pt>
                <c:pt idx="1">
                  <c:v>0.216314074724865</c:v>
                </c:pt>
                <c:pt idx="2">
                  <c:v>0.256009011517205</c:v>
                </c:pt>
                <c:pt idx="3">
                  <c:v>0.260912367713535</c:v>
                </c:pt>
                <c:pt idx="4">
                  <c:v>0.264679103055456</c:v>
                </c:pt>
                <c:pt idx="5">
                  <c:v>0.290706970281026</c:v>
                </c:pt>
              </c:numCache>
            </c:numRef>
          </c:val>
          <c:smooth val="0"/>
        </c:ser>
        <c:dLbls>
          <c:showLegendKey val="0"/>
          <c:showVal val="0"/>
          <c:showCatName val="0"/>
          <c:showSerName val="0"/>
          <c:showPercent val="0"/>
          <c:showBubbleSize val="0"/>
        </c:dLbls>
        <c:marker val="0"/>
        <c:smooth val="0"/>
        <c:axId val="167374380"/>
        <c:axId val="750760346"/>
      </c:lineChart>
      <c:catAx>
        <c:axId val="167374380"/>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50760346"/>
        <c:crosses val="autoZero"/>
        <c:auto val="1"/>
        <c:lblAlgn val="ctr"/>
        <c:lblOffset val="100"/>
        <c:noMultiLvlLbl val="0"/>
      </c:catAx>
      <c:valAx>
        <c:axId val="75076034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67374380"/>
        <c:crosses val="autoZero"/>
        <c:crossBetween val="between"/>
      </c:valAx>
      <c:catAx>
        <c:axId val="882201443"/>
        <c:scaling>
          <c:orientation val="minMax"/>
        </c:scaling>
        <c:delete val="1"/>
        <c:axPos val="b"/>
        <c:numFmt formatCode="General" sourceLinked="1"/>
        <c:majorTickMark val="out"/>
        <c:minorTickMark val="none"/>
        <c:tickLblPos val="nextTo"/>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470200842"/>
        <c:crosses val="autoZero"/>
        <c:auto val="1"/>
        <c:lblAlgn val="ctr"/>
        <c:lblOffset val="100"/>
        <c:noMultiLvlLbl val="0"/>
      </c:catAx>
      <c:valAx>
        <c:axId val="470200842"/>
        <c:scaling>
          <c:orientation val="minMax"/>
        </c:scaling>
        <c:delete val="0"/>
        <c:axPos val="r"/>
        <c:numFmt formatCode="General" sourceLinked="1"/>
        <c:majorTickMark val="out"/>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882201443"/>
        <c:crosses val="max"/>
        <c:crossBetween val="between"/>
      </c:valAx>
      <c:spPr>
        <a:noFill/>
        <a:ln>
          <a:noFill/>
        </a:ln>
        <a:effectLst/>
      </c:spPr>
    </c:plotArea>
    <c:legend>
      <c:legendPos val="b"/>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zhdl</Company>
  <Pages>128</Pages>
  <Words>50744</Words>
  <Characters>62229</Characters>
  <Lines>528</Lines>
  <Paragraphs>148</Paragraphs>
  <TotalTime>21</TotalTime>
  <ScaleCrop>false</ScaleCrop>
  <LinksUpToDate>false</LinksUpToDate>
  <CharactersWithSpaces>62805</CharactersWithSpaces>
  <Application>WPS Office_11.1.0.10700_F1E327BC-269C-435d-A152-05C5408002CA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2021-07-16T11:37:00Z</dcterms:created>
  <dc:creator>dell</dc:creator>
  <cp:lastModifiedBy>厉飞雨</cp:lastModifiedBy>
  <cp:lastPrinted>2021-09-10T03:01:00Z</cp:lastPrinted>
  <dcterms:modified xsi:type="dcterms:W3CDTF">2021-09-13T03:17:02Z</dcterms:modified>
  <dc:title>楚雄电网规划</dc:title>
  <cp:revision>29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2052-11.1.0.10700</vt:lpwstr>
  </property>
  <property fmtid="{D5CDD505-2E9C-101B-9397-08002B2CF9AE}" pid="3" name="ICV">
    <vt:lpwstr>F150440CA1B64A83AE39A37895BB1DAE</vt:lpwstr>
  </property>
</Properties>
</file>