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Times New Roman" w:hAnsi="Times New Roman" w:eastAsia="方正小标宋_GBK"/>
          <w:sz w:val="44"/>
          <w:szCs w:val="44"/>
        </w:rPr>
      </w:pPr>
      <w:r>
        <w:rPr>
          <w:rFonts w:hint="eastAsia" w:ascii="Times New Roman" w:hAnsi="Times New Roman" w:eastAsia="方正小标宋_GBK"/>
          <w:sz w:val="44"/>
          <w:szCs w:val="44"/>
        </w:rPr>
        <w:t>王寺街道办事处农村集体土地征收领域基层</w:t>
      </w:r>
      <w:r>
        <w:rPr>
          <w:rFonts w:ascii="Times New Roman" w:hAnsi="Times New Roman" w:eastAsia="方正小标宋_GBK"/>
          <w:sz w:val="44"/>
          <w:szCs w:val="44"/>
        </w:rPr>
        <w:t>政务公开标准目录</w:t>
      </w:r>
    </w:p>
    <w:tbl>
      <w:tblPr>
        <w:tblStyle w:val="4"/>
        <w:tblW w:w="14174" w:type="dxa"/>
        <w:tblInd w:w="0" w:type="dxa"/>
        <w:tblLayout w:type="fixed"/>
        <w:tblCellMar>
          <w:top w:w="0" w:type="dxa"/>
          <w:left w:w="108" w:type="dxa"/>
          <w:bottom w:w="0" w:type="dxa"/>
          <w:right w:w="108" w:type="dxa"/>
        </w:tblCellMar>
      </w:tblPr>
      <w:tblGrid>
        <w:gridCol w:w="360"/>
        <w:gridCol w:w="720"/>
        <w:gridCol w:w="675"/>
        <w:gridCol w:w="2820"/>
        <w:gridCol w:w="2070"/>
        <w:gridCol w:w="1590"/>
        <w:gridCol w:w="870"/>
        <w:gridCol w:w="2115"/>
        <w:gridCol w:w="570"/>
        <w:gridCol w:w="690"/>
        <w:gridCol w:w="541"/>
        <w:gridCol w:w="375"/>
        <w:gridCol w:w="28"/>
        <w:gridCol w:w="361"/>
        <w:gridCol w:w="14"/>
        <w:gridCol w:w="375"/>
      </w:tblGrid>
      <w:tr>
        <w:tblPrEx>
          <w:tblCellMar>
            <w:top w:w="0" w:type="dxa"/>
            <w:left w:w="108" w:type="dxa"/>
            <w:bottom w:w="0" w:type="dxa"/>
            <w:right w:w="108" w:type="dxa"/>
          </w:tblCellMar>
        </w:tblPrEx>
        <w:trPr>
          <w:trHeight w:val="263" w:hRule="atLeast"/>
        </w:trPr>
        <w:tc>
          <w:tcPr>
            <w:tcW w:w="360"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序</w:t>
            </w:r>
          </w:p>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号</w:t>
            </w:r>
          </w:p>
        </w:tc>
        <w:tc>
          <w:tcPr>
            <w:tcW w:w="139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公开事项</w:t>
            </w:r>
          </w:p>
        </w:tc>
        <w:tc>
          <w:tcPr>
            <w:tcW w:w="2820"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公开内容</w:t>
            </w:r>
          </w:p>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（要素）</w:t>
            </w:r>
          </w:p>
        </w:tc>
        <w:tc>
          <w:tcPr>
            <w:tcW w:w="2070"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公开依据</w:t>
            </w:r>
          </w:p>
        </w:tc>
        <w:tc>
          <w:tcPr>
            <w:tcW w:w="1590"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公开时限</w:t>
            </w:r>
          </w:p>
        </w:tc>
        <w:tc>
          <w:tcPr>
            <w:tcW w:w="870"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公开主体</w:t>
            </w:r>
          </w:p>
        </w:tc>
        <w:tc>
          <w:tcPr>
            <w:tcW w:w="2115"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公开渠道和载体</w:t>
            </w:r>
          </w:p>
        </w:tc>
        <w:tc>
          <w:tcPr>
            <w:tcW w:w="1260"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公开对象</w:t>
            </w:r>
          </w:p>
        </w:tc>
        <w:tc>
          <w:tcPr>
            <w:tcW w:w="944"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公开方式</w:t>
            </w:r>
          </w:p>
        </w:tc>
        <w:tc>
          <w:tcPr>
            <w:tcW w:w="750"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公开层级</w:t>
            </w:r>
          </w:p>
        </w:tc>
      </w:tr>
      <w:tr>
        <w:tblPrEx>
          <w:tblCellMar>
            <w:top w:w="0" w:type="dxa"/>
            <w:left w:w="108" w:type="dxa"/>
            <w:bottom w:w="0" w:type="dxa"/>
            <w:right w:w="108" w:type="dxa"/>
          </w:tblCellMar>
        </w:tblPrEx>
        <w:trPr>
          <w:trHeight w:val="263" w:hRule="atLeast"/>
        </w:trPr>
        <w:tc>
          <w:tcPr>
            <w:tcW w:w="360"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p>
        </w:tc>
        <w:tc>
          <w:tcPr>
            <w:tcW w:w="72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一级事项</w:t>
            </w: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二级事项</w:t>
            </w:r>
          </w:p>
        </w:tc>
        <w:tc>
          <w:tcPr>
            <w:tcW w:w="2820"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p>
        </w:tc>
        <w:tc>
          <w:tcPr>
            <w:tcW w:w="2070"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p>
        </w:tc>
        <w:tc>
          <w:tcPr>
            <w:tcW w:w="1590"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p>
        </w:tc>
        <w:tc>
          <w:tcPr>
            <w:tcW w:w="870"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p>
        </w:tc>
        <w:tc>
          <w:tcPr>
            <w:tcW w:w="2115"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p>
        </w:tc>
        <w:tc>
          <w:tcPr>
            <w:tcW w:w="5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全社会</w:t>
            </w:r>
          </w:p>
        </w:tc>
        <w:tc>
          <w:tcPr>
            <w:tcW w:w="69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特定群体</w:t>
            </w:r>
          </w:p>
        </w:tc>
        <w:tc>
          <w:tcPr>
            <w:tcW w:w="541"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主动</w:t>
            </w: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依申请</w:t>
            </w:r>
          </w:p>
        </w:tc>
        <w:tc>
          <w:tcPr>
            <w:tcW w:w="389"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新城</w:t>
            </w:r>
          </w:p>
        </w:tc>
        <w:tc>
          <w:tcPr>
            <w:tcW w:w="389"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0"/>
                <w:szCs w:val="20"/>
              </w:rPr>
            </w:pPr>
            <w:r>
              <w:rPr>
                <w:rFonts w:hint="eastAsia" w:ascii="黑体" w:hAnsi="黑体" w:eastAsia="黑体" w:cs="黑体"/>
                <w:b w:val="0"/>
                <w:bCs/>
                <w:color w:val="000000"/>
                <w:kern w:val="0"/>
                <w:sz w:val="20"/>
                <w:szCs w:val="20"/>
              </w:rPr>
              <w:t>街道</w:t>
            </w:r>
          </w:p>
        </w:tc>
      </w:tr>
      <w:tr>
        <w:tblPrEx>
          <w:tblCellMar>
            <w:top w:w="0" w:type="dxa"/>
            <w:left w:w="108" w:type="dxa"/>
            <w:bottom w:w="0" w:type="dxa"/>
            <w:right w:w="108" w:type="dxa"/>
          </w:tblCellMar>
        </w:tblPrEx>
        <w:trPr>
          <w:trHeight w:val="263" w:hRule="atLeast"/>
        </w:trPr>
        <w:tc>
          <w:tcPr>
            <w:tcW w:w="36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1</w:t>
            </w:r>
          </w:p>
        </w:tc>
        <w:tc>
          <w:tcPr>
            <w:tcW w:w="72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征地前期准备</w:t>
            </w:r>
          </w:p>
        </w:tc>
        <w:tc>
          <w:tcPr>
            <w:tcW w:w="675"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拟征收土地告知</w:t>
            </w:r>
          </w:p>
        </w:tc>
        <w:tc>
          <w:tcPr>
            <w:tcW w:w="282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在拟征收土地前，应明确征收土地有关事项并予以公开。</w:t>
            </w:r>
          </w:p>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1.拟征收土地用途；</w:t>
            </w:r>
          </w:p>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2.拟征收土地的位置和范围；</w:t>
            </w:r>
          </w:p>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3.征地补偿标准及安置途径；</w:t>
            </w:r>
          </w:p>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4.开展土地现状调查的安排；</w:t>
            </w:r>
          </w:p>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5.拟征收土地的原用途管控（包括不得抢栽、抢种、抢建等有关规定）；</w:t>
            </w:r>
          </w:p>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6.听证权利；</w:t>
            </w:r>
          </w:p>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〔*对土地现状调查结果有异议的救济措施〕。</w:t>
            </w:r>
          </w:p>
        </w:tc>
        <w:tc>
          <w:tcPr>
            <w:tcW w:w="207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《国务院关于深化改革严格土地管理的决定》（国发〔2004〕28号）</w:t>
            </w:r>
          </w:p>
        </w:tc>
        <w:tc>
          <w:tcPr>
            <w:tcW w:w="159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在实地启动拟征收土地工作时，在村公示栏公开。</w:t>
            </w:r>
          </w:p>
          <w:p>
            <w:pPr>
              <w:snapToGrid w:val="0"/>
              <w:spacing w:line="220" w:lineRule="exact"/>
              <w:rPr>
                <w:rFonts w:hint="eastAsia" w:ascii="仿宋_GB2312" w:hAnsi="仿宋_GB2312" w:eastAsia="仿宋_GB2312" w:cs="仿宋_GB2312"/>
                <w:bCs/>
                <w:color w:val="000000"/>
                <w:kern w:val="0"/>
                <w:sz w:val="20"/>
                <w:szCs w:val="20"/>
              </w:rPr>
            </w:pPr>
          </w:p>
        </w:tc>
        <w:tc>
          <w:tcPr>
            <w:tcW w:w="87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街道办事处</w:t>
            </w:r>
          </w:p>
        </w:tc>
        <w:tc>
          <w:tcPr>
            <w:tcW w:w="2115"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陕西省征地信息公开查询系统</w:t>
            </w:r>
          </w:p>
        </w:tc>
        <w:tc>
          <w:tcPr>
            <w:tcW w:w="5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69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√面向拟征收土地所在地的村集体成员</w:t>
            </w:r>
          </w:p>
        </w:tc>
        <w:tc>
          <w:tcPr>
            <w:tcW w:w="541"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375" w:type="dxa"/>
            <w:gridSpan w:val="2"/>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75"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195" w:hRule="atLeast"/>
        </w:trPr>
        <w:tc>
          <w:tcPr>
            <w:tcW w:w="36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72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p>
        </w:tc>
        <w:tc>
          <w:tcPr>
            <w:tcW w:w="675"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282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20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1590" w:type="dxa"/>
            <w:tcBorders>
              <w:top w:val="single" w:color="auto" w:sz="4" w:space="0"/>
              <w:left w:val="single" w:color="auto" w:sz="4" w:space="0"/>
              <w:bottom w:val="single" w:color="auto" w:sz="4" w:space="0"/>
              <w:right w:val="single" w:color="auto" w:sz="4" w:space="0"/>
            </w:tcBorders>
            <w:noWrap/>
            <w:vAlign w:val="center"/>
          </w:tcPr>
          <w:p>
            <w:pPr>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收到征地批准文件之日起10个工作日内，在政府网站、征地信息公开平台公开。</w:t>
            </w:r>
          </w:p>
        </w:tc>
        <w:tc>
          <w:tcPr>
            <w:tcW w:w="8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2115"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5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541"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403" w:type="dxa"/>
            <w:gridSpan w:val="2"/>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375" w:type="dxa"/>
            <w:gridSpan w:val="2"/>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375"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r>
      <w:tr>
        <w:tblPrEx>
          <w:tblCellMar>
            <w:top w:w="0" w:type="dxa"/>
            <w:left w:w="108" w:type="dxa"/>
            <w:bottom w:w="0" w:type="dxa"/>
            <w:right w:w="108" w:type="dxa"/>
          </w:tblCellMar>
        </w:tblPrEx>
        <w:trPr>
          <w:trHeight w:val="2480" w:hRule="atLeast"/>
        </w:trPr>
        <w:tc>
          <w:tcPr>
            <w:tcW w:w="360" w:type="dxa"/>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2</w:t>
            </w:r>
          </w:p>
        </w:tc>
        <w:tc>
          <w:tcPr>
            <w:tcW w:w="720" w:type="dxa"/>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r>
              <w:rPr>
                <w:rFonts w:hint="eastAsia" w:ascii="仿宋_GB2312" w:hAnsi="仿宋_GB2312" w:eastAsia="仿宋_GB2312" w:cs="仿宋_GB2312"/>
                <w:kern w:val="0"/>
                <w:sz w:val="20"/>
                <w:szCs w:val="20"/>
              </w:rPr>
              <w:t>征地前期准备</w:t>
            </w:r>
          </w:p>
        </w:tc>
        <w:tc>
          <w:tcPr>
            <w:tcW w:w="675" w:type="dxa"/>
            <w:tcBorders>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2820" w:type="dxa"/>
            <w:tcBorders>
              <w:left w:val="single" w:color="auto" w:sz="4" w:space="0"/>
              <w:bottom w:val="single" w:color="auto" w:sz="4" w:space="0"/>
              <w:right w:val="single" w:color="auto" w:sz="4" w:space="0"/>
            </w:tcBorders>
            <w:noWrap/>
            <w:vAlign w:val="center"/>
          </w:tcPr>
          <w:p>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拟征收土地现状调查结果按规定确认后，调查结果予以公开。</w:t>
            </w:r>
          </w:p>
          <w:p>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1.征收土地勘测调查表；</w:t>
            </w:r>
          </w:p>
          <w:p>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2.地上附着物和青苗调查登记表；</w:t>
            </w:r>
          </w:p>
          <w:p>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〔*土地勘测定界图件（涉及国家秘密的项目除外；图件应按有关法律法规规定予以技术处理）〕。</w:t>
            </w:r>
          </w:p>
          <w:p>
            <w:pPr>
              <w:widowControl/>
              <w:rPr>
                <w:rFonts w:hint="eastAsia" w:ascii="仿宋_GB2312" w:hAnsi="仿宋_GB2312" w:eastAsia="仿宋_GB2312" w:cs="仿宋_GB2312"/>
                <w:kern w:val="0"/>
                <w:sz w:val="20"/>
                <w:szCs w:val="20"/>
              </w:rPr>
            </w:pPr>
          </w:p>
        </w:tc>
        <w:tc>
          <w:tcPr>
            <w:tcW w:w="2070" w:type="dxa"/>
            <w:tcBorders>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1.《土地管理法》；</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2.《国务院关于深化改革严格土地管理的决定》（国发〔2004〕28号）</w:t>
            </w:r>
          </w:p>
        </w:tc>
        <w:tc>
          <w:tcPr>
            <w:tcW w:w="1590" w:type="dxa"/>
            <w:tcBorders>
              <w:top w:val="single" w:color="auto" w:sz="4" w:space="0"/>
              <w:left w:val="single" w:color="auto" w:sz="4" w:space="0"/>
              <w:bottom w:val="single" w:color="auto" w:sz="4" w:space="0"/>
              <w:right w:val="single" w:color="auto" w:sz="4" w:space="0"/>
            </w:tcBorders>
            <w:noWrap/>
            <w:vAlign w:val="center"/>
          </w:tcPr>
          <w:p>
            <w:pP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拟征收土地现状调查结束后5个工作日内，在村公示栏公开。</w:t>
            </w:r>
          </w:p>
        </w:tc>
        <w:tc>
          <w:tcPr>
            <w:tcW w:w="870" w:type="dxa"/>
            <w:tcBorders>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bCs/>
                <w:color w:val="000000"/>
                <w:kern w:val="0"/>
                <w:sz w:val="20"/>
                <w:szCs w:val="20"/>
              </w:rPr>
              <w:t>街道办事处</w:t>
            </w:r>
          </w:p>
        </w:tc>
        <w:tc>
          <w:tcPr>
            <w:tcW w:w="2115" w:type="dxa"/>
            <w:tcBorders>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■社区/企事业单位/村公示栏（电子屏）</w:t>
            </w:r>
          </w:p>
          <w:p>
            <w:pPr>
              <w:widowControl/>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▲政府网站    ▲征地信息公开平台</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□政府公报     □两微一端   </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□发布会/听证会</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□广播电视     □纸质媒体□公开查阅点 </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□政务服务中心   </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□便民服务站  □入户/现场  </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□精准推送     □其他</w:t>
            </w:r>
          </w:p>
        </w:tc>
        <w:tc>
          <w:tcPr>
            <w:tcW w:w="57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p>
        </w:tc>
        <w:tc>
          <w:tcPr>
            <w:tcW w:w="6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√面向拟征收土地所在地的村集体成员</w:t>
            </w:r>
          </w:p>
        </w:tc>
        <w:tc>
          <w:tcPr>
            <w:tcW w:w="541" w:type="dxa"/>
            <w:tcBorders>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403" w:type="dxa"/>
            <w:gridSpan w:val="2"/>
            <w:tcBorders>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p>
        </w:tc>
        <w:tc>
          <w:tcPr>
            <w:tcW w:w="375" w:type="dxa"/>
            <w:gridSpan w:val="2"/>
            <w:tcBorders>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375" w:type="dxa"/>
            <w:tcBorders>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r>
      <w:tr>
        <w:tblPrEx>
          <w:tblCellMar>
            <w:top w:w="0" w:type="dxa"/>
            <w:left w:w="108" w:type="dxa"/>
            <w:bottom w:w="0" w:type="dxa"/>
            <w:right w:w="108" w:type="dxa"/>
          </w:tblCellMar>
        </w:tblPrEx>
        <w:trPr>
          <w:trHeight w:val="3692" w:hRule="atLeast"/>
        </w:trPr>
        <w:tc>
          <w:tcPr>
            <w:tcW w:w="36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4</w:t>
            </w:r>
          </w:p>
        </w:tc>
        <w:tc>
          <w:tcPr>
            <w:tcW w:w="72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征地前期准备</w:t>
            </w:r>
          </w:p>
        </w:tc>
        <w:tc>
          <w:tcPr>
            <w:tcW w:w="675" w:type="dxa"/>
            <w:vMerge w:val="restart"/>
            <w:tcBorders>
              <w:top w:val="single" w:color="auto" w:sz="4" w:space="0"/>
              <w:left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拟征地听证</w:t>
            </w:r>
          </w:p>
        </w:tc>
        <w:tc>
          <w:tcPr>
            <w:tcW w:w="2820" w:type="dxa"/>
            <w:vMerge w:val="restart"/>
            <w:tcBorders>
              <w:top w:val="single" w:color="auto" w:sz="4" w:space="0"/>
              <w:left w:val="single" w:color="auto" w:sz="4" w:space="0"/>
              <w:right w:val="single" w:color="auto" w:sz="4" w:space="0"/>
            </w:tcBorders>
            <w:noWrap/>
            <w:vAlign w:val="center"/>
          </w:tcPr>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征地前期工作中依申请开展听证工作的，听证结果予以公开。按拟征收土地告知确定的时间制作《听证通知书》；按《听证通知书》规定的时间组织听证；实施听证的，公开听证相关材料。</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〔*听证笔录有关资料〕。</w:t>
            </w:r>
          </w:p>
          <w:p>
            <w:pPr>
              <w:widowControl/>
              <w:spacing w:line="220" w:lineRule="exact"/>
              <w:rPr>
                <w:rFonts w:hint="eastAsia" w:ascii="仿宋_GB2312" w:hAnsi="仿宋_GB2312" w:eastAsia="仿宋_GB2312" w:cs="仿宋_GB2312"/>
                <w:bCs/>
                <w:color w:val="000000"/>
                <w:kern w:val="0"/>
                <w:sz w:val="20"/>
                <w:szCs w:val="20"/>
              </w:rPr>
            </w:pPr>
          </w:p>
        </w:tc>
        <w:tc>
          <w:tcPr>
            <w:tcW w:w="2070" w:type="dxa"/>
            <w:vMerge w:val="restart"/>
            <w:tcBorders>
              <w:top w:val="single" w:color="auto" w:sz="4" w:space="0"/>
              <w:left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0"/>
                <w:szCs w:val="20"/>
                <w:lang w:eastAsia="zh-CN"/>
              </w:rPr>
            </w:pPr>
            <w:r>
              <w:rPr>
                <w:rFonts w:hint="eastAsia" w:ascii="仿宋_GB2312" w:hAnsi="仿宋_GB2312" w:eastAsia="仿宋_GB2312" w:cs="仿宋_GB2312"/>
                <w:bCs/>
                <w:kern w:val="0"/>
                <w:sz w:val="20"/>
                <w:szCs w:val="20"/>
              </w:rPr>
              <w:t>1.《国土资源听证规定》；</w:t>
            </w:r>
          </w:p>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590"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①</w:t>
            </w:r>
            <w:r>
              <w:rPr>
                <w:rFonts w:hint="eastAsia" w:ascii="仿宋_GB2312" w:hAnsi="仿宋_GB2312" w:eastAsia="仿宋_GB2312" w:cs="仿宋_GB2312"/>
                <w:bCs/>
                <w:sz w:val="20"/>
                <w:szCs w:val="20"/>
              </w:rPr>
              <w:t>《听证通知书》应在组织听证7个工作日前予以公开；</w:t>
            </w:r>
            <w:r>
              <w:rPr>
                <w:rFonts w:hint="eastAsia" w:ascii="仿宋_GB2312" w:hAnsi="仿宋_GB2312" w:eastAsia="仿宋_GB2312" w:cs="仿宋_GB2312"/>
                <w:bCs/>
                <w:kern w:val="0"/>
                <w:sz w:val="20"/>
                <w:szCs w:val="20"/>
              </w:rPr>
              <w:t>②</w:t>
            </w:r>
            <w:r>
              <w:rPr>
                <w:rFonts w:hint="eastAsia" w:ascii="仿宋_GB2312" w:hAnsi="仿宋_GB2312" w:eastAsia="仿宋_GB2312" w:cs="仿宋_GB2312"/>
                <w:bCs/>
                <w:sz w:val="20"/>
                <w:szCs w:val="20"/>
              </w:rPr>
              <w:t>其他听证公开内容在拟征地听证工作结束后5个工作日内在村公示栏公开。</w:t>
            </w:r>
          </w:p>
        </w:tc>
        <w:tc>
          <w:tcPr>
            <w:tcW w:w="870" w:type="dxa"/>
            <w:vMerge w:val="restart"/>
            <w:tcBorders>
              <w:top w:val="single" w:color="auto" w:sz="4" w:space="0"/>
              <w:left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2115" w:type="dxa"/>
            <w:vMerge w:val="restart"/>
            <w:tcBorders>
              <w:top w:val="single" w:color="auto" w:sz="4" w:space="0"/>
              <w:left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val="en-US" w:eastAsia="zh-CN"/>
              </w:rPr>
              <w:t>西咸新区</w:t>
            </w:r>
            <w:r>
              <w:rPr>
                <w:rFonts w:hint="eastAsia" w:ascii="仿宋_GB2312" w:hAnsi="仿宋_GB2312" w:eastAsia="仿宋_GB2312" w:cs="仿宋_GB2312"/>
                <w:bCs/>
                <w:color w:val="000000"/>
                <w:kern w:val="0"/>
                <w:sz w:val="20"/>
                <w:szCs w:val="20"/>
              </w:rPr>
              <w:t>门户网站</w:t>
            </w:r>
          </w:p>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陕西省征地信息公开查询系统</w:t>
            </w:r>
          </w:p>
        </w:tc>
        <w:tc>
          <w:tcPr>
            <w:tcW w:w="5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69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√面向拟征收土地所在地的村集体成员</w:t>
            </w:r>
          </w:p>
        </w:tc>
        <w:tc>
          <w:tcPr>
            <w:tcW w:w="54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375"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180" w:hRule="atLeast"/>
        </w:trPr>
        <w:tc>
          <w:tcPr>
            <w:tcW w:w="36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72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p>
        </w:tc>
        <w:tc>
          <w:tcPr>
            <w:tcW w:w="675"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282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20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159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收到征地批准文件之日起10个工作日内，在政府网站、征地信息公开平台公开。</w:t>
            </w:r>
          </w:p>
        </w:tc>
        <w:tc>
          <w:tcPr>
            <w:tcW w:w="8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2115"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p>
        </w:tc>
        <w:tc>
          <w:tcPr>
            <w:tcW w:w="5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541"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37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rPr>
            </w:pPr>
          </w:p>
        </w:tc>
      </w:tr>
    </w:tbl>
    <w:p>
      <w:pPr>
        <w:rPr>
          <w:rFonts w:hint="eastAsia" w:ascii="仿宋_GB2312" w:hAnsi="仿宋_GB2312" w:eastAsia="仿宋_GB2312" w:cs="仿宋_GB2312"/>
          <w:sz w:val="20"/>
          <w:szCs w:val="20"/>
        </w:rPr>
      </w:pPr>
    </w:p>
    <w:tbl>
      <w:tblPr>
        <w:tblStyle w:val="4"/>
        <w:tblW w:w="14061" w:type="dxa"/>
        <w:tblInd w:w="113" w:type="dxa"/>
        <w:tblLayout w:type="fixed"/>
        <w:tblCellMar>
          <w:top w:w="0" w:type="dxa"/>
          <w:left w:w="108" w:type="dxa"/>
          <w:bottom w:w="0" w:type="dxa"/>
          <w:right w:w="108" w:type="dxa"/>
        </w:tblCellMar>
      </w:tblPr>
      <w:tblGrid>
        <w:gridCol w:w="456"/>
        <w:gridCol w:w="792"/>
        <w:gridCol w:w="870"/>
        <w:gridCol w:w="2906"/>
        <w:gridCol w:w="2644"/>
        <w:gridCol w:w="1579"/>
        <w:gridCol w:w="825"/>
        <w:gridCol w:w="1305"/>
        <w:gridCol w:w="434"/>
        <w:gridCol w:w="694"/>
        <w:gridCol w:w="403"/>
        <w:gridCol w:w="403"/>
        <w:gridCol w:w="319"/>
        <w:gridCol w:w="431"/>
      </w:tblGrid>
      <w:tr>
        <w:tblPrEx>
          <w:tblCellMar>
            <w:top w:w="0" w:type="dxa"/>
            <w:left w:w="108" w:type="dxa"/>
            <w:bottom w:w="0" w:type="dxa"/>
            <w:right w:w="108" w:type="dxa"/>
          </w:tblCellMar>
        </w:tblPrEx>
        <w:trPr>
          <w:trHeight w:val="3381"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kern w:val="0"/>
                <w:sz w:val="20"/>
                <w:szCs w:val="20"/>
                <w:lang w:val="en-US" w:eastAsia="zh-CN"/>
              </w:rPr>
              <w:t>5</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征地审查报批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征地批准文件</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有权一级人民政府批准用地的批复文件、地方人民政府转发批复文件应予以公开。</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1.国务院批准用地批复文件（指用地由国务院批准）；</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2.省级人民政府批准用地批复文件（指用地由省级人民政府批准）；</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3.国务院批准城市用地后省级人民政府审核同意实施方案文件；</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4.地方人民政府转发用地批复文件；</w:t>
            </w:r>
          </w:p>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5.其他用地批准文件。</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2.《中华人民共和国政府信息公开条例》</w:t>
            </w:r>
          </w:p>
          <w:p>
            <w:pPr>
              <w:widowControl/>
              <w:spacing w:line="220" w:lineRule="exact"/>
              <w:rPr>
                <w:rFonts w:hint="eastAsia" w:ascii="仿宋_GB2312" w:hAnsi="仿宋_GB2312" w:eastAsia="仿宋_GB2312" w:cs="仿宋_GB2312"/>
                <w:bCs/>
                <w:color w:val="000000"/>
                <w:kern w:val="0"/>
                <w:sz w:val="20"/>
                <w:szCs w:val="20"/>
              </w:rPr>
            </w:pP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82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0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val="en-US" w:eastAsia="zh-CN"/>
              </w:rPr>
              <w:t>西咸新区</w:t>
            </w:r>
            <w:r>
              <w:rPr>
                <w:rFonts w:hint="eastAsia" w:ascii="仿宋_GB2312" w:hAnsi="仿宋_GB2312" w:eastAsia="仿宋_GB2312" w:cs="仿宋_GB2312"/>
                <w:bCs/>
                <w:color w:val="000000"/>
                <w:kern w:val="0"/>
                <w:sz w:val="20"/>
                <w:szCs w:val="20"/>
              </w:rPr>
              <w:t>门户网站</w:t>
            </w:r>
          </w:p>
          <w:p>
            <w:pPr>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陕西省征地信息公开查询系统</w:t>
            </w:r>
          </w:p>
          <w:p>
            <w:pPr>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43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405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6</w:t>
            </w:r>
          </w:p>
        </w:tc>
        <w:tc>
          <w:tcPr>
            <w:tcW w:w="792" w:type="dxa"/>
            <w:vMerge w:val="restart"/>
            <w:tcBorders>
              <w:top w:val="single" w:color="auto" w:sz="4" w:space="0"/>
              <w:left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征收土地公告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根据用地批复文件，县（市、区）人民政府拟定征收土地公告并予以公开。</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1.征地批准机关、批准文号、批准时间和批准用途；</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pacing w:val="-6"/>
                <w:sz w:val="20"/>
                <w:szCs w:val="20"/>
              </w:rPr>
              <w:t>被征收土地的所有权人、位置、地类、面积；</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3.征地补偿标准、农业人口安置方式、社会保障途径等；</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4.办理征地补偿登记的期限、地点和要求；</w:t>
            </w:r>
          </w:p>
          <w:p>
            <w:pPr>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5.救济途径。</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2.《征收土地公告办法》</w:t>
            </w:r>
          </w:p>
        </w:tc>
        <w:tc>
          <w:tcPr>
            <w:tcW w:w="1579"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82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0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val="en-US" w:eastAsia="zh-CN"/>
              </w:rPr>
              <w:t>西咸新区</w:t>
            </w:r>
            <w:r>
              <w:rPr>
                <w:rFonts w:hint="eastAsia" w:ascii="仿宋_GB2312" w:hAnsi="仿宋_GB2312" w:eastAsia="仿宋_GB2312" w:cs="仿宋_GB2312"/>
                <w:bCs/>
                <w:color w:val="000000"/>
                <w:kern w:val="0"/>
                <w:sz w:val="20"/>
                <w:szCs w:val="20"/>
              </w:rPr>
              <w:t>门户网站</w:t>
            </w:r>
          </w:p>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陕西省征地信息公开查询系统</w:t>
            </w:r>
          </w:p>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43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7325"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7</w:t>
            </w:r>
          </w:p>
        </w:tc>
        <w:tc>
          <w:tcPr>
            <w:tcW w:w="792" w:type="dxa"/>
            <w:vMerge w:val="continue"/>
            <w:tcBorders>
              <w:top w:val="single" w:color="auto" w:sz="4" w:space="0"/>
              <w:left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kern w:val="0"/>
                <w:sz w:val="20"/>
                <w:szCs w:val="20"/>
              </w:rPr>
              <w:t>征地补偿登记</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hint="eastAsia" w:ascii="仿宋_GB2312" w:hAnsi="仿宋_GB2312" w:eastAsia="仿宋_GB2312" w:cs="仿宋_GB2312"/>
                <w:sz w:val="20"/>
                <w:szCs w:val="20"/>
              </w:rPr>
            </w:pPr>
          </w:p>
          <w:p>
            <w:pPr>
              <w:rPr>
                <w:rFonts w:hint="eastAsia" w:ascii="仿宋_GB2312" w:hAnsi="仿宋_GB2312" w:eastAsia="仿宋_GB2312" w:cs="仿宋_GB2312"/>
                <w:sz w:val="20"/>
                <w:szCs w:val="20"/>
              </w:rPr>
            </w:pPr>
          </w:p>
          <w:p>
            <w:pPr>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征地补偿登记汇总表。</w:t>
            </w:r>
          </w:p>
          <w:p>
            <w:pPr>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〔*征地补偿登记前置与征收土地现状调查合并进行的，在前置环节一并公开〕。</w:t>
            </w:r>
          </w:p>
          <w:p>
            <w:pPr>
              <w:ind w:firstLine="360"/>
              <w:rPr>
                <w:rFonts w:hint="eastAsia" w:ascii="仿宋_GB2312" w:hAnsi="仿宋_GB2312" w:eastAsia="仿宋_GB2312" w:cs="仿宋_GB2312"/>
                <w:kern w:val="0"/>
                <w:sz w:val="20"/>
                <w:szCs w:val="20"/>
              </w:rPr>
            </w:pPr>
          </w:p>
          <w:p>
            <w:pPr>
              <w:ind w:firstLine="360"/>
              <w:rPr>
                <w:rFonts w:hint="eastAsia" w:ascii="仿宋_GB2312" w:hAnsi="仿宋_GB2312" w:eastAsia="仿宋_GB2312" w:cs="仿宋_GB2312"/>
                <w:kern w:val="0"/>
                <w:sz w:val="20"/>
                <w:szCs w:val="20"/>
              </w:rPr>
            </w:pPr>
          </w:p>
          <w:p>
            <w:pPr>
              <w:rPr>
                <w:rFonts w:hint="eastAsia" w:ascii="仿宋_GB2312" w:hAnsi="仿宋_GB2312" w:eastAsia="仿宋_GB2312" w:cs="仿宋_GB2312"/>
                <w:kern w:val="0"/>
                <w:sz w:val="20"/>
                <w:szCs w:val="20"/>
              </w:rPr>
            </w:pP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1.《土地管理法》；</w:t>
            </w:r>
          </w:p>
          <w:p>
            <w:pPr>
              <w:widowControl/>
              <w:spacing w:line="32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2.《中华人民共和国政府信息公开条例》</w:t>
            </w:r>
          </w:p>
          <w:p>
            <w:pPr>
              <w:widowControl/>
              <w:spacing w:line="320" w:lineRule="exact"/>
              <w:jc w:val="center"/>
              <w:rPr>
                <w:rFonts w:hint="eastAsia" w:ascii="仿宋_GB2312" w:hAnsi="仿宋_GB2312" w:eastAsia="仿宋_GB2312" w:cs="仿宋_GB2312"/>
                <w:kern w:val="0"/>
                <w:sz w:val="20"/>
                <w:szCs w:val="20"/>
              </w:rPr>
            </w:pP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征地补偿登记结束后5个工作日内公开。</w:t>
            </w:r>
          </w:p>
          <w:p>
            <w:pPr>
              <w:spacing w:line="320" w:lineRule="exact"/>
              <w:ind w:firstLine="400" w:firstLineChars="200"/>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公示结束后，转为依申请公开。</w:t>
            </w:r>
          </w:p>
        </w:tc>
        <w:tc>
          <w:tcPr>
            <w:tcW w:w="825"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县（市、区）自然资源主管部门和负责农村集体土地征收的有关部门</w:t>
            </w:r>
          </w:p>
        </w:tc>
        <w:tc>
          <w:tcPr>
            <w:tcW w:w="1305"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■社区/企事业单位/村公示栏（电子屏）  </w:t>
            </w:r>
          </w:p>
          <w:p>
            <w:pPr>
              <w:widowControl/>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 xml:space="preserve">□政府网站     □政府公报□两微一端     □发布会/听证会   </w:t>
            </w:r>
          </w:p>
          <w:p>
            <w:pPr>
              <w:widowControl/>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 xml:space="preserve">□广播电视     □纸质媒体□公开查阅点   □政务服务中心   </w:t>
            </w:r>
          </w:p>
          <w:p>
            <w:pPr>
              <w:widowControl/>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 xml:space="preserve">□便民服务站  □入户/现场  </w:t>
            </w:r>
          </w:p>
          <w:p>
            <w:pPr>
              <w:widowControl/>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□征地信息公开平台</w:t>
            </w:r>
          </w:p>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□精准推送     □其他</w:t>
            </w:r>
          </w:p>
        </w:tc>
        <w:tc>
          <w:tcPr>
            <w:tcW w:w="4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p>
        </w:tc>
        <w:tc>
          <w:tcPr>
            <w:tcW w:w="6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p>
        </w:tc>
        <w:tc>
          <w:tcPr>
            <w:tcW w:w="43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r>
      <w:tr>
        <w:tblPrEx>
          <w:tblCellMar>
            <w:top w:w="0" w:type="dxa"/>
            <w:left w:w="108" w:type="dxa"/>
            <w:bottom w:w="0" w:type="dxa"/>
            <w:right w:w="108" w:type="dxa"/>
          </w:tblCellMar>
        </w:tblPrEx>
        <w:trPr>
          <w:trHeight w:val="4666"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8</w:t>
            </w:r>
          </w:p>
        </w:tc>
        <w:tc>
          <w:tcPr>
            <w:tcW w:w="792" w:type="dxa"/>
            <w:vMerge w:val="continue"/>
            <w:tcBorders>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征地补偿安置方案公告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征收土地公告期满后，县（市、区）自然资源主管部门和负责农村集体土地征收的有关部门拟定《征地补偿安置方案》并予以公开。</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1.被征收土地的位置、地类、面积，地上附着物和青苗的种类、数量，需要安置的农业人口和数量；</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2.土地补偿费和安置补助费的标准、数额、支付对象和支付方式；</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3.地上附着物和青苗的补偿标准与支付方式；</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4.社会保障费用的筹集方法、缴费比例和办法；</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5.农业人员安置具体途径；</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6.其他有关征地补偿、安置的具体措施；</w:t>
            </w:r>
          </w:p>
          <w:p>
            <w:pPr>
              <w:spacing w:line="220" w:lineRule="exac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7.听证等救济途径；</w:t>
            </w:r>
          </w:p>
          <w:p>
            <w:pPr>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〔*征地补偿安置方案前置的，在前置环节一并公开〕。</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0"/>
                <w:szCs w:val="20"/>
                <w:lang w:eastAsia="zh-CN"/>
              </w:rPr>
            </w:pPr>
            <w:r>
              <w:rPr>
                <w:rFonts w:hint="eastAsia" w:ascii="仿宋_GB2312" w:hAnsi="仿宋_GB2312" w:eastAsia="仿宋_GB2312" w:cs="仿宋_GB2312"/>
                <w:bCs/>
                <w:kern w:val="0"/>
                <w:sz w:val="20"/>
                <w:szCs w:val="20"/>
              </w:rPr>
              <w:t>1.《国土资源部办公厅关于进一步做好市县征地信息公开工作有关问题的通知》（国土资厅发〔2014〕29号）；</w:t>
            </w:r>
          </w:p>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2.《征收土地公告办法》</w:t>
            </w: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拟定《征地补偿安置方案》后5个工作日内公开。</w:t>
            </w:r>
          </w:p>
          <w:p>
            <w:pPr>
              <w:widowControl/>
              <w:spacing w:line="220" w:lineRule="exact"/>
              <w:rPr>
                <w:rFonts w:hint="eastAsia" w:ascii="仿宋_GB2312" w:hAnsi="仿宋_GB2312" w:eastAsia="仿宋_GB2312" w:cs="仿宋_GB2312"/>
                <w:bCs/>
                <w:kern w:val="0"/>
                <w:sz w:val="20"/>
                <w:szCs w:val="20"/>
              </w:rPr>
            </w:pPr>
            <w:r>
              <w:rPr>
                <w:rFonts w:hint="eastAsia" w:ascii="仿宋_GB2312" w:hAnsi="仿宋_GB2312" w:eastAsia="仿宋_GB2312" w:cs="仿宋_GB2312"/>
                <w:bCs/>
                <w:sz w:val="20"/>
                <w:szCs w:val="20"/>
              </w:rPr>
              <w:t>公示结束后，转为依申请公开。</w:t>
            </w:r>
          </w:p>
          <w:p>
            <w:pPr>
              <w:widowControl/>
              <w:spacing w:line="220" w:lineRule="exact"/>
              <w:rPr>
                <w:rFonts w:hint="eastAsia" w:ascii="仿宋_GB2312" w:hAnsi="仿宋_GB2312" w:eastAsia="仿宋_GB2312" w:cs="仿宋_GB2312"/>
                <w:bCs/>
                <w:color w:val="000000"/>
                <w:kern w:val="0"/>
                <w:sz w:val="20"/>
                <w:szCs w:val="20"/>
              </w:rPr>
            </w:pPr>
          </w:p>
        </w:tc>
        <w:tc>
          <w:tcPr>
            <w:tcW w:w="82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0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43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69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p>
        </w:tc>
        <w:tc>
          <w:tcPr>
            <w:tcW w:w="43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val="en-US" w:eastAsia="zh-CN"/>
              </w:rPr>
              <w:t>9</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依申请开展听证工作的，听证结果公开。按征地补偿安置方案公告确定的时间制作《听证通知书》；按《听证通知书》规定的时间组织听证；实施听证的，公开听证相关材料。</w:t>
            </w:r>
          </w:p>
          <w:p>
            <w:pP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widowControl/>
              <w:spacing w:line="320" w:lineRule="exact"/>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0"/>
                <w:szCs w:val="20"/>
                <w:lang w:eastAsia="zh-CN"/>
              </w:rPr>
            </w:pPr>
            <w:r>
              <w:rPr>
                <w:rFonts w:hint="eastAsia" w:ascii="仿宋_GB2312" w:hAnsi="仿宋_GB2312" w:eastAsia="仿宋_GB2312" w:cs="仿宋_GB2312"/>
                <w:bCs/>
                <w:kern w:val="0"/>
                <w:sz w:val="20"/>
                <w:szCs w:val="20"/>
              </w:rPr>
              <w:t>1.《国土资源听证规定》；</w:t>
            </w:r>
          </w:p>
          <w:p>
            <w:pPr>
              <w:widowControl/>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①《听证通知书》应在组织听证7个工作日前予以公开；②其他听证公开内容在征地听证结束后5个</w:t>
            </w:r>
            <w:bookmarkStart w:id="0" w:name="_GoBack"/>
            <w:bookmarkEnd w:id="0"/>
            <w:r>
              <w:rPr>
                <w:rFonts w:hint="eastAsia" w:ascii="仿宋_GB2312" w:hAnsi="仿宋_GB2312" w:eastAsia="仿宋_GB2312" w:cs="仿宋_GB2312"/>
                <w:bCs/>
                <w:kern w:val="0"/>
                <w:sz w:val="20"/>
                <w:szCs w:val="20"/>
              </w:rPr>
              <w:t>工作日内公开。</w:t>
            </w:r>
          </w:p>
          <w:p>
            <w:pPr>
              <w:widowControl/>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公示结束后，转为依申请公开。</w:t>
            </w:r>
          </w:p>
        </w:tc>
        <w:tc>
          <w:tcPr>
            <w:tcW w:w="825"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自然资源和规划局</w:t>
            </w:r>
          </w:p>
        </w:tc>
        <w:tc>
          <w:tcPr>
            <w:tcW w:w="1305"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tc>
        <w:tc>
          <w:tcPr>
            <w:tcW w:w="4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rPr>
            </w:pPr>
          </w:p>
        </w:tc>
        <w:tc>
          <w:tcPr>
            <w:tcW w:w="6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rPr>
            </w:pPr>
          </w:p>
        </w:tc>
        <w:tc>
          <w:tcPr>
            <w:tcW w:w="43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rPr>
              <w:t>1</w:t>
            </w:r>
            <w:r>
              <w:rPr>
                <w:rFonts w:hint="eastAsia" w:ascii="仿宋_GB2312" w:hAnsi="仿宋_GB2312" w:eastAsia="仿宋_GB2312" w:cs="仿宋_GB2312"/>
                <w:bCs/>
                <w:color w:val="000000"/>
                <w:kern w:val="0"/>
                <w:sz w:val="20"/>
                <w:szCs w:val="20"/>
                <w:lang w:val="en-US" w:eastAsia="zh-CN"/>
              </w:rPr>
              <w:t>0</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征地补偿费用支付</w:t>
            </w:r>
          </w:p>
        </w:tc>
        <w:tc>
          <w:tcPr>
            <w:tcW w:w="2906"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征地补偿费用支付凭证。</w:t>
            </w:r>
          </w:p>
          <w:p>
            <w:pPr>
              <w:widowControl/>
              <w:spacing w:line="32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〔在被征地村公告栏张贴，予以公开，张贴之日起20个工作日后可依申请公开〕</w:t>
            </w:r>
            <w:r>
              <w:rPr>
                <w:rFonts w:hint="eastAsia" w:ascii="仿宋_GB2312" w:hAnsi="仿宋_GB2312" w:eastAsia="仿宋_GB2312" w:cs="仿宋_GB2312"/>
                <w:kern w:val="0"/>
                <w:sz w:val="20"/>
                <w:szCs w:val="20"/>
              </w:rPr>
              <w:t>。</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1.《中华人民共和国政府信息公开条例》</w:t>
            </w:r>
          </w:p>
          <w:p>
            <w:pPr>
              <w:widowControl/>
              <w:spacing w:line="320" w:lineRule="exac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2.《征收土地公告办法》</w:t>
            </w:r>
          </w:p>
          <w:p>
            <w:pPr>
              <w:widowControl/>
              <w:spacing w:line="320" w:lineRule="exact"/>
              <w:rPr>
                <w:rFonts w:hint="eastAsia" w:ascii="仿宋_GB2312" w:hAnsi="仿宋_GB2312" w:eastAsia="仿宋_GB2312" w:cs="仿宋_GB2312"/>
                <w:kern w:val="0"/>
                <w:sz w:val="20"/>
                <w:szCs w:val="20"/>
              </w:rPr>
            </w:pPr>
          </w:p>
        </w:tc>
        <w:tc>
          <w:tcPr>
            <w:tcW w:w="1579"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ind w:firstLine="400" w:firstLineChars="200"/>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获得支付凭证后5个工作日内予以公开。</w:t>
            </w:r>
          </w:p>
          <w:p>
            <w:pPr>
              <w:widowControl/>
              <w:spacing w:line="320" w:lineRule="exact"/>
              <w:ind w:firstLine="400" w:firstLineChars="200"/>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公示结束后，转为依申请公开。</w:t>
            </w:r>
          </w:p>
        </w:tc>
        <w:tc>
          <w:tcPr>
            <w:tcW w:w="825"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县（市、区）自然资源主管部门和负责农村集体土地征收的有关部门</w:t>
            </w:r>
          </w:p>
        </w:tc>
        <w:tc>
          <w:tcPr>
            <w:tcW w:w="1305"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■社区/企事业单位/村公示栏（电子屏）</w:t>
            </w:r>
          </w:p>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□政府网站     □政府公报□两微一端     □发布会/听证会</w:t>
            </w:r>
          </w:p>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□广播电视     □纸质媒体□公开查阅点   □政务服务中心</w:t>
            </w:r>
          </w:p>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□便民服务站  □入户/现场  □征地信息公开平台</w:t>
            </w:r>
          </w:p>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□精准推送     □其他</w:t>
            </w:r>
          </w:p>
        </w:tc>
        <w:tc>
          <w:tcPr>
            <w:tcW w:w="4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p>
        </w:tc>
        <w:tc>
          <w:tcPr>
            <w:tcW w:w="6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p>
        </w:tc>
        <w:tc>
          <w:tcPr>
            <w:tcW w:w="43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w:t>
            </w:r>
          </w:p>
        </w:tc>
      </w:tr>
    </w:tbl>
    <w:p>
      <w:pPr>
        <w:snapToGrid w:val="0"/>
        <w:spacing w:line="220" w:lineRule="exact"/>
        <w:rPr>
          <w:rFonts w:hint="eastAsia" w:ascii="仿宋_GB2312" w:hAnsi="仿宋_GB2312" w:eastAsia="仿宋_GB2312" w:cs="仿宋_GB2312"/>
          <w:sz w:val="22"/>
          <w:szCs w:val="22"/>
        </w:rPr>
      </w:pPr>
    </w:p>
    <w:p>
      <w:pPr>
        <w:snapToGrid w:val="0"/>
        <w:spacing w:line="240" w:lineRule="exact"/>
        <w:rPr>
          <w:rFonts w:hint="eastAsia" w:ascii="仿宋_GB2312" w:hAnsi="仿宋_GB2312" w:eastAsia="仿宋_GB2312" w:cs="仿宋_GB2312"/>
          <w:sz w:val="22"/>
          <w:szCs w:val="22"/>
        </w:rPr>
      </w:pPr>
    </w:p>
    <w:p>
      <w:pPr>
        <w:snapToGrid w:val="0"/>
        <w:spacing w:line="240" w:lineRule="exact"/>
        <w:rPr>
          <w:rFonts w:hint="eastAsia" w:ascii="仿宋_GB2312" w:hAnsi="仿宋_GB2312" w:eastAsia="仿宋_GB2312" w:cs="仿宋_GB2312"/>
          <w:sz w:val="22"/>
          <w:szCs w:val="2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YzMTA2ODFjMTk3ZTZlNWMwNjZkYmRiOTE2YTlkYjkifQ=="/>
  </w:docVars>
  <w:rsids>
    <w:rsidRoot w:val="064D68C5"/>
    <w:rsid w:val="0001262D"/>
    <w:rsid w:val="003035C5"/>
    <w:rsid w:val="00341B21"/>
    <w:rsid w:val="00691814"/>
    <w:rsid w:val="00714A7F"/>
    <w:rsid w:val="008937CE"/>
    <w:rsid w:val="00AC0C89"/>
    <w:rsid w:val="064D68C5"/>
    <w:rsid w:val="086C2359"/>
    <w:rsid w:val="21F5223F"/>
    <w:rsid w:val="389D2A16"/>
    <w:rsid w:val="38A961B8"/>
    <w:rsid w:val="3CC6171E"/>
    <w:rsid w:val="41B7127E"/>
    <w:rsid w:val="49DA5B2E"/>
    <w:rsid w:val="4D8F6AB4"/>
    <w:rsid w:val="540D5292"/>
    <w:rsid w:val="5CF75753"/>
    <w:rsid w:val="7DEA4C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2707</Words>
  <Characters>2779</Characters>
  <Lines>14</Lines>
  <Paragraphs>4</Paragraphs>
  <TotalTime>5</TotalTime>
  <ScaleCrop>false</ScaleCrop>
  <LinksUpToDate>false</LinksUpToDate>
  <CharactersWithSpaces>2871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2020-12-18T04:00:00Z</dcterms:created>
  <dc:creator>郭宇</dc:creator>
  <cp:lastModifiedBy>:-D冧52134</cp:lastModifiedBy>
  <cp:lastPrinted>2022-07-15T02:21:52Z</cp:lastPrinted>
  <dcterms:modified xsi:type="dcterms:W3CDTF">2022-07-15T02:21:56Z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52E84172FC924D76810549FFB9E50CB1</vt:lpwstr>
  </property>
</Properties>
</file>