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883"/>
        <w:jc w:val="center"/>
        <w:rPr>
          <w:rFonts w:ascii="楷体" w:hAnsi="楷体" w:eastAsia="楷体" w:cs="Times New Roman"/>
          <w:b/>
          <w:bCs/>
          <w:sz w:val="44"/>
          <w:szCs w:val="44"/>
          <w:lang w:val="zh-CN"/>
        </w:rPr>
      </w:pPr>
      <w:r>
        <w:rPr>
          <w:rFonts w:hint="eastAsia" w:ascii="楷体" w:hAnsi="楷体" w:eastAsia="楷体" w:cs="Times New Roman"/>
          <w:b/>
          <w:bCs/>
          <w:sz w:val="44"/>
          <w:szCs w:val="44"/>
          <w:lang w:val="zh-CN"/>
        </w:rPr>
        <w:t>陕西省西咸新区综合行政执法局</w:t>
      </w:r>
    </w:p>
    <w:p>
      <w:pPr>
        <w:ind w:firstLine="883"/>
        <w:jc w:val="center"/>
        <w:rPr>
          <w:rFonts w:ascii="楷体" w:hAnsi="楷体" w:eastAsia="楷体" w:cs="Times New Roman"/>
          <w:b/>
          <w:bCs/>
          <w:sz w:val="44"/>
          <w:szCs w:val="44"/>
          <w:lang w:val="zh-CN"/>
        </w:rPr>
      </w:pPr>
    </w:p>
    <w:p>
      <w:pPr>
        <w:ind w:firstLine="883"/>
        <w:jc w:val="center"/>
        <w:rPr>
          <w:rFonts w:ascii="楷体" w:hAnsi="楷体" w:eastAsia="楷体" w:cs="Times New Roman"/>
          <w:b/>
          <w:bCs/>
          <w:sz w:val="44"/>
          <w:szCs w:val="44"/>
          <w:lang w:val="zh-CN"/>
        </w:rPr>
      </w:pPr>
    </w:p>
    <w:p>
      <w:pPr>
        <w:ind w:firstLine="1044"/>
        <w:jc w:val="center"/>
        <w:rPr>
          <w:rFonts w:ascii="黑体" w:hAnsi="黑体" w:eastAsia="黑体" w:cs="Times New Roman"/>
          <w:b/>
          <w:bCs/>
          <w:sz w:val="52"/>
          <w:szCs w:val="52"/>
          <w:lang w:val="zh-CN"/>
        </w:rPr>
      </w:pPr>
    </w:p>
    <w:p>
      <w:pPr>
        <w:ind w:firstLine="1044"/>
        <w:jc w:val="center"/>
        <w:rPr>
          <w:rFonts w:ascii="黑体" w:hAnsi="黑体" w:eastAsia="黑体" w:cs="Times New Roman"/>
          <w:b/>
          <w:bCs/>
          <w:sz w:val="52"/>
          <w:szCs w:val="52"/>
          <w:lang w:val="zh-CN"/>
        </w:rPr>
      </w:pPr>
      <w:r>
        <w:rPr>
          <w:rFonts w:hint="eastAsia" w:ascii="黑体" w:hAnsi="黑体" w:eastAsia="黑体" w:cs="Times New Roman"/>
          <w:b/>
          <w:bCs/>
          <w:sz w:val="52"/>
          <w:szCs w:val="52"/>
          <w:lang w:val="zh-CN"/>
        </w:rPr>
        <w:t>行政处罚自由裁量基准</w:t>
      </w:r>
    </w:p>
    <w:p>
      <w:pPr>
        <w:ind w:firstLine="1044"/>
        <w:jc w:val="center"/>
        <w:rPr>
          <w:rFonts w:ascii="华光楷体二_CNKI" w:hAnsi="华光楷体二_CNKI" w:eastAsia="华光楷体二_CNKI" w:cs="Times New Roman"/>
          <w:b/>
          <w:bCs/>
          <w:sz w:val="44"/>
          <w:szCs w:val="44"/>
          <w:lang w:val="zh-CN"/>
        </w:rPr>
      </w:pPr>
    </w:p>
    <w:p>
      <w:pPr>
        <w:ind w:firstLine="1044"/>
        <w:jc w:val="center"/>
        <w:rPr>
          <w:rFonts w:ascii="华光楷体二_CNKI" w:hAnsi="华光楷体二_CNKI" w:eastAsia="华光楷体二_CNKI" w:cs="Times New Roman"/>
          <w:b/>
          <w:bCs/>
          <w:sz w:val="44"/>
          <w:szCs w:val="44"/>
          <w:lang w:val="zh-CN"/>
        </w:rPr>
      </w:pPr>
      <w:r>
        <w:rPr>
          <w:rFonts w:hint="eastAsia" w:ascii="华光楷体二_CNKI" w:hAnsi="华光楷体二_CNKI" w:eastAsia="华光楷体二_CNKI" w:cs="Times New Roman"/>
          <w:b/>
          <w:bCs/>
          <w:sz w:val="44"/>
          <w:szCs w:val="44"/>
          <w:lang w:val="zh-CN"/>
        </w:rPr>
        <w:t>（十三）气象执法</w:t>
      </w:r>
    </w:p>
    <w:p>
      <w:pPr>
        <w:ind w:firstLine="1044"/>
        <w:jc w:val="center"/>
        <w:rPr>
          <w:rFonts w:ascii="黑体" w:hAnsi="黑体" w:eastAsia="黑体" w:cs="Times New Roman"/>
          <w:b/>
          <w:bCs/>
          <w:sz w:val="52"/>
          <w:szCs w:val="52"/>
          <w:lang w:val="zh-CN"/>
        </w:rPr>
      </w:pPr>
    </w:p>
    <w:p>
      <w:pPr>
        <w:ind w:firstLine="420"/>
        <w:rPr>
          <w:rFonts w:ascii="Calibri" w:hAnsi="Calibri" w:eastAsia="宋体" w:cs="Times New Roman"/>
        </w:rPr>
      </w:pPr>
    </w:p>
    <w:p>
      <w:pPr>
        <w:ind w:firstLine="420"/>
        <w:rPr>
          <w:rFonts w:ascii="Calibri" w:hAnsi="Calibri" w:eastAsia="宋体" w:cs="Times New Roman"/>
        </w:rPr>
      </w:pPr>
    </w:p>
    <w:p>
      <w:pPr>
        <w:ind w:firstLine="420"/>
        <w:rPr>
          <w:rFonts w:ascii="Calibri" w:hAnsi="Calibri" w:eastAsia="宋体" w:cs="Times New Roman"/>
        </w:rPr>
      </w:pPr>
    </w:p>
    <w:p/>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62"/>
        <w:gridCol w:w="709"/>
        <w:gridCol w:w="1559"/>
        <w:gridCol w:w="2552"/>
        <w:gridCol w:w="2268"/>
        <w:gridCol w:w="1701"/>
        <w:gridCol w:w="1701"/>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2" w:type="dxa"/>
          </w:tcPr>
          <w:p>
            <w:pPr>
              <w:jc w:val="center"/>
              <w:rPr>
                <w:rFonts w:ascii="黑体" w:hAnsi="黑体" w:eastAsia="黑体" w:cs="Times New Roman"/>
                <w:b/>
                <w:bCs/>
                <w:kern w:val="0"/>
                <w:sz w:val="20"/>
                <w:szCs w:val="20"/>
              </w:rPr>
            </w:pPr>
            <w:r>
              <w:rPr>
                <w:rFonts w:hint="eastAsia" w:ascii="黑体" w:hAnsi="黑体" w:eastAsia="黑体" w:cs="Times New Roman"/>
                <w:b/>
                <w:bCs/>
                <w:kern w:val="0"/>
                <w:sz w:val="20"/>
                <w:szCs w:val="20"/>
              </w:rPr>
              <w:t>序号</w:t>
            </w:r>
          </w:p>
        </w:tc>
        <w:tc>
          <w:tcPr>
            <w:tcW w:w="709" w:type="dxa"/>
          </w:tcPr>
          <w:p>
            <w:pPr>
              <w:jc w:val="center"/>
              <w:rPr>
                <w:rFonts w:ascii="黑体" w:hAnsi="黑体" w:eastAsia="黑体" w:cs="Times New Roman"/>
                <w:b/>
                <w:bCs/>
                <w:kern w:val="0"/>
                <w:sz w:val="20"/>
                <w:szCs w:val="20"/>
              </w:rPr>
            </w:pPr>
            <w:r>
              <w:rPr>
                <w:rFonts w:hint="eastAsia" w:ascii="黑体" w:hAnsi="黑体" w:eastAsia="黑体" w:cs="Times New Roman"/>
                <w:b/>
                <w:bCs/>
                <w:kern w:val="0"/>
                <w:sz w:val="20"/>
                <w:szCs w:val="20"/>
              </w:rPr>
              <w:t>权力编码</w:t>
            </w:r>
          </w:p>
        </w:tc>
        <w:tc>
          <w:tcPr>
            <w:tcW w:w="1559" w:type="dxa"/>
          </w:tcPr>
          <w:p>
            <w:pPr>
              <w:jc w:val="center"/>
              <w:rPr>
                <w:rFonts w:ascii="黑体" w:hAnsi="黑体" w:eastAsia="黑体" w:cs="Times New Roman"/>
                <w:b/>
                <w:bCs/>
                <w:kern w:val="0"/>
                <w:sz w:val="20"/>
                <w:szCs w:val="20"/>
              </w:rPr>
            </w:pPr>
            <w:r>
              <w:rPr>
                <w:rFonts w:hint="eastAsia" w:ascii="黑体" w:hAnsi="黑体" w:eastAsia="黑体" w:cs="Times New Roman"/>
                <w:b/>
                <w:bCs/>
                <w:kern w:val="0"/>
                <w:sz w:val="20"/>
                <w:szCs w:val="20"/>
              </w:rPr>
              <w:t>职权</w:t>
            </w:r>
          </w:p>
          <w:p>
            <w:pPr>
              <w:jc w:val="center"/>
              <w:rPr>
                <w:rFonts w:ascii="黑体" w:hAnsi="黑体" w:eastAsia="黑体" w:cs="Times New Roman"/>
                <w:b/>
                <w:bCs/>
                <w:kern w:val="0"/>
                <w:sz w:val="20"/>
                <w:szCs w:val="20"/>
              </w:rPr>
            </w:pPr>
            <w:r>
              <w:rPr>
                <w:rFonts w:hint="eastAsia" w:ascii="黑体" w:hAnsi="黑体" w:eastAsia="黑体" w:cs="Times New Roman"/>
                <w:b/>
                <w:bCs/>
                <w:kern w:val="0"/>
                <w:sz w:val="20"/>
                <w:szCs w:val="20"/>
              </w:rPr>
              <w:t>名称</w:t>
            </w:r>
          </w:p>
        </w:tc>
        <w:tc>
          <w:tcPr>
            <w:tcW w:w="2552" w:type="dxa"/>
          </w:tcPr>
          <w:p>
            <w:pPr>
              <w:jc w:val="center"/>
              <w:rPr>
                <w:rFonts w:ascii="黑体" w:hAnsi="黑体" w:eastAsia="黑体" w:cs="Times New Roman"/>
                <w:b/>
                <w:bCs/>
                <w:kern w:val="0"/>
                <w:sz w:val="20"/>
                <w:szCs w:val="20"/>
              </w:rPr>
            </w:pPr>
            <w:r>
              <w:rPr>
                <w:rFonts w:hint="eastAsia" w:ascii="黑体" w:hAnsi="黑体" w:eastAsia="黑体" w:cs="Times New Roman"/>
                <w:b/>
                <w:bCs/>
                <w:kern w:val="0"/>
                <w:sz w:val="20"/>
                <w:szCs w:val="20"/>
              </w:rPr>
              <w:t>设定</w:t>
            </w:r>
          </w:p>
          <w:p>
            <w:pPr>
              <w:jc w:val="center"/>
              <w:rPr>
                <w:rFonts w:ascii="黑体" w:hAnsi="黑体" w:eastAsia="黑体" w:cs="Times New Roman"/>
                <w:b/>
                <w:bCs/>
                <w:kern w:val="0"/>
                <w:sz w:val="20"/>
                <w:szCs w:val="20"/>
              </w:rPr>
            </w:pPr>
            <w:r>
              <w:rPr>
                <w:rFonts w:hint="eastAsia" w:ascii="黑体" w:hAnsi="黑体" w:eastAsia="黑体" w:cs="Times New Roman"/>
                <w:b/>
                <w:bCs/>
                <w:kern w:val="0"/>
                <w:sz w:val="20"/>
                <w:szCs w:val="20"/>
              </w:rPr>
              <w:t>依据</w:t>
            </w:r>
          </w:p>
        </w:tc>
        <w:tc>
          <w:tcPr>
            <w:tcW w:w="2268" w:type="dxa"/>
          </w:tcPr>
          <w:p>
            <w:pPr>
              <w:jc w:val="center"/>
              <w:rPr>
                <w:rFonts w:ascii="黑体" w:hAnsi="黑体" w:eastAsia="黑体" w:cs="Times New Roman"/>
                <w:b/>
                <w:bCs/>
                <w:kern w:val="0"/>
                <w:sz w:val="20"/>
                <w:szCs w:val="20"/>
              </w:rPr>
            </w:pPr>
            <w:r>
              <w:rPr>
                <w:rFonts w:hint="eastAsia" w:ascii="黑体" w:hAnsi="黑体" w:eastAsia="黑体" w:cs="Times New Roman"/>
                <w:b/>
                <w:bCs/>
                <w:kern w:val="0"/>
                <w:sz w:val="20"/>
                <w:szCs w:val="20"/>
              </w:rPr>
              <w:t>罚</w:t>
            </w:r>
          </w:p>
          <w:p>
            <w:pPr>
              <w:jc w:val="center"/>
              <w:rPr>
                <w:rFonts w:ascii="黑体" w:hAnsi="黑体" w:eastAsia="黑体" w:cs="Times New Roman"/>
                <w:b/>
                <w:bCs/>
                <w:kern w:val="0"/>
                <w:sz w:val="20"/>
                <w:szCs w:val="20"/>
              </w:rPr>
            </w:pPr>
            <w:r>
              <w:rPr>
                <w:rFonts w:hint="eastAsia" w:ascii="黑体" w:hAnsi="黑体" w:eastAsia="黑体" w:cs="Times New Roman"/>
                <w:b/>
                <w:bCs/>
                <w:kern w:val="0"/>
                <w:sz w:val="20"/>
                <w:szCs w:val="20"/>
              </w:rPr>
              <w:t>则</w:t>
            </w:r>
          </w:p>
        </w:tc>
        <w:tc>
          <w:tcPr>
            <w:tcW w:w="1701" w:type="dxa"/>
          </w:tcPr>
          <w:p>
            <w:pPr>
              <w:jc w:val="center"/>
              <w:rPr>
                <w:rFonts w:ascii="黑体" w:hAnsi="黑体" w:eastAsia="黑体" w:cs="Times New Roman"/>
                <w:b/>
                <w:bCs/>
                <w:kern w:val="0"/>
                <w:sz w:val="20"/>
                <w:szCs w:val="20"/>
              </w:rPr>
            </w:pPr>
            <w:r>
              <w:rPr>
                <w:rFonts w:hint="eastAsia" w:ascii="黑体" w:hAnsi="黑体" w:eastAsia="黑体" w:cs="Times New Roman"/>
                <w:b/>
                <w:bCs/>
                <w:kern w:val="0"/>
                <w:sz w:val="20"/>
                <w:szCs w:val="20"/>
              </w:rPr>
              <w:t>裁量</w:t>
            </w:r>
          </w:p>
          <w:p>
            <w:pPr>
              <w:jc w:val="center"/>
              <w:rPr>
                <w:rFonts w:ascii="黑体" w:hAnsi="黑体" w:eastAsia="黑体" w:cs="Times New Roman"/>
                <w:b/>
                <w:bCs/>
                <w:kern w:val="0"/>
                <w:sz w:val="20"/>
                <w:szCs w:val="20"/>
              </w:rPr>
            </w:pPr>
            <w:r>
              <w:rPr>
                <w:rFonts w:hint="eastAsia" w:ascii="黑体" w:hAnsi="黑体" w:eastAsia="黑体" w:cs="Times New Roman"/>
                <w:b/>
                <w:bCs/>
                <w:kern w:val="0"/>
                <w:sz w:val="20"/>
                <w:szCs w:val="20"/>
              </w:rPr>
              <w:t>情节</w:t>
            </w:r>
          </w:p>
        </w:tc>
        <w:tc>
          <w:tcPr>
            <w:tcW w:w="1701" w:type="dxa"/>
          </w:tcPr>
          <w:p>
            <w:pPr>
              <w:jc w:val="center"/>
              <w:rPr>
                <w:rFonts w:ascii="黑体" w:hAnsi="黑体" w:eastAsia="黑体" w:cs="Times New Roman"/>
                <w:b/>
                <w:bCs/>
                <w:kern w:val="0"/>
                <w:sz w:val="20"/>
                <w:szCs w:val="20"/>
              </w:rPr>
            </w:pPr>
            <w:r>
              <w:rPr>
                <w:rFonts w:hint="eastAsia" w:ascii="黑体" w:hAnsi="黑体" w:eastAsia="黑体" w:cs="Times New Roman"/>
                <w:b/>
                <w:bCs/>
                <w:kern w:val="0"/>
                <w:sz w:val="20"/>
                <w:szCs w:val="20"/>
              </w:rPr>
              <w:t>裁量</w:t>
            </w:r>
          </w:p>
          <w:p>
            <w:pPr>
              <w:jc w:val="center"/>
              <w:rPr>
                <w:rFonts w:ascii="黑体" w:hAnsi="黑体" w:eastAsia="黑体" w:cs="Times New Roman"/>
                <w:b/>
                <w:bCs/>
                <w:kern w:val="0"/>
                <w:sz w:val="20"/>
                <w:szCs w:val="20"/>
              </w:rPr>
            </w:pPr>
            <w:r>
              <w:rPr>
                <w:rFonts w:hint="eastAsia" w:ascii="黑体" w:hAnsi="黑体" w:eastAsia="黑体" w:cs="Times New Roman"/>
                <w:b/>
                <w:bCs/>
                <w:kern w:val="0"/>
                <w:sz w:val="20"/>
                <w:szCs w:val="20"/>
              </w:rPr>
              <w:t>结果</w:t>
            </w:r>
          </w:p>
        </w:tc>
        <w:tc>
          <w:tcPr>
            <w:tcW w:w="1559" w:type="dxa"/>
          </w:tcPr>
          <w:p>
            <w:pPr>
              <w:jc w:val="center"/>
              <w:rPr>
                <w:rFonts w:ascii="黑体" w:hAnsi="黑体" w:eastAsia="黑体" w:cs="Times New Roman"/>
                <w:b/>
                <w:bCs/>
                <w:kern w:val="0"/>
                <w:sz w:val="20"/>
                <w:szCs w:val="20"/>
              </w:rPr>
            </w:pPr>
            <w:r>
              <w:rPr>
                <w:rFonts w:hint="eastAsia" w:ascii="黑体" w:hAnsi="黑体" w:eastAsia="黑体" w:cs="Times New Roman"/>
                <w:b/>
                <w:bCs/>
                <w:kern w:val="0"/>
                <w:sz w:val="20"/>
                <w:szCs w:val="20"/>
              </w:rPr>
              <w:t>极值处</w:t>
            </w:r>
          </w:p>
          <w:p>
            <w:pPr>
              <w:jc w:val="center"/>
              <w:rPr>
                <w:rFonts w:ascii="黑体" w:hAnsi="黑体" w:eastAsia="黑体" w:cs="Times New Roman"/>
                <w:b/>
                <w:bCs/>
                <w:kern w:val="0"/>
                <w:sz w:val="20"/>
                <w:szCs w:val="20"/>
              </w:rPr>
            </w:pPr>
            <w:r>
              <w:rPr>
                <w:rFonts w:hint="eastAsia" w:ascii="黑体" w:hAnsi="黑体" w:eastAsia="黑体" w:cs="Times New Roman"/>
                <w:b/>
                <w:bCs/>
                <w:kern w:val="0"/>
                <w:sz w:val="20"/>
                <w:szCs w:val="20"/>
              </w:rPr>
              <w:t>罚建议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84" w:hRule="atLeast"/>
        </w:trPr>
        <w:tc>
          <w:tcPr>
            <w:tcW w:w="562" w:type="dxa"/>
            <w:vMerge w:val="restart"/>
          </w:tcPr>
          <w:p>
            <w:pPr>
              <w:jc w:val="center"/>
              <w:rPr>
                <w:rFonts w:hint="eastAsia" w:asciiTheme="minorEastAsia" w:hAnsiTheme="minorEastAsia" w:eastAsiaTheme="minorEastAsia" w:cstheme="minorEastAsia"/>
                <w:kern w:val="0"/>
                <w:sz w:val="21"/>
                <w:szCs w:val="21"/>
              </w:rPr>
            </w:pPr>
            <w:bookmarkStart w:id="6" w:name="_GoBack"/>
            <w:bookmarkStart w:id="0" w:name="_Hlk38464260"/>
            <w:bookmarkStart w:id="1" w:name="_Hlk38464294"/>
            <w:r>
              <w:rPr>
                <w:rFonts w:hint="eastAsia" w:asciiTheme="minorEastAsia" w:hAnsiTheme="minorEastAsia" w:eastAsiaTheme="minorEastAsia" w:cstheme="minorEastAsia"/>
                <w:kern w:val="0"/>
                <w:sz w:val="21"/>
                <w:szCs w:val="21"/>
              </w:rPr>
              <w:t>1</w:t>
            </w:r>
          </w:p>
        </w:tc>
        <w:tc>
          <w:tcPr>
            <w:tcW w:w="709" w:type="dxa"/>
            <w:vMerge w:val="restart"/>
          </w:tcPr>
          <w:p>
            <w:pPr>
              <w:jc w:val="center"/>
              <w:rPr>
                <w:rFonts w:hint="eastAsia" w:asciiTheme="minorEastAsia" w:hAnsiTheme="minorEastAsia" w:eastAsiaTheme="minorEastAsia" w:cstheme="minorEastAsia"/>
                <w:kern w:val="0"/>
                <w:sz w:val="21"/>
                <w:szCs w:val="21"/>
              </w:rPr>
            </w:pPr>
          </w:p>
        </w:tc>
        <w:tc>
          <w:tcPr>
            <w:tcW w:w="1559"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对未取得升放气球资质证从事升放气球活动的处罚</w:t>
            </w:r>
          </w:p>
        </w:tc>
        <w:tc>
          <w:tcPr>
            <w:tcW w:w="2552"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《施放气球管理办法》（2005年）</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第六条：对施放气球单位实行资质认定制度。</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未按规定取得《施放气球资质证》的单位不得从事施放气球活动。</w:t>
            </w:r>
          </w:p>
        </w:tc>
        <w:tc>
          <w:tcPr>
            <w:tcW w:w="2268"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《施放气球管理办法》（2005年）</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二十七条：违反本办法规定，未取得施放气球资质证从事施放气球活动，由县级以上气象主管机构按照权限责令停止违法行为，处1万元以上3万元以下罚款；给他人造成损失的，依法承担赔偿责任；构成犯罪的，依法追究刑事责任。</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轻微：未取得施放气球资质证从事施放气球活动，未给他人造成损失，情节轻微的。</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责令停止违法行为，处1万元以上1.5万元以下罚款。</w:t>
            </w:r>
          </w:p>
        </w:tc>
        <w:tc>
          <w:tcPr>
            <w:tcW w:w="1559"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构成犯罪的，依法追究刑事责任。</w:t>
            </w:r>
          </w:p>
        </w:tc>
      </w:tr>
      <w:bookmarkEnd w:id="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一般：未取得施放气球资质证从事施放气球活动，给他人造成损失的。</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责令停止违法行为，处1.5万元以上2万元以下罚款，给他人造成损失的，依法承担赔偿责任。</w:t>
            </w:r>
          </w:p>
        </w:tc>
        <w:tc>
          <w:tcPr>
            <w:tcW w:w="1559" w:type="dxa"/>
            <w:vMerge w:val="continue"/>
          </w:tcPr>
          <w:p>
            <w:pP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严重：未取得施放气球资质证从事施放气球活动，拒不改正的。</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处2万元以上3万元以下罚款；给他人造成损失的，依法承担赔偿责任。</w:t>
            </w:r>
          </w:p>
        </w:tc>
        <w:tc>
          <w:tcPr>
            <w:tcW w:w="1559" w:type="dxa"/>
            <w:vMerge w:val="continue"/>
          </w:tcPr>
          <w:p>
            <w:pPr>
              <w:rPr>
                <w:rFonts w:hint="eastAsia" w:asciiTheme="minorEastAsia" w:hAnsiTheme="minorEastAsia" w:eastAsiaTheme="minorEastAsia" w:cstheme="minorEastAsia"/>
                <w:kern w:val="0"/>
                <w:sz w:val="21"/>
                <w:szCs w:val="21"/>
              </w:rPr>
            </w:pPr>
          </w:p>
        </w:tc>
      </w:tr>
      <w:bookmarkEnd w:id="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 w:hRule="atLeast"/>
        </w:trPr>
        <w:tc>
          <w:tcPr>
            <w:tcW w:w="562" w:type="dxa"/>
            <w:vMerge w:val="restart"/>
          </w:tcPr>
          <w:p>
            <w:pPr>
              <w:jc w:val="center"/>
              <w:rPr>
                <w:rFonts w:hint="eastAsia" w:asciiTheme="minorEastAsia" w:hAnsiTheme="minorEastAsia" w:eastAsiaTheme="minorEastAsia" w:cstheme="minorEastAsia"/>
                <w:kern w:val="0"/>
                <w:sz w:val="21"/>
                <w:szCs w:val="21"/>
              </w:rPr>
            </w:pPr>
            <w:bookmarkStart w:id="2" w:name="_Hlk38464858"/>
            <w:bookmarkStart w:id="3" w:name="_Hlk38464883"/>
            <w:r>
              <w:rPr>
                <w:rFonts w:hint="eastAsia" w:asciiTheme="minorEastAsia" w:hAnsiTheme="minorEastAsia" w:eastAsiaTheme="minorEastAsia" w:cstheme="minorEastAsia"/>
                <w:kern w:val="0"/>
                <w:sz w:val="21"/>
                <w:szCs w:val="21"/>
              </w:rPr>
              <w:t>2</w:t>
            </w:r>
          </w:p>
        </w:tc>
        <w:tc>
          <w:tcPr>
            <w:tcW w:w="709" w:type="dxa"/>
            <w:vMerge w:val="restart"/>
          </w:tcPr>
          <w:p>
            <w:pPr>
              <w:jc w:val="center"/>
              <w:rPr>
                <w:rFonts w:hint="eastAsia" w:asciiTheme="minorEastAsia" w:hAnsiTheme="minorEastAsia" w:eastAsiaTheme="minorEastAsia" w:cstheme="minorEastAsia"/>
                <w:kern w:val="0"/>
                <w:sz w:val="21"/>
                <w:szCs w:val="21"/>
              </w:rPr>
            </w:pPr>
          </w:p>
        </w:tc>
        <w:tc>
          <w:tcPr>
            <w:tcW w:w="1559"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对未按规定升放无人驾驶自由气球或者系留气球的处罚</w:t>
            </w:r>
          </w:p>
        </w:tc>
        <w:tc>
          <w:tcPr>
            <w:tcW w:w="2552"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《施放气球管理办法》（2005年）</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第二十八条： 违反本办法规定，有下列行为之一的，由气象主管机构或者有关部门按照职责分工责令改正，给予警告；情节严重的，处1万元以上5万元以下罚款；造成重大事故或者严重后果的，依照刑法关于重大责任事故罪或者其他罪的规定，依法追究刑事责任：(一)未经批准擅自施放的；(二)未按照批准的申请施放的；(三)未按照规定设置识别标志的；(四)未及时报告异常施放动态或者系留气球意外脱离时未按照规定及时报告的；(五)在规定的禁止区域内施放的。</w:t>
            </w:r>
          </w:p>
        </w:tc>
        <w:tc>
          <w:tcPr>
            <w:tcW w:w="2268"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《施放气球管理办法》（2005年）</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第二十八条： 违反本办法规定，有下列行为之一的，由气象主管机构或者有关部门按照职责分工责令改正，给予警告；情节严重的，处1万元以上5万元以下罚款；造成重大事故或者严重后果的，依照刑法关于重大责任事故罪或者其他罪的规定，依法追究刑事责任：(一)未经批准擅自施放的；(二)未按照批准的申请施放的；(三)未按照规定设置识别标志的；(四)未及时报告异常施放动态或者系留气球意外脱离时未按照规定及时报告的；(五)在规定的禁止区域内施放的。</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轻微：未按规定升放无人驾驶自由气球或者系留气球，能及时改正，消除影响</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责令改正，给予警告。</w:t>
            </w:r>
          </w:p>
        </w:tc>
        <w:tc>
          <w:tcPr>
            <w:tcW w:w="1559"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造成重大事故或者严重后果的，依照刑法关于重大责任事故罪或者其他罪的规定，依法追究刑事责任。</w:t>
            </w:r>
          </w:p>
        </w:tc>
      </w:tr>
      <w:bookmarkEnd w:id="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一般：未及时整改，造成社会危害后果</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责令改正，给予警告，处1万元以上3万元以下罚款。</w:t>
            </w:r>
          </w:p>
        </w:tc>
        <w:tc>
          <w:tcPr>
            <w:tcW w:w="1559" w:type="dxa"/>
            <w:vMerge w:val="continue"/>
          </w:tcPr>
          <w:p>
            <w:pP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严重：拒不改正</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责令改正，给予警告，处3万元以上5万元以下罚款。</w:t>
            </w:r>
          </w:p>
        </w:tc>
        <w:tc>
          <w:tcPr>
            <w:tcW w:w="1559" w:type="dxa"/>
            <w:vMerge w:val="continue"/>
          </w:tcPr>
          <w:p>
            <w:pPr>
              <w:rPr>
                <w:rFonts w:hint="eastAsia" w:asciiTheme="minorEastAsia" w:hAnsiTheme="minorEastAsia" w:eastAsiaTheme="minorEastAsia" w:cstheme="minorEastAsia"/>
                <w:kern w:val="0"/>
                <w:sz w:val="21"/>
                <w:szCs w:val="21"/>
              </w:rPr>
            </w:pPr>
          </w:p>
        </w:tc>
      </w:tr>
      <w:bookmarkEnd w:id="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 w:hRule="atLeast"/>
        </w:trPr>
        <w:tc>
          <w:tcPr>
            <w:tcW w:w="562" w:type="dxa"/>
            <w:vMerge w:val="restart"/>
          </w:tcPr>
          <w:p>
            <w:pPr>
              <w:jc w:val="center"/>
              <w:rPr>
                <w:rFonts w:hint="eastAsia" w:asciiTheme="minorEastAsia" w:hAnsiTheme="minorEastAsia" w:eastAsiaTheme="minorEastAsia" w:cstheme="minorEastAsia"/>
                <w:kern w:val="0"/>
                <w:sz w:val="21"/>
                <w:szCs w:val="21"/>
              </w:rPr>
            </w:pPr>
            <w:bookmarkStart w:id="4" w:name="_Hlk38465211"/>
            <w:bookmarkStart w:id="5" w:name="_Hlk38465233"/>
            <w:r>
              <w:rPr>
                <w:rFonts w:hint="eastAsia" w:asciiTheme="minorEastAsia" w:hAnsiTheme="minorEastAsia" w:eastAsiaTheme="minorEastAsia" w:cstheme="minorEastAsia"/>
                <w:kern w:val="0"/>
                <w:sz w:val="21"/>
                <w:szCs w:val="21"/>
              </w:rPr>
              <w:t>3</w:t>
            </w:r>
          </w:p>
        </w:tc>
        <w:tc>
          <w:tcPr>
            <w:tcW w:w="709" w:type="dxa"/>
            <w:vMerge w:val="restart"/>
          </w:tcPr>
          <w:p>
            <w:pPr>
              <w:jc w:val="center"/>
              <w:rPr>
                <w:rFonts w:hint="eastAsia" w:asciiTheme="minorEastAsia" w:hAnsiTheme="minorEastAsia" w:eastAsiaTheme="minorEastAsia" w:cstheme="minorEastAsia"/>
                <w:kern w:val="0"/>
                <w:sz w:val="21"/>
                <w:szCs w:val="21"/>
              </w:rPr>
            </w:pPr>
          </w:p>
        </w:tc>
        <w:tc>
          <w:tcPr>
            <w:tcW w:w="1559"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对年检不合格的升放气球单位在整改期间升放气球等违反升放气球安全要求的处罚</w:t>
            </w:r>
          </w:p>
        </w:tc>
        <w:tc>
          <w:tcPr>
            <w:tcW w:w="2552"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《施放气球管理办法》（2005年）</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二十九条:违反本办法规定，有下列行为之一的，由县级以上气象主管机构按照权限责令改正，给予警告，可以处1万元以下罚款；情节严重的，处1万元以上3万元以下罚款；造成重大事故或者严重后果的，依照刑法关于重大责任事故罪或者其他罪的规定，依法追究刑事责任：</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一)年检不合格的施放气球单位在整改期间施放气球的；(二)违反施放气球技术规范和标准的；(三)未指定专人值守的；(四)施放系留气球未加装快速放气装置的；(五)利用气球开展各种活动的单位和个人，使用无《施放气球资质证》的单位施放气球的；(六）在安全事故发生后隐瞒不报、谎报、故意迟延不报、故意破坏现场，或者拒绝接受调查以及拒绝提供有关情况和资料的；(七)违反施放气球安全要求的其他行为。</w:t>
            </w:r>
          </w:p>
        </w:tc>
        <w:tc>
          <w:tcPr>
            <w:tcW w:w="2268"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《施放气球管理办法》（2005年）</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二十九条:违反本办法规定，有下列行为之一的，由县级以上气象主管机构按照权限责令改正，给予警告，可以处1万元以下罚款；情节严重的，处1万元以上3万元以下罚款；造成重大事故或者严重后果的，依照刑法关于重大责任事故罪或者其他罪的规定，依法追究刑事责任：</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一)年检不合格的施放气球单位在整改期间施放气球的；(二)违反施放气球技术规范和标准的；(三)未指定专人值守的；(四)施放系留气球未加装快速放气装置的；(五)利用气球开展各种活动的单位和个人，使用无《施放气球资质证》的单位施放气球的；(六）在安全事故发生后隐瞒不报、谎报、故意迟延不报、故意破坏现场，或者拒绝接受调查以及拒绝提供有关情况和资料的；(七)违反施放气球安全要求的其他行为。</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轻微：年检不合格的施放气球单位在整改期间施放气球等违反施放气球安全要求,首次处罚</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责令改正，给予警告，处1万元以下罚款。</w:t>
            </w:r>
          </w:p>
        </w:tc>
        <w:tc>
          <w:tcPr>
            <w:tcW w:w="1559"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造成重大事故或者严重后果的，依照刑法关于重大责任事故罪或者其他罪的规定，依法追究刑事责任。</w:t>
            </w:r>
          </w:p>
        </w:tc>
      </w:tr>
      <w:bookmarkEnd w:id="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一般：第二次处罚</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责令改正，给予警告，处1万元以上2万元以下罚款。</w:t>
            </w:r>
          </w:p>
        </w:tc>
        <w:tc>
          <w:tcPr>
            <w:tcW w:w="1559" w:type="dxa"/>
            <w:vMerge w:val="continue"/>
          </w:tcPr>
          <w:p>
            <w:pP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严重：三次以上处罚</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责令改正，给予警告，处2万元以上3万元以下罚款。</w:t>
            </w:r>
          </w:p>
        </w:tc>
        <w:tc>
          <w:tcPr>
            <w:tcW w:w="1559" w:type="dxa"/>
            <w:vMerge w:val="continue"/>
          </w:tcPr>
          <w:p>
            <w:pPr>
              <w:rPr>
                <w:rFonts w:hint="eastAsia" w:asciiTheme="minorEastAsia" w:hAnsiTheme="minorEastAsia" w:eastAsiaTheme="minorEastAsia" w:cstheme="minorEastAsia"/>
                <w:kern w:val="0"/>
                <w:sz w:val="21"/>
                <w:szCs w:val="21"/>
              </w:rPr>
            </w:pPr>
          </w:p>
        </w:tc>
      </w:tr>
      <w:bookmarkEnd w:id="5"/>
    </w:tbl>
    <w:p>
      <w:pPr>
        <w:rPr>
          <w:rFonts w:hint="eastAsia" w:asciiTheme="minorEastAsia" w:hAnsiTheme="minorEastAsia" w:eastAsiaTheme="minorEastAsia" w:cstheme="minorEastAsia"/>
          <w:sz w:val="21"/>
          <w:szCs w:val="21"/>
        </w:rPr>
      </w:pPr>
    </w:p>
    <w:p>
      <w:pPr>
        <w:rPr>
          <w:rFonts w:hint="eastAsia" w:asciiTheme="minorEastAsia" w:hAnsiTheme="minorEastAsia" w:eastAsiaTheme="minorEastAsia" w:cstheme="minorEastAsia"/>
          <w:sz w:val="21"/>
          <w:szCs w:val="21"/>
        </w:rPr>
      </w:pPr>
    </w:p>
    <w:p>
      <w:pPr>
        <w:rPr>
          <w:rFonts w:hint="eastAsia" w:asciiTheme="minorEastAsia" w:hAnsiTheme="minorEastAsia" w:eastAsiaTheme="minorEastAsia" w:cstheme="minorEastAsia"/>
          <w:sz w:val="21"/>
          <w:szCs w:val="21"/>
        </w:rPr>
      </w:pPr>
    </w:p>
    <w:p>
      <w:pPr>
        <w:rPr>
          <w:rFonts w:hint="eastAsia" w:asciiTheme="minorEastAsia" w:hAnsiTheme="minorEastAsia" w:eastAsiaTheme="minorEastAsia" w:cstheme="minorEastAsia"/>
          <w:sz w:val="21"/>
          <w:szCs w:val="21"/>
        </w:rPr>
      </w:pPr>
    </w:p>
    <w:bookmarkEnd w:id="6"/>
    <w:sectPr>
      <w:footerReference r:id="rId3" w:type="default"/>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华光楷体二_CNKI">
    <w:altName w:val="微软雅黑"/>
    <w:panose1 w:val="00000000000000000000"/>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24713508"/>
    </w:sdtPr>
    <w:sdtContent>
      <w:sdt>
        <w:sdtPr>
          <w:id w:val="1728636285"/>
        </w:sdtPr>
        <w:sdtContent>
          <w:p>
            <w:pPr>
              <w:pStyle w:val="2"/>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lang w:val="zh-CN"/>
              </w:rPr>
              <w:t>2</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lang w:val="zh-CN"/>
              </w:rPr>
              <w:t>2</w:t>
            </w:r>
            <w:r>
              <w:rPr>
                <w:b/>
                <w:bCs/>
                <w:sz w:val="24"/>
                <w:szCs w:val="24"/>
              </w:rPr>
              <w:fldChar w:fldCharType="end"/>
            </w:r>
          </w:p>
        </w:sdtContent>
      </w:sdt>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DB23D6"/>
    <w:rsid w:val="19DB23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table" w:styleId="4">
    <w:name w:val="Table Grid"/>
    <w:basedOn w:val="3"/>
    <w:qFormat/>
    <w:uiPriority w:val="39"/>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2021-08-26T02:14:00Z</dcterms:created>
  <dc:creator>郭菲</dc:creator>
  <cp:lastModifiedBy>郭菲</cp:lastModifiedBy>
  <dcterms:modified xsi:type="dcterms:W3CDTF">2021-08-26T02:16:14Z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