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0" w:leftChars="0" w:firstLine="0" w:firstLineChars="0"/>
        <w:jc w:val="center"/>
        <w:rPr>
          <w:b/>
          <w:color w:val="auto"/>
          <w:sz w:val="32"/>
          <w:szCs w:val="32"/>
        </w:rPr>
      </w:pPr>
      <w:r>
        <w:rPr>
          <w:rFonts w:hint="eastAsia" w:ascii="Times New Roman" w:eastAsia="宋体"/>
          <w:b/>
          <w:color w:val="auto"/>
          <w:sz w:val="32"/>
          <w:szCs w:val="32"/>
          <w:lang w:val="en-US" w:eastAsia="zh-CN"/>
        </w:rPr>
        <w:t>陕西蓝池宇洁洗涤服务有限公司</w:t>
      </w:r>
      <w:r>
        <w:rPr>
          <w:b/>
          <w:color w:val="auto"/>
          <w:sz w:val="32"/>
          <w:szCs w:val="32"/>
        </w:rPr>
        <w:t>突发环境事件应急预案</w:t>
      </w:r>
    </w:p>
    <w:p>
      <w:pPr>
        <w:pStyle w:val="6"/>
        <w:jc w:val="center"/>
        <w:rPr>
          <w:rFonts w:hint="eastAsia"/>
          <w:b/>
          <w:color w:val="auto"/>
          <w:sz w:val="32"/>
          <w:szCs w:val="32"/>
          <w:lang w:val="en-US" w:eastAsia="zh-CN"/>
        </w:rPr>
      </w:pPr>
      <w:r>
        <w:rPr>
          <w:rFonts w:hint="eastAsia"/>
          <w:b/>
          <w:color w:val="auto"/>
          <w:sz w:val="32"/>
          <w:szCs w:val="32"/>
          <w:lang w:val="en-US" w:eastAsia="zh-CN"/>
        </w:rPr>
        <w:t>专家意见修改说明表</w:t>
      </w:r>
    </w:p>
    <w:tbl>
      <w:tblPr>
        <w:tblStyle w:val="8"/>
        <w:tblW w:w="940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5"/>
        <w:gridCol w:w="4145"/>
        <w:gridCol w:w="3664"/>
        <w:gridCol w:w="10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5" w:hRule="atLeast"/>
        </w:trPr>
        <w:tc>
          <w:tcPr>
            <w:tcW w:w="555" w:type="dxa"/>
            <w:tcBorders>
              <w:tl2br w:val="nil"/>
              <w:tr2bl w:val="nil"/>
            </w:tcBorders>
          </w:tcPr>
          <w:p>
            <w:pPr>
              <w:jc w:val="center"/>
              <w:rPr>
                <w:rFonts w:hint="default"/>
                <w:sz w:val="21"/>
                <w:szCs w:val="21"/>
                <w:vertAlign w:val="baseline"/>
                <w:lang w:val="en-US" w:eastAsia="zh-CN"/>
              </w:rPr>
            </w:pPr>
            <w:r>
              <w:rPr>
                <w:rFonts w:hint="eastAsia" w:ascii="Times New Roman" w:eastAsia="宋体"/>
                <w:sz w:val="21"/>
                <w:szCs w:val="21"/>
                <w:vertAlign w:val="baseline"/>
                <w:lang w:val="en-US" w:eastAsia="zh-CN"/>
              </w:rPr>
              <w:t>专家</w:t>
            </w:r>
          </w:p>
        </w:tc>
        <w:tc>
          <w:tcPr>
            <w:tcW w:w="414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1470" w:firstLineChars="700"/>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评审意见</w:t>
            </w:r>
          </w:p>
        </w:tc>
        <w:tc>
          <w:tcPr>
            <w:tcW w:w="3664" w:type="dxa"/>
            <w:tcBorders>
              <w:tl2br w:val="nil"/>
              <w:tr2bl w:val="nil"/>
            </w:tcBorders>
            <w:vAlign w:val="center"/>
          </w:tcPr>
          <w:p>
            <w:pPr>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修改说明</w:t>
            </w:r>
          </w:p>
        </w:tc>
        <w:tc>
          <w:tcPr>
            <w:tcW w:w="1037" w:type="dxa"/>
            <w:tcBorders>
              <w:tl2br w:val="nil"/>
              <w:tr2bl w:val="nil"/>
            </w:tcBorders>
            <w:vAlign w:val="center"/>
          </w:tcPr>
          <w:p>
            <w:pPr>
              <w:jc w:val="center"/>
              <w:rPr>
                <w:rFonts w:hint="default"/>
                <w:sz w:val="21"/>
                <w:szCs w:val="21"/>
                <w:vertAlign w:val="baseline"/>
                <w:lang w:val="en-US" w:eastAsia="zh-CN"/>
              </w:rPr>
            </w:pPr>
            <w:r>
              <w:rPr>
                <w:rFonts w:hint="eastAsia" w:ascii="Times New Roman" w:eastAsia="宋体"/>
                <w:sz w:val="21"/>
                <w:szCs w:val="21"/>
                <w:vertAlign w:val="baseline"/>
                <w:lang w:val="en-US" w:eastAsia="zh-CN"/>
              </w:rPr>
              <w:t>索引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restart"/>
            <w:tcBorders>
              <w:tl2br w:val="nil"/>
              <w:tr2bl w:val="nil"/>
            </w:tcBorders>
          </w:tcPr>
          <w:p>
            <w:pPr>
              <w:pStyle w:val="11"/>
              <w:widowControl w:val="0"/>
              <w:ind w:left="0" w:leftChars="0" w:firstLine="0" w:firstLineChars="0"/>
              <w:jc w:val="both"/>
              <w:rPr>
                <w:rFonts w:hint="default"/>
                <w:sz w:val="28"/>
                <w:szCs w:val="28"/>
                <w:vertAlign w:val="baseline"/>
                <w:lang w:val="en-US" w:eastAsia="zh-CN"/>
              </w:rPr>
            </w:pPr>
            <w:bookmarkStart w:id="0" w:name="_GoBack"/>
            <w:bookmarkEnd w:id="0"/>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1、删除编制依据中与噪声相关的内容。</w:t>
            </w:r>
          </w:p>
        </w:tc>
        <w:tc>
          <w:tcPr>
            <w:tcW w:w="3664" w:type="dxa"/>
            <w:tcBorders>
              <w:tl2br w:val="nil"/>
              <w:tr2bl w:val="nil"/>
            </w:tcBorders>
          </w:tcPr>
          <w:p>
            <w:pPr>
              <w:spacing w:line="240" w:lineRule="auto"/>
              <w:jc w:val="left"/>
              <w:rPr>
                <w:rFonts w:hint="default" w:ascii="Times New Roman" w:hAnsi="Times New Roman" w:cs="Times New Roman"/>
                <w:sz w:val="18"/>
                <w:szCs w:val="18"/>
                <w:vertAlign w:val="baseline"/>
                <w:lang w:val="en-US" w:eastAsia="zh-CN"/>
              </w:rPr>
            </w:pPr>
            <w:r>
              <w:rPr>
                <w:rFonts w:hint="eastAsia" w:ascii="Times New Roman" w:hAnsi="Times New Roman" w:cs="Times New Roman"/>
                <w:sz w:val="18"/>
                <w:szCs w:val="18"/>
                <w:lang w:val="en-US" w:eastAsia="zh-CN"/>
              </w:rPr>
              <w:t>已删除</w:t>
            </w:r>
          </w:p>
        </w:tc>
        <w:tc>
          <w:tcPr>
            <w:tcW w:w="1037" w:type="dxa"/>
            <w:tcBorders>
              <w:tl2br w:val="nil"/>
              <w:tr2bl w:val="nil"/>
            </w:tcBorders>
          </w:tcPr>
          <w:p>
            <w:pPr>
              <w:pStyle w:val="6"/>
              <w:spacing w:line="240" w:lineRule="auto"/>
              <w:ind w:left="0" w:leftChars="0" w:firstLine="0" w:firstLineChars="0"/>
              <w:jc w:val="both"/>
              <w:rPr>
                <w:rFonts w:hint="default"/>
                <w:sz w:val="18"/>
                <w:szCs w:val="18"/>
                <w:lang w:val="en-US" w:eastAsia="zh-CN"/>
              </w:rPr>
            </w:pPr>
            <w:r>
              <w:rPr>
                <w:rFonts w:hint="eastAsia" w:ascii="Times New Roman" w:eastAsia="宋体"/>
                <w:sz w:val="18"/>
                <w:szCs w:val="18"/>
                <w:vertAlign w:val="baseline"/>
                <w:lang w:val="en-US" w:eastAsia="zh-CN"/>
              </w:rPr>
              <w:t>应急预案P</w:t>
            </w:r>
            <w:r>
              <w:rPr>
                <w:rFonts w:hint="eastAsia"/>
                <w:sz w:val="18"/>
                <w:szCs w:val="18"/>
                <w:vertAlign w:val="baseline"/>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2、应将“l.3.5 本企业环境风险等级及突发环境事件的划分”修改为“l.3.5 本企业环境风险等级”，因为，在该小节内并没有本单位突发环境事件分级的内容。</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sz w:val="18"/>
                <w:szCs w:val="18"/>
                <w:vertAlign w:val="baseline"/>
                <w:lang w:val="en-US" w:eastAsia="zh-CN"/>
              </w:rPr>
            </w:pPr>
            <w:r>
              <w:rPr>
                <w:rFonts w:hint="eastAsia"/>
                <w:sz w:val="18"/>
                <w:szCs w:val="18"/>
                <w:vertAlign w:val="baseline"/>
                <w:lang w:val="en-US" w:eastAsia="zh-CN"/>
              </w:rPr>
              <w:t>已修改</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应急预案P</w:t>
            </w:r>
            <w:r>
              <w:rPr>
                <w:rFonts w:hint="eastAsia"/>
                <w:sz w:val="18"/>
                <w:szCs w:val="18"/>
                <w:vertAlign w:val="baseline"/>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bidi w:val="0"/>
              <w:rPr>
                <w:rFonts w:hint="default"/>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3、请在“表 2.1-2 项目主要原辅材料用量”中补充各类原辅材料的日常储量、最大储量、储存方式、所在储存场所的名称。</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sz w:val="18"/>
                <w:szCs w:val="18"/>
                <w:vertAlign w:val="baseline"/>
                <w:lang w:val="en-US" w:eastAsia="zh-CN"/>
              </w:rPr>
              <w:t>已在原辅料用量中补充完整</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应急预案P</w:t>
            </w:r>
            <w:r>
              <w:rPr>
                <w:rFonts w:hint="eastAsia"/>
                <w:sz w:val="18"/>
                <w:szCs w:val="18"/>
                <w:vertAlign w:val="baseline"/>
                <w:lang w:val="en-US" w:eastAsia="zh-CN"/>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bidi w:val="0"/>
              <w:rPr>
                <w:rFonts w:hint="default"/>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4、请说明本单位燃气锅炉的型号。</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default"/>
                <w:sz w:val="18"/>
                <w:szCs w:val="18"/>
                <w:vertAlign w:val="baseline"/>
                <w:lang w:val="en-US" w:eastAsia="zh-CN"/>
              </w:rPr>
              <w:t>蒸汽锅炉</w:t>
            </w:r>
            <w:r>
              <w:rPr>
                <w:rFonts w:hint="eastAsia"/>
                <w:sz w:val="18"/>
                <w:szCs w:val="18"/>
                <w:vertAlign w:val="baseline"/>
                <w:lang w:val="en-US" w:eastAsia="zh-CN"/>
              </w:rPr>
              <w:t>型号</w:t>
            </w:r>
            <w:r>
              <w:rPr>
                <w:rFonts w:hint="default"/>
                <w:sz w:val="18"/>
                <w:szCs w:val="18"/>
                <w:vertAlign w:val="baseline"/>
                <w:lang w:val="en-US" w:eastAsia="zh-CN"/>
              </w:rPr>
              <w:t>WNS4-1.25-Y（Q）</w:t>
            </w:r>
            <w:r>
              <w:rPr>
                <w:rFonts w:hint="eastAsia"/>
                <w:sz w:val="18"/>
                <w:szCs w:val="18"/>
                <w:vertAlign w:val="baseline"/>
                <w:lang w:val="en-US" w:eastAsia="zh-CN"/>
              </w:rPr>
              <w:t>功率</w:t>
            </w:r>
            <w:r>
              <w:rPr>
                <w:rFonts w:hint="default"/>
                <w:sz w:val="18"/>
                <w:szCs w:val="18"/>
                <w:vertAlign w:val="baseline"/>
                <w:lang w:val="en-US" w:eastAsia="zh-CN"/>
              </w:rPr>
              <w:t>1.4MW</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应急预案P1</w:t>
            </w:r>
            <w:r>
              <w:rPr>
                <w:rFonts w:hint="eastAsia"/>
                <w:sz w:val="18"/>
                <w:szCs w:val="18"/>
                <w:vertAlign w:val="baseline"/>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5、请明确“离子交换树脂”是一般固废还是危险废物，预案中前后描述不一致。</w:t>
            </w:r>
          </w:p>
        </w:tc>
        <w:tc>
          <w:tcPr>
            <w:tcW w:w="3664" w:type="dxa"/>
            <w:tcBorders>
              <w:tl2br w:val="nil"/>
              <w:tr2bl w:val="nil"/>
            </w:tcBorders>
          </w:tcPr>
          <w:p>
            <w:pPr>
              <w:bidi w:val="0"/>
              <w:spacing w:line="240" w:lineRule="auto"/>
              <w:rPr>
                <w:rFonts w:hint="default" w:eastAsia="宋体"/>
                <w:sz w:val="18"/>
                <w:szCs w:val="18"/>
                <w:vertAlign w:val="baseline"/>
                <w:lang w:val="en-US" w:eastAsia="zh-CN"/>
              </w:rPr>
            </w:pPr>
            <w:r>
              <w:rPr>
                <w:rFonts w:hint="eastAsia"/>
                <w:sz w:val="18"/>
                <w:szCs w:val="18"/>
                <w:vertAlign w:val="baseline"/>
                <w:lang w:val="en-US" w:eastAsia="zh-CN"/>
              </w:rPr>
              <w:t>在本企业生产中，离子交换树脂用来制备软水，根据最新危险废物名录，此用途的废离子交换树脂归为一般固废。</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应急预案P1</w:t>
            </w:r>
            <w:r>
              <w:rPr>
                <w:rFonts w:hint="eastAsia"/>
                <w:sz w:val="18"/>
                <w:szCs w:val="18"/>
                <w:vertAlign w:val="baseline"/>
                <w:lang w:val="en-US" w:eastAsia="zh-CN"/>
              </w:rPr>
              <w:t>8-27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6、请说明本单位日常往来的车辆数和人数。</w:t>
            </w:r>
          </w:p>
        </w:tc>
        <w:tc>
          <w:tcPr>
            <w:tcW w:w="3664" w:type="dxa"/>
            <w:tcBorders>
              <w:tl2br w:val="nil"/>
              <w:tr2bl w:val="nil"/>
            </w:tcBorders>
          </w:tcPr>
          <w:p>
            <w:pPr>
              <w:pStyle w:val="10"/>
              <w:spacing w:line="240" w:lineRule="auto"/>
              <w:ind w:left="0" w:leftChars="0" w:firstLine="0" w:firstLineChars="0"/>
              <w:rPr>
                <w:rFonts w:hint="default"/>
                <w:sz w:val="18"/>
                <w:szCs w:val="18"/>
                <w:vertAlign w:val="baseline"/>
                <w:lang w:val="en-US" w:eastAsia="zh-CN"/>
              </w:rPr>
            </w:pPr>
            <w:r>
              <w:rPr>
                <w:rFonts w:hint="default" w:ascii="Times New Roman" w:hAnsi="Times New Roman" w:eastAsia="宋体" w:cs="Times New Roman"/>
                <w:kern w:val="2"/>
                <w:sz w:val="18"/>
                <w:szCs w:val="18"/>
                <w:vertAlign w:val="baseline"/>
                <w:lang w:val="en-US" w:eastAsia="zh-CN" w:bidi="ar-SA"/>
              </w:rPr>
              <w:t>企业日均往来人数频次为1天/15次，车辆平均每日15次。</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应急预案P</w:t>
            </w:r>
            <w:r>
              <w:rPr>
                <w:rFonts w:hint="eastAsia"/>
                <w:sz w:val="18"/>
                <w:szCs w:val="18"/>
                <w:vertAlign w:val="baseline"/>
                <w:lang w:val="en-US" w:eastAsia="zh-CN"/>
              </w:rPr>
              <w:t>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7、请说明本单位生产废水的产生量。</w:t>
            </w:r>
          </w:p>
        </w:tc>
        <w:tc>
          <w:tcPr>
            <w:tcW w:w="3664" w:type="dxa"/>
            <w:tcBorders>
              <w:tl2br w:val="nil"/>
              <w:tr2bl w:val="nil"/>
            </w:tcBorders>
          </w:tcPr>
          <w:p>
            <w:pPr>
              <w:bidi w:val="0"/>
              <w:spacing w:line="240" w:lineRule="auto"/>
              <w:rPr>
                <w:rFonts w:hint="default"/>
                <w:sz w:val="18"/>
                <w:szCs w:val="18"/>
                <w:vertAlign w:val="baseline"/>
                <w:lang w:val="en-US" w:eastAsia="zh-CN"/>
              </w:rPr>
            </w:pPr>
            <w:r>
              <w:rPr>
                <w:rFonts w:hint="eastAsia"/>
                <w:sz w:val="18"/>
                <w:szCs w:val="18"/>
                <w:vertAlign w:val="baseline"/>
                <w:lang w:val="en-US" w:eastAsia="zh-CN"/>
              </w:rPr>
              <w:t>已核实产生量</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sz w:val="18"/>
                <w:szCs w:val="18"/>
                <w:vertAlign w:val="baseline"/>
                <w:lang w:val="en-US" w:eastAsia="zh-CN"/>
              </w:rPr>
              <w:t>风险评估P12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8、请进一步细化各个应急小组的工作职责。</w:t>
            </w:r>
          </w:p>
        </w:tc>
        <w:tc>
          <w:tcPr>
            <w:tcW w:w="3664" w:type="dxa"/>
            <w:tcBorders>
              <w:tl2br w:val="nil"/>
              <w:tr2bl w:val="nil"/>
            </w:tcBorders>
          </w:tcPr>
          <w:p>
            <w:pPr>
              <w:pStyle w:val="3"/>
              <w:bidi w:val="0"/>
              <w:spacing w:line="240" w:lineRule="auto"/>
              <w:rPr>
                <w:rFonts w:hint="default"/>
                <w:sz w:val="18"/>
                <w:szCs w:val="18"/>
                <w:vertAlign w:val="baseline"/>
                <w:lang w:val="en-US" w:eastAsia="zh-CN"/>
              </w:rPr>
            </w:pPr>
            <w:r>
              <w:rPr>
                <w:rFonts w:hint="eastAsia" w:ascii="Times New Roman" w:hAnsi="Times New Roman" w:eastAsia="宋体" w:cs="Times New Roman"/>
                <w:b w:val="0"/>
                <w:kern w:val="2"/>
                <w:sz w:val="18"/>
                <w:szCs w:val="18"/>
                <w:lang w:val="en-US" w:eastAsia="zh-CN" w:bidi="ar-SA"/>
              </w:rPr>
              <w:t>已细化补充完整</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应急预案P</w:t>
            </w:r>
            <w:r>
              <w:rPr>
                <w:rFonts w:hint="eastAsia"/>
                <w:sz w:val="18"/>
                <w:szCs w:val="18"/>
                <w:vertAlign w:val="baseline"/>
                <w:lang w:val="en-US" w:eastAsia="zh-CN"/>
              </w:rPr>
              <w:t>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color w:val="auto"/>
                <w:sz w:val="18"/>
                <w:szCs w:val="18"/>
                <w:lang w:val="en-US" w:eastAsia="zh-CN"/>
              </w:rPr>
            </w:pPr>
            <w:r>
              <w:rPr>
                <w:rFonts w:hint="eastAsia" w:cs="Times New Roman"/>
                <w:color w:val="auto"/>
                <w:sz w:val="18"/>
                <w:szCs w:val="18"/>
                <w:lang w:val="en-US" w:eastAsia="zh-CN"/>
              </w:rPr>
              <w:t>9、</w:t>
            </w:r>
            <w:r>
              <w:rPr>
                <w:rFonts w:hint="eastAsia" w:ascii="Times New Roman" w:hAnsi="Times New Roman" w:cs="Times New Roman"/>
                <w:color w:val="auto"/>
                <w:sz w:val="18"/>
                <w:szCs w:val="18"/>
                <w:lang w:val="en-US" w:eastAsia="zh-CN"/>
              </w:rPr>
              <w:t>主要是以列表的形式，详细梳理本单位都存在那些环境风险源（写清环境风险源的名称）（请注意不是环境风险单元，这两者是有区别的），这些环境风险源都会产生那些类型的环境风险，在发生环境风险时都会产生哪些污染物（名称）。</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olor w:val="auto"/>
                <w:sz w:val="18"/>
                <w:szCs w:val="18"/>
                <w:lang w:val="en-US" w:eastAsia="zh-CN"/>
              </w:rPr>
            </w:pPr>
            <w:r>
              <w:rPr>
                <w:rFonts w:hint="eastAsia"/>
                <w:color w:val="auto"/>
                <w:sz w:val="18"/>
                <w:szCs w:val="18"/>
                <w:lang w:val="en-US" w:eastAsia="zh-CN"/>
              </w:rPr>
              <w:t>以列表形式梳理补充完整</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lang w:val="en-US" w:eastAsia="zh-CN"/>
              </w:rPr>
              <w:t>应急预案P</w:t>
            </w:r>
            <w:r>
              <w:rPr>
                <w:rFonts w:hint="eastAsia"/>
                <w:sz w:val="18"/>
                <w:szCs w:val="18"/>
                <w:lang w:val="en-US" w:eastAsia="zh-CN"/>
              </w:rPr>
              <w:t>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10、第四章第三节的最大可信事故及后果分析，是指在以上存在的各个环境风险源中间，明确那个环境风险源在发生何种环境风险时对环境造成的危害最大，就这个环境风险源在发生这种环境风险时对环境（重点是对外环境）的危害进行重点的分析</w:t>
            </w:r>
          </w:p>
        </w:tc>
        <w:tc>
          <w:tcPr>
            <w:tcW w:w="3664" w:type="dxa"/>
            <w:tcBorders>
              <w:tl2br w:val="nil"/>
              <w:tr2bl w:val="nil"/>
            </w:tcBorders>
          </w:tcPr>
          <w:p>
            <w:pPr>
              <w:bidi w:val="0"/>
              <w:spacing w:line="240" w:lineRule="auto"/>
              <w:rPr>
                <w:rFonts w:hint="default"/>
                <w:color w:val="auto"/>
                <w:sz w:val="18"/>
                <w:szCs w:val="18"/>
                <w:vertAlign w:val="baseline"/>
                <w:lang w:val="en-US" w:eastAsia="zh-CN"/>
              </w:rPr>
            </w:pPr>
            <w:r>
              <w:rPr>
                <w:rFonts w:hint="eastAsia"/>
                <w:color w:val="auto"/>
                <w:sz w:val="18"/>
                <w:szCs w:val="18"/>
                <w:vertAlign w:val="baseline"/>
                <w:lang w:val="en-US" w:eastAsia="zh-CN"/>
              </w:rPr>
              <w:t>根据企业实际情况，确定最大可信事故，并补充分析</w:t>
            </w:r>
          </w:p>
        </w:tc>
        <w:tc>
          <w:tcPr>
            <w:tcW w:w="1037" w:type="dxa"/>
            <w:tcBorders>
              <w:tl2br w:val="nil"/>
              <w:tr2bl w:val="nil"/>
            </w:tcBorders>
          </w:tcPr>
          <w:p>
            <w:pPr>
              <w:pStyle w:val="6"/>
              <w:spacing w:line="240" w:lineRule="auto"/>
              <w:ind w:left="0" w:leftChars="0" w:firstLine="0" w:firstLineChars="0"/>
              <w:rPr>
                <w:rFonts w:hint="default"/>
                <w:sz w:val="18"/>
                <w:szCs w:val="18"/>
                <w:lang w:val="en-US" w:eastAsia="zh-CN"/>
              </w:rPr>
            </w:pPr>
            <w:r>
              <w:rPr>
                <w:rFonts w:hint="eastAsia"/>
                <w:sz w:val="18"/>
                <w:szCs w:val="18"/>
                <w:lang w:val="en-US" w:eastAsia="zh-CN"/>
              </w:rPr>
              <w:t>应急预案P45-47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11、请注意预警仅能按照颜色进行划分和命名，所以，类似一级预警、二级预警的命名方式是错误的。</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sz w:val="18"/>
                <w:szCs w:val="18"/>
                <w:vertAlign w:val="baseline"/>
                <w:lang w:val="en-US" w:eastAsia="zh-CN"/>
              </w:rPr>
              <w:t>已修改为颜色预警</w:t>
            </w:r>
          </w:p>
        </w:tc>
        <w:tc>
          <w:tcPr>
            <w:tcW w:w="1037" w:type="dxa"/>
            <w:tcBorders>
              <w:tl2br w:val="nil"/>
              <w:tr2bl w:val="nil"/>
            </w:tcBorders>
          </w:tcPr>
          <w:p>
            <w:pPr>
              <w:pStyle w:val="6"/>
              <w:spacing w:line="240" w:lineRule="auto"/>
              <w:ind w:left="0" w:leftChars="0" w:firstLine="0" w:firstLineChars="0"/>
              <w:rPr>
                <w:rFonts w:hint="default"/>
                <w:sz w:val="18"/>
                <w:szCs w:val="18"/>
                <w:lang w:val="en-US" w:eastAsia="zh-CN"/>
              </w:rPr>
            </w:pPr>
            <w:r>
              <w:rPr>
                <w:rFonts w:hint="eastAsia"/>
                <w:sz w:val="18"/>
                <w:szCs w:val="18"/>
                <w:lang w:val="en-US" w:eastAsia="zh-CN"/>
              </w:rPr>
              <w:t>应急预案P36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12、预案中关于黄色预警、蓝色预警中出现的“一级环境事件”、“二级环境事件”，是非常突兀的，因为，在本预案中并未对“一级环境事件”、“二级环境事件”进行明确的定义和说明，建议修改。对于黄色预警和蓝色预警的预警条件也建议进行修改完善，具体要求是：请根据本单位都存在那些环境风险源（也就是第四章第二节环境风险源分析中梳理出来的内容），这些环境风险源都有可能发生那些突发环境事件以及发生这些突发环境事件时都会哪些前期的征兆、条件、因素（这就是预警条件），完善细化每个颜色级别预警的预警条件。建议，将所有可能发生对外环境造成污染的突发环境事件的预警条件都划归为黄色预警的条件，将所有可能发生不会对外环境造成污染的突发环境事件的预警条件，划归到蓝色预警条件内。</w:t>
            </w:r>
          </w:p>
        </w:tc>
        <w:tc>
          <w:tcPr>
            <w:tcW w:w="3664" w:type="dxa"/>
            <w:tcBorders>
              <w:tl2br w:val="nil"/>
              <w:tr2bl w:val="nil"/>
            </w:tcBorders>
          </w:tcPr>
          <w:p>
            <w:pPr>
              <w:bidi w:val="0"/>
              <w:spacing w:line="240" w:lineRule="auto"/>
              <w:rPr>
                <w:rFonts w:hint="default"/>
                <w:sz w:val="18"/>
                <w:szCs w:val="18"/>
                <w:vertAlign w:val="baseline"/>
                <w:lang w:val="en-US" w:eastAsia="zh-CN"/>
              </w:rPr>
            </w:pPr>
            <w:r>
              <w:rPr>
                <w:rFonts w:hint="eastAsia"/>
                <w:sz w:val="18"/>
                <w:szCs w:val="18"/>
                <w:vertAlign w:val="baseline"/>
                <w:lang w:val="en-US" w:eastAsia="zh-CN"/>
              </w:rPr>
              <w:t>已根据要求修改补充，并且细化各个颜色预警的预警条件</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应急预案P</w:t>
            </w:r>
            <w:r>
              <w:rPr>
                <w:rFonts w:hint="eastAsia"/>
                <w:sz w:val="18"/>
                <w:szCs w:val="18"/>
                <w:vertAlign w:val="baseline"/>
                <w:lang w:val="en-US" w:eastAsia="zh-CN"/>
              </w:rPr>
              <w:t>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13、细化预警准备的内容。预警准备就是具体写清楚针对每一级预警所应该开展的准备工作或采取的措施，对于预警准备的内容，主要是说清楚在发布某颜色的预警时，企业以及各个应急小组都应该做哪些准备工作或采取哪些措施，以应对突发环境事件真正发生时的所需或立刻开展那些行动确保预警所示的内容不发生或程度得以减轻或消除。</w:t>
            </w:r>
          </w:p>
        </w:tc>
        <w:tc>
          <w:tcPr>
            <w:tcW w:w="3664" w:type="dxa"/>
            <w:tcBorders>
              <w:tl2br w:val="nil"/>
              <w:tr2bl w:val="nil"/>
            </w:tcBorders>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sz w:val="18"/>
                <w:szCs w:val="18"/>
                <w:lang w:val="en-US" w:eastAsia="zh-CN"/>
              </w:rPr>
            </w:pPr>
            <w:r>
              <w:rPr>
                <w:rFonts w:hint="eastAsia"/>
                <w:sz w:val="18"/>
                <w:szCs w:val="18"/>
                <w:lang w:val="en-US" w:eastAsia="zh-CN"/>
              </w:rPr>
              <w:t>已根据要求补充细化</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sz w:val="18"/>
                <w:szCs w:val="18"/>
                <w:vertAlign w:val="baseline"/>
                <w:lang w:val="en-US" w:eastAsia="zh-CN"/>
              </w:rPr>
              <w:t>应急预案P37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pStyle w:val="11"/>
              <w:widowControl w:val="0"/>
              <w:ind w:left="0" w:leftChars="0" w:firstLine="0" w:firstLineChars="0"/>
              <w:jc w:val="center"/>
              <w:rPr>
                <w:rFonts w:hint="default"/>
                <w:sz w:val="28"/>
                <w:szCs w:val="28"/>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cs="Times New Roman"/>
                <w:sz w:val="18"/>
                <w:szCs w:val="18"/>
                <w:lang w:val="en-US" w:eastAsia="zh-CN"/>
              </w:rPr>
            </w:pPr>
            <w:r>
              <w:rPr>
                <w:rFonts w:hint="eastAsia" w:cs="Times New Roman"/>
                <w:sz w:val="18"/>
                <w:szCs w:val="18"/>
                <w:lang w:val="en-US" w:eastAsia="zh-CN"/>
              </w:rPr>
              <w:t>14、</w:t>
            </w:r>
            <w:r>
              <w:rPr>
                <w:rFonts w:hint="eastAsia" w:ascii="Times New Roman" w:hAnsi="Times New Roman" w:cs="Times New Roman"/>
                <w:sz w:val="18"/>
                <w:szCs w:val="18"/>
                <w:lang w:val="en-US" w:eastAsia="zh-CN"/>
              </w:rPr>
              <w:t>修改完善应急预案启动的条件（在应急预案启动的条件中要包含本单位实际存在的所有的环境风险源(也就是第四章第二节环境风险源分析中梳理出来的内容)所可能发生的所有的环境风险类型）（比如：XXX环境风险源发生XXX环境风险时启动本应急预案）。</w:t>
            </w:r>
          </w:p>
        </w:tc>
        <w:tc>
          <w:tcPr>
            <w:tcW w:w="3664" w:type="dxa"/>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lang w:val="en-US" w:eastAsia="zh-CN"/>
              </w:rPr>
            </w:pPr>
            <w:r>
              <w:rPr>
                <w:rFonts w:hint="eastAsia" w:ascii="Times New Roman" w:hAnsi="Times New Roman" w:eastAsia="宋体" w:cs="Times New Roman"/>
                <w:sz w:val="18"/>
                <w:szCs w:val="18"/>
                <w:lang w:val="en-US" w:eastAsia="zh-CN"/>
              </w:rPr>
              <w:t>已完善预警启动条件，并通过表格详细描述列出</w:t>
            </w:r>
          </w:p>
        </w:tc>
        <w:tc>
          <w:tcPr>
            <w:tcW w:w="1037" w:type="dxa"/>
            <w:tcBorders>
              <w:tl2br w:val="nil"/>
              <w:tr2bl w:val="nil"/>
            </w:tcBorders>
            <w:vAlign w:val="top"/>
          </w:tcPr>
          <w:p>
            <w:pPr>
              <w:pStyle w:val="6"/>
              <w:spacing w:line="240" w:lineRule="auto"/>
              <w:ind w:left="0" w:leftChars="0" w:firstLine="0" w:firstLineChars="0"/>
              <w:jc w:val="both"/>
              <w:rPr>
                <w:rFonts w:hint="default"/>
                <w:sz w:val="18"/>
                <w:szCs w:val="18"/>
                <w:vertAlign w:val="baseline"/>
                <w:lang w:val="en-US" w:eastAsia="zh-CN"/>
              </w:rPr>
            </w:pPr>
            <w:r>
              <w:rPr>
                <w:rFonts w:hint="eastAsia"/>
                <w:sz w:val="18"/>
                <w:szCs w:val="18"/>
                <w:lang w:val="en-US" w:eastAsia="zh-CN"/>
              </w:rPr>
              <w:t>应急预案P38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15、对于现场处置一节，建议按照不同的环境风险源（也就是第四章第二节环境风险源分析中梳理出来的内容），写清楚不同的环境风险源在发生突发环境事件时的具体的处理处置措施。</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sz w:val="18"/>
                <w:szCs w:val="18"/>
                <w:vertAlign w:val="baseline"/>
                <w:lang w:val="en-US" w:eastAsia="zh-CN"/>
              </w:rPr>
              <w:t>已按照本企业风险源进行分析补充</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应急预案P</w:t>
            </w:r>
            <w:r>
              <w:rPr>
                <w:rFonts w:hint="eastAsia"/>
                <w:sz w:val="18"/>
                <w:szCs w:val="18"/>
                <w:vertAlign w:val="baseline"/>
                <w:lang w:val="en-US" w:eastAsia="zh-CN"/>
              </w:rPr>
              <w:t>55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16、在应急监测中请补充涉水类的应急监测的内容。</w:t>
            </w:r>
          </w:p>
        </w:tc>
        <w:tc>
          <w:tcPr>
            <w:tcW w:w="3664" w:type="dxa"/>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kern w:val="2"/>
                <w:sz w:val="18"/>
                <w:szCs w:val="18"/>
                <w:lang w:val="en-US" w:eastAsia="zh-CN" w:bidi="ar-SA"/>
              </w:rPr>
              <w:t>已补充</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w:t>
            </w:r>
            <w:r>
              <w:rPr>
                <w:rFonts w:hint="eastAsia"/>
                <w:sz w:val="18"/>
                <w:szCs w:val="18"/>
                <w:vertAlign w:val="baseline"/>
                <w:lang w:val="en-US" w:eastAsia="zh-CN"/>
              </w:rPr>
              <w:t>P61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bottom w:val="single" w:color="auto" w:sz="4" w:space="0"/>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bottom w:val="single" w:color="auto" w:sz="4" w:space="0"/>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17、建议按照省厅126号文件的要求完善附图附件。</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已按照省厅126号文件的要求完善附图附件。</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sz w:val="18"/>
                <w:szCs w:val="18"/>
                <w:vertAlign w:val="baseline"/>
                <w:lang w:val="en-US" w:eastAsia="zh-CN"/>
              </w:rPr>
              <w:t>附图附件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restart"/>
            <w:tcBorders>
              <w:top w:val="single" w:color="auto" w:sz="4" w:space="0"/>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op w:val="single" w:color="auto" w:sz="4" w:space="0"/>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1、在企业固废情况说明中，请列出本企业内污水处理站产生的污泥、栅渣等固体废物产生量和处理情况。</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已核实完善。</w:t>
            </w:r>
          </w:p>
        </w:tc>
        <w:tc>
          <w:tcPr>
            <w:tcW w:w="1037" w:type="dxa"/>
            <w:tcBorders>
              <w:tl2br w:val="nil"/>
              <w:tr2bl w:val="nil"/>
            </w:tcBorders>
          </w:tcPr>
          <w:p>
            <w:pPr>
              <w:pStyle w:val="2"/>
              <w:ind w:left="0" w:leftChars="0" w:firstLine="0" w:firstLineChars="0"/>
              <w:rPr>
                <w:rFonts w:hint="eastAsia" w:ascii="Times New Roman" w:hAnsi="Times New Roman" w:eastAsia="宋体" w:cs="Times New Roman"/>
                <w:sz w:val="18"/>
                <w:szCs w:val="18"/>
                <w:vertAlign w:val="baseline"/>
                <w:lang w:val="en-US" w:eastAsia="zh-CN"/>
              </w:rPr>
            </w:pPr>
            <w:r>
              <w:rPr>
                <w:rFonts w:hint="eastAsia" w:ascii="Times New Roman" w:hAnsi="Times New Roman" w:eastAsia="宋体" w:cs="Times New Roman"/>
                <w:sz w:val="18"/>
                <w:szCs w:val="18"/>
                <w:vertAlign w:val="baseline"/>
                <w:lang w:val="en-US" w:eastAsia="zh-CN"/>
              </w:rPr>
              <w:t>风险评估P12</w:t>
            </w:r>
          </w:p>
          <w:p>
            <w:pPr>
              <w:pStyle w:val="2"/>
              <w:ind w:left="0" w:leftChars="0" w:firstLine="0" w:firstLineChars="0"/>
              <w:rPr>
                <w:rFonts w:hint="eastAsia"/>
                <w:sz w:val="18"/>
                <w:szCs w:val="18"/>
                <w:vertAlign w:val="baseline"/>
                <w:lang w:val="en-US" w:eastAsia="zh-CN"/>
              </w:rPr>
            </w:pPr>
            <w:r>
              <w:rPr>
                <w:rFonts w:hint="eastAsia"/>
                <w:sz w:val="18"/>
                <w:szCs w:val="18"/>
                <w:vertAlign w:val="baseline"/>
                <w:lang w:val="en-US" w:eastAsia="zh-CN"/>
              </w:rPr>
              <w:t>应急预案</w:t>
            </w:r>
          </w:p>
          <w:p>
            <w:pPr>
              <w:pStyle w:val="2"/>
              <w:ind w:left="0" w:leftChars="0" w:firstLine="0" w:firstLineChars="0"/>
              <w:rPr>
                <w:rFonts w:hint="default"/>
                <w:sz w:val="18"/>
                <w:szCs w:val="18"/>
                <w:vertAlign w:val="baseline"/>
                <w:lang w:val="en-US" w:eastAsia="zh-CN"/>
              </w:rPr>
            </w:pPr>
            <w:r>
              <w:rPr>
                <w:rFonts w:hint="eastAsia"/>
                <w:sz w:val="18"/>
                <w:szCs w:val="18"/>
                <w:vertAlign w:val="baseline"/>
                <w:lang w:val="en-US" w:eastAsia="zh-CN"/>
              </w:rPr>
              <w:t>P16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cs="Times New Roman"/>
                <w:sz w:val="18"/>
                <w:szCs w:val="18"/>
                <w:lang w:val="en-US" w:eastAsia="zh-CN"/>
              </w:rPr>
            </w:pPr>
            <w:r>
              <w:rPr>
                <w:rFonts w:hint="eastAsia" w:cs="Times New Roman"/>
                <w:sz w:val="18"/>
                <w:szCs w:val="18"/>
                <w:lang w:val="en-US" w:eastAsia="zh-CN"/>
              </w:rPr>
              <w:t>2、修改完善企业基本情况：①增加危废暂存间的位置、个数、面积、建设情况；②固废包括生活垃圾、一般固废、危险废物三种，请分开描述企业各种固废的产生量和处理情况，增加每种危险废物的废物类别名称及废物代码；③在“污染物产生及处理情况”中增加污染治理设施的去除量及处理后废物产生量；④核实企业有食堂及油烟净化设施吗?有，增加分析内容。</w:t>
            </w:r>
          </w:p>
        </w:tc>
        <w:tc>
          <w:tcPr>
            <w:tcW w:w="3664" w:type="dxa"/>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①本企业无危废产生，故不设置危废暂存间</w:t>
            </w:r>
          </w:p>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②固废已列表详细描述</w:t>
            </w:r>
          </w:p>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③已根据本企业监测报告统计核定添加</w:t>
            </w:r>
          </w:p>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lang w:val="en-US" w:eastAsia="zh-CN"/>
              </w:rPr>
            </w:pPr>
            <w:r>
              <w:rPr>
                <w:rFonts w:hint="eastAsia" w:ascii="Times New Roman" w:hAnsi="Times New Roman" w:eastAsia="宋体" w:cs="Times New Roman"/>
                <w:sz w:val="18"/>
                <w:szCs w:val="18"/>
                <w:lang w:val="en-US" w:eastAsia="zh-CN"/>
              </w:rPr>
              <w:t>④已核实企业无食堂</w:t>
            </w:r>
          </w:p>
        </w:tc>
        <w:tc>
          <w:tcPr>
            <w:tcW w:w="1037" w:type="dxa"/>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w:t>
            </w:r>
            <w:r>
              <w:rPr>
                <w:rFonts w:hint="eastAsia"/>
                <w:sz w:val="18"/>
                <w:szCs w:val="18"/>
                <w:vertAlign w:val="baseline"/>
                <w:lang w:val="en-US" w:eastAsia="zh-CN"/>
              </w:rPr>
              <w:t>P16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pStyle w:val="11"/>
              <w:widowControl w:val="0"/>
              <w:ind w:left="0" w:leftChars="0" w:firstLine="0" w:firstLineChars="0"/>
              <w:jc w:val="center"/>
              <w:rPr>
                <w:rFonts w:hint="default"/>
                <w:sz w:val="28"/>
                <w:szCs w:val="28"/>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3、请修改完善应急组织机构及应急组织机构框图。应急救援指挥部的成员是总指挥和副总指挥，应急救援指挥部下设应急办公室和应急救援小组，应急指挥部直接衔接应急办公室和应急救援小组。</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sz w:val="18"/>
                <w:szCs w:val="18"/>
                <w:lang w:val="en-US" w:eastAsia="zh-CN"/>
              </w:rPr>
              <w:t>已完善</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应急预案</w:t>
            </w:r>
            <w:r>
              <w:rPr>
                <w:rFonts w:hint="eastAsia" w:cs="Times New Roman"/>
                <w:sz w:val="18"/>
                <w:szCs w:val="18"/>
                <w:lang w:val="en-US" w:eastAsia="zh-CN"/>
              </w:rPr>
              <w:t>P19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请重新编写第四章环境风险分析的内容，①根据省环保厅126号文件和《企业突发环境事件风险分级》的具体要求，分别列出企业的涉气、涉水的环境风险物质，根据这些物质的临界值计算涉气、涉水的环境风险等级，综合本企业近三年内有没有违法排放污染物、有没有非法转移处置危险废物等行为受到环境保护主管部门处罚，调整环境风险等级为一般，给出风险等级的正确表示方法；②根据环境风险源的定义，认真梳理本企业的各个环境风险源的，识别重大风险源；③增加最大可信事故的后果分析，结合从本企业可能发生环境突发事件，重点突出有毒有害物质对环境的影响分析。</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①已根据文件核实本企业无涉气和涉水风险物质，本企业可直接评价为一般环境风险等级</w:t>
            </w:r>
          </w:p>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②已核实确认重大风险源</w:t>
            </w:r>
          </w:p>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③已增加</w:t>
            </w:r>
            <w:r>
              <w:rPr>
                <w:rFonts w:hint="eastAsia" w:ascii="Times New Roman" w:hAnsi="Times New Roman" w:eastAsia="宋体" w:cs="Times New Roman"/>
                <w:sz w:val="18"/>
                <w:szCs w:val="18"/>
                <w:lang w:val="en-US" w:eastAsia="zh-CN"/>
              </w:rPr>
              <w:t>最大可信事故的后果分析，并进行环境的影响分析</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sz w:val="18"/>
                <w:szCs w:val="18"/>
                <w:lang w:val="en-US" w:eastAsia="zh-CN"/>
              </w:rPr>
            </w:pPr>
            <w:r>
              <w:rPr>
                <w:rFonts w:hint="eastAsia"/>
                <w:sz w:val="18"/>
                <w:szCs w:val="18"/>
                <w:lang w:val="en-US" w:eastAsia="zh-CN"/>
              </w:rPr>
              <w:t>风险评估</w:t>
            </w:r>
            <w:r>
              <w:rPr>
                <w:rFonts w:hint="eastAsia" w:ascii="Times New Roman" w:eastAsia="宋体"/>
                <w:sz w:val="18"/>
                <w:szCs w:val="18"/>
                <w:lang w:val="en-US" w:eastAsia="zh-CN"/>
              </w:rPr>
              <w:t>P</w:t>
            </w:r>
            <w:r>
              <w:rPr>
                <w:rFonts w:hint="eastAsia"/>
                <w:sz w:val="18"/>
                <w:szCs w:val="18"/>
                <w:lang w:val="en-US" w:eastAsia="zh-CN"/>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5、请修改第五章的内容：①预警分级、预警准备、分级响应的级别和颜色都是一一对应一致的，请梳理修改；②根据本单位的具体实际情况，细化本单位发布和解除程序，细化不同级别预警的发布的范围。</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①已梳理修改预警分级、预警准备、分级响应的级别</w:t>
            </w:r>
          </w:p>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②细化本单位发布和解除程序，细化不同级别预警的发布的范围。</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应急预案P41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cs="Times New Roman"/>
                <w:sz w:val="18"/>
                <w:szCs w:val="18"/>
                <w:lang w:val="en-US" w:eastAsia="zh-CN"/>
              </w:rPr>
              <w:t>6、结合预警分级，根据企业的实际情况补充完善预警准备的内容，贴合企业的自身实际情况。</w:t>
            </w:r>
          </w:p>
        </w:tc>
        <w:tc>
          <w:tcPr>
            <w:tcW w:w="3664" w:type="dxa"/>
            <w:tcBorders>
              <w:tl2br w:val="nil"/>
              <w:tr2bl w:val="nil"/>
            </w:tcBorders>
          </w:tcPr>
          <w:p>
            <w:pPr>
              <w:autoSpaceDE w:val="0"/>
              <w:autoSpaceDN w:val="0"/>
              <w:adjustRightInd w:val="0"/>
              <w:spacing w:line="240" w:lineRule="auto"/>
              <w:jc w:val="left"/>
              <w:rPr>
                <w:rFonts w:hint="default" w:ascii="Times New Roman" w:hAnsi="Times New Roman" w:eastAsia="宋体" w:cs="Times New Roman"/>
                <w:sz w:val="18"/>
                <w:szCs w:val="18"/>
                <w:lang w:val="en-US" w:eastAsia="zh-CN"/>
              </w:rPr>
            </w:pPr>
            <w:r>
              <w:rPr>
                <w:rFonts w:hint="eastAsia" w:cs="Times New Roman"/>
                <w:sz w:val="18"/>
                <w:szCs w:val="18"/>
                <w:lang w:val="en-US" w:eastAsia="zh-CN"/>
              </w:rPr>
              <w:t>已补充完善预警准备的内容</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应急预案</w:t>
            </w:r>
            <w:r>
              <w:rPr>
                <w:rFonts w:hint="eastAsia" w:cs="Times New Roman"/>
                <w:sz w:val="18"/>
                <w:szCs w:val="18"/>
                <w:lang w:val="en-US" w:eastAsia="zh-CN"/>
              </w:rPr>
              <w:t>P51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7、重新整理应急启动的条件，贴合企业的自身实际情况。</w:t>
            </w:r>
          </w:p>
        </w:tc>
        <w:tc>
          <w:tcPr>
            <w:tcW w:w="3664" w:type="dxa"/>
            <w:tcBorders>
              <w:tl2br w:val="nil"/>
              <w:tr2bl w:val="nil"/>
            </w:tcBorders>
          </w:tcPr>
          <w:p>
            <w:pPr>
              <w:pStyle w:val="12"/>
              <w:kinsoku w:val="0"/>
              <w:overflowPunct w:val="0"/>
              <w:spacing w:line="240" w:lineRule="auto"/>
              <w:ind w:left="0" w:leftChars="0" w:firstLine="0" w:firstLineChars="0"/>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已重新整理应急启动的条件</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应急预案P</w:t>
            </w:r>
            <w:r>
              <w:rPr>
                <w:rFonts w:hint="eastAsia" w:cs="Times New Roman"/>
                <w:sz w:val="18"/>
                <w:szCs w:val="18"/>
                <w:lang w:val="en-US" w:eastAsia="zh-CN"/>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cs="Times New Roman"/>
                <w:sz w:val="18"/>
                <w:szCs w:val="18"/>
                <w:lang w:val="en-US" w:eastAsia="zh-CN"/>
              </w:rPr>
              <w:t>8、结合本企业的实际情况，针对性的列出本企业的突发事件现场应急处置方法；在本应急预案的“突发事件现场应急处置方法”中增加在发生突发环境事件时对事故废水、消防废水、泄漏物的拦截、收集、转输措施的描述，确保各项废水及泄漏物能被有效的收集，不对外环境造成污染。</w:t>
            </w:r>
          </w:p>
        </w:tc>
        <w:tc>
          <w:tcPr>
            <w:tcW w:w="3664" w:type="dxa"/>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已</w:t>
            </w:r>
            <w:r>
              <w:rPr>
                <w:rFonts w:hint="eastAsia" w:cs="Times New Roman"/>
                <w:sz w:val="18"/>
                <w:szCs w:val="18"/>
                <w:lang w:val="en-US" w:eastAsia="zh-CN"/>
              </w:rPr>
              <w:t>针对性的列出本企业的突发事件现场应急处置方法；已增加环境事件时对事故废水、消防废水、泄漏物的拦截、收集、转输措施的描述，确保各项废水及泄漏物能被有效的收集，不对外环境造成污染</w:t>
            </w:r>
          </w:p>
        </w:tc>
        <w:tc>
          <w:tcPr>
            <w:tcW w:w="1037" w:type="dxa"/>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宋体" w:cs="Times New Roman"/>
                <w:sz w:val="18"/>
                <w:szCs w:val="18"/>
                <w:lang w:val="en-US" w:eastAsia="zh-CN"/>
              </w:rPr>
            </w:pPr>
            <w:r>
              <w:rPr>
                <w:rFonts w:hint="eastAsia" w:ascii="Times New Roman" w:eastAsia="宋体"/>
                <w:sz w:val="18"/>
                <w:szCs w:val="18"/>
                <w:vertAlign w:val="baseline"/>
                <w:lang w:val="en-US" w:eastAsia="zh-CN"/>
              </w:rPr>
              <w:t>应急预案P</w:t>
            </w:r>
            <w:r>
              <w:rPr>
                <w:rFonts w:hint="eastAsia"/>
                <w:sz w:val="18"/>
                <w:szCs w:val="18"/>
                <w:vertAlign w:val="baseline"/>
                <w:lang w:val="en-US" w:eastAsia="zh-CN"/>
              </w:rPr>
              <w:t>58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bottom w:val="single" w:color="auto" w:sz="4" w:space="0"/>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bottom w:val="single" w:color="auto" w:sz="4" w:space="0"/>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cs="Times New Roman"/>
                <w:sz w:val="18"/>
                <w:szCs w:val="18"/>
                <w:lang w:val="en-US" w:eastAsia="zh-CN"/>
              </w:rPr>
              <w:t>9、建议按照省厅126号文件的要求完善附图附件。</w:t>
            </w:r>
          </w:p>
        </w:tc>
        <w:tc>
          <w:tcPr>
            <w:tcW w:w="3664" w:type="dxa"/>
            <w:tcBorders>
              <w:tl2br w:val="nil"/>
              <w:tr2bl w:val="nil"/>
            </w:tcBorders>
          </w:tcPr>
          <w:p>
            <w:pPr>
              <w:bidi w:val="0"/>
              <w:spacing w:line="240" w:lineRule="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已按照省厅126号文件的要求完善附图附件</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附图附件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restart"/>
            <w:tcBorders>
              <w:top w:val="single" w:color="auto" w:sz="4" w:space="0"/>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op w:val="single" w:color="auto" w:sz="4" w:space="0"/>
              <w:bottom w:val="single" w:color="auto" w:sz="4" w:space="0"/>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cs="Times New Roman"/>
                <w:sz w:val="18"/>
                <w:szCs w:val="18"/>
                <w:lang w:val="en-US" w:eastAsia="zh-CN"/>
              </w:rPr>
              <w:t>1、基本情况列表中补充日常来往人数及车辆数，说明风险物质运输途中的责任单位，列明近三年有无环境违法排污和非法转移危险废物受处罚事件。</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已补充完善</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lang w:val="en-US" w:eastAsia="zh-CN"/>
              </w:rPr>
            </w:pPr>
            <w:r>
              <w:rPr>
                <w:rFonts w:hint="eastAsia" w:cs="Times New Roman"/>
                <w:sz w:val="18"/>
                <w:szCs w:val="18"/>
                <w:lang w:val="en-US" w:eastAsia="zh-CN"/>
              </w:rPr>
              <w:t>应急预案P11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op w:val="single" w:color="auto" w:sz="4" w:space="0"/>
              <w:bottom w:val="single" w:color="auto" w:sz="4" w:space="0"/>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cs="Times New Roman"/>
                <w:sz w:val="18"/>
                <w:szCs w:val="18"/>
                <w:lang w:val="en-US" w:eastAsia="zh-CN"/>
              </w:rPr>
            </w:pPr>
            <w:r>
              <w:rPr>
                <w:rFonts w:hint="eastAsia" w:cs="Times New Roman"/>
                <w:sz w:val="18"/>
                <w:szCs w:val="18"/>
                <w:lang w:val="en-US" w:eastAsia="zh-CN"/>
              </w:rPr>
              <w:t>2、删除与环境风险物质防范与分析无关内容章节，原辅材料不必照搬环评。</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cs="Times New Roman"/>
                <w:sz w:val="18"/>
                <w:szCs w:val="18"/>
                <w:lang w:val="en-US" w:eastAsia="zh-CN"/>
              </w:rPr>
            </w:pPr>
            <w:r>
              <w:rPr>
                <w:rFonts w:hint="eastAsia" w:cs="Times New Roman"/>
                <w:sz w:val="18"/>
                <w:szCs w:val="18"/>
                <w:lang w:val="en-US" w:eastAsia="zh-CN"/>
              </w:rPr>
              <w:t>已删除</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s="Times New Roman"/>
                <w:b/>
                <w:bCs/>
                <w:sz w:val="18"/>
                <w:szCs w:val="18"/>
                <w:lang w:val="en-US" w:eastAsia="zh-CN"/>
              </w:rPr>
            </w:pPr>
            <w:r>
              <w:rPr>
                <w:rFonts w:hint="eastAsia" w:cs="Times New Roman"/>
                <w:sz w:val="18"/>
                <w:szCs w:val="18"/>
                <w:lang w:val="en-US" w:eastAsia="zh-CN"/>
              </w:rPr>
              <w:t>应急预案P12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op w:val="single" w:color="auto" w:sz="4" w:space="0"/>
              <w:bottom w:val="single" w:color="auto" w:sz="4" w:space="0"/>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cs="Times New Roman"/>
                <w:sz w:val="18"/>
                <w:szCs w:val="18"/>
                <w:lang w:val="en-US" w:eastAsia="zh-CN"/>
              </w:rPr>
            </w:pPr>
            <w:r>
              <w:rPr>
                <w:rFonts w:hint="eastAsia" w:cs="Times New Roman"/>
                <w:sz w:val="18"/>
                <w:szCs w:val="18"/>
                <w:lang w:val="en-US" w:eastAsia="zh-CN"/>
              </w:rPr>
              <w:t>3、增加同类型企业发生突发环境事件的案例。</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cs="Times New Roman"/>
                <w:sz w:val="18"/>
                <w:szCs w:val="18"/>
                <w:lang w:val="en-US" w:eastAsia="zh-CN"/>
              </w:rPr>
            </w:pPr>
            <w:r>
              <w:rPr>
                <w:rFonts w:hint="eastAsia" w:cs="Times New Roman"/>
                <w:sz w:val="18"/>
                <w:szCs w:val="18"/>
                <w:lang w:val="en-US" w:eastAsia="zh-CN"/>
              </w:rPr>
              <w:t>已增加</w:t>
            </w:r>
          </w:p>
        </w:tc>
        <w:tc>
          <w:tcPr>
            <w:tcW w:w="1037" w:type="dxa"/>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宋体" w:cs="Times New Roman"/>
                <w:b/>
                <w:bCs/>
                <w:kern w:val="2"/>
                <w:sz w:val="18"/>
                <w:szCs w:val="18"/>
                <w:lang w:val="en-US" w:eastAsia="zh-CN" w:bidi="ar-SA"/>
              </w:rPr>
            </w:pPr>
            <w:r>
              <w:rPr>
                <w:rFonts w:hint="eastAsia" w:cs="Times New Roman"/>
                <w:sz w:val="18"/>
                <w:szCs w:val="18"/>
                <w:lang w:val="en-US" w:eastAsia="zh-CN"/>
              </w:rPr>
              <w:t>应急预案P32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op w:val="single" w:color="auto" w:sz="4" w:space="0"/>
              <w:bottom w:val="single" w:color="auto" w:sz="4" w:space="0"/>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cs="Times New Roman"/>
                <w:sz w:val="18"/>
                <w:szCs w:val="18"/>
                <w:lang w:val="en-US" w:eastAsia="zh-CN"/>
              </w:rPr>
            </w:pPr>
            <w:r>
              <w:rPr>
                <w:rFonts w:hint="eastAsia" w:cs="Times New Roman"/>
                <w:sz w:val="18"/>
                <w:szCs w:val="18"/>
                <w:lang w:val="en-US" w:eastAsia="zh-CN"/>
              </w:rPr>
              <w:t>4、完善企业内部预警信息发布、接收、调整、解除程序、发布内容及责任人；细化预警、响应各级别转换条件。</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cs="Times New Roman"/>
                <w:sz w:val="18"/>
                <w:szCs w:val="18"/>
                <w:lang w:val="en-US" w:eastAsia="zh-CN"/>
              </w:rPr>
            </w:pPr>
            <w:r>
              <w:rPr>
                <w:rFonts w:hint="eastAsia" w:cs="Times New Roman"/>
                <w:sz w:val="18"/>
                <w:szCs w:val="18"/>
                <w:lang w:val="en-US" w:eastAsia="zh-CN"/>
              </w:rPr>
              <w:t>已完善细化</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应急预案P19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op w:val="single" w:color="auto" w:sz="4" w:space="0"/>
              <w:bottom w:val="single" w:color="auto" w:sz="4" w:space="0"/>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cs="Times New Roman"/>
                <w:sz w:val="18"/>
                <w:szCs w:val="18"/>
                <w:lang w:val="en-US" w:eastAsia="zh-CN"/>
              </w:rPr>
            </w:pPr>
            <w:r>
              <w:rPr>
                <w:rFonts w:hint="eastAsia" w:cs="Times New Roman"/>
                <w:sz w:val="18"/>
                <w:szCs w:val="18"/>
                <w:lang w:val="en-US" w:eastAsia="zh-CN"/>
              </w:rPr>
              <w:t>5、明确紧急状况下的疏散方式、疏散负责人、安全安置点，补充说明受威胁范围、组织公众避险的方式方法，包括疏散、防护等，说明避险措施的原则性安排等。</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cs="Times New Roman"/>
                <w:sz w:val="18"/>
                <w:szCs w:val="18"/>
                <w:lang w:val="en-US" w:eastAsia="zh-CN"/>
              </w:rPr>
            </w:pPr>
            <w:r>
              <w:rPr>
                <w:rFonts w:hint="eastAsia" w:cs="Times New Roman"/>
                <w:sz w:val="18"/>
                <w:szCs w:val="18"/>
                <w:lang w:val="en-US" w:eastAsia="zh-CN"/>
              </w:rPr>
              <w:t>已完善并且补充说明</w:t>
            </w:r>
            <w:r>
              <w:rPr>
                <w:rFonts w:hint="eastAsia" w:cs="Times New Roman"/>
                <w:sz w:val="18"/>
                <w:szCs w:val="18"/>
                <w:lang w:val="en-US" w:eastAsia="zh-CN"/>
              </w:rPr>
              <w:t>受威胁范围、组织公众避险的方式方法，包括疏散、防护等，说明避险措施的原则性安排等。</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应急预案P65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op w:val="single" w:color="auto" w:sz="4" w:space="0"/>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cs="Times New Roman"/>
                <w:sz w:val="18"/>
                <w:szCs w:val="18"/>
                <w:lang w:val="en-US" w:eastAsia="zh-CN"/>
              </w:rPr>
            </w:pPr>
            <w:r>
              <w:rPr>
                <w:rFonts w:hint="eastAsia" w:cs="Times New Roman"/>
                <w:sz w:val="18"/>
                <w:szCs w:val="18"/>
                <w:lang w:val="en-US" w:eastAsia="zh-CN"/>
              </w:rPr>
              <w:t>6、补充周边受影响的单位和居民联系方式，明确企业告知周边单位事件信息的负责人、程序、时限、方式及内容等。</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cs="Times New Roman"/>
                <w:sz w:val="18"/>
                <w:szCs w:val="18"/>
                <w:lang w:val="en-US" w:eastAsia="zh-CN"/>
              </w:rPr>
            </w:pPr>
            <w:r>
              <w:rPr>
                <w:rFonts w:hint="eastAsia" w:cs="Times New Roman"/>
                <w:sz w:val="18"/>
                <w:szCs w:val="18"/>
                <w:lang w:val="en-US" w:eastAsia="zh-CN"/>
              </w:rPr>
              <w:t>已补充明确</w:t>
            </w:r>
            <w:r>
              <w:rPr>
                <w:rFonts w:hint="eastAsia" w:cs="Times New Roman"/>
                <w:sz w:val="18"/>
                <w:szCs w:val="18"/>
                <w:lang w:val="en-US" w:eastAsia="zh-CN"/>
              </w:rPr>
              <w:t>企业告知周边单位事件信息的负责人、程序、时限、方式及内容等</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应急预案P48</w:t>
            </w:r>
          </w:p>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lang w:val="en-US" w:eastAsia="zh-CN"/>
              </w:rPr>
            </w:pPr>
            <w:r>
              <w:rPr>
                <w:rFonts w:hint="eastAsia" w:ascii="Times New Roman" w:hAnsi="Times New Roman" w:eastAsia="宋体" w:cs="Times New Roman"/>
                <w:sz w:val="18"/>
                <w:szCs w:val="18"/>
                <w:lang w:val="en-US" w:eastAsia="zh-CN"/>
              </w:rPr>
              <w:t>附件</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lNjY4OGVmY2Q2NjBjMTU0ZTgwMGRlMGRiZTU5NDIifQ=="/>
  </w:docVars>
  <w:rsids>
    <w:rsidRoot w:val="5EFD012B"/>
    <w:rsid w:val="308B41DC"/>
    <w:rsid w:val="4694480F"/>
    <w:rsid w:val="5EFD012B"/>
    <w:rsid w:val="6E7C5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0" w:firstLineChars="0"/>
      <w:jc w:val="left"/>
    </w:pPr>
    <w:rPr>
      <w:rFonts w:ascii="Times New Roman" w:hAnsi="Times New Roman" w:eastAsia="宋体" w:cs="Times New Roman"/>
      <w:kern w:val="2"/>
      <w:sz w:val="21"/>
      <w:lang w:val="en-US" w:eastAsia="zh-CN" w:bidi="ar-SA"/>
    </w:rPr>
  </w:style>
  <w:style w:type="paragraph" w:styleId="3">
    <w:name w:val="heading 3"/>
    <w:basedOn w:val="1"/>
    <w:next w:val="1"/>
    <w:unhideWhenUsed/>
    <w:qFormat/>
    <w:uiPriority w:val="0"/>
    <w:pPr>
      <w:keepNext/>
      <w:keepLines/>
      <w:spacing w:line="360" w:lineRule="auto"/>
      <w:jc w:val="left"/>
      <w:outlineLvl w:val="2"/>
    </w:pPr>
    <w:rPr>
      <w:rFonts w:ascii="Times New Roman" w:hAnsi="Times New Roman"/>
      <w:b/>
      <w:sz w:val="28"/>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adjustRightInd w:val="0"/>
      <w:snapToGrid w:val="0"/>
      <w:spacing w:line="360" w:lineRule="auto"/>
      <w:ind w:firstLine="560" w:firstLineChars="200"/>
    </w:pPr>
    <w:rPr>
      <w:rFonts w:ascii="Times New Roman" w:hAnsi="Times New Roman"/>
      <w:sz w:val="28"/>
      <w:szCs w:val="20"/>
    </w:rPr>
  </w:style>
  <w:style w:type="paragraph" w:styleId="4">
    <w:name w:val="Body Text"/>
    <w:basedOn w:val="1"/>
    <w:qFormat/>
    <w:uiPriority w:val="99"/>
  </w:style>
  <w:style w:type="paragraph" w:styleId="5">
    <w:name w:val="Body Text First Indent"/>
    <w:basedOn w:val="4"/>
    <w:qFormat/>
    <w:uiPriority w:val="0"/>
    <w:pPr>
      <w:ind w:firstLine="420" w:firstLineChars="100"/>
    </w:pPr>
    <w:rPr>
      <w:rFonts w:ascii="Times New Roman" w:hAnsi="Times New Roman" w:eastAsia="宋体" w:cs="Times New Roman"/>
      <w:szCs w:val="24"/>
    </w:rPr>
  </w:style>
  <w:style w:type="paragraph" w:styleId="6">
    <w:name w:val="Body Text First Indent 2"/>
    <w:basedOn w:val="1"/>
    <w:next w:val="1"/>
    <w:unhideWhenUsed/>
    <w:qFormat/>
    <w:uiPriority w:val="99"/>
    <w:pPr>
      <w:ind w:firstLine="42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正文（海诚）"/>
    <w:basedOn w:val="1"/>
    <w:qFormat/>
    <w:uiPriority w:val="0"/>
    <w:pPr>
      <w:spacing w:line="520" w:lineRule="exact"/>
      <w:ind w:firstLine="560" w:firstLineChars="200"/>
    </w:pPr>
    <w:rPr>
      <w:rFonts w:eastAsia="仿宋_GB2312"/>
      <w:kern w:val="2"/>
      <w:sz w:val="28"/>
      <w:lang w:val="en-US" w:eastAsia="zh-CN"/>
    </w:rPr>
  </w:style>
  <w:style w:type="paragraph" w:customStyle="1" w:styleId="11">
    <w:name w:val="2007正文"/>
    <w:qFormat/>
    <w:uiPriority w:val="0"/>
    <w:pPr>
      <w:spacing w:line="500" w:lineRule="exact"/>
      <w:ind w:firstLine="560" w:firstLineChars="200"/>
      <w:jc w:val="both"/>
    </w:pPr>
    <w:rPr>
      <w:rFonts w:ascii="Times New Roman" w:hAnsi="Times New Roman" w:eastAsia="仿宋_GB2312" w:cs="Times New Roman"/>
      <w:kern w:val="2"/>
      <w:sz w:val="28"/>
      <w:lang w:val="en-GB" w:eastAsia="zh-CN" w:bidi="ar-SA"/>
    </w:rPr>
  </w:style>
  <w:style w:type="paragraph" w:customStyle="1" w:styleId="12">
    <w:name w:val="body text"/>
    <w:basedOn w:val="1"/>
    <w:unhideWhenUsed/>
    <w:qFormat/>
    <w:uiPriority w:val="99"/>
    <w:pPr>
      <w:ind w:left="104"/>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3269</Words>
  <Characters>3388</Characters>
  <Lines>0</Lines>
  <Paragraphs>0</Paragraphs>
  <TotalTime>3</TotalTime>
  <ScaleCrop>false</ScaleCrop>
  <LinksUpToDate>false</LinksUpToDate>
  <CharactersWithSpaces>3396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2022-10-11T07:41:00Z</dcterms:created>
  <dc:creator>汉斯小木屋</dc:creator>
  <cp:lastModifiedBy>汉斯小木屋</cp:lastModifiedBy>
  <dcterms:modified xsi:type="dcterms:W3CDTF">2022-10-11T12:00:07Z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B37BBA09A7C4480A88FE78A42429C006</vt:lpwstr>
  </property>
</Properties>
</file>