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line="360" w:lineRule="auto"/>
        <w:jc w:val="center"/>
        <w:rPr>
          <w:rFonts w:hint="eastAsia" w:ascii="仿宋" w:hAnsi="仿宋" w:eastAsia="仿宋" w:cs="仿宋"/>
          <w:b/>
          <w:bCs/>
          <w:color w:val="auto"/>
          <w:kern w:val="0"/>
          <w:sz w:val="43"/>
          <w:szCs w:val="43"/>
          <w:lang w:val="en-US" w:eastAsia="zh-CN" w:bidi="ar"/>
        </w:rPr>
      </w:pPr>
    </w:p>
    <w:p>
      <w:pPr>
        <w:keepNext w:val="0"/>
        <w:keepLines w:val="0"/>
        <w:widowControl/>
        <w:suppressLineNumbers w:val="0"/>
        <w:spacing w:line="360" w:lineRule="auto"/>
        <w:jc w:val="center"/>
        <w:rPr>
          <w:rFonts w:hint="eastAsia" w:ascii="仿宋" w:hAnsi="仿宋" w:eastAsia="仿宋" w:cs="仿宋"/>
          <w:b/>
          <w:bCs/>
          <w:color w:val="auto"/>
          <w:kern w:val="0"/>
          <w:sz w:val="43"/>
          <w:szCs w:val="43"/>
          <w:lang w:val="en-US" w:eastAsia="zh-CN" w:bidi="ar"/>
        </w:rPr>
      </w:pPr>
    </w:p>
    <w:p>
      <w:pPr>
        <w:keepNext w:val="0"/>
        <w:keepLines w:val="0"/>
        <w:widowControl/>
        <w:suppressLineNumbers w:val="0"/>
        <w:spacing w:line="360" w:lineRule="auto"/>
        <w:jc w:val="center"/>
        <w:outlineLvl w:val="0"/>
        <w:rPr>
          <w:color w:val="auto"/>
        </w:rPr>
      </w:pPr>
      <w:bookmarkStart w:id="0" w:name="_Toc21724"/>
      <w:r>
        <w:rPr>
          <w:rFonts w:hint="eastAsia" w:ascii="仿宋" w:hAnsi="仿宋" w:eastAsia="仿宋" w:cs="仿宋"/>
          <w:b/>
          <w:bCs/>
          <w:color w:val="auto"/>
          <w:kern w:val="0"/>
          <w:sz w:val="43"/>
          <w:szCs w:val="43"/>
          <w:lang w:val="en-US" w:eastAsia="zh-CN" w:bidi="ar"/>
        </w:rPr>
        <w:t>陕西蓝池宇洁洗涤服务有限公司</w:t>
      </w:r>
      <w:bookmarkEnd w:id="0"/>
    </w:p>
    <w:p>
      <w:pPr>
        <w:keepNext w:val="0"/>
        <w:keepLines w:val="0"/>
        <w:widowControl/>
        <w:suppressLineNumbers w:val="0"/>
        <w:spacing w:line="360" w:lineRule="auto"/>
        <w:jc w:val="center"/>
        <w:outlineLvl w:val="0"/>
        <w:rPr>
          <w:color w:val="auto"/>
        </w:rPr>
      </w:pPr>
      <w:bookmarkStart w:id="1" w:name="_Toc16204"/>
      <w:r>
        <w:rPr>
          <w:rFonts w:hint="eastAsia" w:ascii="仿宋" w:hAnsi="仿宋" w:eastAsia="仿宋" w:cs="仿宋"/>
          <w:b/>
          <w:bCs/>
          <w:color w:val="auto"/>
          <w:kern w:val="0"/>
          <w:sz w:val="43"/>
          <w:szCs w:val="43"/>
          <w:lang w:val="en-US" w:eastAsia="zh-CN" w:bidi="ar"/>
        </w:rPr>
        <w:t>突发环境事件风险评估报告</w:t>
      </w:r>
      <w:bookmarkEnd w:id="1"/>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keepNext w:val="0"/>
        <w:keepLines w:val="0"/>
        <w:widowControl/>
        <w:suppressLineNumbers w:val="0"/>
        <w:spacing w:line="360" w:lineRule="auto"/>
        <w:jc w:val="center"/>
        <w:outlineLvl w:val="0"/>
        <w:rPr>
          <w:rFonts w:hint="eastAsia" w:ascii="仿宋" w:hAnsi="仿宋" w:eastAsia="仿宋" w:cs="仿宋"/>
          <w:b/>
          <w:bCs/>
          <w:color w:val="auto"/>
          <w:kern w:val="0"/>
          <w:sz w:val="36"/>
          <w:szCs w:val="36"/>
          <w:lang w:val="en-US" w:eastAsia="zh-CN" w:bidi="ar"/>
        </w:rPr>
      </w:pPr>
      <w:bookmarkStart w:id="2" w:name="_Toc16035"/>
      <w:r>
        <w:rPr>
          <w:rFonts w:hint="eastAsia" w:ascii="仿宋" w:hAnsi="仿宋" w:eastAsia="仿宋" w:cs="仿宋"/>
          <w:b/>
          <w:bCs/>
          <w:color w:val="auto"/>
          <w:kern w:val="0"/>
          <w:sz w:val="36"/>
          <w:szCs w:val="36"/>
          <w:lang w:val="en-US" w:eastAsia="zh-CN" w:bidi="ar"/>
        </w:rPr>
        <w:t>陕西蓝池宇洁洗涤服务有限公司</w:t>
      </w:r>
      <w:bookmarkEnd w:id="2"/>
    </w:p>
    <w:p>
      <w:pPr>
        <w:keepNext w:val="0"/>
        <w:keepLines w:val="0"/>
        <w:widowControl/>
        <w:suppressLineNumbers w:val="0"/>
        <w:spacing w:line="360" w:lineRule="auto"/>
        <w:jc w:val="center"/>
        <w:rPr>
          <w:rFonts w:hint="default" w:ascii="Times New Roman" w:hAnsi="Times New Roman" w:eastAsia="宋体" w:cs="Times New Roman"/>
          <w:b/>
          <w:bCs/>
          <w:color w:val="auto"/>
          <w:kern w:val="0"/>
          <w:sz w:val="30"/>
          <w:szCs w:val="30"/>
          <w:lang w:val="en-US" w:eastAsia="zh-CN" w:bidi="ar"/>
        </w:rPr>
      </w:pPr>
    </w:p>
    <w:p>
      <w:pPr>
        <w:keepNext w:val="0"/>
        <w:keepLines w:val="0"/>
        <w:widowControl/>
        <w:suppressLineNumbers w:val="0"/>
        <w:spacing w:line="360" w:lineRule="auto"/>
        <w:jc w:val="center"/>
        <w:rPr>
          <w:rFonts w:hint="eastAsia" w:ascii="仿宋" w:hAnsi="仿宋" w:eastAsia="仿宋" w:cs="仿宋"/>
          <w:b/>
          <w:bCs/>
          <w:color w:val="auto"/>
          <w:kern w:val="0"/>
          <w:sz w:val="30"/>
          <w:szCs w:val="30"/>
          <w:lang w:val="en-US" w:eastAsia="zh-CN" w:bidi="ar"/>
        </w:rPr>
      </w:pPr>
      <w:r>
        <w:rPr>
          <w:rFonts w:hint="default" w:ascii="Times New Roman" w:hAnsi="Times New Roman" w:eastAsia="宋体" w:cs="Times New Roman"/>
          <w:b/>
          <w:bCs/>
          <w:color w:val="auto"/>
          <w:kern w:val="0"/>
          <w:sz w:val="30"/>
          <w:szCs w:val="30"/>
          <w:lang w:val="en-US" w:eastAsia="zh-CN" w:bidi="ar"/>
        </w:rPr>
        <w:t xml:space="preserve">2022 </w:t>
      </w:r>
      <w:r>
        <w:rPr>
          <w:rFonts w:hint="eastAsia" w:ascii="仿宋" w:hAnsi="仿宋" w:eastAsia="仿宋" w:cs="仿宋"/>
          <w:b/>
          <w:bCs/>
          <w:color w:val="auto"/>
          <w:kern w:val="0"/>
          <w:sz w:val="30"/>
          <w:szCs w:val="30"/>
          <w:lang w:val="en-US" w:eastAsia="zh-CN" w:bidi="ar"/>
        </w:rPr>
        <w:t xml:space="preserve">年 </w:t>
      </w:r>
      <w:r>
        <w:rPr>
          <w:rFonts w:hint="default" w:ascii="Times New Roman" w:hAnsi="Times New Roman" w:eastAsia="宋体" w:cs="Times New Roman"/>
          <w:b/>
          <w:bCs/>
          <w:color w:val="auto"/>
          <w:kern w:val="0"/>
          <w:sz w:val="30"/>
          <w:szCs w:val="30"/>
          <w:lang w:val="en-US" w:eastAsia="zh-CN" w:bidi="ar"/>
        </w:rPr>
        <w:t>0</w:t>
      </w:r>
      <w:r>
        <w:rPr>
          <w:rFonts w:hint="eastAsia" w:ascii="Times New Roman" w:hAnsi="Times New Roman" w:eastAsia="宋体" w:cs="Times New Roman"/>
          <w:b/>
          <w:bCs/>
          <w:color w:val="auto"/>
          <w:kern w:val="0"/>
          <w:sz w:val="30"/>
          <w:szCs w:val="30"/>
          <w:lang w:val="en-US" w:eastAsia="zh-CN" w:bidi="ar"/>
        </w:rPr>
        <w:t>9</w:t>
      </w:r>
      <w:bookmarkStart w:id="120" w:name="_GoBack"/>
      <w:bookmarkEnd w:id="120"/>
      <w:r>
        <w:rPr>
          <w:rFonts w:hint="eastAsia" w:ascii="Times New Roman" w:hAnsi="Times New Roman" w:eastAsia="宋体" w:cs="Times New Roman"/>
          <w:b/>
          <w:bCs/>
          <w:color w:val="auto"/>
          <w:kern w:val="0"/>
          <w:sz w:val="30"/>
          <w:szCs w:val="30"/>
          <w:lang w:val="en-US" w:eastAsia="zh-CN" w:bidi="ar"/>
        </w:rPr>
        <w:t xml:space="preserve"> </w:t>
      </w:r>
      <w:r>
        <w:rPr>
          <w:rFonts w:hint="eastAsia" w:ascii="仿宋" w:hAnsi="仿宋" w:eastAsia="仿宋" w:cs="仿宋"/>
          <w:b/>
          <w:bCs/>
          <w:color w:val="auto"/>
          <w:kern w:val="0"/>
          <w:sz w:val="30"/>
          <w:szCs w:val="30"/>
          <w:lang w:val="en-US" w:eastAsia="zh-CN" w:bidi="ar"/>
        </w:rPr>
        <w:t>月</w:t>
      </w:r>
    </w:p>
    <w:p>
      <w:pPr>
        <w:keepNext w:val="0"/>
        <w:keepLines w:val="0"/>
        <w:widowControl/>
        <w:suppressLineNumbers w:val="0"/>
        <w:spacing w:line="360" w:lineRule="auto"/>
        <w:jc w:val="center"/>
        <w:rPr>
          <w:rFonts w:hint="eastAsia" w:ascii="仿宋" w:hAnsi="仿宋" w:eastAsia="仿宋" w:cs="仿宋"/>
          <w:b/>
          <w:bCs/>
          <w:color w:val="auto"/>
          <w:kern w:val="0"/>
          <w:sz w:val="30"/>
          <w:szCs w:val="30"/>
          <w:lang w:val="en-US" w:eastAsia="zh-CN" w:bidi="ar"/>
        </w:rPr>
      </w:pPr>
    </w:p>
    <w:p>
      <w:pPr>
        <w:rPr>
          <w:rFonts w:hint="eastAsia" w:ascii="仿宋" w:hAnsi="仿宋" w:eastAsia="仿宋" w:cs="仿宋"/>
          <w:b/>
          <w:bCs/>
          <w:color w:val="auto"/>
          <w:kern w:val="0"/>
          <w:sz w:val="30"/>
          <w:szCs w:val="30"/>
          <w:lang w:val="en-US" w:eastAsia="zh-CN" w:bidi="ar"/>
        </w:rPr>
      </w:pPr>
      <w:r>
        <w:rPr>
          <w:rFonts w:hint="eastAsia" w:ascii="仿宋" w:hAnsi="仿宋" w:eastAsia="仿宋" w:cs="仿宋"/>
          <w:b/>
          <w:bCs/>
          <w:color w:val="auto"/>
          <w:kern w:val="0"/>
          <w:sz w:val="30"/>
          <w:szCs w:val="30"/>
          <w:lang w:val="en-US" w:eastAsia="zh-CN" w:bidi="ar"/>
        </w:rPr>
        <w:br w:type="page"/>
      </w:r>
    </w:p>
    <w:sdt>
      <w:sdtPr>
        <w:rPr>
          <w:rFonts w:ascii="宋体" w:hAnsi="宋体" w:eastAsia="宋体" w:cstheme="minorBidi"/>
          <w:color w:val="auto"/>
          <w:kern w:val="2"/>
          <w:sz w:val="21"/>
          <w:szCs w:val="24"/>
          <w:lang w:val="en-US" w:eastAsia="zh-CN" w:bidi="ar-SA"/>
        </w:rPr>
        <w:id w:val="147456452"/>
        <w15:color w:val="DBDBDB"/>
        <w:docPartObj>
          <w:docPartGallery w:val="Table of Contents"/>
          <w:docPartUnique/>
        </w:docPartObj>
      </w:sdtPr>
      <w:sdtEndPr>
        <w:rPr>
          <w:rFonts w:hint="eastAsia" w:ascii="仿宋" w:hAnsi="仿宋" w:eastAsia="仿宋" w:cs="仿宋"/>
          <w:b/>
          <w:bCs/>
          <w:color w:val="auto"/>
          <w:kern w:val="0"/>
          <w:sz w:val="24"/>
          <w:szCs w:val="24"/>
          <w:lang w:val="en-US" w:eastAsia="zh-CN" w:bidi="ar"/>
        </w:rPr>
      </w:sdtEndPr>
      <w:sdtContent>
        <w:p>
          <w:pPr>
            <w:spacing w:before="0" w:beforeLines="0" w:after="0" w:afterLines="0" w:line="240" w:lineRule="auto"/>
            <w:ind w:left="0" w:leftChars="0" w:right="0" w:rightChars="0" w:firstLine="0" w:firstLineChars="0"/>
            <w:jc w:val="center"/>
            <w:rPr>
              <w:b/>
              <w:bCs/>
              <w:color w:val="auto"/>
              <w:sz w:val="32"/>
              <w:szCs w:val="32"/>
            </w:rPr>
          </w:pPr>
          <w:r>
            <w:rPr>
              <w:rFonts w:ascii="宋体" w:hAnsi="宋体" w:eastAsia="宋体"/>
              <w:b/>
              <w:bCs/>
              <w:color w:val="auto"/>
              <w:sz w:val="32"/>
              <w:szCs w:val="32"/>
            </w:rPr>
            <w:t>目录</w:t>
          </w:r>
        </w:p>
        <w:p>
          <w:pPr>
            <w:pStyle w:val="21"/>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rPr>
          </w:pPr>
          <w:r>
            <w:rPr>
              <w:rFonts w:hint="eastAsia" w:ascii="仿宋" w:hAnsi="仿宋" w:eastAsia="仿宋" w:cs="仿宋"/>
              <w:b/>
              <w:bCs/>
              <w:color w:val="auto"/>
              <w:kern w:val="0"/>
              <w:sz w:val="24"/>
              <w:szCs w:val="24"/>
              <w:lang w:val="en-US" w:eastAsia="zh-CN" w:bidi="ar"/>
            </w:rPr>
            <w:fldChar w:fldCharType="begin"/>
          </w:r>
          <w:r>
            <w:rPr>
              <w:rFonts w:hint="eastAsia" w:ascii="仿宋" w:hAnsi="仿宋" w:eastAsia="仿宋" w:cs="仿宋"/>
              <w:b/>
              <w:bCs/>
              <w:color w:val="auto"/>
              <w:kern w:val="0"/>
              <w:sz w:val="24"/>
              <w:szCs w:val="24"/>
              <w:lang w:val="en-US" w:eastAsia="zh-CN" w:bidi="ar"/>
            </w:rPr>
            <w:instrText xml:space="preserve">TOC \o "1-2" \h \u </w:instrText>
          </w:r>
          <w:r>
            <w:rPr>
              <w:rFonts w:hint="eastAsia" w:ascii="仿宋" w:hAnsi="仿宋" w:eastAsia="仿宋" w:cs="仿宋"/>
              <w:b/>
              <w:bCs/>
              <w:color w:val="auto"/>
              <w:kern w:val="0"/>
              <w:sz w:val="24"/>
              <w:szCs w:val="24"/>
              <w:lang w:val="en-US" w:eastAsia="zh-CN" w:bidi="ar"/>
            </w:rPr>
            <w:fldChar w:fldCharType="separate"/>
          </w:r>
          <w:r>
            <w:rPr>
              <w:rFonts w:hint="eastAsia" w:ascii="仿宋" w:hAnsi="仿宋" w:eastAsia="仿宋" w:cs="仿宋"/>
              <w:b/>
              <w:bCs/>
              <w:color w:val="auto"/>
              <w:kern w:val="0"/>
              <w:sz w:val="24"/>
              <w:szCs w:val="24"/>
              <w:lang w:val="en-US" w:eastAsia="zh-CN" w:bidi="ar"/>
            </w:rPr>
            <w:fldChar w:fldCharType="begin"/>
          </w:r>
          <w:r>
            <w:rPr>
              <w:rFonts w:hint="eastAsia" w:ascii="仿宋" w:hAnsi="仿宋" w:eastAsia="仿宋" w:cs="仿宋"/>
              <w:b/>
              <w:bCs/>
              <w:color w:val="auto"/>
              <w:kern w:val="0"/>
              <w:sz w:val="24"/>
              <w:szCs w:val="24"/>
              <w:lang w:val="en-US" w:eastAsia="zh-CN" w:bidi="ar"/>
            </w:rPr>
            <w:instrText xml:space="preserve"> HYPERLINK \l _Toc4696 </w:instrText>
          </w:r>
          <w:r>
            <w:rPr>
              <w:rFonts w:hint="eastAsia" w:ascii="仿宋" w:hAnsi="仿宋" w:eastAsia="仿宋" w:cs="仿宋"/>
              <w:b/>
              <w:bCs/>
              <w:color w:val="auto"/>
              <w:kern w:val="0"/>
              <w:sz w:val="24"/>
              <w:szCs w:val="24"/>
              <w:lang w:val="en-US" w:eastAsia="zh-CN" w:bidi="ar"/>
            </w:rPr>
            <w:fldChar w:fldCharType="separate"/>
          </w:r>
          <w:r>
            <w:rPr>
              <w:rFonts w:hint="eastAsia" w:ascii="仿宋" w:hAnsi="仿宋" w:eastAsia="仿宋" w:cs="仿宋"/>
              <w:b/>
              <w:bCs/>
              <w:color w:val="auto"/>
              <w:kern w:val="0"/>
              <w:sz w:val="24"/>
              <w:szCs w:val="24"/>
              <w:lang w:val="en-US" w:eastAsia="zh-CN" w:bidi="ar"/>
            </w:rPr>
            <w:t>1前 言</w:t>
          </w:r>
          <w:r>
            <w:rPr>
              <w:rFonts w:hint="eastAsia" w:ascii="仿宋" w:hAnsi="仿宋" w:eastAsia="仿宋" w:cs="仿宋"/>
              <w:b/>
              <w:color w:val="auto"/>
              <w:sz w:val="24"/>
              <w:szCs w:val="24"/>
            </w:rPr>
            <w:tab/>
          </w:r>
          <w:r>
            <w:rPr>
              <w:rFonts w:hint="eastAsia" w:ascii="仿宋" w:hAnsi="仿宋" w:eastAsia="仿宋" w:cs="仿宋"/>
              <w:b/>
              <w:color w:val="auto"/>
              <w:sz w:val="24"/>
              <w:szCs w:val="24"/>
            </w:rPr>
            <w:fldChar w:fldCharType="begin"/>
          </w:r>
          <w:r>
            <w:rPr>
              <w:rFonts w:hint="eastAsia" w:ascii="仿宋" w:hAnsi="仿宋" w:eastAsia="仿宋" w:cs="仿宋"/>
              <w:b/>
              <w:color w:val="auto"/>
              <w:sz w:val="24"/>
              <w:szCs w:val="24"/>
            </w:rPr>
            <w:instrText xml:space="preserve"> PAGEREF _Toc4696 \h </w:instrText>
          </w:r>
          <w:r>
            <w:rPr>
              <w:rFonts w:hint="eastAsia" w:ascii="仿宋" w:hAnsi="仿宋" w:eastAsia="仿宋" w:cs="仿宋"/>
              <w:b/>
              <w:color w:val="auto"/>
              <w:sz w:val="24"/>
              <w:szCs w:val="24"/>
            </w:rPr>
            <w:fldChar w:fldCharType="separate"/>
          </w:r>
          <w:r>
            <w:rPr>
              <w:rFonts w:hint="eastAsia" w:ascii="仿宋" w:hAnsi="仿宋" w:eastAsia="仿宋" w:cs="仿宋"/>
              <w:b/>
              <w:color w:val="auto"/>
              <w:sz w:val="24"/>
              <w:szCs w:val="24"/>
            </w:rPr>
            <w:t>1</w:t>
          </w:r>
          <w:r>
            <w:rPr>
              <w:rFonts w:hint="eastAsia" w:ascii="仿宋" w:hAnsi="仿宋" w:eastAsia="仿宋" w:cs="仿宋"/>
              <w:b/>
              <w:color w:val="auto"/>
              <w:sz w:val="24"/>
              <w:szCs w:val="24"/>
            </w:rPr>
            <w:fldChar w:fldCharType="end"/>
          </w:r>
          <w:r>
            <w:rPr>
              <w:rFonts w:hint="eastAsia" w:ascii="仿宋" w:hAnsi="仿宋" w:eastAsia="仿宋" w:cs="仿宋"/>
              <w:b/>
              <w:bCs/>
              <w:color w:val="auto"/>
              <w:kern w:val="0"/>
              <w:sz w:val="24"/>
              <w:szCs w:val="24"/>
              <w:lang w:val="en-US" w:eastAsia="zh-CN" w:bidi="ar"/>
            </w:rPr>
            <w:fldChar w:fldCharType="end"/>
          </w:r>
        </w:p>
        <w:p>
          <w:pPr>
            <w:pStyle w:val="21"/>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rPr>
          </w:pPr>
          <w:r>
            <w:rPr>
              <w:rFonts w:hint="eastAsia" w:ascii="仿宋" w:hAnsi="仿宋" w:eastAsia="仿宋" w:cs="仿宋"/>
              <w:b/>
              <w:bCs/>
              <w:color w:val="auto"/>
              <w:kern w:val="0"/>
              <w:sz w:val="24"/>
              <w:szCs w:val="24"/>
              <w:lang w:val="en-US" w:eastAsia="zh-CN" w:bidi="ar"/>
            </w:rPr>
            <w:fldChar w:fldCharType="begin"/>
          </w:r>
          <w:r>
            <w:rPr>
              <w:rFonts w:hint="eastAsia" w:ascii="仿宋" w:hAnsi="仿宋" w:eastAsia="仿宋" w:cs="仿宋"/>
              <w:b/>
              <w:bCs/>
              <w:color w:val="auto"/>
              <w:kern w:val="0"/>
              <w:sz w:val="24"/>
              <w:szCs w:val="24"/>
              <w:lang w:val="en-US" w:eastAsia="zh-CN" w:bidi="ar"/>
            </w:rPr>
            <w:instrText xml:space="preserve"> HYPERLINK \l _Toc14591 </w:instrText>
          </w:r>
          <w:r>
            <w:rPr>
              <w:rFonts w:hint="eastAsia" w:ascii="仿宋" w:hAnsi="仿宋" w:eastAsia="仿宋" w:cs="仿宋"/>
              <w:b/>
              <w:bCs/>
              <w:color w:val="auto"/>
              <w:kern w:val="0"/>
              <w:sz w:val="24"/>
              <w:szCs w:val="24"/>
              <w:lang w:val="en-US" w:eastAsia="zh-CN" w:bidi="ar"/>
            </w:rPr>
            <w:fldChar w:fldCharType="separate"/>
          </w:r>
          <w:r>
            <w:rPr>
              <w:rFonts w:hint="eastAsia" w:ascii="仿宋" w:hAnsi="仿宋" w:eastAsia="仿宋" w:cs="仿宋"/>
              <w:b/>
              <w:bCs/>
              <w:color w:val="auto"/>
              <w:kern w:val="0"/>
              <w:sz w:val="24"/>
              <w:szCs w:val="24"/>
              <w:lang w:val="en-US" w:eastAsia="zh-CN" w:bidi="ar"/>
            </w:rPr>
            <w:t>2总 则</w:t>
          </w:r>
          <w:r>
            <w:rPr>
              <w:rFonts w:hint="eastAsia" w:ascii="仿宋" w:hAnsi="仿宋" w:eastAsia="仿宋" w:cs="仿宋"/>
              <w:b/>
              <w:color w:val="auto"/>
              <w:sz w:val="24"/>
              <w:szCs w:val="24"/>
            </w:rPr>
            <w:tab/>
          </w:r>
          <w:r>
            <w:rPr>
              <w:rFonts w:hint="eastAsia" w:ascii="仿宋" w:hAnsi="仿宋" w:eastAsia="仿宋" w:cs="仿宋"/>
              <w:b/>
              <w:color w:val="auto"/>
              <w:sz w:val="24"/>
              <w:szCs w:val="24"/>
            </w:rPr>
            <w:fldChar w:fldCharType="begin"/>
          </w:r>
          <w:r>
            <w:rPr>
              <w:rFonts w:hint="eastAsia" w:ascii="仿宋" w:hAnsi="仿宋" w:eastAsia="仿宋" w:cs="仿宋"/>
              <w:b/>
              <w:color w:val="auto"/>
              <w:sz w:val="24"/>
              <w:szCs w:val="24"/>
            </w:rPr>
            <w:instrText xml:space="preserve"> PAGEREF _Toc14591 \h </w:instrText>
          </w:r>
          <w:r>
            <w:rPr>
              <w:rFonts w:hint="eastAsia" w:ascii="仿宋" w:hAnsi="仿宋" w:eastAsia="仿宋" w:cs="仿宋"/>
              <w:b/>
              <w:color w:val="auto"/>
              <w:sz w:val="24"/>
              <w:szCs w:val="24"/>
            </w:rPr>
            <w:fldChar w:fldCharType="separate"/>
          </w:r>
          <w:r>
            <w:rPr>
              <w:rFonts w:hint="eastAsia" w:ascii="仿宋" w:hAnsi="仿宋" w:eastAsia="仿宋" w:cs="仿宋"/>
              <w:b/>
              <w:color w:val="auto"/>
              <w:sz w:val="24"/>
              <w:szCs w:val="24"/>
            </w:rPr>
            <w:t>2</w:t>
          </w:r>
          <w:r>
            <w:rPr>
              <w:rFonts w:hint="eastAsia" w:ascii="仿宋" w:hAnsi="仿宋" w:eastAsia="仿宋" w:cs="仿宋"/>
              <w:b/>
              <w:color w:val="auto"/>
              <w:sz w:val="24"/>
              <w:szCs w:val="24"/>
            </w:rPr>
            <w:fldChar w:fldCharType="end"/>
          </w:r>
          <w:r>
            <w:rPr>
              <w:rFonts w:hint="eastAsia" w:ascii="仿宋" w:hAnsi="仿宋" w:eastAsia="仿宋" w:cs="仿宋"/>
              <w:b/>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_Toc23275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0"/>
              <w:sz w:val="24"/>
              <w:szCs w:val="24"/>
              <w:lang w:val="en-US" w:eastAsia="zh-CN" w:bidi="ar"/>
            </w:rPr>
            <w:t>2.1编制原则</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_Toc23275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2</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_Toc500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0"/>
              <w:sz w:val="24"/>
              <w:szCs w:val="24"/>
              <w:lang w:val="en-US" w:eastAsia="zh-CN" w:bidi="ar"/>
            </w:rPr>
            <w:t>2.2编制依据</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_Toc500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2</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_Toc15136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0"/>
              <w:sz w:val="24"/>
              <w:szCs w:val="24"/>
              <w:lang w:val="en-US" w:eastAsia="zh-CN" w:bidi="ar"/>
            </w:rPr>
            <w:t>2.3企业突发环境事件风险评估程序</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_Toc15136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5</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1"/>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rPr>
          </w:pPr>
          <w:r>
            <w:rPr>
              <w:rFonts w:hint="eastAsia" w:ascii="仿宋" w:hAnsi="仿宋" w:eastAsia="仿宋" w:cs="仿宋"/>
              <w:b/>
              <w:bCs/>
              <w:color w:val="auto"/>
              <w:kern w:val="0"/>
              <w:sz w:val="24"/>
              <w:szCs w:val="24"/>
              <w:lang w:val="en-US" w:eastAsia="zh-CN" w:bidi="ar"/>
            </w:rPr>
            <w:fldChar w:fldCharType="begin"/>
          </w:r>
          <w:r>
            <w:rPr>
              <w:rFonts w:hint="eastAsia" w:ascii="仿宋" w:hAnsi="仿宋" w:eastAsia="仿宋" w:cs="仿宋"/>
              <w:b/>
              <w:bCs/>
              <w:color w:val="auto"/>
              <w:kern w:val="0"/>
              <w:sz w:val="24"/>
              <w:szCs w:val="24"/>
              <w:lang w:val="en-US" w:eastAsia="zh-CN" w:bidi="ar"/>
            </w:rPr>
            <w:instrText xml:space="preserve"> HYPERLINK \l _Toc18100 </w:instrText>
          </w:r>
          <w:r>
            <w:rPr>
              <w:rFonts w:hint="eastAsia" w:ascii="仿宋" w:hAnsi="仿宋" w:eastAsia="仿宋" w:cs="仿宋"/>
              <w:b/>
              <w:bCs/>
              <w:color w:val="auto"/>
              <w:kern w:val="0"/>
              <w:sz w:val="24"/>
              <w:szCs w:val="24"/>
              <w:lang w:val="en-US" w:eastAsia="zh-CN" w:bidi="ar"/>
            </w:rPr>
            <w:fldChar w:fldCharType="separate"/>
          </w:r>
          <w:r>
            <w:rPr>
              <w:rFonts w:hint="eastAsia" w:ascii="仿宋" w:hAnsi="仿宋" w:eastAsia="仿宋" w:cs="仿宋"/>
              <w:b/>
              <w:bCs/>
              <w:color w:val="auto"/>
              <w:kern w:val="0"/>
              <w:sz w:val="24"/>
              <w:szCs w:val="24"/>
              <w:lang w:val="en-US" w:eastAsia="zh-CN" w:bidi="ar"/>
            </w:rPr>
            <w:t>3资料准备与环境风险识别</w:t>
          </w:r>
          <w:r>
            <w:rPr>
              <w:rFonts w:hint="eastAsia" w:ascii="仿宋" w:hAnsi="仿宋" w:eastAsia="仿宋" w:cs="仿宋"/>
              <w:b/>
              <w:color w:val="auto"/>
              <w:sz w:val="24"/>
              <w:szCs w:val="24"/>
            </w:rPr>
            <w:tab/>
          </w:r>
          <w:r>
            <w:rPr>
              <w:rFonts w:hint="eastAsia" w:ascii="仿宋" w:hAnsi="仿宋" w:eastAsia="仿宋" w:cs="仿宋"/>
              <w:b/>
              <w:color w:val="auto"/>
              <w:sz w:val="24"/>
              <w:szCs w:val="24"/>
            </w:rPr>
            <w:fldChar w:fldCharType="begin"/>
          </w:r>
          <w:r>
            <w:rPr>
              <w:rFonts w:hint="eastAsia" w:ascii="仿宋" w:hAnsi="仿宋" w:eastAsia="仿宋" w:cs="仿宋"/>
              <w:b/>
              <w:color w:val="auto"/>
              <w:sz w:val="24"/>
              <w:szCs w:val="24"/>
            </w:rPr>
            <w:instrText xml:space="preserve"> PAGEREF _Toc18100 \h </w:instrText>
          </w:r>
          <w:r>
            <w:rPr>
              <w:rFonts w:hint="eastAsia" w:ascii="仿宋" w:hAnsi="仿宋" w:eastAsia="仿宋" w:cs="仿宋"/>
              <w:b/>
              <w:color w:val="auto"/>
              <w:sz w:val="24"/>
              <w:szCs w:val="24"/>
            </w:rPr>
            <w:fldChar w:fldCharType="separate"/>
          </w:r>
          <w:r>
            <w:rPr>
              <w:rFonts w:hint="eastAsia" w:ascii="仿宋" w:hAnsi="仿宋" w:eastAsia="仿宋" w:cs="仿宋"/>
              <w:b/>
              <w:color w:val="auto"/>
              <w:sz w:val="24"/>
              <w:szCs w:val="24"/>
            </w:rPr>
            <w:t>6</w:t>
          </w:r>
          <w:r>
            <w:rPr>
              <w:rFonts w:hint="eastAsia" w:ascii="仿宋" w:hAnsi="仿宋" w:eastAsia="仿宋" w:cs="仿宋"/>
              <w:b/>
              <w:color w:val="auto"/>
              <w:sz w:val="24"/>
              <w:szCs w:val="24"/>
            </w:rPr>
            <w:fldChar w:fldCharType="end"/>
          </w:r>
          <w:r>
            <w:rPr>
              <w:rFonts w:hint="eastAsia" w:ascii="仿宋" w:hAnsi="仿宋" w:eastAsia="仿宋" w:cs="仿宋"/>
              <w:b/>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_Toc30943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0"/>
              <w:sz w:val="24"/>
              <w:szCs w:val="24"/>
              <w:lang w:val="en-US" w:eastAsia="zh-CN" w:bidi="ar"/>
            </w:rPr>
            <w:t>3.1企业基本信息</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_Toc30943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6</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_Toc13596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0"/>
              <w:sz w:val="24"/>
              <w:szCs w:val="24"/>
              <w:lang w:val="en-US" w:eastAsia="zh-CN" w:bidi="ar"/>
            </w:rPr>
            <w:t>3.2企业周边环境风险受体情况</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_Toc13596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8</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_Toc21464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color w:val="auto"/>
              <w:sz w:val="24"/>
              <w:szCs w:val="24"/>
            </w:rPr>
            <w:t>3.3涉及环境风险物质情况</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_Toc21464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9</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_Toc23101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color w:val="auto"/>
              <w:sz w:val="24"/>
              <w:szCs w:val="24"/>
            </w:rPr>
            <w:t>3.4企业工艺流程及设备</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_Toc23101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10</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_Toc1368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color w:val="auto"/>
              <w:sz w:val="24"/>
              <w:szCs w:val="24"/>
              <w:lang w:val="en-US" w:eastAsia="zh-CN"/>
            </w:rPr>
            <w:t>3.5现有环境风险防控与应急措施</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_Toc1368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13</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_Toc21890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color w:val="auto"/>
              <w:sz w:val="24"/>
              <w:szCs w:val="24"/>
              <w:lang w:val="en-US" w:eastAsia="zh-CN"/>
            </w:rPr>
            <w:t>3.7现有应急物资与装备、救援队伍情况</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_Toc21890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15</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1"/>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rPr>
          </w:pPr>
          <w:r>
            <w:rPr>
              <w:rFonts w:hint="eastAsia" w:ascii="仿宋" w:hAnsi="仿宋" w:eastAsia="仿宋" w:cs="仿宋"/>
              <w:b/>
              <w:bCs/>
              <w:color w:val="auto"/>
              <w:kern w:val="0"/>
              <w:sz w:val="24"/>
              <w:szCs w:val="24"/>
              <w:lang w:val="en-US" w:eastAsia="zh-CN" w:bidi="ar"/>
            </w:rPr>
            <w:fldChar w:fldCharType="begin"/>
          </w:r>
          <w:r>
            <w:rPr>
              <w:rFonts w:hint="eastAsia" w:ascii="仿宋" w:hAnsi="仿宋" w:eastAsia="仿宋" w:cs="仿宋"/>
              <w:b/>
              <w:bCs/>
              <w:color w:val="auto"/>
              <w:kern w:val="0"/>
              <w:sz w:val="24"/>
              <w:szCs w:val="24"/>
              <w:lang w:val="en-US" w:eastAsia="zh-CN" w:bidi="ar"/>
            </w:rPr>
            <w:instrText xml:space="preserve"> HYPERLINK \l _Toc28921 </w:instrText>
          </w:r>
          <w:r>
            <w:rPr>
              <w:rFonts w:hint="eastAsia" w:ascii="仿宋" w:hAnsi="仿宋" w:eastAsia="仿宋" w:cs="仿宋"/>
              <w:b/>
              <w:bCs/>
              <w:color w:val="auto"/>
              <w:kern w:val="0"/>
              <w:sz w:val="24"/>
              <w:szCs w:val="24"/>
              <w:lang w:val="en-US" w:eastAsia="zh-CN" w:bidi="ar"/>
            </w:rPr>
            <w:fldChar w:fldCharType="separate"/>
          </w:r>
          <w:r>
            <w:rPr>
              <w:rFonts w:hint="eastAsia" w:ascii="仿宋" w:hAnsi="仿宋" w:eastAsia="仿宋" w:cs="仿宋"/>
              <w:b/>
              <w:bCs/>
              <w:color w:val="auto"/>
              <w:kern w:val="44"/>
              <w:sz w:val="24"/>
              <w:szCs w:val="24"/>
              <w:lang w:val="en-US" w:eastAsia="zh-CN" w:bidi="ar-SA"/>
            </w:rPr>
            <w:t>4突发环境事件及其后果分析</w:t>
          </w:r>
          <w:r>
            <w:rPr>
              <w:rFonts w:hint="eastAsia" w:ascii="仿宋" w:hAnsi="仿宋" w:eastAsia="仿宋" w:cs="仿宋"/>
              <w:b/>
              <w:color w:val="auto"/>
              <w:sz w:val="24"/>
              <w:szCs w:val="24"/>
            </w:rPr>
            <w:tab/>
          </w:r>
          <w:r>
            <w:rPr>
              <w:rFonts w:hint="eastAsia" w:ascii="仿宋" w:hAnsi="仿宋" w:eastAsia="仿宋" w:cs="仿宋"/>
              <w:b/>
              <w:color w:val="auto"/>
              <w:sz w:val="24"/>
              <w:szCs w:val="24"/>
            </w:rPr>
            <w:fldChar w:fldCharType="begin"/>
          </w:r>
          <w:r>
            <w:rPr>
              <w:rFonts w:hint="eastAsia" w:ascii="仿宋" w:hAnsi="仿宋" w:eastAsia="仿宋" w:cs="仿宋"/>
              <w:b/>
              <w:color w:val="auto"/>
              <w:sz w:val="24"/>
              <w:szCs w:val="24"/>
            </w:rPr>
            <w:instrText xml:space="preserve"> PAGEREF _Toc28921 \h </w:instrText>
          </w:r>
          <w:r>
            <w:rPr>
              <w:rFonts w:hint="eastAsia" w:ascii="仿宋" w:hAnsi="仿宋" w:eastAsia="仿宋" w:cs="仿宋"/>
              <w:b/>
              <w:color w:val="auto"/>
              <w:sz w:val="24"/>
              <w:szCs w:val="24"/>
            </w:rPr>
            <w:fldChar w:fldCharType="separate"/>
          </w:r>
          <w:r>
            <w:rPr>
              <w:rFonts w:hint="eastAsia" w:ascii="仿宋" w:hAnsi="仿宋" w:eastAsia="仿宋" w:cs="仿宋"/>
              <w:b/>
              <w:color w:val="auto"/>
              <w:sz w:val="24"/>
              <w:szCs w:val="24"/>
            </w:rPr>
            <w:t>18</w:t>
          </w:r>
          <w:r>
            <w:rPr>
              <w:rFonts w:hint="eastAsia" w:ascii="仿宋" w:hAnsi="仿宋" w:eastAsia="仿宋" w:cs="仿宋"/>
              <w:b/>
              <w:color w:val="auto"/>
              <w:sz w:val="24"/>
              <w:szCs w:val="24"/>
            </w:rPr>
            <w:fldChar w:fldCharType="end"/>
          </w:r>
          <w:r>
            <w:rPr>
              <w:rFonts w:hint="eastAsia" w:ascii="仿宋" w:hAnsi="仿宋" w:eastAsia="仿宋" w:cs="仿宋"/>
              <w:b/>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_Toc468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0"/>
              <w:sz w:val="24"/>
              <w:szCs w:val="24"/>
              <w:lang w:val="en-US" w:eastAsia="zh-CN" w:bidi="ar"/>
            </w:rPr>
            <w:t>4.1突发环境事件情景分析</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_Toc468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18</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_Toc17554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0"/>
              <w:sz w:val="24"/>
              <w:szCs w:val="24"/>
              <w:lang w:val="en-US" w:eastAsia="zh-CN" w:bidi="ar"/>
            </w:rPr>
            <w:t>4.2最大可信事故</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_Toc17554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18</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_Toc24985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0"/>
              <w:sz w:val="24"/>
              <w:szCs w:val="24"/>
              <w:lang w:val="en-US" w:eastAsia="zh-CN" w:bidi="ar"/>
            </w:rPr>
            <w:t>4.3释放环境风险物质的扩散途径、涉及环境风险防控</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_Toc24985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19</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_Toc22870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2"/>
              <w:sz w:val="24"/>
              <w:szCs w:val="24"/>
              <w:lang w:val="en-US" w:eastAsia="zh-CN" w:bidi="ar-SA"/>
            </w:rPr>
            <w:t>4.4具体应急措施</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_Toc22870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19</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_Toc6398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2"/>
              <w:sz w:val="24"/>
              <w:szCs w:val="24"/>
              <w:lang w:val="en-US" w:eastAsia="zh-CN" w:bidi="ar-SA"/>
            </w:rPr>
            <w:t>4.5突发环境事件危害后果分析</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_Toc6398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20</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1"/>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rPr>
          </w:pPr>
          <w:r>
            <w:rPr>
              <w:rFonts w:hint="eastAsia" w:ascii="仿宋" w:hAnsi="仿宋" w:eastAsia="仿宋" w:cs="仿宋"/>
              <w:b/>
              <w:bCs/>
              <w:color w:val="auto"/>
              <w:kern w:val="0"/>
              <w:sz w:val="24"/>
              <w:szCs w:val="24"/>
              <w:lang w:val="en-US" w:eastAsia="zh-CN" w:bidi="ar"/>
            </w:rPr>
            <w:fldChar w:fldCharType="begin"/>
          </w:r>
          <w:r>
            <w:rPr>
              <w:rFonts w:hint="eastAsia" w:ascii="仿宋" w:hAnsi="仿宋" w:eastAsia="仿宋" w:cs="仿宋"/>
              <w:b/>
              <w:bCs/>
              <w:color w:val="auto"/>
              <w:kern w:val="0"/>
              <w:sz w:val="24"/>
              <w:szCs w:val="24"/>
              <w:lang w:val="en-US" w:eastAsia="zh-CN" w:bidi="ar"/>
            </w:rPr>
            <w:instrText xml:space="preserve"> HYPERLINK \l _Toc7725 </w:instrText>
          </w:r>
          <w:r>
            <w:rPr>
              <w:rFonts w:hint="eastAsia" w:ascii="仿宋" w:hAnsi="仿宋" w:eastAsia="仿宋" w:cs="仿宋"/>
              <w:b/>
              <w:bCs/>
              <w:color w:val="auto"/>
              <w:kern w:val="0"/>
              <w:sz w:val="24"/>
              <w:szCs w:val="24"/>
              <w:lang w:val="en-US" w:eastAsia="zh-CN" w:bidi="ar"/>
            </w:rPr>
            <w:fldChar w:fldCharType="separate"/>
          </w:r>
          <w:r>
            <w:rPr>
              <w:rFonts w:hint="eastAsia" w:ascii="仿宋" w:hAnsi="仿宋" w:eastAsia="仿宋" w:cs="仿宋"/>
              <w:b/>
              <w:bCs/>
              <w:color w:val="auto"/>
              <w:kern w:val="44"/>
              <w:sz w:val="24"/>
              <w:szCs w:val="24"/>
              <w:lang w:val="en-US" w:eastAsia="zh-CN" w:bidi="ar-SA"/>
            </w:rPr>
            <w:t>5现有环境风险防控和应急措施差距分析</w:t>
          </w:r>
          <w:r>
            <w:rPr>
              <w:rFonts w:hint="eastAsia" w:ascii="仿宋" w:hAnsi="仿宋" w:eastAsia="仿宋" w:cs="仿宋"/>
              <w:b/>
              <w:color w:val="auto"/>
              <w:sz w:val="24"/>
              <w:szCs w:val="24"/>
            </w:rPr>
            <w:tab/>
          </w:r>
          <w:r>
            <w:rPr>
              <w:rFonts w:hint="eastAsia" w:ascii="仿宋" w:hAnsi="仿宋" w:eastAsia="仿宋" w:cs="仿宋"/>
              <w:b/>
              <w:color w:val="auto"/>
              <w:sz w:val="24"/>
              <w:szCs w:val="24"/>
            </w:rPr>
            <w:fldChar w:fldCharType="begin"/>
          </w:r>
          <w:r>
            <w:rPr>
              <w:rFonts w:hint="eastAsia" w:ascii="仿宋" w:hAnsi="仿宋" w:eastAsia="仿宋" w:cs="仿宋"/>
              <w:b/>
              <w:color w:val="auto"/>
              <w:sz w:val="24"/>
              <w:szCs w:val="24"/>
            </w:rPr>
            <w:instrText xml:space="preserve"> PAGEREF _Toc7725 \h </w:instrText>
          </w:r>
          <w:r>
            <w:rPr>
              <w:rFonts w:hint="eastAsia" w:ascii="仿宋" w:hAnsi="仿宋" w:eastAsia="仿宋" w:cs="仿宋"/>
              <w:b/>
              <w:color w:val="auto"/>
              <w:sz w:val="24"/>
              <w:szCs w:val="24"/>
            </w:rPr>
            <w:fldChar w:fldCharType="separate"/>
          </w:r>
          <w:r>
            <w:rPr>
              <w:rFonts w:hint="eastAsia" w:ascii="仿宋" w:hAnsi="仿宋" w:eastAsia="仿宋" w:cs="仿宋"/>
              <w:b/>
              <w:color w:val="auto"/>
              <w:sz w:val="24"/>
              <w:szCs w:val="24"/>
            </w:rPr>
            <w:t>22</w:t>
          </w:r>
          <w:r>
            <w:rPr>
              <w:rFonts w:hint="eastAsia" w:ascii="仿宋" w:hAnsi="仿宋" w:eastAsia="仿宋" w:cs="仿宋"/>
              <w:b/>
              <w:color w:val="auto"/>
              <w:sz w:val="24"/>
              <w:szCs w:val="24"/>
            </w:rPr>
            <w:fldChar w:fldCharType="end"/>
          </w:r>
          <w:r>
            <w:rPr>
              <w:rFonts w:hint="eastAsia" w:ascii="仿宋" w:hAnsi="仿宋" w:eastAsia="仿宋" w:cs="仿宋"/>
              <w:b/>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_Toc18399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2"/>
              <w:sz w:val="24"/>
              <w:szCs w:val="24"/>
              <w:lang w:val="zh-CN" w:eastAsia="zh-CN" w:bidi="ar-SA"/>
            </w:rPr>
            <w:t>5.1环境风险管理制度</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_Toc18399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22</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_Toc19963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2"/>
              <w:sz w:val="24"/>
              <w:szCs w:val="24"/>
              <w:lang w:val="zh-CN" w:eastAsia="zh-CN" w:bidi="ar-SA"/>
            </w:rPr>
            <w:t>5.2环境风险防控与应急措施</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_Toc19963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22</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_Toc25917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2"/>
              <w:sz w:val="24"/>
              <w:szCs w:val="24"/>
              <w:lang w:val="zh-CN" w:eastAsia="zh-CN" w:bidi="ar-SA"/>
            </w:rPr>
            <w:t>5.3环境应急资源</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_Toc25917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23</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_Toc18723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2"/>
              <w:sz w:val="24"/>
              <w:szCs w:val="24"/>
              <w:lang w:val="zh-CN" w:eastAsia="zh-CN" w:bidi="ar-SA"/>
            </w:rPr>
            <w:t>5.4历史经验教训总结</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_Toc18723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23</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_Toc27934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2"/>
              <w:sz w:val="24"/>
              <w:szCs w:val="24"/>
              <w:lang w:val="zh-CN" w:eastAsia="zh-CN" w:bidi="ar-SA"/>
            </w:rPr>
            <w:t>5.5需要整改的短期、中期和长期项目内容</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_Toc27934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24</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1"/>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rPr>
          </w:pPr>
          <w:r>
            <w:rPr>
              <w:rFonts w:hint="eastAsia" w:ascii="仿宋" w:hAnsi="仿宋" w:eastAsia="仿宋" w:cs="仿宋"/>
              <w:b/>
              <w:bCs/>
              <w:color w:val="auto"/>
              <w:kern w:val="0"/>
              <w:sz w:val="24"/>
              <w:szCs w:val="24"/>
              <w:lang w:val="en-US" w:eastAsia="zh-CN" w:bidi="ar"/>
            </w:rPr>
            <w:fldChar w:fldCharType="begin"/>
          </w:r>
          <w:r>
            <w:rPr>
              <w:rFonts w:hint="eastAsia" w:ascii="仿宋" w:hAnsi="仿宋" w:eastAsia="仿宋" w:cs="仿宋"/>
              <w:b/>
              <w:bCs/>
              <w:color w:val="auto"/>
              <w:kern w:val="0"/>
              <w:sz w:val="24"/>
              <w:szCs w:val="24"/>
              <w:lang w:val="en-US" w:eastAsia="zh-CN" w:bidi="ar"/>
            </w:rPr>
            <w:instrText xml:space="preserve"> HYPERLINK \l _Toc27668 </w:instrText>
          </w:r>
          <w:r>
            <w:rPr>
              <w:rFonts w:hint="eastAsia" w:ascii="仿宋" w:hAnsi="仿宋" w:eastAsia="仿宋" w:cs="仿宋"/>
              <w:b/>
              <w:bCs/>
              <w:color w:val="auto"/>
              <w:kern w:val="0"/>
              <w:sz w:val="24"/>
              <w:szCs w:val="24"/>
              <w:lang w:val="en-US" w:eastAsia="zh-CN" w:bidi="ar"/>
            </w:rPr>
            <w:fldChar w:fldCharType="separate"/>
          </w:r>
          <w:r>
            <w:rPr>
              <w:rFonts w:hint="eastAsia" w:ascii="仿宋" w:hAnsi="仿宋" w:eastAsia="仿宋" w:cs="仿宋"/>
              <w:b/>
              <w:bCs/>
              <w:color w:val="auto"/>
              <w:kern w:val="44"/>
              <w:sz w:val="24"/>
              <w:szCs w:val="24"/>
              <w:lang w:val="en-US" w:eastAsia="zh-CN" w:bidi="ar-SA"/>
            </w:rPr>
            <w:t>6完善环境风险防控和应急措施的实施计划</w:t>
          </w:r>
          <w:r>
            <w:rPr>
              <w:rFonts w:hint="eastAsia" w:ascii="仿宋" w:hAnsi="仿宋" w:eastAsia="仿宋" w:cs="仿宋"/>
              <w:b/>
              <w:color w:val="auto"/>
              <w:sz w:val="24"/>
              <w:szCs w:val="24"/>
            </w:rPr>
            <w:tab/>
          </w:r>
          <w:r>
            <w:rPr>
              <w:rFonts w:hint="eastAsia" w:ascii="仿宋" w:hAnsi="仿宋" w:eastAsia="仿宋" w:cs="仿宋"/>
              <w:b/>
              <w:color w:val="auto"/>
              <w:sz w:val="24"/>
              <w:szCs w:val="24"/>
            </w:rPr>
            <w:fldChar w:fldCharType="begin"/>
          </w:r>
          <w:r>
            <w:rPr>
              <w:rFonts w:hint="eastAsia" w:ascii="仿宋" w:hAnsi="仿宋" w:eastAsia="仿宋" w:cs="仿宋"/>
              <w:b/>
              <w:color w:val="auto"/>
              <w:sz w:val="24"/>
              <w:szCs w:val="24"/>
            </w:rPr>
            <w:instrText xml:space="preserve"> PAGEREF _Toc27668 \h </w:instrText>
          </w:r>
          <w:r>
            <w:rPr>
              <w:rFonts w:hint="eastAsia" w:ascii="仿宋" w:hAnsi="仿宋" w:eastAsia="仿宋" w:cs="仿宋"/>
              <w:b/>
              <w:color w:val="auto"/>
              <w:sz w:val="24"/>
              <w:szCs w:val="24"/>
            </w:rPr>
            <w:fldChar w:fldCharType="separate"/>
          </w:r>
          <w:r>
            <w:rPr>
              <w:rFonts w:hint="eastAsia" w:ascii="仿宋" w:hAnsi="仿宋" w:eastAsia="仿宋" w:cs="仿宋"/>
              <w:b/>
              <w:color w:val="auto"/>
              <w:sz w:val="24"/>
              <w:szCs w:val="24"/>
            </w:rPr>
            <w:t>25</w:t>
          </w:r>
          <w:r>
            <w:rPr>
              <w:rFonts w:hint="eastAsia" w:ascii="仿宋" w:hAnsi="仿宋" w:eastAsia="仿宋" w:cs="仿宋"/>
              <w:b/>
              <w:color w:val="auto"/>
              <w:sz w:val="24"/>
              <w:szCs w:val="24"/>
            </w:rPr>
            <w:fldChar w:fldCharType="end"/>
          </w:r>
          <w:r>
            <w:rPr>
              <w:rFonts w:hint="eastAsia" w:ascii="仿宋" w:hAnsi="仿宋" w:eastAsia="仿宋" w:cs="仿宋"/>
              <w:b/>
              <w:bCs/>
              <w:color w:val="auto"/>
              <w:kern w:val="0"/>
              <w:sz w:val="24"/>
              <w:szCs w:val="24"/>
              <w:lang w:val="en-US" w:eastAsia="zh-CN" w:bidi="ar"/>
            </w:rPr>
            <w:fldChar w:fldCharType="end"/>
          </w:r>
        </w:p>
        <w:p>
          <w:pPr>
            <w:pStyle w:val="21"/>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rPr>
          </w:pPr>
          <w:r>
            <w:rPr>
              <w:rFonts w:hint="eastAsia" w:ascii="仿宋" w:hAnsi="仿宋" w:eastAsia="仿宋" w:cs="仿宋"/>
              <w:b/>
              <w:bCs/>
              <w:color w:val="auto"/>
              <w:kern w:val="0"/>
              <w:sz w:val="24"/>
              <w:szCs w:val="24"/>
              <w:lang w:val="en-US" w:eastAsia="zh-CN" w:bidi="ar"/>
            </w:rPr>
            <w:fldChar w:fldCharType="begin"/>
          </w:r>
          <w:r>
            <w:rPr>
              <w:rFonts w:hint="eastAsia" w:ascii="仿宋" w:hAnsi="仿宋" w:eastAsia="仿宋" w:cs="仿宋"/>
              <w:b/>
              <w:bCs/>
              <w:color w:val="auto"/>
              <w:kern w:val="0"/>
              <w:sz w:val="24"/>
              <w:szCs w:val="24"/>
              <w:lang w:val="en-US" w:eastAsia="zh-CN" w:bidi="ar"/>
            </w:rPr>
            <w:instrText xml:space="preserve"> HYPERLINK \l _Toc24751 </w:instrText>
          </w:r>
          <w:r>
            <w:rPr>
              <w:rFonts w:hint="eastAsia" w:ascii="仿宋" w:hAnsi="仿宋" w:eastAsia="仿宋" w:cs="仿宋"/>
              <w:b/>
              <w:bCs/>
              <w:color w:val="auto"/>
              <w:kern w:val="0"/>
              <w:sz w:val="24"/>
              <w:szCs w:val="24"/>
              <w:lang w:val="en-US" w:eastAsia="zh-CN" w:bidi="ar"/>
            </w:rPr>
            <w:fldChar w:fldCharType="separate"/>
          </w:r>
          <w:r>
            <w:rPr>
              <w:rFonts w:hint="eastAsia" w:ascii="仿宋" w:hAnsi="仿宋" w:eastAsia="仿宋" w:cs="仿宋"/>
              <w:b/>
              <w:bCs/>
              <w:color w:val="auto"/>
              <w:kern w:val="44"/>
              <w:sz w:val="24"/>
              <w:szCs w:val="24"/>
              <w:lang w:val="en-US" w:eastAsia="zh-CN" w:bidi="ar-SA"/>
            </w:rPr>
            <w:t>7企业突发环境事件风险等级</w:t>
          </w:r>
          <w:r>
            <w:rPr>
              <w:rFonts w:hint="eastAsia" w:ascii="仿宋" w:hAnsi="仿宋" w:eastAsia="仿宋" w:cs="仿宋"/>
              <w:b/>
              <w:color w:val="auto"/>
              <w:sz w:val="24"/>
              <w:szCs w:val="24"/>
            </w:rPr>
            <w:tab/>
          </w:r>
          <w:r>
            <w:rPr>
              <w:rFonts w:hint="eastAsia" w:ascii="仿宋" w:hAnsi="仿宋" w:eastAsia="仿宋" w:cs="仿宋"/>
              <w:b/>
              <w:color w:val="auto"/>
              <w:sz w:val="24"/>
              <w:szCs w:val="24"/>
            </w:rPr>
            <w:fldChar w:fldCharType="begin"/>
          </w:r>
          <w:r>
            <w:rPr>
              <w:rFonts w:hint="eastAsia" w:ascii="仿宋" w:hAnsi="仿宋" w:eastAsia="仿宋" w:cs="仿宋"/>
              <w:b/>
              <w:color w:val="auto"/>
              <w:sz w:val="24"/>
              <w:szCs w:val="24"/>
            </w:rPr>
            <w:instrText xml:space="preserve"> PAGEREF _Toc24751 \h </w:instrText>
          </w:r>
          <w:r>
            <w:rPr>
              <w:rFonts w:hint="eastAsia" w:ascii="仿宋" w:hAnsi="仿宋" w:eastAsia="仿宋" w:cs="仿宋"/>
              <w:b/>
              <w:color w:val="auto"/>
              <w:sz w:val="24"/>
              <w:szCs w:val="24"/>
            </w:rPr>
            <w:fldChar w:fldCharType="separate"/>
          </w:r>
          <w:r>
            <w:rPr>
              <w:rFonts w:hint="eastAsia" w:ascii="仿宋" w:hAnsi="仿宋" w:eastAsia="仿宋" w:cs="仿宋"/>
              <w:b/>
              <w:color w:val="auto"/>
              <w:sz w:val="24"/>
              <w:szCs w:val="24"/>
            </w:rPr>
            <w:t>26</w:t>
          </w:r>
          <w:r>
            <w:rPr>
              <w:rFonts w:hint="eastAsia" w:ascii="仿宋" w:hAnsi="仿宋" w:eastAsia="仿宋" w:cs="仿宋"/>
              <w:b/>
              <w:color w:val="auto"/>
              <w:sz w:val="24"/>
              <w:szCs w:val="24"/>
            </w:rPr>
            <w:fldChar w:fldCharType="end"/>
          </w:r>
          <w:r>
            <w:rPr>
              <w:rFonts w:hint="eastAsia" w:ascii="仿宋" w:hAnsi="仿宋" w:eastAsia="仿宋" w:cs="仿宋"/>
              <w:b/>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_Toc22491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2"/>
              <w:sz w:val="24"/>
              <w:szCs w:val="24"/>
              <w:lang w:val="en-US" w:eastAsia="zh-CN" w:bidi="ar-SA"/>
            </w:rPr>
            <w:t>7.1企业突发环境事件风险等级划分方法</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_Toc22491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26</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_Toc14094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2"/>
              <w:sz w:val="24"/>
              <w:szCs w:val="24"/>
              <w:lang w:val="en-US" w:eastAsia="zh-CN" w:bidi="ar-SA"/>
            </w:rPr>
            <w:t>7.2风险物质识别</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_Toc14094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27</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pStyle w:val="22"/>
            <w:keepNext w:val="0"/>
            <w:keepLines w:val="0"/>
            <w:pageBreakBefore w:val="0"/>
            <w:widowControl/>
            <w:tabs>
              <w:tab w:val="right" w:leader="dot" w:pos="9185"/>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Cs/>
              <w:color w:val="auto"/>
              <w:kern w:val="0"/>
              <w:sz w:val="24"/>
              <w:szCs w:val="24"/>
              <w:lang w:val="en-US" w:eastAsia="zh-CN" w:bidi="ar"/>
            </w:rPr>
            <w:fldChar w:fldCharType="begin"/>
          </w:r>
          <w:r>
            <w:rPr>
              <w:rFonts w:hint="eastAsia" w:ascii="仿宋" w:hAnsi="仿宋" w:eastAsia="仿宋" w:cs="仿宋"/>
              <w:bCs/>
              <w:color w:val="auto"/>
              <w:kern w:val="0"/>
              <w:sz w:val="24"/>
              <w:szCs w:val="24"/>
              <w:lang w:val="en-US" w:eastAsia="zh-CN" w:bidi="ar"/>
            </w:rPr>
            <w:instrText xml:space="preserve"> HYPERLINK \l _Toc16444 </w:instrText>
          </w:r>
          <w:r>
            <w:rPr>
              <w:rFonts w:hint="eastAsia" w:ascii="仿宋" w:hAnsi="仿宋" w:eastAsia="仿宋" w:cs="仿宋"/>
              <w:bCs/>
              <w:color w:val="auto"/>
              <w:kern w:val="0"/>
              <w:sz w:val="24"/>
              <w:szCs w:val="24"/>
              <w:lang w:val="en-US" w:eastAsia="zh-CN" w:bidi="ar"/>
            </w:rPr>
            <w:fldChar w:fldCharType="separate"/>
          </w:r>
          <w:r>
            <w:rPr>
              <w:rFonts w:hint="eastAsia" w:ascii="仿宋" w:hAnsi="仿宋" w:eastAsia="仿宋" w:cs="仿宋"/>
              <w:bCs/>
              <w:color w:val="auto"/>
              <w:kern w:val="2"/>
              <w:sz w:val="24"/>
              <w:szCs w:val="24"/>
              <w:lang w:val="en-US" w:eastAsia="zh-CN" w:bidi="ar-SA"/>
            </w:rPr>
            <w:t>7.3突发大气环境事件风险分级</w:t>
          </w:r>
          <w:r>
            <w:rPr>
              <w:rFonts w:hint="eastAsia" w:ascii="仿宋" w:hAnsi="仿宋" w:eastAsia="仿宋" w:cs="仿宋"/>
              <w:color w:val="auto"/>
              <w:sz w:val="24"/>
              <w:szCs w:val="24"/>
            </w:rPr>
            <w:tab/>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PAGEREF _Toc16444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27</w:t>
          </w:r>
          <w:r>
            <w:rPr>
              <w:rFonts w:hint="eastAsia" w:ascii="仿宋" w:hAnsi="仿宋" w:eastAsia="仿宋" w:cs="仿宋"/>
              <w:color w:val="auto"/>
              <w:sz w:val="24"/>
              <w:szCs w:val="24"/>
            </w:rPr>
            <w:fldChar w:fldCharType="end"/>
          </w:r>
          <w:r>
            <w:rPr>
              <w:rFonts w:hint="eastAsia" w:ascii="仿宋" w:hAnsi="仿宋" w:eastAsia="仿宋" w:cs="仿宋"/>
              <w:bCs/>
              <w:color w:val="auto"/>
              <w:kern w:val="0"/>
              <w:sz w:val="24"/>
              <w:szCs w:val="24"/>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kern w:val="0"/>
              <w:sz w:val="24"/>
              <w:szCs w:val="24"/>
              <w:lang w:val="en-US" w:eastAsia="zh-CN" w:bidi="ar"/>
            </w:rPr>
          </w:pPr>
          <w:r>
            <w:rPr>
              <w:rFonts w:hint="eastAsia" w:ascii="仿宋" w:hAnsi="仿宋" w:eastAsia="仿宋" w:cs="仿宋"/>
              <w:b/>
              <w:bCs/>
              <w:color w:val="auto"/>
              <w:kern w:val="0"/>
              <w:sz w:val="24"/>
              <w:szCs w:val="24"/>
              <w:lang w:val="en-US" w:eastAsia="zh-CN" w:bidi="ar"/>
            </w:rPr>
            <w:fldChar w:fldCharType="end"/>
          </w:r>
        </w:p>
      </w:sdtContent>
    </w:sdt>
    <w:p>
      <w:pPr>
        <w:keepNext w:val="0"/>
        <w:keepLines w:val="0"/>
        <w:widowControl/>
        <w:suppressLineNumbers w:val="0"/>
        <w:spacing w:line="360" w:lineRule="auto"/>
        <w:ind w:firstLine="622" w:firstLineChars="200"/>
        <w:jc w:val="left"/>
        <w:outlineLvl w:val="0"/>
        <w:rPr>
          <w:rFonts w:hint="default" w:ascii="Times New Roman" w:hAnsi="Times New Roman" w:eastAsia="宋体" w:cs="Times New Roman"/>
          <w:b/>
          <w:bCs/>
          <w:color w:val="auto"/>
          <w:kern w:val="0"/>
          <w:sz w:val="31"/>
          <w:szCs w:val="31"/>
          <w:lang w:val="en-US" w:eastAsia="zh-CN" w:bidi="ar"/>
        </w:rPr>
        <w:sectPr>
          <w:pgSz w:w="11906" w:h="16838"/>
          <w:pgMar w:top="1417" w:right="1134" w:bottom="1134" w:left="1587" w:header="851" w:footer="992" w:gutter="0"/>
          <w:pgBorders>
            <w:top w:val="none" w:sz="0" w:space="0"/>
            <w:left w:val="none" w:sz="0" w:space="0"/>
            <w:bottom w:val="none" w:sz="0" w:space="0"/>
            <w:right w:val="none" w:sz="0" w:space="0"/>
          </w:pgBorders>
          <w:pgNumType w:fmt="decimal"/>
          <w:cols w:space="0" w:num="1"/>
          <w:rtlGutter w:val="0"/>
          <w:docGrid w:type="lines" w:linePitch="386" w:charSpace="0"/>
        </w:sectPr>
      </w:pPr>
      <w:bookmarkStart w:id="3" w:name="_Toc4696"/>
    </w:p>
    <w:p>
      <w:pPr>
        <w:keepNext w:val="0"/>
        <w:keepLines w:val="0"/>
        <w:widowControl/>
        <w:suppressLineNumbers w:val="0"/>
        <w:spacing w:line="360" w:lineRule="auto"/>
        <w:ind w:firstLine="622" w:firstLineChars="200"/>
        <w:jc w:val="left"/>
        <w:outlineLvl w:val="0"/>
        <w:rPr>
          <w:color w:val="auto"/>
        </w:rPr>
      </w:pPr>
      <w:r>
        <w:rPr>
          <w:rFonts w:hint="default" w:ascii="Times New Roman" w:hAnsi="Times New Roman" w:eastAsia="宋体" w:cs="Times New Roman"/>
          <w:b/>
          <w:bCs/>
          <w:color w:val="auto"/>
          <w:kern w:val="0"/>
          <w:sz w:val="31"/>
          <w:szCs w:val="31"/>
          <w:lang w:val="en-US" w:eastAsia="zh-CN" w:bidi="ar"/>
        </w:rPr>
        <w:t>1</w:t>
      </w:r>
      <w:r>
        <w:rPr>
          <w:rFonts w:ascii="黑体" w:hAnsi="宋体" w:eastAsia="黑体" w:cs="黑体"/>
          <w:b/>
          <w:bCs/>
          <w:color w:val="auto"/>
          <w:kern w:val="0"/>
          <w:sz w:val="31"/>
          <w:szCs w:val="31"/>
          <w:lang w:val="en-US" w:eastAsia="zh-CN" w:bidi="ar"/>
        </w:rPr>
        <w:t>前 言</w:t>
      </w:r>
      <w:bookmarkEnd w:id="3"/>
      <w:r>
        <w:rPr>
          <w:rFonts w:ascii="黑体" w:hAnsi="宋体" w:eastAsia="黑体" w:cs="黑体"/>
          <w:b/>
          <w:bCs/>
          <w:color w:val="auto"/>
          <w:kern w:val="0"/>
          <w:sz w:val="31"/>
          <w:szCs w:val="31"/>
          <w:lang w:val="en-US" w:eastAsia="zh-CN" w:bidi="ar"/>
        </w:rPr>
        <w:t xml:space="preserve"> </w:t>
      </w:r>
    </w:p>
    <w:p>
      <w:pPr>
        <w:keepNext w:val="0"/>
        <w:keepLines w:val="0"/>
        <w:widowControl/>
        <w:suppressLineNumbers w:val="0"/>
        <w:spacing w:line="360" w:lineRule="auto"/>
        <w:ind w:firstLine="560" w:firstLineChars="200"/>
        <w:jc w:val="left"/>
        <w:rPr>
          <w:color w:val="auto"/>
        </w:rPr>
      </w:pPr>
      <w:r>
        <w:rPr>
          <w:rFonts w:ascii="仿宋" w:hAnsi="仿宋" w:eastAsia="仿宋" w:cs="仿宋"/>
          <w:color w:val="auto"/>
          <w:kern w:val="0"/>
          <w:sz w:val="28"/>
          <w:szCs w:val="28"/>
          <w:lang w:val="en-US" w:eastAsia="zh-CN" w:bidi="ar"/>
        </w:rPr>
        <w:t>突发环境事件是指突然发生，可能造成污染环境或生态破坏，危害人民</w:t>
      </w:r>
      <w:r>
        <w:rPr>
          <w:rFonts w:hint="eastAsia" w:ascii="仿宋" w:hAnsi="仿宋" w:eastAsia="仿宋" w:cs="仿宋"/>
          <w:color w:val="auto"/>
          <w:kern w:val="0"/>
          <w:sz w:val="28"/>
          <w:szCs w:val="28"/>
          <w:lang w:val="en-US" w:eastAsia="zh-CN" w:bidi="ar"/>
        </w:rPr>
        <w:t xml:space="preserve">群众生命财产安全，影响社会公共秩序，需要采取紧急措施予以应对的事件。通过对企业原辅材料、“三废”及生产工艺情况进行风险源识别，分析其风险事故类型及事故状态下对环境的影响，风险防范措施是否全面、可靠，进而评估企业环境风险等级。 </w:t>
      </w:r>
    </w:p>
    <w:p>
      <w:pPr>
        <w:keepNext w:val="0"/>
        <w:keepLines w:val="0"/>
        <w:widowControl/>
        <w:suppressLineNumbers w:val="0"/>
        <w:spacing w:line="360" w:lineRule="auto"/>
        <w:ind w:firstLine="560" w:firstLineChars="200"/>
        <w:jc w:val="left"/>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 xml:space="preserve">通过对企业突发环境事件风险进行评估，分析和预测存在的潜在危险、有害因素，工程建设和运行期间可能发生的突发环境事件，引起有毒有害和易燃易爆等物质泄漏，所造成的人身安全与环境影响和损害程度，提出合理可行的防范措施、应急与减缓措施，使企业的事故率、损失和环境影响能够达到可接受水平。在评估中把事故引起厂界外人群的伤害、环境质量的恶化以及防护作为评价重点，关注事故对厂界外环境的影响。 </w:t>
      </w:r>
    </w:p>
    <w:p>
      <w:pPr>
        <w:keepNext w:val="0"/>
        <w:keepLines w:val="0"/>
        <w:widowControl/>
        <w:suppressLineNumbers w:val="0"/>
        <w:spacing w:line="360" w:lineRule="auto"/>
        <w:ind w:firstLine="560" w:firstLineChars="200"/>
        <w:jc w:val="left"/>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根据关于印发《企业事业单位突发环境事件应急预案备案管理办法（试行）》的通知（环发〔</w:t>
      </w:r>
      <w:r>
        <w:rPr>
          <w:rFonts w:hint="default" w:ascii="Times New Roman" w:hAnsi="Times New Roman" w:eastAsia="宋体" w:cs="Times New Roman"/>
          <w:color w:val="auto"/>
          <w:kern w:val="0"/>
          <w:sz w:val="28"/>
          <w:szCs w:val="28"/>
          <w:lang w:val="en-US" w:eastAsia="zh-CN" w:bidi="ar"/>
        </w:rPr>
        <w:t>2015</w:t>
      </w:r>
      <w:r>
        <w:rPr>
          <w:rFonts w:hint="eastAsia" w:ascii="仿宋" w:hAnsi="仿宋" w:eastAsia="仿宋" w:cs="仿宋"/>
          <w:color w:val="auto"/>
          <w:kern w:val="0"/>
          <w:sz w:val="28"/>
          <w:szCs w:val="28"/>
          <w:lang w:val="en-US" w:eastAsia="zh-CN" w:bidi="ar"/>
        </w:rPr>
        <w:t>〕</w:t>
      </w:r>
      <w:r>
        <w:rPr>
          <w:rFonts w:hint="default" w:ascii="Times New Roman" w:hAnsi="Times New Roman" w:eastAsia="宋体" w:cs="Times New Roman"/>
          <w:color w:val="auto"/>
          <w:kern w:val="0"/>
          <w:sz w:val="28"/>
          <w:szCs w:val="28"/>
          <w:lang w:val="en-US" w:eastAsia="zh-CN" w:bidi="ar"/>
        </w:rPr>
        <w:t>4</w:t>
      </w:r>
      <w:r>
        <w:rPr>
          <w:rFonts w:hint="eastAsia" w:ascii="仿宋" w:hAnsi="仿宋" w:eastAsia="仿宋" w:cs="仿宋"/>
          <w:color w:val="auto"/>
          <w:kern w:val="0"/>
          <w:sz w:val="28"/>
          <w:szCs w:val="28"/>
          <w:lang w:val="en-US" w:eastAsia="zh-CN" w:bidi="ar"/>
        </w:rPr>
        <w:t>号）以及《陕西省人民政府办公厅关于印发省突发环境事件应急预案的通知》（陕政办函〔</w:t>
      </w:r>
      <w:r>
        <w:rPr>
          <w:rFonts w:hint="default" w:ascii="Times New Roman" w:hAnsi="Times New Roman" w:eastAsia="宋体" w:cs="Times New Roman"/>
          <w:color w:val="auto"/>
          <w:kern w:val="0"/>
          <w:sz w:val="28"/>
          <w:szCs w:val="28"/>
          <w:lang w:val="en-US" w:eastAsia="zh-CN" w:bidi="ar"/>
        </w:rPr>
        <w:t>2015</w:t>
      </w:r>
      <w:r>
        <w:rPr>
          <w:rFonts w:hint="eastAsia" w:ascii="仿宋" w:hAnsi="仿宋" w:eastAsia="仿宋" w:cs="仿宋"/>
          <w:color w:val="auto"/>
          <w:kern w:val="0"/>
          <w:sz w:val="28"/>
          <w:szCs w:val="28"/>
          <w:lang w:val="en-US" w:eastAsia="zh-CN" w:bidi="ar"/>
        </w:rPr>
        <w:t>〕</w:t>
      </w:r>
      <w:r>
        <w:rPr>
          <w:rFonts w:hint="default" w:ascii="Times New Roman" w:hAnsi="Times New Roman" w:eastAsia="宋体" w:cs="Times New Roman"/>
          <w:color w:val="auto"/>
          <w:kern w:val="0"/>
          <w:sz w:val="28"/>
          <w:szCs w:val="28"/>
          <w:lang w:val="en-US" w:eastAsia="zh-CN" w:bidi="ar"/>
        </w:rPr>
        <w:t>128</w:t>
      </w:r>
      <w:r>
        <w:rPr>
          <w:rFonts w:hint="eastAsia" w:ascii="仿宋" w:hAnsi="仿宋" w:eastAsia="仿宋" w:cs="仿宋"/>
          <w:color w:val="auto"/>
          <w:kern w:val="0"/>
          <w:sz w:val="28"/>
          <w:szCs w:val="28"/>
          <w:lang w:val="en-US" w:eastAsia="zh-CN" w:bidi="ar"/>
        </w:rPr>
        <w:t>号），陕西蓝池宇洁洗涤服务有限公司需要开展环境风险评估。通过分析本企业各类事故衍化规律、自然灾害影响程度，识别环境危险有害因素，分析与周边可能受影响的居民、单位、区域环境的关系，构建突发环境事件及其后果情景，确定环境风险等级。</w:t>
      </w:r>
    </w:p>
    <w:p>
      <w:pPr>
        <w:spacing w:line="360" w:lineRule="auto"/>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br w:type="page"/>
      </w:r>
    </w:p>
    <w:p>
      <w:pPr>
        <w:keepNext w:val="0"/>
        <w:keepLines w:val="0"/>
        <w:widowControl/>
        <w:suppressLineNumbers w:val="0"/>
        <w:spacing w:line="360" w:lineRule="auto"/>
        <w:ind w:firstLine="622" w:firstLineChars="200"/>
        <w:jc w:val="left"/>
        <w:outlineLvl w:val="0"/>
        <w:rPr>
          <w:color w:val="auto"/>
        </w:rPr>
      </w:pPr>
      <w:bookmarkStart w:id="4" w:name="_Toc14591"/>
      <w:r>
        <w:rPr>
          <w:rFonts w:hint="default" w:ascii="Times New Roman" w:hAnsi="Times New Roman" w:eastAsia="宋体" w:cs="Times New Roman"/>
          <w:b/>
          <w:bCs/>
          <w:color w:val="auto"/>
          <w:kern w:val="0"/>
          <w:sz w:val="31"/>
          <w:szCs w:val="31"/>
          <w:lang w:val="en-US" w:eastAsia="zh-CN" w:bidi="ar"/>
        </w:rPr>
        <w:t>2</w:t>
      </w:r>
      <w:r>
        <w:rPr>
          <w:rFonts w:ascii="黑体" w:hAnsi="宋体" w:eastAsia="黑体" w:cs="黑体"/>
          <w:b/>
          <w:bCs/>
          <w:color w:val="auto"/>
          <w:kern w:val="0"/>
          <w:sz w:val="31"/>
          <w:szCs w:val="31"/>
          <w:lang w:val="en-US" w:eastAsia="zh-CN" w:bidi="ar"/>
        </w:rPr>
        <w:t>总 则</w:t>
      </w:r>
      <w:bookmarkEnd w:id="4"/>
      <w:r>
        <w:rPr>
          <w:rFonts w:ascii="黑体" w:hAnsi="宋体" w:eastAsia="黑体" w:cs="黑体"/>
          <w:b/>
          <w:bCs/>
          <w:color w:val="auto"/>
          <w:kern w:val="0"/>
          <w:sz w:val="31"/>
          <w:szCs w:val="31"/>
          <w:lang w:val="en-US" w:eastAsia="zh-CN" w:bidi="ar"/>
        </w:rPr>
        <w:t xml:space="preserve"> </w:t>
      </w:r>
    </w:p>
    <w:p>
      <w:pPr>
        <w:keepNext w:val="0"/>
        <w:keepLines w:val="0"/>
        <w:widowControl/>
        <w:suppressLineNumbers w:val="0"/>
        <w:spacing w:line="360" w:lineRule="auto"/>
        <w:ind w:firstLine="622" w:firstLineChars="200"/>
        <w:jc w:val="left"/>
        <w:outlineLvl w:val="1"/>
        <w:rPr>
          <w:color w:val="auto"/>
        </w:rPr>
      </w:pPr>
      <w:bookmarkStart w:id="5" w:name="_Toc23275"/>
      <w:r>
        <w:rPr>
          <w:rFonts w:hint="default" w:ascii="Times New Roman" w:hAnsi="Times New Roman" w:eastAsia="宋体" w:cs="Times New Roman"/>
          <w:b/>
          <w:bCs/>
          <w:color w:val="auto"/>
          <w:kern w:val="0"/>
          <w:sz w:val="31"/>
          <w:szCs w:val="31"/>
          <w:lang w:val="en-US" w:eastAsia="zh-CN" w:bidi="ar"/>
        </w:rPr>
        <w:t>2.1</w:t>
      </w:r>
      <w:r>
        <w:rPr>
          <w:rFonts w:ascii="楷体" w:hAnsi="楷体" w:eastAsia="楷体" w:cs="楷体"/>
          <w:b/>
          <w:bCs/>
          <w:color w:val="auto"/>
          <w:kern w:val="0"/>
          <w:sz w:val="31"/>
          <w:szCs w:val="31"/>
          <w:lang w:val="en-US" w:eastAsia="zh-CN" w:bidi="ar"/>
        </w:rPr>
        <w:t>编制原则</w:t>
      </w:r>
      <w:bookmarkEnd w:id="5"/>
      <w:r>
        <w:rPr>
          <w:rFonts w:ascii="楷体" w:hAnsi="楷体" w:eastAsia="楷体" w:cs="楷体"/>
          <w:b/>
          <w:bCs/>
          <w:color w:val="auto"/>
          <w:kern w:val="0"/>
          <w:sz w:val="31"/>
          <w:szCs w:val="31"/>
          <w:lang w:val="en-US" w:eastAsia="zh-CN" w:bidi="ar"/>
        </w:rPr>
        <w:t xml:space="preserve"> </w:t>
      </w:r>
    </w:p>
    <w:p>
      <w:pPr>
        <w:keepNext w:val="0"/>
        <w:keepLines w:val="0"/>
        <w:widowControl/>
        <w:suppressLineNumbers w:val="0"/>
        <w:spacing w:line="360" w:lineRule="auto"/>
        <w:ind w:firstLine="560" w:firstLineChars="200"/>
        <w:jc w:val="left"/>
        <w:rPr>
          <w:rFonts w:hint="eastAsia" w:ascii="仿宋" w:hAnsi="仿宋" w:eastAsia="仿宋" w:cs="仿宋"/>
          <w:color w:val="auto"/>
          <w:kern w:val="0"/>
          <w:sz w:val="28"/>
          <w:szCs w:val="28"/>
          <w:lang w:val="en-US" w:eastAsia="zh-CN" w:bidi="ar"/>
        </w:rPr>
      </w:pPr>
      <w:r>
        <w:rPr>
          <w:rFonts w:ascii="仿宋" w:hAnsi="仿宋" w:eastAsia="仿宋" w:cs="仿宋"/>
          <w:color w:val="auto"/>
          <w:kern w:val="0"/>
          <w:sz w:val="28"/>
          <w:szCs w:val="28"/>
          <w:lang w:val="en-US" w:eastAsia="zh-CN" w:bidi="ar"/>
        </w:rPr>
        <w:t>按照“以人为本”的宗旨，合理保障人民群众的身体健康和环境安全，</w:t>
      </w:r>
      <w:r>
        <w:rPr>
          <w:rFonts w:hint="eastAsia" w:ascii="仿宋" w:hAnsi="仿宋" w:eastAsia="仿宋" w:cs="仿宋"/>
          <w:color w:val="auto"/>
          <w:kern w:val="0"/>
          <w:sz w:val="28"/>
          <w:szCs w:val="28"/>
          <w:lang w:val="en-US" w:eastAsia="zh-CN" w:bidi="ar"/>
        </w:rPr>
        <w:t>严格规范企业突发环境事件风险评估行为，提高突发环境事件防控能力，全面落实企业环境风险防控主体，并遵循以下原则开展环境风险评估工作。</w:t>
      </w:r>
    </w:p>
    <w:p>
      <w:pPr>
        <w:keepNext w:val="0"/>
        <w:keepLines w:val="0"/>
        <w:widowControl/>
        <w:suppressLineNumbers w:val="0"/>
        <w:spacing w:line="360" w:lineRule="auto"/>
        <w:ind w:firstLine="560" w:firstLineChars="200"/>
        <w:jc w:val="left"/>
        <w:rPr>
          <w:color w:val="auto"/>
        </w:rPr>
      </w:pPr>
      <w:r>
        <w:rPr>
          <w:rFonts w:hint="eastAsia" w:ascii="仿宋" w:hAnsi="仿宋" w:eastAsia="仿宋" w:cs="仿宋"/>
          <w:color w:val="auto"/>
          <w:kern w:val="0"/>
          <w:sz w:val="28"/>
          <w:szCs w:val="28"/>
          <w:lang w:val="en-US" w:eastAsia="zh-CN" w:bidi="ar"/>
        </w:rPr>
        <w:t>环境风险评估编制应体现科学性、规范性、客观性和真实性的原则。环境风险评估过程中应贯彻执行我国环保相关的法律法规、标准、政策，分析企业自身环境风险状况，明确环境风险防控措施。</w:t>
      </w:r>
    </w:p>
    <w:p>
      <w:pPr>
        <w:keepNext w:val="0"/>
        <w:keepLines w:val="0"/>
        <w:widowControl/>
        <w:suppressLineNumbers w:val="0"/>
        <w:spacing w:line="360" w:lineRule="auto"/>
        <w:ind w:firstLine="622" w:firstLineChars="200"/>
        <w:jc w:val="left"/>
        <w:outlineLvl w:val="1"/>
        <w:rPr>
          <w:color w:val="auto"/>
        </w:rPr>
      </w:pPr>
      <w:bookmarkStart w:id="6" w:name="_Toc500"/>
      <w:r>
        <w:rPr>
          <w:rFonts w:hint="default" w:ascii="Times New Roman" w:hAnsi="Times New Roman" w:eastAsia="宋体" w:cs="Times New Roman"/>
          <w:b/>
          <w:bCs/>
          <w:color w:val="auto"/>
          <w:kern w:val="0"/>
          <w:sz w:val="31"/>
          <w:szCs w:val="31"/>
          <w:lang w:val="en-US" w:eastAsia="zh-CN" w:bidi="ar"/>
        </w:rPr>
        <w:t>2.2</w:t>
      </w:r>
      <w:r>
        <w:rPr>
          <w:rFonts w:ascii="楷体" w:hAnsi="楷体" w:eastAsia="楷体" w:cs="楷体"/>
          <w:b/>
          <w:bCs/>
          <w:color w:val="auto"/>
          <w:kern w:val="0"/>
          <w:sz w:val="31"/>
          <w:szCs w:val="31"/>
          <w:lang w:val="en-US" w:eastAsia="zh-CN" w:bidi="ar"/>
        </w:rPr>
        <w:t>编制依据</w:t>
      </w:r>
      <w:bookmarkEnd w:id="6"/>
      <w:r>
        <w:rPr>
          <w:rFonts w:ascii="楷体" w:hAnsi="楷体" w:eastAsia="楷体" w:cs="楷体"/>
          <w:b/>
          <w:bCs/>
          <w:color w:val="auto"/>
          <w:kern w:val="0"/>
          <w:sz w:val="31"/>
          <w:szCs w:val="31"/>
          <w:lang w:val="en-US" w:eastAsia="zh-CN" w:bidi="ar"/>
        </w:rPr>
        <w:t xml:space="preserve"> </w:t>
      </w:r>
    </w:p>
    <w:p>
      <w:pPr>
        <w:keepNext w:val="0"/>
        <w:keepLines w:val="0"/>
        <w:widowControl/>
        <w:suppressLineNumbers w:val="0"/>
        <w:spacing w:line="360" w:lineRule="auto"/>
        <w:ind w:firstLine="562" w:firstLineChars="200"/>
        <w:jc w:val="left"/>
        <w:rPr>
          <w:color w:val="auto"/>
        </w:rPr>
      </w:pPr>
      <w:r>
        <w:rPr>
          <w:rFonts w:hint="default" w:ascii="Times New Roman" w:hAnsi="Times New Roman" w:eastAsia="宋体" w:cs="Times New Roman"/>
          <w:b/>
          <w:bCs/>
          <w:color w:val="auto"/>
          <w:kern w:val="0"/>
          <w:sz w:val="28"/>
          <w:szCs w:val="28"/>
          <w:lang w:val="en-US" w:eastAsia="zh-CN" w:bidi="ar"/>
        </w:rPr>
        <w:t>2.2.1</w:t>
      </w:r>
      <w:r>
        <w:rPr>
          <w:rFonts w:ascii="仿宋" w:hAnsi="仿宋" w:eastAsia="仿宋" w:cs="仿宋"/>
          <w:b/>
          <w:bCs/>
          <w:color w:val="auto"/>
          <w:kern w:val="0"/>
          <w:sz w:val="28"/>
          <w:szCs w:val="28"/>
          <w:lang w:val="en-US" w:eastAsia="zh-CN" w:bidi="ar"/>
        </w:rPr>
        <w:t>法律法规、政策</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（1）《中华人民共和国环境保护法》（中华人民共和国主席令第9号，自2015年1月1日起施行）；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（2）《中华人民共和国突发事件应对法》（中华人民共和国主席令第69号，自2007年11年1日）；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（3）《中华人民共和国水污染防治法》（中华人民共和国主席令第87号，2018年1月1日）；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（4）《中华人民共和国固体废物污染环境防治法》（中华人民共和国主席令第43号，2020年4月29日）；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（5）《中华人民共和国大气污染防治法》（中华人民共和国主席令第31号，2016年1月1日）；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（6）《危险化学品安全管理条例》（中华人民共和国国务院令第591号，2011年12月1日）；</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（7）《突发事件应急预案管理办法》的通知（国办发〔2013〕101号，2013年10月25日）；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（8）《国家突发环境事件应急预案》（国办函〔2014〕119号，2014年12月29日）；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（9）《突发环境事件应急管理办法》（环保部令第34号，2015年6月5日）；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（10）《企业事业单位突发环境事件应急预案备案管理办法（试行）》的通知（环发〔2015〕4号，2015年1月8日）；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（11）《突发环境事件信息报告办法》（环境保护部令第17号，2011年5月1日）；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（12）《陕西省环境保护厅突发环境事件应急预案》的通知（陕环发〔2016〕45号，2016年10月21日）；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（13）陕西省人民政府办公厅《关于印发省突发环境事件应急预案的通知》（陕政办函〔2015〕128号，2015年6月19日）；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（14）陕西省人民政府办公厅《关于印发省突发事件应急预案管理办法的通知》（陕政办发〔2014〕24号，2014年5月1日）；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（15）《关于进一步加强突发环境事件应急预案工作的通知》陕西省环保厅办公室（陕环办发〔2012〕126号，2012年9月17日）；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（16）关于发布《企业突发环境事件隐患排查和治理工作指南（试行）》的公告（环境保护部公告2016年第74号，2016年12月6日）；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（17）关于印发《企业事业单位突发环境事件应急预案评审工作指南（试行）的通知》（环办应急〔2018〕8号，2018年1月30日）；</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（18）《建设项目环境风险评价技术导则》（HJ/T169-2004）；</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（19）《企业突发环境事件风险分级方法》（HJ 941-2018），环办〔2018〕14号；</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（20）《国家危险废物名录2021年版）》（2021年1月1日）；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（21）关于印发《突发环境事件应急预案管理暂行办法》的通知（环发〔2010〕113号，2010年9月28日）；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（22）《关于加强企业应急管理工作的意见》（国办发〔2007〕13号，2007年2月28日）；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（23）《突发环境事件调查处理办法》（部令第32号，2015年3月1日）；</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（24）《突发环境事件应急监测技术规范》（HJ589-2010）（</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2011年1月1日）；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（25）《企业突发环境事件风险评估指南（试行）》（环办〔2014〕34号）。</w:t>
      </w:r>
    </w:p>
    <w:p>
      <w:pPr>
        <w:keepNext w:val="0"/>
        <w:keepLines w:val="0"/>
        <w:widowControl/>
        <w:suppressLineNumbers w:val="0"/>
        <w:spacing w:line="360" w:lineRule="auto"/>
        <w:ind w:firstLine="562" w:firstLineChars="200"/>
        <w:jc w:val="left"/>
        <w:rPr>
          <w:color w:val="auto"/>
        </w:rPr>
      </w:pPr>
      <w:r>
        <w:rPr>
          <w:rFonts w:hint="default" w:ascii="Times New Roman" w:hAnsi="Times New Roman" w:eastAsia="宋体" w:cs="Times New Roman"/>
          <w:b/>
          <w:bCs/>
          <w:color w:val="auto"/>
          <w:kern w:val="0"/>
          <w:sz w:val="28"/>
          <w:szCs w:val="28"/>
          <w:lang w:val="en-US" w:eastAsia="zh-CN" w:bidi="ar"/>
        </w:rPr>
        <w:t>2.3.2</w:t>
      </w:r>
      <w:r>
        <w:rPr>
          <w:rFonts w:ascii="仿宋" w:hAnsi="仿宋" w:eastAsia="仿宋" w:cs="仿宋"/>
          <w:b/>
          <w:bCs/>
          <w:color w:val="auto"/>
          <w:kern w:val="0"/>
          <w:sz w:val="28"/>
          <w:szCs w:val="28"/>
          <w:lang w:val="en-US" w:eastAsia="zh-CN" w:bidi="ar"/>
        </w:rPr>
        <w:t>标准、技术规范</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（1）《危险化学品重大危险源辨识》（GB18218-2018）；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（2）《建筑设计防火规范》（GB50016-2014）；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（3）《消防给水及消火栓系统技术规范》（GB50974-2014）；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（4）《化学品分类和标签规范（2~29 部分）》（GB30000-2013）；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（5）《环境影响评价技术导则地下水环境》（HJ610-2016）；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（6）《环境影响评价技术导则 大气环境》（HJ2.2-2018）；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（7）《建设项目环境风险评价技术导则》（HJ/T169-2018）；</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（8）《事故状态下水体污染物的预防及控制技术要求》（Q/SY1190-2013）；</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（9）《废水排放去向代码》（HJ523-2009）；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（10）《化学品毒性鉴定技术规范》（卫监督发〔2005〕272 号）；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（11）《危险废物贮存污染控制标准》（GB18597-2001）；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（12）《企业突发环境事件风险分级方法》（HJ941-2018）；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（13）《产业结构调整指导目录》（2013年本）；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color w:val="auto"/>
          <w:kern w:val="0"/>
          <w:sz w:val="28"/>
          <w:szCs w:val="28"/>
          <w:lang w:val="en-US" w:eastAsia="zh-CN" w:bidi="ar"/>
        </w:rPr>
      </w:pPr>
      <w:r>
        <w:rPr>
          <w:rFonts w:hint="default" w:ascii="Times New Roman" w:hAnsi="Times New Roman" w:eastAsia="仿宋" w:cs="Times New Roman"/>
          <w:color w:val="auto"/>
          <w:kern w:val="0"/>
          <w:sz w:val="28"/>
          <w:szCs w:val="28"/>
          <w:lang w:val="en-US" w:eastAsia="zh-CN" w:bidi="ar"/>
        </w:rPr>
        <w:t xml:space="preserve">（14）《危险废物贮存污染控制标准》（GB18597-2001）。 </w:t>
      </w:r>
    </w:p>
    <w:p>
      <w:pPr>
        <w:keepNext w:val="0"/>
        <w:keepLines w:val="0"/>
        <w:widowControl/>
        <w:suppressLineNumbers w:val="0"/>
        <w:spacing w:line="360" w:lineRule="auto"/>
        <w:ind w:firstLine="562" w:firstLineChars="200"/>
        <w:jc w:val="left"/>
        <w:rPr>
          <w:color w:val="auto"/>
        </w:rPr>
      </w:pPr>
      <w:r>
        <w:rPr>
          <w:rFonts w:hint="default" w:ascii="Times New Roman" w:hAnsi="Times New Roman" w:eastAsia="宋体" w:cs="Times New Roman"/>
          <w:b/>
          <w:bCs/>
          <w:color w:val="auto"/>
          <w:kern w:val="0"/>
          <w:sz w:val="28"/>
          <w:szCs w:val="28"/>
          <w:lang w:val="en-US" w:eastAsia="zh-CN" w:bidi="ar"/>
        </w:rPr>
        <w:t>2.2.3</w:t>
      </w:r>
      <w:r>
        <w:rPr>
          <w:rFonts w:hint="eastAsia" w:ascii="仿宋" w:hAnsi="仿宋" w:eastAsia="仿宋" w:cs="仿宋"/>
          <w:b/>
          <w:bCs/>
          <w:color w:val="auto"/>
          <w:kern w:val="0"/>
          <w:sz w:val="28"/>
          <w:szCs w:val="28"/>
          <w:lang w:val="en-US" w:eastAsia="zh-CN" w:bidi="ar"/>
        </w:rPr>
        <w:t xml:space="preserve">本企业资料 </w:t>
      </w:r>
    </w:p>
    <w:p>
      <w:pPr>
        <w:keepNext w:val="0"/>
        <w:keepLines w:val="0"/>
        <w:widowControl/>
        <w:suppressLineNumbers w:val="0"/>
        <w:spacing w:line="360" w:lineRule="auto"/>
        <w:ind w:firstLine="560" w:firstLineChars="200"/>
        <w:jc w:val="left"/>
        <w:rPr>
          <w:color w:val="auto"/>
        </w:rPr>
      </w:pPr>
      <w:r>
        <w:rPr>
          <w:rFonts w:hint="eastAsia" w:ascii="仿宋" w:hAnsi="仿宋" w:eastAsia="仿宋" w:cs="仿宋"/>
          <w:color w:val="auto"/>
          <w:kern w:val="0"/>
          <w:sz w:val="28"/>
          <w:szCs w:val="28"/>
          <w:lang w:val="en-US" w:eastAsia="zh-CN" w:bidi="ar"/>
        </w:rPr>
        <w:t>（</w:t>
      </w:r>
      <w:r>
        <w:rPr>
          <w:rFonts w:hint="default" w:ascii="Times New Roman" w:hAnsi="Times New Roman" w:eastAsia="宋体" w:cs="Times New Roman"/>
          <w:color w:val="auto"/>
          <w:kern w:val="0"/>
          <w:sz w:val="28"/>
          <w:szCs w:val="28"/>
          <w:lang w:val="en-US" w:eastAsia="zh-CN" w:bidi="ar"/>
        </w:rPr>
        <w:t>1</w:t>
      </w:r>
      <w:r>
        <w:rPr>
          <w:rFonts w:hint="eastAsia" w:ascii="仿宋" w:hAnsi="仿宋" w:eastAsia="仿宋" w:cs="仿宋"/>
          <w:color w:val="auto"/>
          <w:kern w:val="0"/>
          <w:sz w:val="28"/>
          <w:szCs w:val="28"/>
          <w:lang w:val="en-US" w:eastAsia="zh-CN" w:bidi="ar"/>
        </w:rPr>
        <w:t>）陕西蓝池宇洁洗涤服务有限公司提供的其他资料</w:t>
      </w:r>
    </w:p>
    <w:p>
      <w:pPr>
        <w:keepNext w:val="0"/>
        <w:keepLines w:val="0"/>
        <w:widowControl/>
        <w:suppressLineNumbers w:val="0"/>
        <w:spacing w:line="360" w:lineRule="auto"/>
        <w:ind w:firstLine="622" w:firstLineChars="200"/>
        <w:jc w:val="left"/>
        <w:outlineLvl w:val="1"/>
        <w:rPr>
          <w:rFonts w:ascii="楷体" w:hAnsi="楷体" w:eastAsia="楷体" w:cs="楷体"/>
          <w:b/>
          <w:bCs/>
          <w:color w:val="auto"/>
          <w:kern w:val="0"/>
          <w:sz w:val="31"/>
          <w:szCs w:val="31"/>
          <w:lang w:val="en-US" w:eastAsia="zh-CN" w:bidi="ar"/>
        </w:rPr>
      </w:pPr>
      <w:bookmarkStart w:id="7" w:name="_Toc15136"/>
      <w:r>
        <w:rPr>
          <w:rFonts w:hint="default" w:ascii="Times New Roman" w:hAnsi="Times New Roman" w:eastAsia="宋体" w:cs="Times New Roman"/>
          <w:b/>
          <w:bCs/>
          <w:color w:val="auto"/>
          <w:kern w:val="0"/>
          <w:sz w:val="31"/>
          <w:szCs w:val="31"/>
          <w:lang w:val="en-US" w:eastAsia="zh-CN" w:bidi="ar"/>
        </w:rPr>
        <w:t>2.3</w:t>
      </w:r>
      <w:r>
        <w:rPr>
          <w:rFonts w:ascii="楷体" w:hAnsi="楷体" w:eastAsia="楷体" w:cs="楷体"/>
          <w:b/>
          <w:bCs/>
          <w:color w:val="auto"/>
          <w:kern w:val="0"/>
          <w:sz w:val="31"/>
          <w:szCs w:val="31"/>
          <w:lang w:val="en-US" w:eastAsia="zh-CN" w:bidi="ar"/>
        </w:rPr>
        <w:t>企业突发环境事件风险评估程序</w:t>
      </w:r>
      <w:bookmarkEnd w:id="7"/>
    </w:p>
    <w:p>
      <w:pPr>
        <w:keepNext w:val="0"/>
        <w:keepLines w:val="0"/>
        <w:widowControl/>
        <w:suppressLineNumbers w:val="0"/>
        <w:spacing w:line="360" w:lineRule="auto"/>
        <w:ind w:firstLine="560" w:firstLineChars="200"/>
        <w:jc w:val="left"/>
        <w:rPr>
          <w:rFonts w:ascii="楷体" w:hAnsi="楷体" w:eastAsia="楷体" w:cs="楷体"/>
          <w:b/>
          <w:bCs/>
          <w:color w:val="auto"/>
          <w:kern w:val="0"/>
          <w:sz w:val="31"/>
          <w:szCs w:val="31"/>
          <w:lang w:val="en-US" w:eastAsia="zh-CN" w:bidi="ar"/>
        </w:rPr>
      </w:pPr>
      <w:r>
        <w:rPr>
          <w:rFonts w:ascii="仿宋" w:hAnsi="仿宋" w:eastAsia="仿宋" w:cs="仿宋"/>
          <w:color w:val="auto"/>
          <w:kern w:val="0"/>
          <w:sz w:val="28"/>
          <w:szCs w:val="28"/>
          <w:lang w:val="en-US" w:eastAsia="zh-CN" w:bidi="ar"/>
        </w:rPr>
        <w:t>企业突发环境事件风险等级划分流程示意图见</w:t>
      </w:r>
      <w:r>
        <w:rPr>
          <w:rFonts w:hint="default" w:ascii="Times New Roman" w:hAnsi="Times New Roman" w:eastAsia="宋体" w:cs="Times New Roman"/>
          <w:color w:val="auto"/>
          <w:kern w:val="0"/>
          <w:sz w:val="28"/>
          <w:szCs w:val="28"/>
          <w:lang w:val="en-US" w:eastAsia="zh-CN" w:bidi="ar"/>
        </w:rPr>
        <w:t>2.3-1</w:t>
      </w:r>
      <w:r>
        <w:rPr>
          <w:rFonts w:hint="eastAsia" w:ascii="Times New Roman" w:hAnsi="Times New Roman" w:eastAsia="宋体" w:cs="Times New Roman"/>
          <w:color w:val="auto"/>
          <w:kern w:val="0"/>
          <w:sz w:val="28"/>
          <w:szCs w:val="28"/>
          <w:lang w:val="en-US" w:eastAsia="zh-CN" w:bidi="ar"/>
        </w:rPr>
        <w:t>。</w:t>
      </w:r>
    </w:p>
    <w:p>
      <w:pPr>
        <w:keepNext w:val="0"/>
        <w:keepLines w:val="0"/>
        <w:widowControl/>
        <w:suppressLineNumbers w:val="0"/>
        <w:spacing w:line="360" w:lineRule="auto"/>
        <w:ind w:firstLine="420" w:firstLineChars="200"/>
        <w:jc w:val="left"/>
        <w:rPr>
          <w:color w:val="auto"/>
        </w:rPr>
      </w:pPr>
      <w:r>
        <w:rPr>
          <w:rFonts w:hint="default"/>
          <w:color w:val="auto"/>
        </w:rPr>
        <w:drawing>
          <wp:inline distT="0" distB="0" distL="114935" distR="114935">
            <wp:extent cx="4899660" cy="5209540"/>
            <wp:effectExtent l="0" t="0" r="0" b="0"/>
            <wp:docPr id="1" name="图片 10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2" descr="1"/>
                    <pic:cNvPicPr>
                      <a:picLocks noChangeAspect="1"/>
                    </pic:cNvPicPr>
                  </pic:nvPicPr>
                  <pic:blipFill>
                    <a:blip r:embed="rId5"/>
                    <a:srcRect l="10992" r="10474" b="2690"/>
                    <a:stretch>
                      <a:fillRect/>
                    </a:stretch>
                  </pic:blipFill>
                  <pic:spPr>
                    <a:xfrm>
                      <a:off x="0" y="0"/>
                      <a:ext cx="4899660" cy="5209540"/>
                    </a:xfrm>
                    <a:prstGeom prst="rect">
                      <a:avLst/>
                    </a:prstGeom>
                    <a:noFill/>
                    <a:ln>
                      <a:noFill/>
                    </a:ln>
                  </pic:spPr>
                </pic:pic>
              </a:graphicData>
            </a:graphic>
          </wp:inline>
        </w:drawing>
      </w:r>
    </w:p>
    <w:p>
      <w:pPr>
        <w:adjustRightInd w:val="0"/>
        <w:snapToGrid w:val="0"/>
        <w:spacing w:line="360" w:lineRule="auto"/>
        <w:ind w:firstLine="0" w:firstLineChars="0"/>
        <w:jc w:val="center"/>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t>图2</w:t>
      </w:r>
      <w:r>
        <w:rPr>
          <w:rFonts w:hint="eastAsia" w:ascii="Times New Roman" w:hAnsi="Times New Roman" w:eastAsia="仿宋" w:cs="Times New Roman"/>
          <w:b/>
          <w:bCs/>
          <w:color w:val="auto"/>
          <w:sz w:val="24"/>
          <w:lang w:val="en-US" w:eastAsia="zh-CN"/>
        </w:rPr>
        <w:t>.3</w:t>
      </w:r>
      <w:r>
        <w:rPr>
          <w:rFonts w:hint="default" w:ascii="Times New Roman" w:hAnsi="Times New Roman" w:eastAsia="仿宋" w:cs="Times New Roman"/>
          <w:b/>
          <w:bCs/>
          <w:color w:val="auto"/>
          <w:sz w:val="24"/>
        </w:rPr>
        <w:t>-1   企业突发环境事件风险等级划分流程示意图</w:t>
      </w:r>
    </w:p>
    <w:p>
      <w:pPr>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br w:type="page"/>
      </w:r>
    </w:p>
    <w:p>
      <w:pPr>
        <w:keepNext w:val="0"/>
        <w:keepLines w:val="0"/>
        <w:widowControl/>
        <w:suppressLineNumbers w:val="0"/>
        <w:spacing w:line="360" w:lineRule="auto"/>
        <w:ind w:firstLine="622" w:firstLineChars="200"/>
        <w:jc w:val="left"/>
        <w:outlineLvl w:val="0"/>
        <w:rPr>
          <w:color w:val="auto"/>
        </w:rPr>
      </w:pPr>
      <w:bookmarkStart w:id="8" w:name="_Toc18100"/>
      <w:r>
        <w:rPr>
          <w:rFonts w:hint="default" w:ascii="Times New Roman" w:hAnsi="Times New Roman" w:eastAsia="宋体" w:cs="Times New Roman"/>
          <w:b/>
          <w:bCs/>
          <w:color w:val="auto"/>
          <w:kern w:val="0"/>
          <w:sz w:val="31"/>
          <w:szCs w:val="31"/>
          <w:lang w:val="en-US" w:eastAsia="zh-CN" w:bidi="ar"/>
        </w:rPr>
        <w:t>3</w:t>
      </w:r>
      <w:r>
        <w:rPr>
          <w:rFonts w:ascii="黑体" w:hAnsi="宋体" w:eastAsia="黑体" w:cs="黑体"/>
          <w:b/>
          <w:bCs/>
          <w:color w:val="auto"/>
          <w:kern w:val="0"/>
          <w:sz w:val="31"/>
          <w:szCs w:val="31"/>
          <w:lang w:val="en-US" w:eastAsia="zh-CN" w:bidi="ar"/>
        </w:rPr>
        <w:t>资料准备与环境风险识别</w:t>
      </w:r>
      <w:bookmarkEnd w:id="8"/>
      <w:r>
        <w:rPr>
          <w:rFonts w:ascii="黑体" w:hAnsi="宋体" w:eastAsia="黑体" w:cs="黑体"/>
          <w:b/>
          <w:bCs/>
          <w:color w:val="auto"/>
          <w:kern w:val="0"/>
          <w:sz w:val="31"/>
          <w:szCs w:val="31"/>
          <w:lang w:val="en-US" w:eastAsia="zh-CN" w:bidi="ar"/>
        </w:rPr>
        <w:t xml:space="preserve"> </w:t>
      </w:r>
    </w:p>
    <w:p>
      <w:pPr>
        <w:keepNext w:val="0"/>
        <w:keepLines w:val="0"/>
        <w:widowControl/>
        <w:suppressLineNumbers w:val="0"/>
        <w:spacing w:line="360" w:lineRule="auto"/>
        <w:ind w:firstLine="622" w:firstLineChars="200"/>
        <w:jc w:val="left"/>
        <w:outlineLvl w:val="1"/>
        <w:rPr>
          <w:color w:val="auto"/>
        </w:rPr>
      </w:pPr>
      <w:bookmarkStart w:id="9" w:name="_Toc30943"/>
      <w:r>
        <w:rPr>
          <w:rFonts w:hint="default" w:ascii="Times New Roman" w:hAnsi="Times New Roman" w:eastAsia="宋体" w:cs="Times New Roman"/>
          <w:b/>
          <w:bCs/>
          <w:color w:val="auto"/>
          <w:kern w:val="0"/>
          <w:sz w:val="31"/>
          <w:szCs w:val="31"/>
          <w:lang w:val="en-US" w:eastAsia="zh-CN" w:bidi="ar"/>
        </w:rPr>
        <w:t>3.1</w:t>
      </w:r>
      <w:r>
        <w:rPr>
          <w:rFonts w:ascii="楷体" w:hAnsi="楷体" w:eastAsia="楷体" w:cs="楷体"/>
          <w:b/>
          <w:bCs/>
          <w:color w:val="auto"/>
          <w:kern w:val="0"/>
          <w:sz w:val="31"/>
          <w:szCs w:val="31"/>
          <w:lang w:val="en-US" w:eastAsia="zh-CN" w:bidi="ar"/>
        </w:rPr>
        <w:t>企业基本信息</w:t>
      </w:r>
      <w:bookmarkEnd w:id="9"/>
    </w:p>
    <w:p>
      <w:pPr>
        <w:keepNext w:val="0"/>
        <w:keepLines w:val="0"/>
        <w:widowControl/>
        <w:suppressLineNumbers w:val="0"/>
        <w:spacing w:line="360" w:lineRule="auto"/>
        <w:ind w:firstLine="562" w:firstLineChars="200"/>
        <w:jc w:val="left"/>
        <w:rPr>
          <w:color w:val="auto"/>
        </w:rPr>
      </w:pPr>
      <w:r>
        <w:rPr>
          <w:rFonts w:hint="default" w:ascii="Times New Roman" w:hAnsi="Times New Roman" w:eastAsia="宋体" w:cs="Times New Roman"/>
          <w:b/>
          <w:bCs/>
          <w:color w:val="auto"/>
          <w:kern w:val="0"/>
          <w:sz w:val="28"/>
          <w:szCs w:val="28"/>
          <w:lang w:val="en-US" w:eastAsia="zh-CN" w:bidi="ar"/>
        </w:rPr>
        <w:t>3.1.1</w:t>
      </w:r>
      <w:r>
        <w:rPr>
          <w:rFonts w:ascii="仿宋" w:hAnsi="仿宋" w:eastAsia="仿宋" w:cs="仿宋"/>
          <w:b/>
          <w:bCs/>
          <w:color w:val="auto"/>
          <w:kern w:val="0"/>
          <w:sz w:val="28"/>
          <w:szCs w:val="28"/>
          <w:lang w:val="en-US" w:eastAsia="zh-CN" w:bidi="ar"/>
        </w:rPr>
        <w:t>企业简况</w:t>
      </w:r>
    </w:p>
    <w:p>
      <w:pPr>
        <w:keepNext w:val="0"/>
        <w:keepLines w:val="0"/>
        <w:widowControl/>
        <w:suppressLineNumbers w:val="0"/>
        <w:spacing w:line="360" w:lineRule="auto"/>
        <w:ind w:firstLine="560" w:firstLineChars="200"/>
        <w:jc w:val="left"/>
        <w:rPr>
          <w:color w:val="auto"/>
        </w:rPr>
      </w:pPr>
      <w:r>
        <w:rPr>
          <w:rFonts w:ascii="仿宋" w:hAnsi="仿宋" w:eastAsia="仿宋" w:cs="仿宋"/>
          <w:color w:val="auto"/>
          <w:kern w:val="0"/>
          <w:sz w:val="28"/>
          <w:szCs w:val="28"/>
          <w:lang w:val="en-US" w:eastAsia="zh-CN" w:bidi="ar"/>
        </w:rPr>
        <w:t>本企业基本信息见表</w:t>
      </w:r>
      <w:r>
        <w:rPr>
          <w:rFonts w:hint="default" w:ascii="Times New Roman" w:hAnsi="Times New Roman" w:eastAsia="宋体" w:cs="Times New Roman"/>
          <w:color w:val="auto"/>
          <w:kern w:val="0"/>
          <w:sz w:val="28"/>
          <w:szCs w:val="28"/>
          <w:lang w:val="en-US" w:eastAsia="zh-CN" w:bidi="ar"/>
        </w:rPr>
        <w:t>3.1-1</w:t>
      </w:r>
      <w:r>
        <w:rPr>
          <w:rFonts w:hint="eastAsia" w:ascii="仿宋" w:hAnsi="仿宋" w:eastAsia="仿宋" w:cs="仿宋"/>
          <w:color w:val="auto"/>
          <w:kern w:val="0"/>
          <w:sz w:val="28"/>
          <w:szCs w:val="28"/>
          <w:lang w:val="en-US" w:eastAsia="zh-CN" w:bidi="ar"/>
        </w:rPr>
        <w:t>。</w:t>
      </w:r>
    </w:p>
    <w:p>
      <w:pPr>
        <w:keepNext w:val="0"/>
        <w:keepLines w:val="0"/>
        <w:widowControl/>
        <w:suppressLineNumbers w:val="0"/>
        <w:spacing w:line="360" w:lineRule="auto"/>
        <w:jc w:val="center"/>
        <w:rPr>
          <w:color w:val="auto"/>
        </w:rPr>
      </w:pPr>
      <w:r>
        <w:rPr>
          <w:rFonts w:ascii="仿宋" w:hAnsi="仿宋" w:eastAsia="仿宋" w:cs="仿宋"/>
          <w:b/>
          <w:bCs/>
          <w:color w:val="auto"/>
          <w:kern w:val="0"/>
          <w:sz w:val="24"/>
          <w:szCs w:val="24"/>
          <w:lang w:val="en-US" w:eastAsia="zh-CN" w:bidi="ar"/>
        </w:rPr>
        <w:t>表</w:t>
      </w:r>
      <w:r>
        <w:rPr>
          <w:rFonts w:hint="default" w:ascii="Times New Roman" w:hAnsi="Times New Roman" w:eastAsia="宋体" w:cs="Times New Roman"/>
          <w:b/>
          <w:bCs/>
          <w:color w:val="auto"/>
          <w:kern w:val="0"/>
          <w:sz w:val="24"/>
          <w:szCs w:val="24"/>
          <w:lang w:val="en-US" w:eastAsia="zh-CN" w:bidi="ar"/>
        </w:rPr>
        <w:t>3.1-1</w:t>
      </w:r>
      <w:r>
        <w:rPr>
          <w:rFonts w:hint="eastAsia" w:ascii="仿宋" w:hAnsi="仿宋" w:eastAsia="仿宋" w:cs="仿宋"/>
          <w:b/>
          <w:bCs/>
          <w:color w:val="auto"/>
          <w:kern w:val="0"/>
          <w:sz w:val="24"/>
          <w:szCs w:val="24"/>
          <w:lang w:val="en-US" w:eastAsia="zh-CN" w:bidi="ar"/>
        </w:rPr>
        <w:t>企业简况表</w:t>
      </w:r>
    </w:p>
    <w:tbl>
      <w:tblPr>
        <w:tblStyle w:val="13"/>
        <w:tblW w:w="9033" w:type="dxa"/>
        <w:tblInd w:w="224" w:type="dxa"/>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3266"/>
        <w:gridCol w:w="1884"/>
        <w:gridCol w:w="2166"/>
      </w:tblGrid>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17" w:type="dxa"/>
            <w:tcBorders>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单位名称</w:t>
            </w:r>
          </w:p>
        </w:tc>
        <w:tc>
          <w:tcPr>
            <w:tcW w:w="7316" w:type="dxa"/>
            <w:gridSpan w:val="3"/>
            <w:tcBorders>
              <w:left w:val="single" w:color="auto" w:sz="4" w:space="0"/>
              <w:bottom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陕西蓝池宇洁洗涤服务有限公司</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717" w:type="dxa"/>
            <w:tcBorders>
              <w:top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单位地址</w:t>
            </w:r>
          </w:p>
        </w:tc>
        <w:tc>
          <w:tcPr>
            <w:tcW w:w="3266"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西咸新区秦汉新城正阳街办正阳镇街道兰池二路东段</w:t>
            </w:r>
          </w:p>
        </w:tc>
        <w:tc>
          <w:tcPr>
            <w:tcW w:w="18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中心经度坐标</w:t>
            </w:r>
          </w:p>
        </w:tc>
        <w:tc>
          <w:tcPr>
            <w:tcW w:w="2166" w:type="dxa"/>
            <w:tcBorders>
              <w:top w:val="single" w:color="auto" w:sz="4" w:space="0"/>
              <w:left w:val="single" w:color="auto" w:sz="4" w:space="0"/>
              <w:bottom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1"/>
                <w:szCs w:val="21"/>
              </w:rPr>
              <w:t>E：109°44′30.228″</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17" w:type="dxa"/>
            <w:vMerge w:val="restart"/>
            <w:tcBorders>
              <w:top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统一社会信用代码</w:t>
            </w:r>
          </w:p>
        </w:tc>
        <w:tc>
          <w:tcPr>
            <w:tcW w:w="3266" w:type="dxa"/>
            <w:vMerge w:val="restart"/>
            <w:tcBorders>
              <w:top w:val="single" w:color="auto" w:sz="4" w:space="0"/>
              <w:left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91610113MA713AGB69</w:t>
            </w:r>
          </w:p>
        </w:tc>
        <w:tc>
          <w:tcPr>
            <w:tcW w:w="18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中心纬度坐标</w:t>
            </w:r>
          </w:p>
        </w:tc>
        <w:tc>
          <w:tcPr>
            <w:tcW w:w="2166" w:type="dxa"/>
            <w:tcBorders>
              <w:top w:val="single" w:color="auto" w:sz="4" w:space="0"/>
              <w:left w:val="single" w:color="auto" w:sz="4" w:space="0"/>
              <w:bottom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1"/>
                <w:szCs w:val="21"/>
              </w:rPr>
              <w:t>N：34°23′56.6″</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17" w:type="dxa"/>
            <w:vMerge w:val="continue"/>
            <w:tcBorders>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p>
        </w:tc>
        <w:tc>
          <w:tcPr>
            <w:tcW w:w="3266" w:type="dxa"/>
            <w:vMerge w:val="continue"/>
            <w:tcBorders>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p>
        </w:tc>
        <w:tc>
          <w:tcPr>
            <w:tcW w:w="18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法定代表人</w:t>
            </w:r>
          </w:p>
        </w:tc>
        <w:tc>
          <w:tcPr>
            <w:tcW w:w="2166" w:type="dxa"/>
            <w:tcBorders>
              <w:top w:val="single" w:color="auto" w:sz="4" w:space="0"/>
              <w:left w:val="single" w:color="auto" w:sz="4" w:space="0"/>
              <w:bottom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陈超</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17" w:type="dxa"/>
            <w:tcBorders>
              <w:top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所属行业</w:t>
            </w:r>
          </w:p>
        </w:tc>
        <w:tc>
          <w:tcPr>
            <w:tcW w:w="3266"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O8119其它洗涤服务</w:t>
            </w:r>
          </w:p>
        </w:tc>
        <w:tc>
          <w:tcPr>
            <w:tcW w:w="18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厂区面积</w:t>
            </w:r>
          </w:p>
        </w:tc>
        <w:tc>
          <w:tcPr>
            <w:tcW w:w="2166" w:type="dxa"/>
            <w:tcBorders>
              <w:top w:val="single" w:color="auto" w:sz="4" w:space="0"/>
              <w:left w:val="single" w:color="auto" w:sz="4" w:space="0"/>
              <w:bottom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500㎡</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17" w:type="dxa"/>
            <w:tcBorders>
              <w:top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建</w:t>
            </w:r>
            <w:r>
              <w:rPr>
                <w:rFonts w:hint="eastAsia" w:ascii="仿宋" w:hAnsi="仿宋" w:eastAsia="仿宋" w:cs="仿宋"/>
                <w:b/>
                <w:bCs/>
                <w:color w:val="auto"/>
                <w:sz w:val="24"/>
                <w:szCs w:val="24"/>
                <w:lang w:val="en-US" w:eastAsia="zh-CN"/>
              </w:rPr>
              <w:t>成</w:t>
            </w:r>
            <w:r>
              <w:rPr>
                <w:rFonts w:hint="eastAsia" w:ascii="仿宋" w:hAnsi="仿宋" w:eastAsia="仿宋" w:cs="仿宋"/>
                <w:b/>
                <w:bCs/>
                <w:color w:val="auto"/>
                <w:sz w:val="24"/>
                <w:szCs w:val="24"/>
              </w:rPr>
              <w:t>年月</w:t>
            </w:r>
          </w:p>
        </w:tc>
        <w:tc>
          <w:tcPr>
            <w:tcW w:w="3266"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2017年12月</w:t>
            </w:r>
          </w:p>
        </w:tc>
        <w:tc>
          <w:tcPr>
            <w:tcW w:w="18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职工人数</w:t>
            </w:r>
          </w:p>
        </w:tc>
        <w:tc>
          <w:tcPr>
            <w:tcW w:w="2166" w:type="dxa"/>
            <w:tcBorders>
              <w:top w:val="single" w:color="auto" w:sz="4" w:space="0"/>
              <w:left w:val="single" w:color="auto" w:sz="4" w:space="0"/>
              <w:bottom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25人</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17" w:type="dxa"/>
            <w:tcBorders>
              <w:top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注册资本</w:t>
            </w:r>
          </w:p>
        </w:tc>
        <w:tc>
          <w:tcPr>
            <w:tcW w:w="3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1000万</w:t>
            </w:r>
          </w:p>
        </w:tc>
        <w:tc>
          <w:tcPr>
            <w:tcW w:w="18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联系电话</w:t>
            </w:r>
          </w:p>
        </w:tc>
        <w:tc>
          <w:tcPr>
            <w:tcW w:w="2166" w:type="dxa"/>
            <w:tcBorders>
              <w:top w:val="single" w:color="auto" w:sz="4" w:space="0"/>
              <w:left w:val="single" w:color="auto" w:sz="4" w:space="0"/>
              <w:bottom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13983612898</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1717" w:type="dxa"/>
            <w:tcBorders>
              <w:top w:val="single" w:color="auto" w:sz="4" w:space="0"/>
              <w:bottom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企业网站</w:t>
            </w:r>
          </w:p>
        </w:tc>
        <w:tc>
          <w:tcPr>
            <w:tcW w:w="7316" w:type="dxa"/>
            <w:gridSpan w:val="3"/>
            <w:tcBorders>
              <w:top w:val="single" w:color="auto" w:sz="4" w:space="0"/>
              <w:left w:val="single" w:color="auto" w:sz="4" w:space="0"/>
              <w:bottom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717" w:type="dxa"/>
            <w:vMerge w:val="restart"/>
            <w:tcBorders>
              <w:top w:val="single" w:color="auto" w:sz="4" w:space="0"/>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四邻关系</w:t>
            </w:r>
          </w:p>
        </w:tc>
        <w:tc>
          <w:tcPr>
            <w:tcW w:w="3266"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东侧</w:t>
            </w:r>
          </w:p>
        </w:tc>
        <w:tc>
          <w:tcPr>
            <w:tcW w:w="4050" w:type="dxa"/>
            <w:gridSpan w:val="2"/>
            <w:tcBorders>
              <w:top w:val="single" w:color="auto" w:sz="4" w:space="0"/>
              <w:left w:val="single" w:color="auto" w:sz="4" w:space="0"/>
              <w:bottom w:val="single" w:color="auto" w:sz="4" w:space="0"/>
            </w:tcBorders>
            <w:vAlign w:val="center"/>
          </w:tcPr>
          <w:p>
            <w:pPr>
              <w:pStyle w:val="12"/>
              <w:widowControl w:val="0"/>
              <w:adjustRightInd w:val="0"/>
              <w:snapToGrid w:val="0"/>
              <w:spacing w:before="0" w:beforeAutospacing="0" w:after="0" w:afterAutospacing="0" w:line="360" w:lineRule="auto"/>
              <w:ind w:firstLine="0" w:firstLineChars="0"/>
              <w:jc w:val="cente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陕西新华电脑软件学校</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717" w:type="dxa"/>
            <w:vMerge w:val="continue"/>
            <w:tcBorders>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color w:val="auto"/>
                <w:sz w:val="24"/>
                <w:szCs w:val="24"/>
              </w:rPr>
            </w:pPr>
          </w:p>
        </w:tc>
        <w:tc>
          <w:tcPr>
            <w:tcW w:w="3266"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西侧</w:t>
            </w:r>
          </w:p>
        </w:tc>
        <w:tc>
          <w:tcPr>
            <w:tcW w:w="4050" w:type="dxa"/>
            <w:gridSpan w:val="2"/>
            <w:tcBorders>
              <w:top w:val="single" w:color="auto" w:sz="4" w:space="0"/>
              <w:left w:val="single" w:color="auto" w:sz="4" w:space="0"/>
              <w:bottom w:val="single" w:color="auto" w:sz="4" w:space="0"/>
            </w:tcBorders>
            <w:vAlign w:val="center"/>
          </w:tcPr>
          <w:p>
            <w:pPr>
              <w:widowControl w:val="0"/>
              <w:adjustRightInd w:val="0"/>
              <w:snapToGrid w:val="0"/>
              <w:spacing w:before="0" w:beforeAutospacing="0" w:after="0" w:afterAutospacing="0" w:line="360" w:lineRule="auto"/>
              <w:ind w:firstLine="0" w:firstLineChars="0"/>
              <w:jc w:val="cente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宇澳电器</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717" w:type="dxa"/>
            <w:vMerge w:val="continue"/>
            <w:tcBorders>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color w:val="auto"/>
                <w:sz w:val="24"/>
                <w:szCs w:val="24"/>
              </w:rPr>
            </w:pPr>
          </w:p>
        </w:tc>
        <w:tc>
          <w:tcPr>
            <w:tcW w:w="3266"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南侧</w:t>
            </w:r>
          </w:p>
        </w:tc>
        <w:tc>
          <w:tcPr>
            <w:tcW w:w="4050" w:type="dxa"/>
            <w:gridSpan w:val="2"/>
            <w:tcBorders>
              <w:top w:val="single" w:color="auto" w:sz="4" w:space="0"/>
              <w:left w:val="single" w:color="auto" w:sz="4" w:space="0"/>
              <w:bottom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717" w:type="dxa"/>
            <w:vMerge w:val="continue"/>
            <w:tcBorders>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color w:val="auto"/>
                <w:sz w:val="24"/>
                <w:szCs w:val="24"/>
              </w:rPr>
            </w:pPr>
          </w:p>
        </w:tc>
        <w:tc>
          <w:tcPr>
            <w:tcW w:w="3266"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北侧</w:t>
            </w:r>
          </w:p>
        </w:tc>
        <w:tc>
          <w:tcPr>
            <w:tcW w:w="4050" w:type="dxa"/>
            <w:gridSpan w:val="2"/>
            <w:tcBorders>
              <w:top w:val="single" w:color="auto" w:sz="4" w:space="0"/>
              <w:left w:val="single" w:color="auto" w:sz="4" w:space="0"/>
              <w:bottom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陕西超洁净洗涤科技有限公司</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717" w:type="dxa"/>
            <w:tcBorders>
              <w:right w:val="single" w:color="auto" w:sz="4" w:space="0"/>
            </w:tcBorders>
            <w:vAlign w:val="center"/>
          </w:tcPr>
          <w:p>
            <w:pPr>
              <w:adjustRightInd w:val="0"/>
              <w:snapToGrid w:val="0"/>
              <w:spacing w:line="360" w:lineRule="auto"/>
              <w:ind w:firstLine="0" w:firstLineChars="0"/>
              <w:jc w:val="center"/>
              <w:rPr>
                <w:rFonts w:hint="eastAsia" w:ascii="仿宋" w:hAnsi="仿宋" w:eastAsia="仿宋" w:cs="仿宋"/>
                <w:color w:val="auto"/>
                <w:sz w:val="24"/>
                <w:szCs w:val="24"/>
              </w:rPr>
            </w:pPr>
            <w:r>
              <w:rPr>
                <w:rFonts w:hint="eastAsia" w:ascii="仿宋" w:hAnsi="仿宋" w:eastAsia="仿宋" w:cs="仿宋"/>
                <w:b/>
                <w:bCs/>
                <w:color w:val="auto"/>
                <w:sz w:val="24"/>
                <w:szCs w:val="24"/>
              </w:rPr>
              <w:t>备注</w:t>
            </w:r>
          </w:p>
        </w:tc>
        <w:tc>
          <w:tcPr>
            <w:tcW w:w="7316" w:type="dxa"/>
            <w:gridSpan w:val="3"/>
            <w:tcBorders>
              <w:top w:val="single" w:color="auto" w:sz="4" w:space="0"/>
              <w:left w:val="single" w:color="auto" w:sz="4" w:space="0"/>
            </w:tcBorders>
            <w:vAlign w:val="center"/>
          </w:tcPr>
          <w:p>
            <w:pPr>
              <w:adjustRightInd w:val="0"/>
              <w:snapToGrid w:val="0"/>
              <w:spacing w:line="360" w:lineRule="auto"/>
              <w:ind w:firstLine="0" w:firstLineChars="0"/>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本企业于2017年5月成立，无违法排放污染物，非法转移、处置危险废 物等突发环境事件发生。</w:t>
            </w:r>
          </w:p>
        </w:tc>
      </w:tr>
    </w:tbl>
    <w:p>
      <w:pPr>
        <w:keepNext w:val="0"/>
        <w:keepLines w:val="0"/>
        <w:widowControl/>
        <w:suppressLineNumbers w:val="0"/>
        <w:spacing w:line="360" w:lineRule="auto"/>
        <w:ind w:firstLine="622" w:firstLineChars="200"/>
        <w:jc w:val="left"/>
        <w:rPr>
          <w:rFonts w:hint="default" w:ascii="Times New Roman" w:hAnsi="Times New Roman" w:eastAsia="宋体" w:cs="Times New Roman"/>
          <w:b/>
          <w:bCs/>
          <w:color w:val="auto"/>
          <w:kern w:val="0"/>
          <w:sz w:val="31"/>
          <w:szCs w:val="31"/>
          <w:lang w:val="en-US" w:eastAsia="zh-CN" w:bidi="ar"/>
        </w:rPr>
      </w:pPr>
      <w:r>
        <w:rPr>
          <w:rFonts w:hint="default" w:ascii="Times New Roman" w:hAnsi="Times New Roman" w:eastAsia="宋体" w:cs="Times New Roman"/>
          <w:b/>
          <w:bCs/>
          <w:color w:val="auto"/>
          <w:kern w:val="0"/>
          <w:sz w:val="31"/>
          <w:szCs w:val="31"/>
          <w:lang w:val="en-US" w:eastAsia="zh-CN" w:bidi="ar"/>
        </w:rPr>
        <w:t xml:space="preserve">3.1.2自然地理概况 </w:t>
      </w:r>
    </w:p>
    <w:p>
      <w:pPr>
        <w:keepNext w:val="0"/>
        <w:keepLines w:val="0"/>
        <w:widowControl/>
        <w:suppressLineNumbers w:val="0"/>
        <w:spacing w:line="360" w:lineRule="auto"/>
        <w:ind w:firstLine="562" w:firstLineChars="200"/>
        <w:jc w:val="left"/>
        <w:rPr>
          <w:color w:val="auto"/>
        </w:rPr>
      </w:pPr>
      <w:r>
        <w:rPr>
          <w:rFonts w:hint="eastAsia" w:ascii="仿宋" w:hAnsi="仿宋" w:eastAsia="仿宋" w:cs="仿宋"/>
          <w:b/>
          <w:bCs/>
          <w:color w:val="auto"/>
          <w:kern w:val="0"/>
          <w:sz w:val="28"/>
          <w:szCs w:val="28"/>
          <w:lang w:val="en-US" w:eastAsia="zh-CN" w:bidi="ar"/>
        </w:rPr>
        <w:t>（</w:t>
      </w:r>
      <w:r>
        <w:rPr>
          <w:rFonts w:hint="default" w:ascii="Times New Roman" w:hAnsi="Times New Roman" w:eastAsia="宋体" w:cs="Times New Roman"/>
          <w:b/>
          <w:bCs/>
          <w:color w:val="auto"/>
          <w:kern w:val="0"/>
          <w:sz w:val="28"/>
          <w:szCs w:val="28"/>
          <w:lang w:val="en-US" w:eastAsia="zh-CN" w:bidi="ar"/>
        </w:rPr>
        <w:t>1</w:t>
      </w:r>
      <w:r>
        <w:rPr>
          <w:rFonts w:hint="eastAsia" w:ascii="仿宋" w:hAnsi="仿宋" w:eastAsia="仿宋" w:cs="仿宋"/>
          <w:b/>
          <w:bCs/>
          <w:color w:val="auto"/>
          <w:kern w:val="0"/>
          <w:sz w:val="28"/>
          <w:szCs w:val="28"/>
          <w:lang w:val="en-US" w:eastAsia="zh-CN" w:bidi="ar"/>
        </w:rPr>
        <w:t>）地理位置</w:t>
      </w:r>
    </w:p>
    <w:p>
      <w:pPr>
        <w:adjustRightInd w:val="0"/>
        <w:snapToGrid w:val="0"/>
        <w:spacing w:line="360" w:lineRule="auto"/>
        <w:ind w:firstLine="560" w:firstLineChars="200"/>
        <w:rPr>
          <w:rFonts w:ascii="Times New Roman" w:hAnsi="Times New Roman" w:eastAsia="仿宋" w:cs="Times New Roman"/>
          <w:color w:val="auto"/>
          <w:sz w:val="28"/>
          <w:szCs w:val="28"/>
        </w:rPr>
      </w:pPr>
      <w:r>
        <w:rPr>
          <w:rFonts w:ascii="Times New Roman" w:hAnsi="Times New Roman" w:eastAsia="仿宋" w:cs="Times New Roman"/>
          <w:color w:val="auto"/>
          <w:sz w:val="28"/>
          <w:szCs w:val="28"/>
        </w:rPr>
        <w:t>西咸新区秦汉新城位于咸阳市区东半部，关中盆地中部，秦都区以东，渭河以北，处于泾河、渭水交汇的三角地带。东面与高陵县接壤，西面和秦都区为邻，南面隔渭河与西安相望，北面同礼泉、泾阳毗连。东西长约26.73公里，南北宽约17.92公里，面积272平方公里。西咸新区秦汉新城地貌为北高南低，呈阶梯状向渭河谷底倾斜，大致以宝鸡峡北干渠为界，分为北部黄土台塬区和南部冲积平原区。北杜乡杨家寨南窑最高，正阳乡同仁庄东南最低，海拔在514~367米之间，高差147.0米。北部台塬区划分出台塬与塬间洼地两类，南部平原则划分为三级河流阶地、河漫滩及河床。</w:t>
      </w:r>
    </w:p>
    <w:p>
      <w:pPr>
        <w:keepNext w:val="0"/>
        <w:keepLines w:val="0"/>
        <w:widowControl/>
        <w:suppressLineNumbers w:val="0"/>
        <w:spacing w:line="360" w:lineRule="auto"/>
        <w:ind w:firstLine="562" w:firstLineChars="200"/>
        <w:jc w:val="left"/>
        <w:rPr>
          <w:color w:val="auto"/>
        </w:rPr>
      </w:pPr>
      <w:r>
        <w:rPr>
          <w:rFonts w:ascii="Times New Roman" w:hAnsi="Times New Roman" w:eastAsia="仿宋" w:cs="Times New Roman"/>
          <w:b/>
          <w:bCs/>
          <w:color w:val="auto"/>
          <w:sz w:val="28"/>
        </w:rPr>
        <w:t>（2）</w:t>
      </w:r>
      <w:r>
        <w:rPr>
          <w:rFonts w:ascii="仿宋" w:hAnsi="仿宋" w:eastAsia="仿宋" w:cs="仿宋"/>
          <w:b/>
          <w:bCs/>
          <w:color w:val="auto"/>
          <w:kern w:val="0"/>
          <w:sz w:val="28"/>
          <w:szCs w:val="28"/>
          <w:lang w:val="en-US" w:eastAsia="zh-CN" w:bidi="ar"/>
        </w:rPr>
        <w:t>气候、气象特征</w:t>
      </w:r>
    </w:p>
    <w:p>
      <w:pPr>
        <w:adjustRightInd w:val="0"/>
        <w:snapToGrid w:val="0"/>
        <w:spacing w:line="360" w:lineRule="auto"/>
        <w:ind w:firstLine="560" w:firstLineChars="200"/>
        <w:rPr>
          <w:rFonts w:hint="eastAsia" w:ascii="Times New Roman" w:hAnsi="Times New Roman" w:eastAsia="仿宋" w:cs="Times New Roman"/>
          <w:color w:val="auto"/>
          <w:sz w:val="28"/>
          <w:szCs w:val="28"/>
          <w:lang w:val="en-US" w:eastAsia="zh-CN"/>
        </w:rPr>
      </w:pPr>
      <w:r>
        <w:rPr>
          <w:rFonts w:ascii="Times New Roman" w:hAnsi="Times New Roman" w:eastAsia="仿宋" w:cs="Times New Roman"/>
          <w:color w:val="auto"/>
          <w:sz w:val="28"/>
          <w:szCs w:val="28"/>
          <w:lang w:val="en-US" w:eastAsia="zh-CN"/>
        </w:rPr>
        <w:t>秦汉新城地处暖温带，属大陆性季风气候，四季冷热干湿分明。春季少</w:t>
      </w:r>
      <w:r>
        <w:rPr>
          <w:rFonts w:hint="eastAsia" w:ascii="Times New Roman" w:hAnsi="Times New Roman" w:eastAsia="仿宋" w:cs="Times New Roman"/>
          <w:color w:val="auto"/>
          <w:sz w:val="28"/>
          <w:szCs w:val="28"/>
          <w:lang w:val="en-US" w:eastAsia="zh-CN"/>
        </w:rPr>
        <w:t>雨，夏季伏旱，秋凉雨霖，冬寒干燥，气候温和，光、热、水资源丰富，利于农林牧副渔各业发展。年均降水量</w:t>
      </w:r>
      <w:r>
        <w:rPr>
          <w:rFonts w:hint="default" w:ascii="Times New Roman" w:hAnsi="Times New Roman" w:eastAsia="仿宋" w:cs="Times New Roman"/>
          <w:color w:val="auto"/>
          <w:sz w:val="28"/>
          <w:szCs w:val="28"/>
          <w:lang w:val="en-US" w:eastAsia="zh-CN"/>
        </w:rPr>
        <w:t>537-650mm</w:t>
      </w:r>
      <w:r>
        <w:rPr>
          <w:rFonts w:hint="eastAsia" w:ascii="Times New Roman" w:hAnsi="Times New Roman" w:eastAsia="仿宋" w:cs="Times New Roman"/>
          <w:color w:val="auto"/>
          <w:sz w:val="28"/>
          <w:szCs w:val="28"/>
          <w:lang w:val="en-US" w:eastAsia="zh-CN"/>
        </w:rPr>
        <w:t>，年平均温度</w:t>
      </w:r>
      <w:r>
        <w:rPr>
          <w:rFonts w:hint="default" w:ascii="Times New Roman" w:hAnsi="Times New Roman" w:eastAsia="仿宋" w:cs="Times New Roman"/>
          <w:color w:val="auto"/>
          <w:sz w:val="28"/>
          <w:szCs w:val="28"/>
          <w:lang w:val="en-US" w:eastAsia="zh-CN"/>
        </w:rPr>
        <w:t>9-13.2</w:t>
      </w:r>
      <w:r>
        <w:rPr>
          <w:rFonts w:hint="eastAsia" w:ascii="Times New Roman" w:hAnsi="Times New Roman" w:eastAsia="仿宋" w:cs="Times New Roman"/>
          <w:color w:val="auto"/>
          <w:sz w:val="28"/>
          <w:szCs w:val="28"/>
          <w:lang w:val="en-US" w:eastAsia="zh-CN"/>
        </w:rPr>
        <w:t>摄氏度，全年太阳辐射</w:t>
      </w:r>
      <w:r>
        <w:rPr>
          <w:rFonts w:hint="default" w:ascii="Times New Roman" w:hAnsi="Times New Roman" w:eastAsia="仿宋" w:cs="Times New Roman"/>
          <w:color w:val="auto"/>
          <w:sz w:val="28"/>
          <w:szCs w:val="28"/>
          <w:lang w:val="en-US" w:eastAsia="zh-CN"/>
        </w:rPr>
        <w:t>4.61*10</w:t>
      </w:r>
      <w:r>
        <w:rPr>
          <w:rFonts w:hint="default" w:ascii="Times New Roman" w:hAnsi="Times New Roman" w:eastAsia="仿宋" w:cs="Times New Roman"/>
          <w:color w:val="auto"/>
          <w:sz w:val="28"/>
          <w:szCs w:val="28"/>
          <w:vertAlign w:val="superscript"/>
          <w:lang w:val="en-US" w:eastAsia="zh-CN"/>
        </w:rPr>
        <w:t>9</w:t>
      </w:r>
      <w:r>
        <w:rPr>
          <w:rFonts w:hint="default" w:ascii="Times New Roman" w:hAnsi="Times New Roman" w:eastAsia="仿宋" w:cs="Times New Roman"/>
          <w:color w:val="auto"/>
          <w:sz w:val="28"/>
          <w:szCs w:val="28"/>
          <w:lang w:val="en-US" w:eastAsia="zh-CN"/>
        </w:rPr>
        <w:t>-4.99*10</w:t>
      </w:r>
      <w:r>
        <w:rPr>
          <w:rFonts w:hint="default" w:ascii="Times New Roman" w:hAnsi="Times New Roman" w:eastAsia="仿宋" w:cs="Times New Roman"/>
          <w:color w:val="auto"/>
          <w:sz w:val="28"/>
          <w:szCs w:val="28"/>
          <w:vertAlign w:val="superscript"/>
          <w:lang w:val="en-US" w:eastAsia="zh-CN"/>
        </w:rPr>
        <w:t>9</w:t>
      </w:r>
      <w:r>
        <w:rPr>
          <w:rFonts w:hint="eastAsia" w:ascii="Times New Roman" w:hAnsi="Times New Roman" w:eastAsia="仿宋" w:cs="Times New Roman"/>
          <w:color w:val="auto"/>
          <w:sz w:val="28"/>
          <w:szCs w:val="28"/>
          <w:lang w:val="en-US" w:eastAsia="zh-CN"/>
        </w:rPr>
        <w:t>焦耳</w:t>
      </w:r>
      <w:r>
        <w:rPr>
          <w:rFonts w:hint="default" w:ascii="Times New Roman" w:hAnsi="Times New Roman" w:eastAsia="仿宋" w:cs="Times New Roman"/>
          <w:color w:val="auto"/>
          <w:sz w:val="28"/>
          <w:szCs w:val="28"/>
          <w:lang w:val="en-US" w:eastAsia="zh-CN"/>
        </w:rPr>
        <w:t>/</w:t>
      </w:r>
      <w:r>
        <w:rPr>
          <w:rFonts w:hint="eastAsia" w:ascii="Times New Roman" w:hAnsi="Times New Roman" w:eastAsia="仿宋" w:cs="Times New Roman"/>
          <w:color w:val="auto"/>
          <w:sz w:val="28"/>
          <w:szCs w:val="28"/>
          <w:lang w:val="en-US" w:eastAsia="zh-CN"/>
        </w:rPr>
        <w:t>平方米。年累计光照时数为</w:t>
      </w:r>
      <w:r>
        <w:rPr>
          <w:rFonts w:hint="default" w:ascii="Times New Roman" w:hAnsi="Times New Roman" w:eastAsia="仿宋" w:cs="Times New Roman"/>
          <w:color w:val="auto"/>
          <w:sz w:val="28"/>
          <w:szCs w:val="28"/>
          <w:lang w:val="en-US" w:eastAsia="zh-CN"/>
        </w:rPr>
        <w:t>2017.2-2346.9</w:t>
      </w:r>
      <w:r>
        <w:rPr>
          <w:rFonts w:hint="eastAsia" w:ascii="Times New Roman" w:hAnsi="Times New Roman" w:eastAsia="仿宋" w:cs="Times New Roman"/>
          <w:color w:val="auto"/>
          <w:sz w:val="28"/>
          <w:szCs w:val="28"/>
          <w:lang w:val="en-US" w:eastAsia="zh-CN"/>
        </w:rPr>
        <w:t>小时，</w:t>
      </w:r>
      <w:r>
        <w:rPr>
          <w:rFonts w:hint="default" w:ascii="Times New Roman" w:hAnsi="Times New Roman" w:eastAsia="仿宋" w:cs="Times New Roman"/>
          <w:color w:val="auto"/>
          <w:sz w:val="28"/>
          <w:szCs w:val="28"/>
          <w:lang w:val="en-US" w:eastAsia="zh-CN"/>
        </w:rPr>
        <w:t>6</w:t>
      </w:r>
      <w:r>
        <w:rPr>
          <w:rFonts w:hint="eastAsia" w:ascii="Times New Roman" w:hAnsi="Times New Roman" w:eastAsia="仿宋" w:cs="Times New Roman"/>
          <w:color w:val="auto"/>
          <w:sz w:val="28"/>
          <w:szCs w:val="28"/>
          <w:lang w:val="en-US" w:eastAsia="zh-CN"/>
        </w:rPr>
        <w:t>、</w:t>
      </w:r>
      <w:r>
        <w:rPr>
          <w:rFonts w:hint="default" w:ascii="Times New Roman" w:hAnsi="Times New Roman" w:eastAsia="仿宋" w:cs="Times New Roman"/>
          <w:color w:val="auto"/>
          <w:sz w:val="28"/>
          <w:szCs w:val="28"/>
          <w:lang w:val="en-US" w:eastAsia="zh-CN"/>
        </w:rPr>
        <w:t>7</w:t>
      </w:r>
      <w:r>
        <w:rPr>
          <w:rFonts w:hint="eastAsia" w:ascii="Times New Roman" w:hAnsi="Times New Roman" w:eastAsia="仿宋" w:cs="Times New Roman"/>
          <w:color w:val="auto"/>
          <w:sz w:val="28"/>
          <w:szCs w:val="28"/>
          <w:lang w:val="en-US" w:eastAsia="zh-CN"/>
        </w:rPr>
        <w:t>、</w:t>
      </w:r>
      <w:r>
        <w:rPr>
          <w:rFonts w:hint="default" w:ascii="Times New Roman" w:hAnsi="Times New Roman" w:eastAsia="仿宋" w:cs="Times New Roman"/>
          <w:color w:val="auto"/>
          <w:sz w:val="28"/>
          <w:szCs w:val="28"/>
          <w:lang w:val="en-US" w:eastAsia="zh-CN"/>
        </w:rPr>
        <w:t>8</w:t>
      </w:r>
      <w:r>
        <w:rPr>
          <w:rFonts w:hint="eastAsia" w:ascii="Times New Roman" w:hAnsi="Times New Roman" w:eastAsia="仿宋" w:cs="Times New Roman"/>
          <w:color w:val="auto"/>
          <w:sz w:val="28"/>
          <w:szCs w:val="28"/>
          <w:lang w:val="en-US" w:eastAsia="zh-CN"/>
        </w:rPr>
        <w:t>三个月的日照时数约占全年的</w:t>
      </w:r>
      <w:r>
        <w:rPr>
          <w:rFonts w:hint="default" w:ascii="Times New Roman" w:hAnsi="Times New Roman" w:eastAsia="仿宋" w:cs="Times New Roman"/>
          <w:color w:val="auto"/>
          <w:sz w:val="28"/>
          <w:szCs w:val="28"/>
          <w:lang w:val="en-US" w:eastAsia="zh-CN"/>
        </w:rPr>
        <w:t>32%</w:t>
      </w:r>
      <w:r>
        <w:rPr>
          <w:rFonts w:hint="eastAsia" w:ascii="Times New Roman" w:hAnsi="Times New Roman" w:eastAsia="仿宋" w:cs="Times New Roman"/>
          <w:color w:val="auto"/>
          <w:sz w:val="28"/>
          <w:szCs w:val="28"/>
          <w:lang w:val="en-US" w:eastAsia="zh-CN"/>
        </w:rPr>
        <w:t>。</w:t>
      </w:r>
    </w:p>
    <w:p>
      <w:pPr>
        <w:keepNext w:val="0"/>
        <w:keepLines w:val="0"/>
        <w:widowControl/>
        <w:suppressLineNumbers w:val="0"/>
        <w:spacing w:line="360" w:lineRule="auto"/>
        <w:ind w:firstLine="562" w:firstLineChars="200"/>
        <w:jc w:val="left"/>
        <w:rPr>
          <w:color w:val="auto"/>
        </w:rPr>
      </w:pPr>
      <w:r>
        <w:rPr>
          <w:rFonts w:ascii="仿宋" w:hAnsi="仿宋" w:eastAsia="仿宋" w:cs="仿宋"/>
          <w:b/>
          <w:bCs/>
          <w:color w:val="auto"/>
          <w:kern w:val="0"/>
          <w:sz w:val="28"/>
          <w:szCs w:val="28"/>
          <w:lang w:val="en-US" w:eastAsia="zh-CN" w:bidi="ar"/>
        </w:rPr>
        <w:t>（</w:t>
      </w:r>
      <w:r>
        <w:rPr>
          <w:rFonts w:hint="eastAsia" w:ascii="Times New Roman" w:hAnsi="Times New Roman" w:eastAsia="宋体" w:cs="Times New Roman"/>
          <w:b/>
          <w:bCs/>
          <w:color w:val="auto"/>
          <w:kern w:val="0"/>
          <w:sz w:val="28"/>
          <w:szCs w:val="28"/>
          <w:lang w:val="en-US" w:eastAsia="zh-CN" w:bidi="ar"/>
        </w:rPr>
        <w:t>3</w:t>
      </w:r>
      <w:r>
        <w:rPr>
          <w:rFonts w:hint="eastAsia" w:ascii="仿宋" w:hAnsi="仿宋" w:eastAsia="仿宋" w:cs="仿宋"/>
          <w:b/>
          <w:bCs/>
          <w:color w:val="auto"/>
          <w:kern w:val="0"/>
          <w:sz w:val="28"/>
          <w:szCs w:val="28"/>
          <w:lang w:val="en-US" w:eastAsia="zh-CN" w:bidi="ar"/>
        </w:rPr>
        <w:t>）水文特征</w:t>
      </w:r>
    </w:p>
    <w:p>
      <w:pPr>
        <w:adjustRightInd w:val="0"/>
        <w:snapToGrid w:val="0"/>
        <w:spacing w:line="360" w:lineRule="auto"/>
        <w:ind w:firstLine="560" w:firstLineChars="200"/>
        <w:rPr>
          <w:rFonts w:ascii="Times New Roman" w:hAnsi="Times New Roman" w:eastAsia="仿宋" w:cs="Times New Roman"/>
          <w:color w:val="auto"/>
          <w:sz w:val="28"/>
          <w:szCs w:val="28"/>
          <w:lang w:val="en-US" w:eastAsia="zh-CN"/>
        </w:rPr>
      </w:pPr>
      <w:r>
        <w:rPr>
          <w:rFonts w:ascii="Times New Roman" w:hAnsi="Times New Roman" w:eastAsia="仿宋" w:cs="Times New Roman"/>
          <w:color w:val="auto"/>
          <w:sz w:val="28"/>
          <w:szCs w:val="28"/>
          <w:lang w:val="en-US" w:eastAsia="zh-CN"/>
        </w:rPr>
        <w:t>主要河流有渭、沣、沙、新、泥、白马、斗门等</w:t>
      </w:r>
      <w:r>
        <w:rPr>
          <w:rFonts w:hint="default" w:ascii="Times New Roman" w:hAnsi="Times New Roman" w:eastAsia="仿宋" w:cs="Times New Roman"/>
          <w:color w:val="auto"/>
          <w:sz w:val="28"/>
          <w:szCs w:val="28"/>
          <w:lang w:val="en-US" w:eastAsia="zh-CN"/>
        </w:rPr>
        <w:t>7</w:t>
      </w:r>
      <w:r>
        <w:rPr>
          <w:rFonts w:hint="eastAsia" w:ascii="Times New Roman" w:hAnsi="Times New Roman" w:eastAsia="仿宋" w:cs="Times New Roman"/>
          <w:color w:val="auto"/>
          <w:sz w:val="28"/>
          <w:szCs w:val="28"/>
          <w:lang w:val="en-US" w:eastAsia="zh-CN"/>
        </w:rPr>
        <w:t>条，均属渭河水系。渭河，西东流向，由兴平县入境，境内流长</w:t>
      </w:r>
      <w:r>
        <w:rPr>
          <w:rFonts w:hint="default" w:ascii="Times New Roman" w:hAnsi="Times New Roman" w:eastAsia="仿宋" w:cs="Times New Roman"/>
          <w:color w:val="auto"/>
          <w:sz w:val="28"/>
          <w:szCs w:val="28"/>
          <w:lang w:val="en-US" w:eastAsia="zh-CN"/>
        </w:rPr>
        <w:t>19</w:t>
      </w:r>
      <w:r>
        <w:rPr>
          <w:rFonts w:hint="eastAsia" w:ascii="Times New Roman" w:hAnsi="Times New Roman" w:eastAsia="仿宋" w:cs="Times New Roman"/>
          <w:color w:val="auto"/>
          <w:sz w:val="28"/>
          <w:szCs w:val="28"/>
          <w:lang w:val="en-US" w:eastAsia="zh-CN"/>
        </w:rPr>
        <w:t>公里，常流量</w:t>
      </w:r>
      <w:r>
        <w:rPr>
          <w:rFonts w:hint="default" w:ascii="Times New Roman" w:hAnsi="Times New Roman" w:eastAsia="仿宋" w:cs="Times New Roman"/>
          <w:color w:val="auto"/>
          <w:sz w:val="28"/>
          <w:szCs w:val="28"/>
          <w:lang w:val="en-US" w:eastAsia="zh-CN"/>
        </w:rPr>
        <w:t>183</w:t>
      </w:r>
      <w:r>
        <w:rPr>
          <w:rFonts w:hint="eastAsia" w:ascii="Times New Roman" w:hAnsi="Times New Roman" w:eastAsia="仿宋" w:cs="Times New Roman"/>
          <w:color w:val="auto"/>
          <w:sz w:val="28"/>
          <w:szCs w:val="28"/>
          <w:lang w:val="en-US" w:eastAsia="zh-CN"/>
        </w:rPr>
        <w:t>立方米</w:t>
      </w:r>
      <w:r>
        <w:rPr>
          <w:rFonts w:hint="default" w:ascii="Times New Roman" w:hAnsi="Times New Roman" w:eastAsia="仿宋" w:cs="Times New Roman"/>
          <w:color w:val="auto"/>
          <w:sz w:val="28"/>
          <w:szCs w:val="28"/>
          <w:lang w:val="en-US" w:eastAsia="zh-CN"/>
        </w:rPr>
        <w:t>/</w:t>
      </w:r>
      <w:r>
        <w:rPr>
          <w:rFonts w:hint="eastAsia" w:ascii="Times New Roman" w:hAnsi="Times New Roman" w:eastAsia="仿宋" w:cs="Times New Roman"/>
          <w:color w:val="auto"/>
          <w:sz w:val="28"/>
          <w:szCs w:val="28"/>
          <w:lang w:val="en-US" w:eastAsia="zh-CN"/>
        </w:rPr>
        <w:t>秒。沣河流量不大；沙、新等河属季节性河流。</w:t>
      </w:r>
    </w:p>
    <w:p>
      <w:pPr>
        <w:keepNext w:val="0"/>
        <w:keepLines w:val="0"/>
        <w:widowControl/>
        <w:suppressLineNumbers w:val="0"/>
        <w:spacing w:line="360" w:lineRule="auto"/>
        <w:ind w:firstLine="562" w:firstLineChars="200"/>
        <w:jc w:val="left"/>
        <w:rPr>
          <w:color w:val="auto"/>
        </w:rPr>
      </w:pPr>
      <w:r>
        <w:rPr>
          <w:rFonts w:ascii="仿宋" w:hAnsi="仿宋" w:eastAsia="仿宋" w:cs="仿宋"/>
          <w:b/>
          <w:bCs/>
          <w:color w:val="auto"/>
          <w:kern w:val="0"/>
          <w:sz w:val="28"/>
          <w:szCs w:val="28"/>
          <w:lang w:val="en-US" w:eastAsia="zh-CN" w:bidi="ar"/>
        </w:rPr>
        <w:t>（</w:t>
      </w:r>
      <w:r>
        <w:rPr>
          <w:rFonts w:hint="eastAsia" w:ascii="Times New Roman" w:hAnsi="Times New Roman" w:eastAsia="宋体" w:cs="Times New Roman"/>
          <w:b/>
          <w:bCs/>
          <w:color w:val="auto"/>
          <w:kern w:val="0"/>
          <w:sz w:val="28"/>
          <w:szCs w:val="28"/>
          <w:lang w:val="en-US" w:eastAsia="zh-CN" w:bidi="ar"/>
        </w:rPr>
        <w:t>4</w:t>
      </w:r>
      <w:r>
        <w:rPr>
          <w:rFonts w:hint="eastAsia" w:ascii="仿宋" w:hAnsi="仿宋" w:eastAsia="仿宋" w:cs="仿宋"/>
          <w:b/>
          <w:bCs/>
          <w:color w:val="auto"/>
          <w:kern w:val="0"/>
          <w:sz w:val="28"/>
          <w:szCs w:val="28"/>
          <w:lang w:val="en-US" w:eastAsia="zh-CN" w:bidi="ar"/>
        </w:rPr>
        <w:t>）植被及生物多样性</w:t>
      </w:r>
    </w:p>
    <w:p>
      <w:pPr>
        <w:adjustRightInd w:val="0"/>
        <w:snapToGrid w:val="0"/>
        <w:spacing w:line="360" w:lineRule="auto"/>
        <w:ind w:firstLine="560" w:firstLineChars="200"/>
        <w:rPr>
          <w:rFonts w:ascii="Times New Roman" w:hAnsi="Times New Roman" w:eastAsia="仿宋" w:cs="Times New Roman"/>
          <w:color w:val="auto"/>
          <w:sz w:val="28"/>
          <w:szCs w:val="28"/>
          <w:lang w:val="en-US" w:eastAsia="zh-CN"/>
        </w:rPr>
      </w:pPr>
      <w:r>
        <w:rPr>
          <w:rFonts w:ascii="Times New Roman" w:hAnsi="Times New Roman" w:eastAsia="仿宋" w:cs="Times New Roman"/>
          <w:color w:val="auto"/>
          <w:sz w:val="28"/>
          <w:szCs w:val="28"/>
          <w:lang w:val="en-US" w:eastAsia="zh-CN"/>
        </w:rPr>
        <w:t>项目所在区主要植被类型分自然植被、人工植被两大类。项目所在地主</w:t>
      </w:r>
      <w:r>
        <w:rPr>
          <w:rFonts w:hint="eastAsia" w:ascii="Times New Roman" w:hAnsi="Times New Roman" w:eastAsia="仿宋" w:cs="Times New Roman"/>
          <w:color w:val="auto"/>
          <w:sz w:val="28"/>
          <w:szCs w:val="28"/>
          <w:lang w:val="en-US" w:eastAsia="zh-CN"/>
        </w:rPr>
        <w:t>要为人工植被。</w:t>
      </w:r>
    </w:p>
    <w:p>
      <w:pPr>
        <w:keepNext w:val="0"/>
        <w:keepLines w:val="0"/>
        <w:widowControl/>
        <w:suppressLineNumbers w:val="0"/>
        <w:spacing w:line="360" w:lineRule="auto"/>
        <w:ind w:firstLine="562" w:firstLineChars="200"/>
        <w:jc w:val="left"/>
        <w:rPr>
          <w:color w:val="auto"/>
        </w:rPr>
      </w:pPr>
      <w:r>
        <w:rPr>
          <w:rFonts w:hint="default" w:ascii="Times New Roman" w:hAnsi="Times New Roman" w:eastAsia="宋体" w:cs="Times New Roman"/>
          <w:b/>
          <w:bCs/>
          <w:color w:val="auto"/>
          <w:kern w:val="0"/>
          <w:sz w:val="28"/>
          <w:szCs w:val="28"/>
          <w:lang w:val="en-US" w:eastAsia="zh-CN" w:bidi="ar"/>
        </w:rPr>
        <w:t>3.1.3</w:t>
      </w:r>
      <w:r>
        <w:rPr>
          <w:rFonts w:ascii="仿宋" w:hAnsi="仿宋" w:eastAsia="仿宋" w:cs="仿宋"/>
          <w:b/>
          <w:bCs/>
          <w:color w:val="auto"/>
          <w:kern w:val="0"/>
          <w:sz w:val="28"/>
          <w:szCs w:val="28"/>
          <w:lang w:val="en-US" w:eastAsia="zh-CN" w:bidi="ar"/>
        </w:rPr>
        <w:t xml:space="preserve">环境功能分区 </w:t>
      </w:r>
    </w:p>
    <w:p>
      <w:pPr>
        <w:keepNext w:val="0"/>
        <w:keepLines w:val="0"/>
        <w:widowControl/>
        <w:suppressLineNumbers w:val="0"/>
        <w:spacing w:line="360" w:lineRule="auto"/>
        <w:ind w:firstLine="562" w:firstLineChars="200"/>
        <w:jc w:val="left"/>
        <w:rPr>
          <w:color w:val="auto"/>
        </w:rPr>
      </w:pPr>
      <w:r>
        <w:rPr>
          <w:rFonts w:hint="eastAsia" w:ascii="仿宋" w:hAnsi="仿宋" w:eastAsia="仿宋" w:cs="仿宋"/>
          <w:b/>
          <w:bCs/>
          <w:color w:val="auto"/>
          <w:kern w:val="0"/>
          <w:sz w:val="28"/>
          <w:szCs w:val="28"/>
          <w:lang w:val="en-US" w:eastAsia="zh-CN" w:bidi="ar"/>
        </w:rPr>
        <w:t>（</w:t>
      </w:r>
      <w:r>
        <w:rPr>
          <w:rFonts w:hint="default" w:ascii="Times New Roman" w:hAnsi="Times New Roman" w:eastAsia="宋体" w:cs="Times New Roman"/>
          <w:b/>
          <w:bCs/>
          <w:color w:val="auto"/>
          <w:kern w:val="0"/>
          <w:sz w:val="28"/>
          <w:szCs w:val="28"/>
          <w:lang w:val="en-US" w:eastAsia="zh-CN" w:bidi="ar"/>
        </w:rPr>
        <w:t>1</w:t>
      </w:r>
      <w:r>
        <w:rPr>
          <w:rFonts w:hint="eastAsia" w:ascii="仿宋" w:hAnsi="仿宋" w:eastAsia="仿宋" w:cs="仿宋"/>
          <w:b/>
          <w:bCs/>
          <w:color w:val="auto"/>
          <w:kern w:val="0"/>
          <w:sz w:val="28"/>
          <w:szCs w:val="28"/>
          <w:lang w:val="en-US" w:eastAsia="zh-CN" w:bidi="ar"/>
        </w:rPr>
        <w:t>）环境空气功能区划</w:t>
      </w:r>
    </w:p>
    <w:p>
      <w:pPr>
        <w:adjustRightInd w:val="0"/>
        <w:snapToGrid w:val="0"/>
        <w:spacing w:line="360" w:lineRule="auto"/>
        <w:ind w:firstLine="560" w:firstLineChars="200"/>
        <w:rPr>
          <w:rFonts w:hint="eastAsia" w:ascii="Times New Roman" w:hAnsi="Times New Roman" w:eastAsia="仿宋" w:cs="Times New Roman"/>
          <w:color w:val="auto"/>
          <w:sz w:val="28"/>
          <w:szCs w:val="28"/>
          <w:lang w:val="en-US" w:eastAsia="zh-CN"/>
        </w:rPr>
      </w:pPr>
      <w:r>
        <w:rPr>
          <w:rFonts w:ascii="Times New Roman" w:hAnsi="Times New Roman" w:eastAsia="仿宋" w:cs="Times New Roman"/>
          <w:color w:val="auto"/>
          <w:sz w:val="28"/>
          <w:szCs w:val="28"/>
          <w:lang w:val="en-US" w:eastAsia="zh-CN"/>
        </w:rPr>
        <w:t>企业所在区域，周边无自然保护区、风景名胜区等特殊保护区，依据环</w:t>
      </w:r>
      <w:r>
        <w:rPr>
          <w:rFonts w:hint="eastAsia" w:ascii="Times New Roman" w:hAnsi="Times New Roman" w:eastAsia="仿宋" w:cs="Times New Roman"/>
          <w:color w:val="auto"/>
          <w:sz w:val="28"/>
          <w:szCs w:val="28"/>
          <w:lang w:val="en-US" w:eastAsia="zh-CN"/>
        </w:rPr>
        <w:t>境空气质量功能区的分类，属二类区。空气执行《环境空气质量标准》（GB3095-2012）中的二级标准。</w:t>
      </w:r>
    </w:p>
    <w:p>
      <w:pPr>
        <w:keepNext w:val="0"/>
        <w:keepLines w:val="0"/>
        <w:widowControl/>
        <w:suppressLineNumbers w:val="0"/>
        <w:spacing w:line="360" w:lineRule="auto"/>
        <w:ind w:firstLine="562" w:firstLineChars="200"/>
        <w:jc w:val="left"/>
        <w:rPr>
          <w:color w:val="auto"/>
        </w:rPr>
      </w:pPr>
      <w:r>
        <w:rPr>
          <w:rFonts w:ascii="仿宋" w:hAnsi="仿宋" w:eastAsia="仿宋" w:cs="仿宋"/>
          <w:b/>
          <w:bCs/>
          <w:color w:val="auto"/>
          <w:kern w:val="0"/>
          <w:sz w:val="28"/>
          <w:szCs w:val="28"/>
          <w:lang w:val="en-US" w:eastAsia="zh-CN" w:bidi="ar"/>
        </w:rPr>
        <w:t>（</w:t>
      </w:r>
      <w:r>
        <w:rPr>
          <w:rFonts w:hint="default" w:ascii="Times New Roman" w:hAnsi="Times New Roman" w:eastAsia="宋体" w:cs="Times New Roman"/>
          <w:b/>
          <w:bCs/>
          <w:color w:val="auto"/>
          <w:kern w:val="0"/>
          <w:sz w:val="28"/>
          <w:szCs w:val="28"/>
          <w:lang w:val="en-US" w:eastAsia="zh-CN" w:bidi="ar"/>
        </w:rPr>
        <w:t>2</w:t>
      </w:r>
      <w:r>
        <w:rPr>
          <w:rFonts w:hint="eastAsia" w:ascii="仿宋" w:hAnsi="仿宋" w:eastAsia="仿宋" w:cs="仿宋"/>
          <w:b/>
          <w:bCs/>
          <w:color w:val="auto"/>
          <w:kern w:val="0"/>
          <w:sz w:val="28"/>
          <w:szCs w:val="28"/>
          <w:lang w:val="en-US" w:eastAsia="zh-CN" w:bidi="ar"/>
        </w:rPr>
        <w:t>）地表水环境</w:t>
      </w:r>
    </w:p>
    <w:p>
      <w:pPr>
        <w:adjustRightInd w:val="0"/>
        <w:snapToGrid w:val="0"/>
        <w:spacing w:line="360" w:lineRule="auto"/>
        <w:ind w:firstLine="560" w:firstLineChars="200"/>
        <w:rPr>
          <w:rFonts w:ascii="Times New Roman" w:hAnsi="Times New Roman" w:eastAsia="仿宋" w:cs="Times New Roman"/>
          <w:color w:val="auto"/>
          <w:sz w:val="28"/>
          <w:szCs w:val="28"/>
          <w:lang w:val="en-US" w:eastAsia="zh-CN"/>
        </w:rPr>
      </w:pPr>
      <w:r>
        <w:rPr>
          <w:rFonts w:ascii="Times New Roman" w:hAnsi="Times New Roman" w:eastAsia="仿宋" w:cs="Times New Roman"/>
          <w:color w:val="auto"/>
          <w:sz w:val="28"/>
          <w:szCs w:val="28"/>
          <w:lang w:val="en-US" w:eastAsia="zh-CN"/>
        </w:rPr>
        <w:t>根据《地表水环境质量标准》（</w:t>
      </w:r>
      <w:r>
        <w:rPr>
          <w:rFonts w:hint="default" w:ascii="Times New Roman" w:hAnsi="Times New Roman" w:eastAsia="仿宋" w:cs="Times New Roman"/>
          <w:color w:val="auto"/>
          <w:sz w:val="28"/>
          <w:szCs w:val="28"/>
          <w:lang w:val="en-US" w:eastAsia="zh-CN"/>
        </w:rPr>
        <w:t>GB3838-2002</w:t>
      </w:r>
      <w:r>
        <w:rPr>
          <w:rFonts w:hint="eastAsia" w:ascii="Times New Roman" w:hAnsi="Times New Roman" w:eastAsia="仿宋" w:cs="Times New Roman"/>
          <w:color w:val="auto"/>
          <w:sz w:val="28"/>
          <w:szCs w:val="28"/>
          <w:lang w:val="en-US" w:eastAsia="zh-CN"/>
        </w:rPr>
        <w:t>）和《陕西省水功能区划》（陕政办发〔</w:t>
      </w:r>
      <w:r>
        <w:rPr>
          <w:rFonts w:hint="default" w:ascii="Times New Roman" w:hAnsi="Times New Roman" w:eastAsia="仿宋" w:cs="Times New Roman"/>
          <w:color w:val="auto"/>
          <w:sz w:val="28"/>
          <w:szCs w:val="28"/>
          <w:lang w:val="en-US" w:eastAsia="zh-CN"/>
        </w:rPr>
        <w:t>2004</w:t>
      </w:r>
      <w:r>
        <w:rPr>
          <w:rFonts w:hint="eastAsia" w:ascii="Times New Roman" w:hAnsi="Times New Roman" w:eastAsia="仿宋" w:cs="Times New Roman"/>
          <w:color w:val="auto"/>
          <w:sz w:val="28"/>
          <w:szCs w:val="28"/>
          <w:lang w:val="en-US" w:eastAsia="zh-CN"/>
        </w:rPr>
        <w:t>〕</w:t>
      </w:r>
      <w:r>
        <w:rPr>
          <w:rFonts w:hint="default" w:ascii="Times New Roman" w:hAnsi="Times New Roman" w:eastAsia="仿宋" w:cs="Times New Roman"/>
          <w:color w:val="auto"/>
          <w:sz w:val="28"/>
          <w:szCs w:val="28"/>
          <w:lang w:val="en-US" w:eastAsia="zh-CN"/>
        </w:rPr>
        <w:t>100</w:t>
      </w:r>
      <w:r>
        <w:rPr>
          <w:rFonts w:hint="eastAsia" w:ascii="Times New Roman" w:hAnsi="Times New Roman" w:eastAsia="仿宋" w:cs="Times New Roman"/>
          <w:color w:val="auto"/>
          <w:sz w:val="28"/>
          <w:szCs w:val="28"/>
          <w:lang w:val="en-US" w:eastAsia="zh-CN"/>
        </w:rPr>
        <w:t>号），企业最近地表水体为渭河，根据《陕西省水功能区划》，渭河地表水环境质量功能为Ⅳ类。本项目产生的废水为生活污水和生产废水，洗涤废水经自建的污水处理站处理后,</w:t>
      </w:r>
      <w:r>
        <w:rPr>
          <w:rFonts w:hint="default" w:ascii="Times New Roman" w:hAnsi="Times New Roman" w:eastAsia="仿宋" w:cs="Times New Roman"/>
          <w:color w:val="auto"/>
          <w:sz w:val="28"/>
          <w:szCs w:val="28"/>
          <w:lang w:val="en-US" w:eastAsia="zh-CN"/>
        </w:rPr>
        <w:t>75%的废水经净化消毒后回用，25%</w:t>
      </w:r>
      <w:r>
        <w:rPr>
          <w:rFonts w:hint="eastAsia" w:ascii="Times New Roman" w:hAnsi="Times New Roman" w:eastAsia="仿宋" w:cs="Times New Roman"/>
          <w:color w:val="auto"/>
          <w:sz w:val="28"/>
          <w:szCs w:val="28"/>
          <w:lang w:val="en-US" w:eastAsia="zh-CN"/>
        </w:rPr>
        <w:t>的水处理后排放；生活污水依托陕西汇杰新能源科技有限公司化粪池处理后汇至总排口排放；锅炉软化器排水属清净下水，直接经厂区管道汇至总排口，最终进入秦汉新城朝阳污水处理厂。不会对周围环境造成明显不良影响。</w:t>
      </w:r>
    </w:p>
    <w:p>
      <w:pPr>
        <w:keepNext w:val="0"/>
        <w:keepLines w:val="0"/>
        <w:widowControl/>
        <w:suppressLineNumbers w:val="0"/>
        <w:spacing w:line="360" w:lineRule="auto"/>
        <w:ind w:firstLine="562" w:firstLineChars="200"/>
        <w:jc w:val="left"/>
        <w:rPr>
          <w:color w:val="auto"/>
        </w:rPr>
      </w:pPr>
      <w:r>
        <w:rPr>
          <w:rFonts w:ascii="仿宋" w:hAnsi="仿宋" w:eastAsia="仿宋" w:cs="仿宋"/>
          <w:b/>
          <w:bCs/>
          <w:color w:val="auto"/>
          <w:kern w:val="0"/>
          <w:sz w:val="28"/>
          <w:szCs w:val="28"/>
          <w:lang w:val="en-US" w:eastAsia="zh-CN" w:bidi="ar"/>
        </w:rPr>
        <w:t>（</w:t>
      </w:r>
      <w:r>
        <w:rPr>
          <w:rFonts w:hint="default" w:ascii="Times New Roman" w:hAnsi="Times New Roman" w:eastAsia="宋体" w:cs="Times New Roman"/>
          <w:b/>
          <w:bCs/>
          <w:color w:val="auto"/>
          <w:kern w:val="0"/>
          <w:sz w:val="28"/>
          <w:szCs w:val="28"/>
          <w:lang w:val="en-US" w:eastAsia="zh-CN" w:bidi="ar"/>
        </w:rPr>
        <w:t>3</w:t>
      </w:r>
      <w:r>
        <w:rPr>
          <w:rFonts w:hint="eastAsia" w:ascii="仿宋" w:hAnsi="仿宋" w:eastAsia="仿宋" w:cs="仿宋"/>
          <w:b/>
          <w:bCs/>
          <w:color w:val="auto"/>
          <w:kern w:val="0"/>
          <w:sz w:val="28"/>
          <w:szCs w:val="28"/>
          <w:lang w:val="en-US" w:eastAsia="zh-CN" w:bidi="ar"/>
        </w:rPr>
        <w:t>）地下水环境质量功能区划</w:t>
      </w:r>
    </w:p>
    <w:p>
      <w:pPr>
        <w:adjustRightInd w:val="0"/>
        <w:snapToGrid w:val="0"/>
        <w:spacing w:line="360" w:lineRule="auto"/>
        <w:ind w:firstLine="560" w:firstLineChars="200"/>
        <w:rPr>
          <w:rFonts w:ascii="Times New Roman" w:hAnsi="Times New Roman" w:eastAsia="仿宋" w:cs="Times New Roman"/>
          <w:color w:val="auto"/>
          <w:sz w:val="28"/>
          <w:szCs w:val="28"/>
          <w:lang w:val="en-US" w:eastAsia="zh-CN"/>
        </w:rPr>
      </w:pPr>
      <w:r>
        <w:rPr>
          <w:rFonts w:ascii="Times New Roman" w:hAnsi="Times New Roman" w:eastAsia="仿宋" w:cs="Times New Roman"/>
          <w:color w:val="auto"/>
          <w:sz w:val="28"/>
          <w:szCs w:val="28"/>
          <w:lang w:val="en-US" w:eastAsia="zh-CN"/>
        </w:rPr>
        <w:t>根据《地下水质量标准》（</w:t>
      </w:r>
      <w:r>
        <w:rPr>
          <w:rFonts w:hint="default" w:ascii="Times New Roman" w:hAnsi="Times New Roman" w:eastAsia="仿宋" w:cs="Times New Roman"/>
          <w:color w:val="auto"/>
          <w:sz w:val="28"/>
          <w:szCs w:val="28"/>
          <w:lang w:val="en-US" w:eastAsia="zh-CN"/>
        </w:rPr>
        <w:t>GB/T14848-2017</w:t>
      </w:r>
      <w:r>
        <w:rPr>
          <w:rFonts w:hint="eastAsia" w:ascii="Times New Roman" w:hAnsi="Times New Roman" w:eastAsia="仿宋" w:cs="Times New Roman"/>
          <w:color w:val="auto"/>
          <w:sz w:val="28"/>
          <w:szCs w:val="28"/>
          <w:lang w:val="en-US" w:eastAsia="zh-CN"/>
        </w:rPr>
        <w:t>），地下水质量分类“以人体健康基准值为依据”的要求，主要适用于集中式生活饮用水水源及工、农业用水的地下水为Ⅲ类水质，执行《地下水质量标准》（</w:t>
      </w:r>
      <w:r>
        <w:rPr>
          <w:rFonts w:hint="default" w:ascii="Times New Roman" w:hAnsi="Times New Roman" w:eastAsia="仿宋" w:cs="Times New Roman"/>
          <w:color w:val="auto"/>
          <w:sz w:val="28"/>
          <w:szCs w:val="28"/>
          <w:lang w:val="en-US" w:eastAsia="zh-CN"/>
        </w:rPr>
        <w:t>GB/T14848-2017</w:t>
      </w:r>
      <w:r>
        <w:rPr>
          <w:rFonts w:hint="eastAsia" w:ascii="Times New Roman" w:hAnsi="Times New Roman" w:eastAsia="仿宋" w:cs="Times New Roman"/>
          <w:color w:val="auto"/>
          <w:sz w:val="28"/>
          <w:szCs w:val="28"/>
          <w:lang w:val="en-US" w:eastAsia="zh-CN"/>
        </w:rPr>
        <w:t xml:space="preserve">）中的Ⅲ类标准。项目地下水满足Ⅲ类标准。 </w:t>
      </w:r>
    </w:p>
    <w:p>
      <w:pPr>
        <w:keepNext w:val="0"/>
        <w:keepLines w:val="0"/>
        <w:widowControl/>
        <w:suppressLineNumbers w:val="0"/>
        <w:spacing w:line="360" w:lineRule="auto"/>
        <w:ind w:firstLine="562" w:firstLineChars="200"/>
        <w:jc w:val="left"/>
        <w:rPr>
          <w:color w:val="auto"/>
        </w:rPr>
      </w:pPr>
      <w:r>
        <w:rPr>
          <w:rFonts w:ascii="仿宋" w:hAnsi="仿宋" w:eastAsia="仿宋" w:cs="仿宋"/>
          <w:b/>
          <w:bCs/>
          <w:color w:val="auto"/>
          <w:kern w:val="0"/>
          <w:sz w:val="28"/>
          <w:szCs w:val="28"/>
          <w:lang w:val="en-US" w:eastAsia="zh-CN" w:bidi="ar"/>
        </w:rPr>
        <w:t>（</w:t>
      </w:r>
      <w:r>
        <w:rPr>
          <w:rFonts w:hint="default" w:ascii="Times New Roman" w:hAnsi="Times New Roman" w:eastAsia="宋体" w:cs="Times New Roman"/>
          <w:b/>
          <w:bCs/>
          <w:color w:val="auto"/>
          <w:kern w:val="0"/>
          <w:sz w:val="28"/>
          <w:szCs w:val="28"/>
          <w:lang w:val="en-US" w:eastAsia="zh-CN" w:bidi="ar"/>
        </w:rPr>
        <w:t>4</w:t>
      </w:r>
      <w:r>
        <w:rPr>
          <w:rFonts w:hint="eastAsia" w:ascii="仿宋" w:hAnsi="仿宋" w:eastAsia="仿宋" w:cs="仿宋"/>
          <w:b/>
          <w:bCs/>
          <w:color w:val="auto"/>
          <w:kern w:val="0"/>
          <w:sz w:val="28"/>
          <w:szCs w:val="28"/>
          <w:lang w:val="en-US" w:eastAsia="zh-CN" w:bidi="ar"/>
        </w:rPr>
        <w:t>）土壤环境</w:t>
      </w:r>
    </w:p>
    <w:p>
      <w:pPr>
        <w:adjustRightInd w:val="0"/>
        <w:snapToGrid w:val="0"/>
        <w:spacing w:line="360" w:lineRule="auto"/>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根据《土壤环境质量建设用地土壤污染风险管控标准》（GB36600-2018</w:t>
      </w:r>
      <w:r>
        <w:rPr>
          <w:rFonts w:hint="eastAsia" w:ascii="Times New Roman" w:hAnsi="Times New Roman" w:eastAsia="仿宋" w:cs="Times New Roman"/>
          <w:color w:val="auto"/>
          <w:sz w:val="28"/>
          <w:szCs w:val="28"/>
          <w:lang w:val="en-US" w:eastAsia="zh-CN"/>
        </w:rPr>
        <w:t>）</w:t>
      </w:r>
      <w:r>
        <w:rPr>
          <w:rFonts w:hint="default" w:ascii="Times New Roman" w:hAnsi="Times New Roman" w:eastAsia="仿宋" w:cs="Times New Roman"/>
          <w:color w:val="auto"/>
          <w:sz w:val="28"/>
          <w:szCs w:val="28"/>
          <w:lang w:val="en-US" w:eastAsia="zh-CN"/>
        </w:rPr>
        <w:t>，本企业土壤环境执行筛选值第二类用地。</w:t>
      </w:r>
    </w:p>
    <w:p>
      <w:pPr>
        <w:keepNext w:val="0"/>
        <w:keepLines w:val="0"/>
        <w:widowControl/>
        <w:suppressLineNumbers w:val="0"/>
        <w:spacing w:line="360" w:lineRule="auto"/>
        <w:ind w:firstLine="622" w:firstLineChars="200"/>
        <w:jc w:val="left"/>
        <w:outlineLvl w:val="1"/>
        <w:rPr>
          <w:color w:val="auto"/>
        </w:rPr>
      </w:pPr>
      <w:bookmarkStart w:id="10" w:name="_Toc13596"/>
      <w:r>
        <w:rPr>
          <w:rFonts w:hint="default" w:ascii="Times New Roman" w:hAnsi="Times New Roman" w:eastAsia="宋体" w:cs="Times New Roman"/>
          <w:b/>
          <w:bCs/>
          <w:color w:val="auto"/>
          <w:kern w:val="0"/>
          <w:sz w:val="31"/>
          <w:szCs w:val="31"/>
          <w:lang w:val="en-US" w:eastAsia="zh-CN" w:bidi="ar"/>
        </w:rPr>
        <w:t>3.2</w:t>
      </w:r>
      <w:r>
        <w:rPr>
          <w:rFonts w:ascii="楷体" w:hAnsi="楷体" w:eastAsia="楷体" w:cs="楷体"/>
          <w:b/>
          <w:bCs/>
          <w:color w:val="auto"/>
          <w:kern w:val="0"/>
          <w:sz w:val="31"/>
          <w:szCs w:val="31"/>
          <w:lang w:val="en-US" w:eastAsia="zh-CN" w:bidi="ar"/>
        </w:rPr>
        <w:t>企业周边环境风险受体情况</w:t>
      </w:r>
      <w:bookmarkEnd w:id="10"/>
      <w:r>
        <w:rPr>
          <w:rFonts w:ascii="楷体" w:hAnsi="楷体" w:eastAsia="楷体" w:cs="楷体"/>
          <w:b/>
          <w:bCs/>
          <w:color w:val="auto"/>
          <w:kern w:val="0"/>
          <w:sz w:val="31"/>
          <w:szCs w:val="31"/>
          <w:lang w:val="en-US" w:eastAsia="zh-CN" w:bidi="ar"/>
        </w:rPr>
        <w:t xml:space="preserve"> </w:t>
      </w:r>
    </w:p>
    <w:p>
      <w:pPr>
        <w:keepNext w:val="0"/>
        <w:keepLines w:val="0"/>
        <w:widowControl/>
        <w:suppressLineNumbers w:val="0"/>
        <w:spacing w:line="360" w:lineRule="auto"/>
        <w:ind w:firstLine="562" w:firstLineChars="200"/>
        <w:jc w:val="left"/>
        <w:rPr>
          <w:color w:val="auto"/>
        </w:rPr>
      </w:pPr>
      <w:r>
        <w:rPr>
          <w:rFonts w:hint="default" w:ascii="Times New Roman" w:hAnsi="Times New Roman" w:eastAsia="宋体" w:cs="Times New Roman"/>
          <w:b/>
          <w:bCs/>
          <w:color w:val="auto"/>
          <w:kern w:val="0"/>
          <w:sz w:val="28"/>
          <w:szCs w:val="28"/>
          <w:lang w:val="en-US" w:eastAsia="zh-CN" w:bidi="ar"/>
        </w:rPr>
        <w:t>3.2.1</w:t>
      </w:r>
      <w:r>
        <w:rPr>
          <w:rFonts w:ascii="仿宋" w:hAnsi="仿宋" w:eastAsia="仿宋" w:cs="仿宋"/>
          <w:b/>
          <w:bCs/>
          <w:color w:val="auto"/>
          <w:kern w:val="0"/>
          <w:sz w:val="28"/>
          <w:szCs w:val="28"/>
          <w:lang w:val="en-US" w:eastAsia="zh-CN" w:bidi="ar"/>
        </w:rPr>
        <w:t>环境保护目标</w:t>
      </w:r>
    </w:p>
    <w:p>
      <w:pPr>
        <w:adjustRightInd w:val="0"/>
        <w:snapToGrid w:val="0"/>
        <w:spacing w:line="360" w:lineRule="auto"/>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经调查，企业周边无珍稀、濒危、保护类生态物种，也无文物古迹、风景名胜、自然保护区、饮用水源地保护区等敏感目标，项目环境保护目标见表3.2-1，企业周边环境受体分布情况见图2。</w:t>
      </w:r>
    </w:p>
    <w:p>
      <w:pPr>
        <w:keepNext w:val="0"/>
        <w:keepLines w:val="0"/>
        <w:widowControl/>
        <w:suppressLineNumbers w:val="0"/>
        <w:spacing w:line="360" w:lineRule="auto"/>
        <w:jc w:val="center"/>
        <w:rPr>
          <w:rFonts w:ascii="仿宋" w:hAnsi="仿宋" w:eastAsia="仿宋" w:cs="仿宋"/>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表</w:t>
      </w:r>
      <w:r>
        <w:rPr>
          <w:rFonts w:hint="default" w:ascii="Times New Roman" w:hAnsi="Times New Roman" w:eastAsia="宋体" w:cs="Times New Roman"/>
          <w:b/>
          <w:bCs/>
          <w:color w:val="auto"/>
          <w:kern w:val="0"/>
          <w:sz w:val="24"/>
          <w:szCs w:val="24"/>
          <w:lang w:val="en-US" w:eastAsia="zh-CN" w:bidi="ar"/>
        </w:rPr>
        <w:t>3.2-1</w:t>
      </w:r>
      <w:r>
        <w:rPr>
          <w:rFonts w:ascii="仿宋" w:hAnsi="仿宋" w:eastAsia="仿宋" w:cs="仿宋"/>
          <w:b/>
          <w:bCs/>
          <w:color w:val="auto"/>
          <w:kern w:val="0"/>
          <w:sz w:val="24"/>
          <w:szCs w:val="24"/>
          <w:lang w:val="en-US" w:eastAsia="zh-CN" w:bidi="ar"/>
        </w:rPr>
        <w:t>本企业周边敏感点分布表</w:t>
      </w:r>
    </w:p>
    <w:tbl>
      <w:tblPr>
        <w:tblStyle w:val="13"/>
        <w:tblW w:w="86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276"/>
        <w:gridCol w:w="1276"/>
        <w:gridCol w:w="944"/>
        <w:gridCol w:w="899"/>
        <w:gridCol w:w="30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noWrap w:val="0"/>
            <w:vAlign w:val="center"/>
          </w:tcPr>
          <w:p>
            <w:pPr>
              <w:spacing w:line="360" w:lineRule="auto"/>
              <w:ind w:firstLine="0" w:firstLineChars="0"/>
              <w:jc w:val="center"/>
              <w:rPr>
                <w:b/>
                <w:color w:val="auto"/>
                <w:sz w:val="24"/>
              </w:rPr>
            </w:pPr>
            <w:r>
              <w:rPr>
                <w:b/>
                <w:color w:val="auto"/>
                <w:sz w:val="24"/>
              </w:rPr>
              <w:t>环境要素</w:t>
            </w:r>
          </w:p>
        </w:tc>
        <w:tc>
          <w:tcPr>
            <w:tcW w:w="1276" w:type="dxa"/>
            <w:noWrap w:val="0"/>
            <w:vAlign w:val="center"/>
          </w:tcPr>
          <w:p>
            <w:pPr>
              <w:spacing w:line="360" w:lineRule="auto"/>
              <w:ind w:firstLine="120" w:firstLineChars="50"/>
              <w:rPr>
                <w:b/>
                <w:color w:val="auto"/>
                <w:sz w:val="24"/>
              </w:rPr>
            </w:pPr>
            <w:r>
              <w:rPr>
                <w:b/>
                <w:color w:val="auto"/>
                <w:sz w:val="24"/>
              </w:rPr>
              <w:t>敏感点</w:t>
            </w:r>
          </w:p>
        </w:tc>
        <w:tc>
          <w:tcPr>
            <w:tcW w:w="1276" w:type="dxa"/>
            <w:noWrap w:val="0"/>
            <w:vAlign w:val="center"/>
          </w:tcPr>
          <w:p>
            <w:pPr>
              <w:spacing w:line="360" w:lineRule="auto"/>
              <w:ind w:firstLine="0" w:firstLineChars="0"/>
              <w:jc w:val="center"/>
              <w:rPr>
                <w:b/>
                <w:color w:val="auto"/>
                <w:sz w:val="24"/>
              </w:rPr>
            </w:pPr>
            <w:r>
              <w:rPr>
                <w:b/>
                <w:color w:val="auto"/>
                <w:sz w:val="24"/>
              </w:rPr>
              <w:t>规模（人）</w:t>
            </w:r>
          </w:p>
        </w:tc>
        <w:tc>
          <w:tcPr>
            <w:tcW w:w="944" w:type="dxa"/>
            <w:noWrap w:val="0"/>
            <w:vAlign w:val="center"/>
          </w:tcPr>
          <w:p>
            <w:pPr>
              <w:spacing w:line="360" w:lineRule="auto"/>
              <w:ind w:firstLine="120" w:firstLineChars="50"/>
              <w:rPr>
                <w:b/>
                <w:color w:val="auto"/>
                <w:sz w:val="24"/>
              </w:rPr>
            </w:pPr>
            <w:r>
              <w:rPr>
                <w:b/>
                <w:color w:val="auto"/>
                <w:sz w:val="24"/>
              </w:rPr>
              <w:t>方位</w:t>
            </w:r>
          </w:p>
        </w:tc>
        <w:tc>
          <w:tcPr>
            <w:tcW w:w="899" w:type="dxa"/>
            <w:noWrap w:val="0"/>
            <w:vAlign w:val="center"/>
          </w:tcPr>
          <w:p>
            <w:pPr>
              <w:spacing w:line="360" w:lineRule="auto"/>
              <w:ind w:firstLine="0" w:firstLineChars="0"/>
              <w:jc w:val="center"/>
              <w:rPr>
                <w:b/>
                <w:color w:val="auto"/>
                <w:sz w:val="24"/>
              </w:rPr>
            </w:pPr>
            <w:r>
              <w:rPr>
                <w:b/>
                <w:color w:val="auto"/>
                <w:sz w:val="24"/>
              </w:rPr>
              <w:t>距离（m）</w:t>
            </w:r>
          </w:p>
        </w:tc>
        <w:tc>
          <w:tcPr>
            <w:tcW w:w="3001" w:type="dxa"/>
            <w:noWrap w:val="0"/>
            <w:vAlign w:val="center"/>
          </w:tcPr>
          <w:p>
            <w:pPr>
              <w:spacing w:line="360" w:lineRule="auto"/>
              <w:ind w:firstLine="482"/>
              <w:jc w:val="center"/>
              <w:rPr>
                <w:b/>
                <w:color w:val="auto"/>
                <w:sz w:val="24"/>
              </w:rPr>
            </w:pPr>
            <w:r>
              <w:rPr>
                <w:b/>
                <w:color w:val="auto"/>
                <w:sz w:val="24"/>
              </w:rPr>
              <w:t>敏感性质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vMerge w:val="restart"/>
            <w:noWrap w:val="0"/>
            <w:vAlign w:val="center"/>
          </w:tcPr>
          <w:p>
            <w:pPr>
              <w:spacing w:line="360" w:lineRule="auto"/>
              <w:ind w:firstLine="0" w:firstLineChars="0"/>
              <w:jc w:val="center"/>
              <w:rPr>
                <w:color w:val="auto"/>
                <w:sz w:val="24"/>
              </w:rPr>
            </w:pPr>
            <w:r>
              <w:rPr>
                <w:color w:val="auto"/>
                <w:sz w:val="24"/>
              </w:rPr>
              <w:t>空气环境</w:t>
            </w:r>
          </w:p>
        </w:tc>
        <w:tc>
          <w:tcPr>
            <w:tcW w:w="1276" w:type="dxa"/>
            <w:noWrap w:val="0"/>
            <w:vAlign w:val="center"/>
          </w:tcPr>
          <w:p>
            <w:pPr>
              <w:spacing w:line="360" w:lineRule="auto"/>
              <w:ind w:firstLine="0" w:firstLineChars="0"/>
              <w:jc w:val="center"/>
              <w:rPr>
                <w:color w:val="auto"/>
                <w:sz w:val="24"/>
              </w:rPr>
            </w:pPr>
            <w:r>
              <w:rPr>
                <w:color w:val="auto"/>
                <w:sz w:val="24"/>
              </w:rPr>
              <w:t>正阳中学</w:t>
            </w:r>
          </w:p>
        </w:tc>
        <w:tc>
          <w:tcPr>
            <w:tcW w:w="1276" w:type="dxa"/>
            <w:noWrap w:val="0"/>
            <w:vAlign w:val="center"/>
          </w:tcPr>
          <w:p>
            <w:pPr>
              <w:spacing w:line="360" w:lineRule="auto"/>
              <w:ind w:firstLine="0" w:firstLineChars="0"/>
              <w:jc w:val="center"/>
              <w:rPr>
                <w:color w:val="auto"/>
                <w:sz w:val="24"/>
              </w:rPr>
            </w:pPr>
            <w:r>
              <w:rPr>
                <w:color w:val="auto"/>
                <w:sz w:val="24"/>
              </w:rPr>
              <w:t>650人</w:t>
            </w:r>
          </w:p>
        </w:tc>
        <w:tc>
          <w:tcPr>
            <w:tcW w:w="944" w:type="dxa"/>
            <w:noWrap w:val="0"/>
            <w:vAlign w:val="center"/>
          </w:tcPr>
          <w:p>
            <w:pPr>
              <w:spacing w:line="360" w:lineRule="auto"/>
              <w:ind w:firstLine="0" w:firstLineChars="0"/>
              <w:jc w:val="center"/>
              <w:rPr>
                <w:rFonts w:hint="eastAsia" w:eastAsiaTheme="minorEastAsia"/>
                <w:color w:val="auto"/>
                <w:sz w:val="24"/>
                <w:lang w:eastAsia="zh-CN"/>
              </w:rPr>
            </w:pPr>
            <w:r>
              <w:rPr>
                <w:rFonts w:hint="eastAsia"/>
                <w:color w:val="auto"/>
                <w:sz w:val="24"/>
                <w:lang w:eastAsia="zh-CN"/>
              </w:rPr>
              <w:t>西北侧</w:t>
            </w:r>
          </w:p>
        </w:tc>
        <w:tc>
          <w:tcPr>
            <w:tcW w:w="899" w:type="dxa"/>
            <w:noWrap w:val="0"/>
            <w:vAlign w:val="center"/>
          </w:tcPr>
          <w:p>
            <w:pPr>
              <w:spacing w:line="360" w:lineRule="auto"/>
              <w:ind w:firstLine="0" w:firstLineChars="0"/>
              <w:jc w:val="center"/>
              <w:rPr>
                <w:color w:val="auto"/>
                <w:sz w:val="24"/>
              </w:rPr>
            </w:pPr>
            <w:r>
              <w:rPr>
                <w:color w:val="auto"/>
                <w:sz w:val="24"/>
              </w:rPr>
              <w:t>410</w:t>
            </w:r>
          </w:p>
        </w:tc>
        <w:tc>
          <w:tcPr>
            <w:tcW w:w="3001" w:type="dxa"/>
            <w:vMerge w:val="restart"/>
            <w:noWrap w:val="0"/>
            <w:vAlign w:val="center"/>
          </w:tcPr>
          <w:p>
            <w:pPr>
              <w:pStyle w:val="8"/>
              <w:spacing w:before="100" w:beforeAutospacing="1" w:line="360" w:lineRule="auto"/>
              <w:ind w:right="-105" w:rightChars="-50" w:firstLine="0" w:firstLineChars="0"/>
              <w:jc w:val="center"/>
              <w:rPr>
                <w:rFonts w:ascii="Times New Roman" w:hAnsi="Times New Roman" w:cs="Times New Roman"/>
                <w:color w:val="auto"/>
                <w:sz w:val="24"/>
                <w:szCs w:val="24"/>
              </w:rPr>
            </w:pPr>
            <w:r>
              <w:rPr>
                <w:rFonts w:ascii="Times New Roman" w:hAnsi="Times New Roman" w:cs="Times New Roman"/>
                <w:color w:val="auto"/>
                <w:sz w:val="24"/>
                <w:szCs w:val="24"/>
              </w:rPr>
              <w:t>《环境空气质量标准》（GB3095-2012）二级标准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vMerge w:val="continue"/>
            <w:noWrap w:val="0"/>
            <w:vAlign w:val="center"/>
          </w:tcPr>
          <w:p>
            <w:pPr>
              <w:spacing w:line="360" w:lineRule="auto"/>
              <w:ind w:firstLine="0" w:firstLineChars="0"/>
              <w:jc w:val="center"/>
              <w:rPr>
                <w:color w:val="auto"/>
                <w:sz w:val="24"/>
              </w:rPr>
            </w:pPr>
          </w:p>
        </w:tc>
        <w:tc>
          <w:tcPr>
            <w:tcW w:w="1276" w:type="dxa"/>
            <w:noWrap w:val="0"/>
            <w:vAlign w:val="center"/>
          </w:tcPr>
          <w:p>
            <w:pPr>
              <w:spacing w:line="360" w:lineRule="auto"/>
              <w:ind w:firstLine="0" w:firstLineChars="0"/>
              <w:jc w:val="center"/>
              <w:rPr>
                <w:color w:val="auto"/>
                <w:sz w:val="24"/>
              </w:rPr>
            </w:pPr>
            <w:r>
              <w:rPr>
                <w:color w:val="auto"/>
                <w:sz w:val="24"/>
              </w:rPr>
              <w:t>李村</w:t>
            </w:r>
          </w:p>
        </w:tc>
        <w:tc>
          <w:tcPr>
            <w:tcW w:w="1276" w:type="dxa"/>
            <w:noWrap w:val="0"/>
            <w:vAlign w:val="center"/>
          </w:tcPr>
          <w:p>
            <w:pPr>
              <w:spacing w:line="360" w:lineRule="auto"/>
              <w:ind w:firstLine="0" w:firstLineChars="0"/>
              <w:jc w:val="center"/>
              <w:rPr>
                <w:color w:val="auto"/>
                <w:sz w:val="24"/>
              </w:rPr>
            </w:pPr>
            <w:r>
              <w:rPr>
                <w:color w:val="auto"/>
                <w:sz w:val="24"/>
              </w:rPr>
              <w:t>65户</w:t>
            </w:r>
          </w:p>
        </w:tc>
        <w:tc>
          <w:tcPr>
            <w:tcW w:w="944" w:type="dxa"/>
            <w:noWrap w:val="0"/>
            <w:vAlign w:val="center"/>
          </w:tcPr>
          <w:p>
            <w:pPr>
              <w:spacing w:line="360" w:lineRule="auto"/>
              <w:ind w:firstLine="0" w:firstLineChars="0"/>
              <w:jc w:val="center"/>
              <w:rPr>
                <w:rFonts w:hint="eastAsia" w:eastAsiaTheme="minorEastAsia"/>
                <w:color w:val="auto"/>
                <w:sz w:val="24"/>
                <w:lang w:eastAsia="zh-CN"/>
              </w:rPr>
            </w:pPr>
            <w:r>
              <w:rPr>
                <w:rFonts w:hint="eastAsia"/>
                <w:color w:val="auto"/>
                <w:sz w:val="24"/>
                <w:lang w:eastAsia="zh-CN"/>
              </w:rPr>
              <w:t>东北侧</w:t>
            </w:r>
          </w:p>
        </w:tc>
        <w:tc>
          <w:tcPr>
            <w:tcW w:w="899" w:type="dxa"/>
            <w:noWrap w:val="0"/>
            <w:vAlign w:val="center"/>
          </w:tcPr>
          <w:p>
            <w:pPr>
              <w:spacing w:line="360" w:lineRule="auto"/>
              <w:ind w:firstLine="0" w:firstLineChars="0"/>
              <w:jc w:val="center"/>
              <w:rPr>
                <w:color w:val="auto"/>
                <w:sz w:val="24"/>
              </w:rPr>
            </w:pPr>
            <w:r>
              <w:rPr>
                <w:color w:val="auto"/>
                <w:sz w:val="24"/>
              </w:rPr>
              <w:t>510</w:t>
            </w:r>
          </w:p>
        </w:tc>
        <w:tc>
          <w:tcPr>
            <w:tcW w:w="3001" w:type="dxa"/>
            <w:vMerge w:val="continue"/>
            <w:noWrap w:val="0"/>
            <w:vAlign w:val="center"/>
          </w:tcPr>
          <w:p>
            <w:pPr>
              <w:pStyle w:val="8"/>
              <w:spacing w:before="100" w:beforeAutospacing="1" w:line="360" w:lineRule="auto"/>
              <w:ind w:left="-105" w:leftChars="-50" w:right="-105" w:rightChars="-50" w:firstLine="480"/>
              <w:jc w:val="center"/>
              <w:rPr>
                <w:rFonts w:ascii="Times New Roman" w:hAnsi="Times New Roman" w:cs="Times New Roman"/>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43" w:type="dxa"/>
            <w:vMerge w:val="continue"/>
            <w:noWrap w:val="0"/>
            <w:vAlign w:val="center"/>
          </w:tcPr>
          <w:p>
            <w:pPr>
              <w:spacing w:line="360" w:lineRule="auto"/>
              <w:ind w:firstLine="0" w:firstLineChars="0"/>
              <w:jc w:val="center"/>
              <w:rPr>
                <w:color w:val="auto"/>
                <w:sz w:val="24"/>
              </w:rPr>
            </w:pPr>
          </w:p>
        </w:tc>
        <w:tc>
          <w:tcPr>
            <w:tcW w:w="1276" w:type="dxa"/>
            <w:noWrap w:val="0"/>
            <w:vAlign w:val="center"/>
          </w:tcPr>
          <w:p>
            <w:pPr>
              <w:spacing w:line="360" w:lineRule="auto"/>
              <w:ind w:firstLine="0" w:firstLineChars="0"/>
              <w:jc w:val="center"/>
              <w:rPr>
                <w:color w:val="auto"/>
                <w:sz w:val="24"/>
              </w:rPr>
            </w:pPr>
            <w:r>
              <w:rPr>
                <w:color w:val="auto"/>
                <w:sz w:val="24"/>
              </w:rPr>
              <w:t>肖家村</w:t>
            </w:r>
          </w:p>
        </w:tc>
        <w:tc>
          <w:tcPr>
            <w:tcW w:w="1276" w:type="dxa"/>
            <w:noWrap w:val="0"/>
            <w:vAlign w:val="center"/>
          </w:tcPr>
          <w:p>
            <w:pPr>
              <w:spacing w:line="360" w:lineRule="auto"/>
              <w:ind w:firstLine="0" w:firstLineChars="0"/>
              <w:jc w:val="center"/>
              <w:rPr>
                <w:color w:val="auto"/>
                <w:sz w:val="24"/>
              </w:rPr>
            </w:pPr>
            <w:r>
              <w:rPr>
                <w:color w:val="auto"/>
                <w:sz w:val="24"/>
              </w:rPr>
              <w:t>77户</w:t>
            </w:r>
          </w:p>
        </w:tc>
        <w:tc>
          <w:tcPr>
            <w:tcW w:w="944" w:type="dxa"/>
            <w:noWrap w:val="0"/>
            <w:vAlign w:val="center"/>
          </w:tcPr>
          <w:p>
            <w:pPr>
              <w:spacing w:line="360" w:lineRule="auto"/>
              <w:ind w:firstLine="0" w:firstLineChars="0"/>
              <w:jc w:val="center"/>
              <w:rPr>
                <w:rFonts w:hint="eastAsia" w:eastAsiaTheme="minorEastAsia"/>
                <w:color w:val="auto"/>
                <w:sz w:val="24"/>
                <w:lang w:eastAsia="zh-CN"/>
              </w:rPr>
            </w:pPr>
            <w:r>
              <w:rPr>
                <w:rFonts w:hint="eastAsia"/>
                <w:color w:val="auto"/>
                <w:sz w:val="24"/>
                <w:lang w:eastAsia="zh-CN"/>
              </w:rPr>
              <w:t>东侧</w:t>
            </w:r>
          </w:p>
        </w:tc>
        <w:tc>
          <w:tcPr>
            <w:tcW w:w="899" w:type="dxa"/>
            <w:noWrap w:val="0"/>
            <w:vAlign w:val="center"/>
          </w:tcPr>
          <w:p>
            <w:pPr>
              <w:spacing w:line="360" w:lineRule="auto"/>
              <w:ind w:firstLine="0" w:firstLineChars="0"/>
              <w:jc w:val="center"/>
              <w:rPr>
                <w:color w:val="auto"/>
                <w:sz w:val="24"/>
              </w:rPr>
            </w:pPr>
            <w:r>
              <w:rPr>
                <w:color w:val="auto"/>
                <w:sz w:val="24"/>
              </w:rPr>
              <w:t>380</w:t>
            </w:r>
          </w:p>
        </w:tc>
        <w:tc>
          <w:tcPr>
            <w:tcW w:w="3001" w:type="dxa"/>
            <w:vMerge w:val="continue"/>
            <w:noWrap w:val="0"/>
            <w:vAlign w:val="center"/>
          </w:tcPr>
          <w:p>
            <w:pPr>
              <w:pStyle w:val="8"/>
              <w:spacing w:before="100" w:beforeAutospacing="1" w:line="360" w:lineRule="auto"/>
              <w:ind w:left="-105" w:leftChars="-50" w:right="-105" w:rightChars="-50" w:firstLine="480"/>
              <w:jc w:val="center"/>
              <w:rPr>
                <w:rFonts w:ascii="Times New Roman" w:hAnsi="Times New Roman" w:cs="Times New Roman"/>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noWrap w:val="0"/>
            <w:vAlign w:val="center"/>
          </w:tcPr>
          <w:p>
            <w:pPr>
              <w:widowControl/>
              <w:spacing w:before="100" w:beforeAutospacing="1" w:line="360" w:lineRule="auto"/>
              <w:ind w:firstLine="0" w:firstLineChars="0"/>
              <w:jc w:val="center"/>
              <w:rPr>
                <w:rFonts w:eastAsia="宋体"/>
                <w:color w:val="auto"/>
                <w:sz w:val="24"/>
              </w:rPr>
            </w:pPr>
            <w:r>
              <w:rPr>
                <w:color w:val="auto"/>
                <w:sz w:val="24"/>
              </w:rPr>
              <w:t>地表水</w:t>
            </w:r>
          </w:p>
        </w:tc>
        <w:tc>
          <w:tcPr>
            <w:tcW w:w="1276" w:type="dxa"/>
            <w:noWrap w:val="0"/>
            <w:vAlign w:val="center"/>
          </w:tcPr>
          <w:p>
            <w:pPr>
              <w:spacing w:line="360" w:lineRule="auto"/>
              <w:ind w:firstLine="0" w:firstLineChars="0"/>
              <w:jc w:val="center"/>
              <w:rPr>
                <w:color w:val="auto"/>
                <w:sz w:val="24"/>
              </w:rPr>
            </w:pPr>
            <w:r>
              <w:rPr>
                <w:color w:val="auto"/>
                <w:sz w:val="24"/>
              </w:rPr>
              <w:t>渭河</w:t>
            </w:r>
          </w:p>
        </w:tc>
        <w:tc>
          <w:tcPr>
            <w:tcW w:w="1276" w:type="dxa"/>
            <w:noWrap w:val="0"/>
            <w:vAlign w:val="center"/>
          </w:tcPr>
          <w:p>
            <w:pPr>
              <w:spacing w:line="360" w:lineRule="auto"/>
              <w:ind w:firstLine="0" w:firstLineChars="0"/>
              <w:jc w:val="center"/>
              <w:rPr>
                <w:color w:val="auto"/>
                <w:sz w:val="24"/>
              </w:rPr>
            </w:pPr>
            <w:r>
              <w:rPr>
                <w:color w:val="auto"/>
                <w:sz w:val="24"/>
              </w:rPr>
              <w:t>/</w:t>
            </w:r>
          </w:p>
        </w:tc>
        <w:tc>
          <w:tcPr>
            <w:tcW w:w="944" w:type="dxa"/>
            <w:noWrap w:val="0"/>
            <w:vAlign w:val="center"/>
          </w:tcPr>
          <w:p>
            <w:pPr>
              <w:spacing w:line="360" w:lineRule="auto"/>
              <w:ind w:firstLine="0" w:firstLineChars="0"/>
              <w:jc w:val="center"/>
              <w:rPr>
                <w:color w:val="auto"/>
                <w:sz w:val="24"/>
              </w:rPr>
            </w:pPr>
            <w:r>
              <w:rPr>
                <w:color w:val="auto"/>
                <w:sz w:val="24"/>
              </w:rPr>
              <w:t>项目南侧</w:t>
            </w:r>
          </w:p>
        </w:tc>
        <w:tc>
          <w:tcPr>
            <w:tcW w:w="899" w:type="dxa"/>
            <w:noWrap w:val="0"/>
            <w:vAlign w:val="center"/>
          </w:tcPr>
          <w:p>
            <w:pPr>
              <w:spacing w:line="360" w:lineRule="auto"/>
              <w:ind w:firstLine="0" w:firstLineChars="0"/>
              <w:jc w:val="center"/>
              <w:rPr>
                <w:color w:val="auto"/>
                <w:sz w:val="24"/>
              </w:rPr>
            </w:pPr>
            <w:r>
              <w:rPr>
                <w:color w:val="auto"/>
                <w:sz w:val="24"/>
              </w:rPr>
              <w:t>1000m</w:t>
            </w:r>
          </w:p>
        </w:tc>
        <w:tc>
          <w:tcPr>
            <w:tcW w:w="3001" w:type="dxa"/>
            <w:noWrap w:val="0"/>
            <w:vAlign w:val="center"/>
          </w:tcPr>
          <w:p>
            <w:pPr>
              <w:spacing w:line="360" w:lineRule="auto"/>
              <w:ind w:firstLine="0" w:firstLineChars="0"/>
              <w:jc w:val="center"/>
              <w:rPr>
                <w:color w:val="auto"/>
                <w:sz w:val="24"/>
              </w:rPr>
            </w:pPr>
            <w:r>
              <w:rPr>
                <w:color w:val="auto"/>
                <w:sz w:val="24"/>
              </w:rPr>
              <w:t>《地表水环境质量标准》（GB3838-2002）</w:t>
            </w:r>
          </w:p>
          <w:p>
            <w:pPr>
              <w:spacing w:line="360" w:lineRule="auto"/>
              <w:ind w:firstLine="0" w:firstLineChars="0"/>
              <w:jc w:val="center"/>
              <w:rPr>
                <w:color w:val="auto"/>
                <w:sz w:val="24"/>
              </w:rPr>
            </w:pPr>
            <w:r>
              <w:rPr>
                <w:color w:val="auto"/>
                <w:sz w:val="24"/>
              </w:rPr>
              <w:t>Ⅳ类标准</w:t>
            </w:r>
          </w:p>
        </w:tc>
      </w:tr>
    </w:tbl>
    <w:p>
      <w:pPr>
        <w:pStyle w:val="5"/>
        <w:bidi w:val="0"/>
        <w:spacing w:line="360" w:lineRule="auto"/>
        <w:ind w:firstLine="602" w:firstLineChars="200"/>
        <w:rPr>
          <w:rFonts w:hint="default"/>
          <w:color w:val="auto"/>
        </w:rPr>
      </w:pPr>
      <w:r>
        <w:rPr>
          <w:rFonts w:hint="default"/>
          <w:color w:val="auto"/>
        </w:rPr>
        <w:t>3.2.2水环境保护目标</w:t>
      </w:r>
    </w:p>
    <w:p>
      <w:pPr>
        <w:bidi w:val="0"/>
        <w:spacing w:line="360" w:lineRule="auto"/>
        <w:ind w:firstLine="560" w:firstLineChars="200"/>
        <w:rPr>
          <w:rFonts w:hint="default" w:ascii="Times New Roman" w:hAnsi="Times New Roman" w:eastAsia="仿宋" w:cs="仿宋"/>
          <w:color w:val="auto"/>
          <w:sz w:val="28"/>
        </w:rPr>
      </w:pPr>
      <w:r>
        <w:rPr>
          <w:rFonts w:hint="default" w:ascii="Times New Roman" w:hAnsi="Times New Roman" w:eastAsia="仿宋" w:cs="仿宋"/>
          <w:color w:val="auto"/>
          <w:sz w:val="28"/>
        </w:rPr>
        <w:t>（</w:t>
      </w:r>
      <w:r>
        <w:rPr>
          <w:rFonts w:hint="eastAsia" w:ascii="Times New Roman" w:hAnsi="Times New Roman" w:eastAsia="仿宋" w:cs="仿宋"/>
          <w:color w:val="auto"/>
          <w:sz w:val="28"/>
          <w:lang w:val="en-US" w:eastAsia="zh-CN"/>
        </w:rPr>
        <w:t>1</w:t>
      </w:r>
      <w:r>
        <w:rPr>
          <w:rFonts w:hint="default" w:ascii="Times New Roman" w:hAnsi="Times New Roman" w:eastAsia="仿宋" w:cs="仿宋"/>
          <w:color w:val="auto"/>
          <w:sz w:val="28"/>
        </w:rPr>
        <w:t>）企业污水排放去向见表3.2-</w:t>
      </w:r>
      <w:r>
        <w:rPr>
          <w:rFonts w:hint="eastAsia" w:ascii="Times New Roman" w:hAnsi="Times New Roman" w:eastAsia="仿宋" w:cs="仿宋"/>
          <w:color w:val="auto"/>
          <w:sz w:val="28"/>
          <w:lang w:val="en-US" w:eastAsia="zh-CN"/>
        </w:rPr>
        <w:t>2</w:t>
      </w:r>
      <w:r>
        <w:rPr>
          <w:rFonts w:hint="default" w:ascii="Times New Roman" w:hAnsi="Times New Roman" w:eastAsia="仿宋" w:cs="仿宋"/>
          <w:color w:val="auto"/>
          <w:sz w:val="28"/>
        </w:rPr>
        <w:t>。</w:t>
      </w:r>
    </w:p>
    <w:p>
      <w:pPr>
        <w:pStyle w:val="17"/>
        <w:spacing w:line="360" w:lineRule="auto"/>
        <w:jc w:val="center"/>
        <w:rPr>
          <w:rFonts w:eastAsia="仿宋"/>
          <w:b/>
          <w:bCs/>
          <w:color w:val="auto"/>
          <w:sz w:val="24"/>
        </w:rPr>
      </w:pPr>
      <w:r>
        <w:rPr>
          <w:rFonts w:eastAsia="仿宋"/>
          <w:b/>
          <w:bCs/>
          <w:color w:val="auto"/>
          <w:sz w:val="24"/>
        </w:rPr>
        <w:t>表3.2-</w:t>
      </w:r>
      <w:r>
        <w:rPr>
          <w:rFonts w:hint="eastAsia" w:eastAsia="仿宋"/>
          <w:b/>
          <w:bCs/>
          <w:color w:val="auto"/>
          <w:sz w:val="24"/>
          <w:lang w:val="en-US" w:eastAsia="zh-CN"/>
        </w:rPr>
        <w:t>2</w:t>
      </w:r>
      <w:r>
        <w:rPr>
          <w:rFonts w:eastAsia="仿宋"/>
          <w:b/>
          <w:bCs/>
          <w:color w:val="auto"/>
          <w:sz w:val="24"/>
        </w:rPr>
        <w:t>企业污水排放去向</w:t>
      </w:r>
    </w:p>
    <w:tbl>
      <w:tblPr>
        <w:tblStyle w:val="13"/>
        <w:tblW w:w="85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28" w:type="dxa"/>
          <w:bottom w:w="57" w:type="dxa"/>
          <w:right w:w="28" w:type="dxa"/>
        </w:tblCellMar>
      </w:tblPr>
      <w:tblGrid>
        <w:gridCol w:w="699"/>
        <w:gridCol w:w="697"/>
        <w:gridCol w:w="709"/>
        <w:gridCol w:w="4536"/>
        <w:gridCol w:w="850"/>
        <w:gridCol w:w="10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28" w:type="dxa"/>
            <w:bottom w:w="57" w:type="dxa"/>
            <w:right w:w="28" w:type="dxa"/>
          </w:tblCellMar>
        </w:tblPrEx>
        <w:trPr>
          <w:trHeight w:val="266" w:hRule="atLeast"/>
          <w:jc w:val="center"/>
        </w:trPr>
        <w:tc>
          <w:tcPr>
            <w:tcW w:w="699" w:type="dxa"/>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rPr>
            </w:pPr>
            <w:r>
              <w:rPr>
                <w:rFonts w:ascii="Times New Roman" w:hAnsi="Times New Roman" w:eastAsia="仿宋" w:cs="Times New Roman"/>
                <w:b/>
                <w:bCs/>
                <w:color w:val="auto"/>
                <w:sz w:val="24"/>
              </w:rPr>
              <w:t>序号</w:t>
            </w:r>
          </w:p>
        </w:tc>
        <w:tc>
          <w:tcPr>
            <w:tcW w:w="697" w:type="dxa"/>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rPr>
            </w:pPr>
            <w:r>
              <w:rPr>
                <w:rFonts w:ascii="Times New Roman" w:hAnsi="Times New Roman" w:eastAsia="仿宋" w:cs="Times New Roman"/>
                <w:b/>
                <w:bCs/>
                <w:color w:val="auto"/>
                <w:sz w:val="24"/>
              </w:rPr>
              <w:t>污水类型</w:t>
            </w:r>
          </w:p>
        </w:tc>
        <w:tc>
          <w:tcPr>
            <w:tcW w:w="709" w:type="dxa"/>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rPr>
            </w:pPr>
            <w:r>
              <w:rPr>
                <w:rFonts w:ascii="Times New Roman" w:hAnsi="Times New Roman" w:eastAsia="仿宋" w:cs="Times New Roman"/>
                <w:b/>
                <w:bCs/>
                <w:color w:val="auto"/>
                <w:sz w:val="24"/>
              </w:rPr>
              <w:t>污染物</w:t>
            </w:r>
          </w:p>
        </w:tc>
        <w:tc>
          <w:tcPr>
            <w:tcW w:w="4536" w:type="dxa"/>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rPr>
            </w:pPr>
            <w:r>
              <w:rPr>
                <w:rFonts w:ascii="Times New Roman" w:hAnsi="Times New Roman" w:eastAsia="仿宋" w:cs="Times New Roman"/>
                <w:b/>
                <w:bCs/>
                <w:color w:val="auto"/>
                <w:sz w:val="24"/>
              </w:rPr>
              <w:t>处理措施</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rPr>
            </w:pPr>
            <w:r>
              <w:rPr>
                <w:rFonts w:ascii="Times New Roman" w:hAnsi="Times New Roman" w:eastAsia="仿宋" w:cs="Times New Roman"/>
                <w:b/>
                <w:bCs/>
                <w:color w:val="auto"/>
                <w:sz w:val="24"/>
              </w:rPr>
              <w:t>最终排入河流</w:t>
            </w:r>
          </w:p>
        </w:tc>
        <w:tc>
          <w:tcPr>
            <w:tcW w:w="1049" w:type="dxa"/>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rPr>
            </w:pPr>
            <w:r>
              <w:rPr>
                <w:rFonts w:ascii="Times New Roman" w:hAnsi="Times New Roman" w:eastAsia="仿宋" w:cs="Times New Roman"/>
                <w:b/>
                <w:bCs/>
                <w:color w:val="auto"/>
                <w:sz w:val="24"/>
              </w:rPr>
              <w:t>下游10km环境受体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28" w:type="dxa"/>
            <w:bottom w:w="57" w:type="dxa"/>
            <w:right w:w="28" w:type="dxa"/>
          </w:tblCellMar>
        </w:tblPrEx>
        <w:trPr>
          <w:trHeight w:val="949" w:hRule="atLeast"/>
          <w:jc w:val="center"/>
        </w:trPr>
        <w:tc>
          <w:tcPr>
            <w:tcW w:w="699"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w:t>
            </w:r>
          </w:p>
        </w:tc>
        <w:tc>
          <w:tcPr>
            <w:tcW w:w="69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废水</w:t>
            </w:r>
          </w:p>
        </w:tc>
        <w:tc>
          <w:tcPr>
            <w:tcW w:w="709"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洗涤废水和生活污水</w:t>
            </w:r>
          </w:p>
        </w:tc>
        <w:tc>
          <w:tcPr>
            <w:tcW w:w="4536" w:type="dxa"/>
            <w:noWrap w:val="0"/>
            <w:vAlign w:val="center"/>
          </w:tcPr>
          <w:p>
            <w:pPr>
              <w:adjustRightInd w:val="0"/>
              <w:snapToGrid w:val="0"/>
              <w:spacing w:line="360" w:lineRule="auto"/>
              <w:ind w:firstLine="0" w:firstLineChars="0"/>
              <w:jc w:val="left"/>
              <w:rPr>
                <w:rFonts w:ascii="Times New Roman" w:hAnsi="Times New Roman" w:eastAsia="仿宋" w:cs="Times New Roman"/>
                <w:color w:val="auto"/>
                <w:sz w:val="24"/>
              </w:rPr>
            </w:pPr>
            <w:r>
              <w:rPr>
                <w:rFonts w:ascii="Times New Roman" w:hAnsi="Times New Roman" w:eastAsia="仿宋" w:cs="Times New Roman"/>
                <w:color w:val="auto"/>
                <w:kern w:val="0"/>
                <w:sz w:val="24"/>
              </w:rPr>
              <w:t>洗涤废水经自建的污水处理站处理后,75%的废水经净化消毒后回用，25%的水处理后排放；生活污水依托陕西汇杰新能源科技有限公司化粪池处理后汇至总排口排放；锅炉软化器排水属清净下水，直接经厂区管道汇至总排口，最终进入秦汉新城朝阳污水处理厂</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渭河</w:t>
            </w:r>
          </w:p>
        </w:tc>
        <w:tc>
          <w:tcPr>
            <w:tcW w:w="1049" w:type="dxa"/>
            <w:noWrap w:val="0"/>
            <w:vAlign w:val="center"/>
          </w:tcPr>
          <w:p>
            <w:pPr>
              <w:adjustRightInd w:val="0"/>
              <w:snapToGrid w:val="0"/>
              <w:spacing w:line="360" w:lineRule="auto"/>
              <w:jc w:val="center"/>
              <w:rPr>
                <w:rFonts w:ascii="Times New Roman" w:hAnsi="Times New Roman" w:eastAsia="仿宋" w:cs="Times New Roman"/>
                <w:color w:val="auto"/>
                <w:sz w:val="24"/>
              </w:rPr>
            </w:pPr>
            <w:r>
              <w:rPr>
                <w:rFonts w:ascii="Times New Roman" w:hAnsi="Times New Roman" w:eastAsia="仿宋" w:cs="Times New Roman"/>
                <w:color w:val="auto"/>
                <w:sz w:val="24"/>
              </w:rPr>
              <w:t>居民区、工厂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28" w:type="dxa"/>
            <w:bottom w:w="57" w:type="dxa"/>
            <w:right w:w="28" w:type="dxa"/>
          </w:tblCellMar>
        </w:tblPrEx>
        <w:trPr>
          <w:trHeight w:val="531" w:hRule="atLeast"/>
          <w:jc w:val="center"/>
        </w:trPr>
        <w:tc>
          <w:tcPr>
            <w:tcW w:w="699"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2</w:t>
            </w:r>
          </w:p>
        </w:tc>
        <w:tc>
          <w:tcPr>
            <w:tcW w:w="69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雨水</w:t>
            </w:r>
          </w:p>
        </w:tc>
        <w:tc>
          <w:tcPr>
            <w:tcW w:w="709"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漂浮物</w:t>
            </w:r>
          </w:p>
        </w:tc>
        <w:tc>
          <w:tcPr>
            <w:tcW w:w="4536"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项目排水采用雨污分流制</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1049"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居民区、工厂</w:t>
            </w:r>
          </w:p>
        </w:tc>
      </w:tr>
    </w:tbl>
    <w:p>
      <w:pPr>
        <w:pStyle w:val="4"/>
        <w:bidi w:val="0"/>
        <w:spacing w:line="360" w:lineRule="auto"/>
        <w:ind w:firstLine="643" w:firstLineChars="200"/>
        <w:rPr>
          <w:rFonts w:hint="default"/>
          <w:color w:val="auto"/>
        </w:rPr>
      </w:pPr>
      <w:bookmarkStart w:id="11" w:name="_Toc21464"/>
      <w:bookmarkStart w:id="12" w:name="_Toc31001"/>
      <w:r>
        <w:rPr>
          <w:rFonts w:hint="default"/>
          <w:color w:val="auto"/>
        </w:rPr>
        <w:t>3.3涉及环境风险物质情况</w:t>
      </w:r>
      <w:bookmarkEnd w:id="11"/>
      <w:bookmarkEnd w:id="12"/>
    </w:p>
    <w:p>
      <w:pPr>
        <w:pStyle w:val="5"/>
        <w:bidi w:val="0"/>
        <w:spacing w:line="360" w:lineRule="auto"/>
        <w:ind w:firstLine="602" w:firstLineChars="200"/>
        <w:rPr>
          <w:rFonts w:hint="default"/>
          <w:color w:val="auto"/>
          <w:lang w:val="en-US" w:eastAsia="zh-CN"/>
        </w:rPr>
      </w:pPr>
      <w:bookmarkStart w:id="13" w:name="_Toc21370"/>
      <w:r>
        <w:rPr>
          <w:rFonts w:hint="default"/>
          <w:color w:val="auto"/>
          <w:lang w:val="en-US" w:eastAsia="zh-CN"/>
        </w:rPr>
        <w:t>3.3.1危险化学品识别</w:t>
      </w:r>
      <w:bookmarkEnd w:id="13"/>
    </w:p>
    <w:p>
      <w:pPr>
        <w:bidi w:val="0"/>
        <w:spacing w:line="360" w:lineRule="auto"/>
        <w:ind w:firstLine="560" w:firstLineChars="200"/>
        <w:rPr>
          <w:rFonts w:hint="eastAsia" w:ascii="Times New Roman" w:hAnsi="Times New Roman" w:eastAsia="仿宋" w:cs="仿宋"/>
          <w:color w:val="auto"/>
          <w:sz w:val="28"/>
          <w:lang w:val="en-US" w:eastAsia="zh-CN"/>
        </w:rPr>
      </w:pPr>
      <w:r>
        <w:rPr>
          <w:rFonts w:hint="default" w:ascii="Times New Roman" w:hAnsi="Times New Roman" w:eastAsia="仿宋" w:cs="仿宋"/>
          <w:color w:val="auto"/>
          <w:sz w:val="28"/>
        </w:rPr>
        <w:t>公司</w:t>
      </w:r>
      <w:r>
        <w:rPr>
          <w:rFonts w:hint="eastAsia" w:ascii="Times New Roman" w:hAnsi="Times New Roman" w:eastAsia="仿宋" w:cs="仿宋"/>
          <w:color w:val="auto"/>
          <w:sz w:val="28"/>
          <w:lang w:val="en-US" w:eastAsia="zh-CN"/>
        </w:rPr>
        <w:t>生产经营过程中使用离子交换树脂，现属于一般固废，不涉及使用</w:t>
      </w:r>
      <w:r>
        <w:rPr>
          <w:rFonts w:hint="default" w:ascii="Times New Roman" w:hAnsi="Times New Roman" w:eastAsia="仿宋" w:cs="仿宋"/>
          <w:color w:val="auto"/>
          <w:sz w:val="28"/>
        </w:rPr>
        <w:t>涉气环境风险物质</w:t>
      </w:r>
      <w:r>
        <w:rPr>
          <w:rFonts w:hint="eastAsia" w:ascii="Times New Roman" w:hAnsi="Times New Roman" w:eastAsia="仿宋" w:cs="仿宋"/>
          <w:color w:val="auto"/>
          <w:sz w:val="28"/>
          <w:lang w:val="en-US" w:eastAsia="zh-CN"/>
        </w:rPr>
        <w:t>及</w:t>
      </w:r>
      <w:r>
        <w:rPr>
          <w:rFonts w:hint="default" w:ascii="Times New Roman" w:hAnsi="Times New Roman" w:eastAsia="仿宋" w:cs="仿宋"/>
          <w:color w:val="auto"/>
          <w:sz w:val="28"/>
        </w:rPr>
        <w:t>涉水环境风险物质</w:t>
      </w:r>
      <w:r>
        <w:rPr>
          <w:rFonts w:hint="eastAsia" w:ascii="Times New Roman" w:hAnsi="Times New Roman" w:eastAsia="仿宋" w:cs="仿宋"/>
          <w:color w:val="auto"/>
          <w:sz w:val="28"/>
          <w:lang w:eastAsia="zh-CN"/>
        </w:rPr>
        <w:t>。</w:t>
      </w:r>
    </w:p>
    <w:p>
      <w:pPr>
        <w:pStyle w:val="5"/>
        <w:bidi w:val="0"/>
        <w:spacing w:line="360" w:lineRule="auto"/>
        <w:ind w:firstLine="602" w:firstLineChars="200"/>
        <w:rPr>
          <w:rFonts w:hint="default"/>
          <w:color w:val="auto"/>
          <w:lang w:val="en-US" w:eastAsia="zh-CN"/>
        </w:rPr>
      </w:pPr>
      <w:r>
        <w:rPr>
          <w:rFonts w:hint="default"/>
          <w:color w:val="auto"/>
          <w:lang w:val="en-US" w:eastAsia="zh-CN"/>
        </w:rPr>
        <w:t>3.3.2主要物质理化性质</w:t>
      </w:r>
    </w:p>
    <w:p>
      <w:pPr>
        <w:bidi w:val="0"/>
        <w:spacing w:line="360" w:lineRule="auto"/>
        <w:ind w:firstLine="560" w:firstLineChars="200"/>
        <w:rPr>
          <w:rFonts w:hint="default" w:ascii="Times New Roman" w:hAnsi="Times New Roman" w:eastAsia="仿宋" w:cs="仿宋"/>
          <w:color w:val="auto"/>
          <w:sz w:val="28"/>
          <w:lang w:val="en-US" w:eastAsia="zh-CN"/>
        </w:rPr>
      </w:pPr>
      <w:r>
        <w:rPr>
          <w:rFonts w:hint="default" w:ascii="Times New Roman" w:hAnsi="Times New Roman" w:eastAsia="仿宋" w:cs="仿宋"/>
          <w:color w:val="auto"/>
          <w:sz w:val="28"/>
          <w:lang w:val="en-US" w:eastAsia="zh-CN"/>
        </w:rPr>
        <w:t>公司</w:t>
      </w:r>
      <w:r>
        <w:rPr>
          <w:rFonts w:hint="eastAsia" w:ascii="Times New Roman" w:hAnsi="Times New Roman" w:eastAsia="仿宋" w:cs="仿宋"/>
          <w:color w:val="auto"/>
          <w:sz w:val="28"/>
          <w:lang w:val="en-US" w:eastAsia="zh-CN"/>
        </w:rPr>
        <w:t>生产经营过程中不涉及使用</w:t>
      </w:r>
      <w:r>
        <w:rPr>
          <w:rFonts w:hint="default" w:ascii="Times New Roman" w:hAnsi="Times New Roman" w:eastAsia="仿宋" w:cs="仿宋"/>
          <w:color w:val="auto"/>
          <w:sz w:val="28"/>
          <w:lang w:val="en-US" w:eastAsia="zh-CN"/>
        </w:rPr>
        <w:t>涉气环境风险物质</w:t>
      </w:r>
      <w:r>
        <w:rPr>
          <w:rFonts w:hint="eastAsia" w:ascii="Times New Roman" w:hAnsi="Times New Roman" w:eastAsia="仿宋" w:cs="仿宋"/>
          <w:color w:val="auto"/>
          <w:sz w:val="28"/>
          <w:lang w:val="en-US" w:eastAsia="zh-CN"/>
        </w:rPr>
        <w:t>及</w:t>
      </w:r>
      <w:r>
        <w:rPr>
          <w:rFonts w:hint="default" w:ascii="Times New Roman" w:hAnsi="Times New Roman" w:eastAsia="仿宋" w:cs="仿宋"/>
          <w:color w:val="auto"/>
          <w:sz w:val="28"/>
          <w:lang w:val="en-US" w:eastAsia="zh-CN"/>
        </w:rPr>
        <w:t>涉水环境风险物质</w:t>
      </w:r>
      <w:r>
        <w:rPr>
          <w:rFonts w:hint="eastAsia" w:ascii="Times New Roman" w:hAnsi="Times New Roman" w:eastAsia="仿宋" w:cs="仿宋"/>
          <w:color w:val="auto"/>
          <w:sz w:val="28"/>
          <w:lang w:val="en-US" w:eastAsia="zh-CN"/>
        </w:rPr>
        <w:t>。</w:t>
      </w:r>
    </w:p>
    <w:p>
      <w:pPr>
        <w:pStyle w:val="4"/>
        <w:bidi w:val="0"/>
        <w:spacing w:line="360" w:lineRule="auto"/>
        <w:ind w:firstLine="643" w:firstLineChars="200"/>
        <w:rPr>
          <w:rFonts w:hint="default"/>
          <w:color w:val="auto"/>
        </w:rPr>
      </w:pPr>
      <w:bookmarkStart w:id="14" w:name="_Toc23991"/>
      <w:bookmarkStart w:id="15" w:name="_Toc23101"/>
      <w:r>
        <w:rPr>
          <w:rFonts w:hint="default"/>
          <w:color w:val="auto"/>
        </w:rPr>
        <w:t>3.4</w:t>
      </w:r>
      <w:bookmarkStart w:id="16" w:name="_Toc15477558"/>
      <w:bookmarkStart w:id="17" w:name="_Toc22201836"/>
      <w:r>
        <w:rPr>
          <w:rFonts w:hint="default"/>
          <w:color w:val="auto"/>
        </w:rPr>
        <w:t>企业工艺流程及设备</w:t>
      </w:r>
      <w:bookmarkEnd w:id="14"/>
      <w:bookmarkEnd w:id="15"/>
      <w:bookmarkEnd w:id="16"/>
      <w:bookmarkEnd w:id="17"/>
    </w:p>
    <w:p>
      <w:pPr>
        <w:pStyle w:val="5"/>
        <w:bidi w:val="0"/>
        <w:spacing w:line="360" w:lineRule="auto"/>
        <w:ind w:firstLine="602" w:firstLineChars="200"/>
        <w:rPr>
          <w:rFonts w:hint="default"/>
          <w:color w:val="auto"/>
        </w:rPr>
      </w:pPr>
      <w:bookmarkStart w:id="18" w:name="_Toc27542"/>
      <w:bookmarkStart w:id="19" w:name="_Toc22201837"/>
      <w:r>
        <w:rPr>
          <w:rFonts w:hint="default"/>
          <w:color w:val="auto"/>
        </w:rPr>
        <w:t>3.4.1工艺流程</w:t>
      </w:r>
      <w:bookmarkEnd w:id="18"/>
      <w:bookmarkEnd w:id="19"/>
    </w:p>
    <w:p>
      <w:pPr>
        <w:adjustRightInd w:val="0"/>
        <w:snapToGrid w:val="0"/>
        <w:spacing w:line="360" w:lineRule="auto"/>
        <w:ind w:firstLine="560" w:firstLineChars="200"/>
        <w:rPr>
          <w:rFonts w:ascii="Times New Roman" w:hAnsi="Times New Roman" w:eastAsia="仿宋" w:cs="Times New Roman"/>
          <w:color w:val="auto"/>
          <w:sz w:val="28"/>
        </w:rPr>
      </w:pPr>
      <w:r>
        <w:rPr>
          <w:rFonts w:ascii="Times New Roman" w:hAnsi="Times New Roman" w:eastAsia="仿宋" w:cs="Times New Roman"/>
          <w:color w:val="auto"/>
          <w:sz w:val="28"/>
        </w:rPr>
        <w:t>本项目经营范围：水洗、熨烫，设计水洗衣物</w:t>
      </w:r>
      <w:r>
        <w:rPr>
          <w:rFonts w:hint="eastAsia" w:ascii="Times New Roman" w:hAnsi="Times New Roman" w:eastAsia="仿宋" w:cs="Times New Roman"/>
          <w:color w:val="auto"/>
          <w:sz w:val="28"/>
          <w:lang w:val="en-US" w:eastAsia="zh-CN"/>
        </w:rPr>
        <w:t>15000</w:t>
      </w:r>
      <w:r>
        <w:rPr>
          <w:rFonts w:ascii="Times New Roman" w:hAnsi="Times New Roman" w:eastAsia="仿宋" w:cs="Times New Roman"/>
          <w:color w:val="auto"/>
          <w:sz w:val="28"/>
        </w:rPr>
        <w:t>t/a。</w:t>
      </w:r>
    </w:p>
    <w:p>
      <w:pPr>
        <w:adjustRightInd w:val="0"/>
        <w:snapToGrid w:val="0"/>
        <w:spacing w:line="360" w:lineRule="auto"/>
        <w:ind w:firstLine="562" w:firstLineChars="200"/>
        <w:outlineLvl w:val="0"/>
        <w:rPr>
          <w:rFonts w:ascii="Times New Roman" w:hAnsi="Times New Roman" w:eastAsia="仿宋" w:cs="Times New Roman"/>
          <w:b/>
          <w:bCs/>
          <w:color w:val="auto"/>
          <w:sz w:val="28"/>
        </w:rPr>
      </w:pPr>
      <w:bookmarkStart w:id="20" w:name="_Toc18548"/>
      <w:r>
        <w:rPr>
          <w:rFonts w:ascii="Times New Roman" w:hAnsi="Times New Roman" w:eastAsia="仿宋" w:cs="Times New Roman"/>
          <w:b/>
          <w:bCs/>
          <w:color w:val="auto"/>
          <w:sz w:val="28"/>
        </w:rPr>
        <w:t>1、洗涤工序</w:t>
      </w:r>
      <w:bookmarkEnd w:id="20"/>
    </w:p>
    <w:p>
      <w:pPr>
        <w:keepNext w:val="0"/>
        <w:keepLines w:val="0"/>
        <w:widowControl/>
        <w:suppressLineNumbers w:val="0"/>
        <w:spacing w:line="360" w:lineRule="auto"/>
        <w:jc w:val="left"/>
        <w:rPr>
          <w:rFonts w:hint="eastAsia" w:ascii="仿宋" w:hAnsi="仿宋" w:eastAsia="仿宋" w:cs="仿宋"/>
          <w:color w:val="auto"/>
          <w:kern w:val="0"/>
          <w:sz w:val="28"/>
          <w:szCs w:val="28"/>
          <w:lang w:val="en-US" w:eastAsia="zh-CN" w:bidi="ar"/>
        </w:rPr>
      </w:pPr>
      <w:r>
        <w:rPr>
          <w:color w:val="auto"/>
        </w:rPr>
        <w:drawing>
          <wp:inline distT="0" distB="0" distL="114300" distR="114300">
            <wp:extent cx="5266690" cy="3799205"/>
            <wp:effectExtent l="0" t="0" r="1016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5266690" cy="3799205"/>
                    </a:xfrm>
                    <a:prstGeom prst="rect">
                      <a:avLst/>
                    </a:prstGeom>
                    <a:noFill/>
                    <a:ln>
                      <a:noFill/>
                    </a:ln>
                  </pic:spPr>
                </pic:pic>
              </a:graphicData>
            </a:graphic>
          </wp:inline>
        </w:drawing>
      </w:r>
    </w:p>
    <w:p>
      <w:pPr>
        <w:adjustRightInd w:val="0"/>
        <w:snapToGrid w:val="0"/>
        <w:spacing w:line="360" w:lineRule="auto"/>
        <w:ind w:left="480" w:firstLine="0" w:firstLineChars="0"/>
        <w:rPr>
          <w:rFonts w:ascii="Times New Roman" w:hAnsi="Times New Roman" w:eastAsia="仿宋" w:cs="Times New Roman"/>
          <w:color w:val="auto"/>
          <w:sz w:val="28"/>
          <w:szCs w:val="28"/>
        </w:rPr>
      </w:pPr>
      <w:r>
        <w:rPr>
          <w:rFonts w:ascii="Times New Roman" w:hAnsi="Times New Roman" w:eastAsia="仿宋" w:cs="Times New Roman"/>
          <w:color w:val="auto"/>
          <w:sz w:val="28"/>
          <w:szCs w:val="28"/>
        </w:rPr>
        <w:t>生产工艺流程描述：</w:t>
      </w:r>
    </w:p>
    <w:p>
      <w:pPr>
        <w:numPr>
          <w:ilvl w:val="0"/>
          <w:numId w:val="1"/>
        </w:numPr>
        <w:adjustRightInd w:val="0"/>
        <w:snapToGrid w:val="0"/>
        <w:spacing w:line="360" w:lineRule="auto"/>
        <w:ind w:left="1200" w:hanging="720" w:firstLineChars="0"/>
        <w:outlineLvl w:val="1"/>
        <w:rPr>
          <w:rFonts w:ascii="Times New Roman" w:hAnsi="Times New Roman" w:eastAsia="仿宋" w:cs="Times New Roman"/>
          <w:color w:val="auto"/>
          <w:sz w:val="28"/>
          <w:szCs w:val="28"/>
        </w:rPr>
      </w:pPr>
      <w:bookmarkStart w:id="21" w:name="_Toc3903"/>
      <w:r>
        <w:rPr>
          <w:rFonts w:ascii="Times New Roman" w:hAnsi="Times New Roman" w:eastAsia="仿宋" w:cs="Times New Roman"/>
          <w:color w:val="auto"/>
          <w:sz w:val="28"/>
          <w:szCs w:val="28"/>
        </w:rPr>
        <w:t>分拣、进机</w:t>
      </w:r>
      <w:bookmarkEnd w:id="21"/>
    </w:p>
    <w:p>
      <w:pPr>
        <w:adjustRightInd w:val="0"/>
        <w:snapToGrid w:val="0"/>
        <w:spacing w:line="360" w:lineRule="auto"/>
        <w:ind w:left="120" w:firstLine="560" w:firstLineChars="200"/>
        <w:rPr>
          <w:rFonts w:ascii="Times New Roman" w:hAnsi="Times New Roman" w:eastAsia="仿宋" w:cs="Times New Roman"/>
          <w:color w:val="auto"/>
          <w:sz w:val="28"/>
          <w:szCs w:val="28"/>
        </w:rPr>
      </w:pPr>
      <w:r>
        <w:rPr>
          <w:rFonts w:ascii="Times New Roman" w:hAnsi="Times New Roman" w:eastAsia="仿宋" w:cs="Times New Roman"/>
          <w:color w:val="auto"/>
          <w:sz w:val="28"/>
          <w:szCs w:val="28"/>
        </w:rPr>
        <w:t>从各宾馆、酒店运来的布草（床单、被套等）及毛巾先由人工进行分拣，将布草类与毛巾分拣开来，分别放入隧道式洗涤龙不同仓内进行清洗。</w:t>
      </w:r>
    </w:p>
    <w:p>
      <w:pPr>
        <w:numPr>
          <w:ilvl w:val="0"/>
          <w:numId w:val="1"/>
        </w:numPr>
        <w:adjustRightInd w:val="0"/>
        <w:snapToGrid w:val="0"/>
        <w:spacing w:line="360" w:lineRule="auto"/>
        <w:ind w:left="1200" w:hanging="720" w:firstLineChars="0"/>
        <w:outlineLvl w:val="1"/>
        <w:rPr>
          <w:rFonts w:ascii="Times New Roman" w:hAnsi="Times New Roman" w:eastAsia="仿宋" w:cs="Times New Roman"/>
          <w:color w:val="auto"/>
          <w:sz w:val="28"/>
          <w:szCs w:val="28"/>
        </w:rPr>
      </w:pPr>
      <w:bookmarkStart w:id="22" w:name="_Toc28073"/>
      <w:r>
        <w:rPr>
          <w:rFonts w:ascii="Times New Roman" w:hAnsi="Times New Roman" w:eastAsia="仿宋" w:cs="Times New Roman"/>
          <w:color w:val="auto"/>
          <w:sz w:val="28"/>
          <w:szCs w:val="28"/>
        </w:rPr>
        <w:t>清洗、过水、中和整理</w:t>
      </w:r>
      <w:bookmarkEnd w:id="22"/>
    </w:p>
    <w:p>
      <w:pPr>
        <w:adjustRightInd w:val="0"/>
        <w:snapToGrid w:val="0"/>
        <w:spacing w:line="360" w:lineRule="auto"/>
        <w:ind w:left="120" w:firstLine="560" w:firstLineChars="200"/>
        <w:rPr>
          <w:rFonts w:ascii="Times New Roman" w:hAnsi="Times New Roman" w:eastAsia="仿宋" w:cs="Times New Roman"/>
          <w:color w:val="auto"/>
          <w:sz w:val="28"/>
          <w:szCs w:val="28"/>
        </w:rPr>
      </w:pPr>
      <w:r>
        <w:rPr>
          <w:rFonts w:ascii="Times New Roman" w:hAnsi="Times New Roman" w:eastAsia="仿宋" w:cs="Times New Roman"/>
          <w:color w:val="auto"/>
          <w:sz w:val="28"/>
          <w:szCs w:val="28"/>
        </w:rPr>
        <w:t>清洗包括预洗和主洗，预洗直接用常温清水即可，约5min；然后加入无磷洗衣液、乳化剂及消毒液氯漂，并通入蒸汽，加热水温至70~80℃高温水洗，约30min；洗涤后过水，约5min；再加入中和酸粉、柔顺剂进行中和整理柔顺，约10min。</w:t>
      </w:r>
    </w:p>
    <w:p>
      <w:pPr>
        <w:numPr>
          <w:ilvl w:val="0"/>
          <w:numId w:val="1"/>
        </w:numPr>
        <w:adjustRightInd w:val="0"/>
        <w:snapToGrid w:val="0"/>
        <w:spacing w:line="360" w:lineRule="auto"/>
        <w:ind w:left="1200" w:hanging="720" w:firstLineChars="0"/>
        <w:outlineLvl w:val="1"/>
        <w:rPr>
          <w:rFonts w:ascii="Times New Roman" w:hAnsi="Times New Roman" w:eastAsia="仿宋" w:cs="Times New Roman"/>
          <w:color w:val="auto"/>
          <w:sz w:val="28"/>
          <w:szCs w:val="28"/>
        </w:rPr>
      </w:pPr>
      <w:bookmarkStart w:id="23" w:name="_Toc25741"/>
      <w:r>
        <w:rPr>
          <w:rFonts w:ascii="Times New Roman" w:hAnsi="Times New Roman" w:eastAsia="仿宋" w:cs="Times New Roman"/>
          <w:color w:val="auto"/>
          <w:sz w:val="28"/>
          <w:szCs w:val="28"/>
        </w:rPr>
        <w:t>烘干、烫平</w:t>
      </w:r>
      <w:bookmarkEnd w:id="23"/>
    </w:p>
    <w:p>
      <w:pPr>
        <w:adjustRightInd w:val="0"/>
        <w:snapToGrid w:val="0"/>
        <w:spacing w:line="360" w:lineRule="auto"/>
        <w:ind w:left="120" w:firstLine="560" w:firstLineChars="200"/>
        <w:rPr>
          <w:rFonts w:ascii="Times New Roman" w:hAnsi="Times New Roman" w:eastAsia="仿宋" w:cs="Times New Roman"/>
          <w:color w:val="auto"/>
          <w:sz w:val="28"/>
          <w:szCs w:val="28"/>
        </w:rPr>
      </w:pPr>
      <w:r>
        <w:rPr>
          <w:rFonts w:ascii="Times New Roman" w:hAnsi="Times New Roman" w:eastAsia="仿宋" w:cs="Times New Roman"/>
          <w:color w:val="auto"/>
          <w:sz w:val="28"/>
          <w:szCs w:val="28"/>
        </w:rPr>
        <w:t>清洗完后，由人工取出。毛巾类送烘干机，布草类送烫平机，通蒸汽进行烘干、平烫，蒸汽温度100℃。</w:t>
      </w:r>
    </w:p>
    <w:p>
      <w:pPr>
        <w:numPr>
          <w:ilvl w:val="0"/>
          <w:numId w:val="1"/>
        </w:numPr>
        <w:adjustRightInd w:val="0"/>
        <w:snapToGrid w:val="0"/>
        <w:spacing w:line="360" w:lineRule="auto"/>
        <w:ind w:left="1200" w:hanging="720" w:firstLineChars="0"/>
        <w:outlineLvl w:val="1"/>
        <w:rPr>
          <w:rFonts w:ascii="Times New Roman" w:hAnsi="Times New Roman" w:eastAsia="仿宋" w:cs="Times New Roman"/>
          <w:color w:val="auto"/>
          <w:sz w:val="28"/>
          <w:szCs w:val="28"/>
        </w:rPr>
      </w:pPr>
      <w:bookmarkStart w:id="24" w:name="_Toc28905"/>
      <w:r>
        <w:rPr>
          <w:rFonts w:ascii="Times New Roman" w:hAnsi="Times New Roman" w:eastAsia="仿宋" w:cs="Times New Roman"/>
          <w:color w:val="auto"/>
          <w:sz w:val="28"/>
          <w:szCs w:val="28"/>
        </w:rPr>
        <w:t>折叠、打包</w:t>
      </w:r>
      <w:bookmarkEnd w:id="24"/>
    </w:p>
    <w:p>
      <w:pPr>
        <w:adjustRightInd w:val="0"/>
        <w:snapToGrid w:val="0"/>
        <w:spacing w:line="360" w:lineRule="auto"/>
        <w:ind w:firstLine="560" w:firstLineChars="200"/>
        <w:rPr>
          <w:rFonts w:ascii="Times New Roman" w:hAnsi="Times New Roman" w:eastAsia="仿宋" w:cs="Times New Roman"/>
          <w:b/>
          <w:bCs/>
          <w:color w:val="auto"/>
          <w:sz w:val="28"/>
          <w:szCs w:val="28"/>
        </w:rPr>
      </w:pPr>
      <w:r>
        <w:rPr>
          <w:rFonts w:ascii="Times New Roman" w:hAnsi="Times New Roman" w:eastAsia="仿宋" w:cs="Times New Roman"/>
          <w:color w:val="auto"/>
          <w:sz w:val="28"/>
          <w:szCs w:val="28"/>
        </w:rPr>
        <w:t>烫平、烘干后的布草、毛巾等物品经人工折叠后，分类整理打包外运出厂。</w:t>
      </w:r>
      <w:bookmarkStart w:id="25" w:name="_Toc320542412"/>
      <w:bookmarkStart w:id="26" w:name="_Toc341707892"/>
    </w:p>
    <w:bookmarkEnd w:id="25"/>
    <w:bookmarkEnd w:id="26"/>
    <w:p>
      <w:pPr>
        <w:pStyle w:val="5"/>
        <w:bidi w:val="0"/>
        <w:spacing w:line="360" w:lineRule="auto"/>
        <w:ind w:firstLine="602" w:firstLineChars="200"/>
        <w:rPr>
          <w:rFonts w:hint="default"/>
          <w:color w:val="auto"/>
          <w:lang w:val="en-US" w:eastAsia="zh-CN"/>
        </w:rPr>
      </w:pPr>
      <w:r>
        <w:rPr>
          <w:rFonts w:hint="default"/>
          <w:color w:val="auto"/>
          <w:lang w:val="en-US" w:eastAsia="zh-CN"/>
        </w:rPr>
        <w:t>3.4.2企业生产装置及场所</w:t>
      </w:r>
    </w:p>
    <w:p>
      <w:pPr>
        <w:adjustRightInd w:val="0"/>
        <w:snapToGrid w:val="0"/>
        <w:spacing w:line="360" w:lineRule="auto"/>
        <w:ind w:firstLine="560" w:firstLineChars="200"/>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本企业</w:t>
      </w:r>
      <w:r>
        <w:rPr>
          <w:rFonts w:hint="default" w:ascii="Times New Roman" w:hAnsi="Times New Roman" w:eastAsia="仿宋" w:cs="Times New Roman"/>
          <w:color w:val="auto"/>
          <w:sz w:val="28"/>
          <w:szCs w:val="28"/>
        </w:rPr>
        <w:t>生产装置</w:t>
      </w:r>
      <w:r>
        <w:rPr>
          <w:rFonts w:hint="eastAsia" w:ascii="Times New Roman" w:hAnsi="Times New Roman" w:eastAsia="仿宋" w:cs="Times New Roman"/>
          <w:color w:val="auto"/>
          <w:sz w:val="28"/>
          <w:szCs w:val="28"/>
          <w:lang w:val="en-US" w:eastAsia="zh-CN"/>
        </w:rPr>
        <w:t>及见表3.4-1。</w:t>
      </w:r>
    </w:p>
    <w:p>
      <w:pPr>
        <w:adjustRightInd w:val="0"/>
        <w:snapToGrid w:val="0"/>
        <w:spacing w:line="360" w:lineRule="auto"/>
        <w:ind w:firstLine="482" w:firstLineChars="200"/>
        <w:jc w:val="center"/>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t>表3.4-1企业生产设备清单</w:t>
      </w:r>
    </w:p>
    <w:tbl>
      <w:tblPr>
        <w:tblStyle w:val="13"/>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38"/>
        <w:gridCol w:w="2268"/>
        <w:gridCol w:w="1134"/>
        <w:gridCol w:w="99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序号</w:t>
            </w:r>
          </w:p>
        </w:tc>
        <w:tc>
          <w:tcPr>
            <w:tcW w:w="153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设备名称</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型号</w:t>
            </w:r>
          </w:p>
        </w:tc>
        <w:tc>
          <w:tcPr>
            <w:tcW w:w="1134"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功率</w:t>
            </w:r>
          </w:p>
        </w:tc>
        <w:tc>
          <w:tcPr>
            <w:tcW w:w="99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数量</w:t>
            </w:r>
          </w:p>
        </w:tc>
        <w:tc>
          <w:tcPr>
            <w:tcW w:w="229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w:t>
            </w:r>
          </w:p>
        </w:tc>
        <w:tc>
          <w:tcPr>
            <w:tcW w:w="153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洗衣龙机组</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YZNJIE-75</w:t>
            </w:r>
          </w:p>
        </w:tc>
        <w:tc>
          <w:tcPr>
            <w:tcW w:w="1134"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60kw</w:t>
            </w:r>
          </w:p>
        </w:tc>
        <w:tc>
          <w:tcPr>
            <w:tcW w:w="99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2组</w:t>
            </w:r>
          </w:p>
        </w:tc>
        <w:tc>
          <w:tcPr>
            <w:tcW w:w="2290" w:type="dxa"/>
            <w:noWrap w:val="0"/>
            <w:vAlign w:val="center"/>
          </w:tcPr>
          <w:p>
            <w:pPr>
              <w:adjustRightInd w:val="0"/>
              <w:snapToGrid w:val="0"/>
              <w:spacing w:line="360" w:lineRule="auto"/>
              <w:ind w:firstLine="480" w:firstLineChars="200"/>
              <w:jc w:val="center"/>
              <w:rPr>
                <w:rFonts w:ascii="Times New Roman" w:hAnsi="Times New Roman" w:eastAsia="仿宋"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2</w:t>
            </w:r>
          </w:p>
        </w:tc>
        <w:tc>
          <w:tcPr>
            <w:tcW w:w="153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水洗机</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XGQ-100</w:t>
            </w:r>
          </w:p>
        </w:tc>
        <w:tc>
          <w:tcPr>
            <w:tcW w:w="1134"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7.5 kw</w:t>
            </w:r>
          </w:p>
        </w:tc>
        <w:tc>
          <w:tcPr>
            <w:tcW w:w="99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6台</w:t>
            </w:r>
          </w:p>
        </w:tc>
        <w:tc>
          <w:tcPr>
            <w:tcW w:w="229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单机容量100kg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3</w:t>
            </w:r>
          </w:p>
        </w:tc>
        <w:tc>
          <w:tcPr>
            <w:tcW w:w="153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烘干机</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GZZ150C</w:t>
            </w:r>
          </w:p>
        </w:tc>
        <w:tc>
          <w:tcPr>
            <w:tcW w:w="1134"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15 kw</w:t>
            </w:r>
          </w:p>
        </w:tc>
        <w:tc>
          <w:tcPr>
            <w:tcW w:w="99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5台</w:t>
            </w:r>
          </w:p>
        </w:tc>
        <w:tc>
          <w:tcPr>
            <w:tcW w:w="229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单机容量100kg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4</w:t>
            </w:r>
          </w:p>
        </w:tc>
        <w:tc>
          <w:tcPr>
            <w:tcW w:w="153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折叠机</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HUBER75</w:t>
            </w:r>
          </w:p>
        </w:tc>
        <w:tc>
          <w:tcPr>
            <w:tcW w:w="1134"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2kw</w:t>
            </w:r>
          </w:p>
        </w:tc>
        <w:tc>
          <w:tcPr>
            <w:tcW w:w="99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5台</w:t>
            </w:r>
          </w:p>
        </w:tc>
        <w:tc>
          <w:tcPr>
            <w:tcW w:w="2290" w:type="dxa"/>
            <w:noWrap w:val="0"/>
            <w:vAlign w:val="center"/>
          </w:tcPr>
          <w:p>
            <w:pPr>
              <w:adjustRightInd w:val="0"/>
              <w:snapToGrid w:val="0"/>
              <w:spacing w:line="360" w:lineRule="auto"/>
              <w:ind w:firstLine="480" w:firstLineChars="200"/>
              <w:jc w:val="center"/>
              <w:rPr>
                <w:rFonts w:ascii="Times New Roman" w:hAnsi="Times New Roman" w:eastAsia="仿宋"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5</w:t>
            </w:r>
          </w:p>
        </w:tc>
        <w:tc>
          <w:tcPr>
            <w:tcW w:w="153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空压机</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GE7560</w:t>
            </w:r>
          </w:p>
        </w:tc>
        <w:tc>
          <w:tcPr>
            <w:tcW w:w="1134"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15kw</w:t>
            </w:r>
          </w:p>
        </w:tc>
        <w:tc>
          <w:tcPr>
            <w:tcW w:w="99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1台</w:t>
            </w:r>
          </w:p>
        </w:tc>
        <w:tc>
          <w:tcPr>
            <w:tcW w:w="229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2.0Nm</w:t>
            </w:r>
            <w:r>
              <w:rPr>
                <w:rFonts w:ascii="Times New Roman" w:hAnsi="Times New Roman" w:eastAsia="仿宋" w:cs="Times New Roman"/>
                <w:color w:val="auto"/>
                <w:sz w:val="24"/>
                <w:vertAlign w:val="superscript"/>
              </w:rPr>
              <w:t>3</w:t>
            </w:r>
            <w:r>
              <w:rPr>
                <w:rFonts w:ascii="Times New Roman" w:hAnsi="Times New Roman" w:eastAsia="仿宋" w:cs="Times New Roman"/>
                <w:color w:val="auto"/>
                <w:sz w:val="24"/>
              </w:rPr>
              <w:t>/min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7</w:t>
            </w:r>
          </w:p>
        </w:tc>
        <w:tc>
          <w:tcPr>
            <w:tcW w:w="153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蒸汽锅炉</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WNS4-1.25-Y（Q）</w:t>
            </w:r>
          </w:p>
        </w:tc>
        <w:tc>
          <w:tcPr>
            <w:tcW w:w="1134"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1.4MW</w:t>
            </w:r>
          </w:p>
        </w:tc>
        <w:tc>
          <w:tcPr>
            <w:tcW w:w="99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1台</w:t>
            </w:r>
          </w:p>
        </w:tc>
        <w:tc>
          <w:tcPr>
            <w:tcW w:w="2290" w:type="dxa"/>
            <w:noWrap w:val="0"/>
            <w:vAlign w:val="center"/>
          </w:tcPr>
          <w:p>
            <w:pPr>
              <w:adjustRightInd w:val="0"/>
              <w:snapToGrid w:val="0"/>
              <w:spacing w:line="360" w:lineRule="auto"/>
              <w:ind w:firstLine="480" w:firstLineChars="200"/>
              <w:jc w:val="center"/>
              <w:rPr>
                <w:rFonts w:ascii="Times New Roman" w:hAnsi="Times New Roman" w:eastAsia="仿宋" w:cs="Times New Roman"/>
                <w:color w:val="auto"/>
                <w:sz w:val="24"/>
              </w:rPr>
            </w:pPr>
          </w:p>
        </w:tc>
      </w:tr>
    </w:tbl>
    <w:p>
      <w:pPr>
        <w:pStyle w:val="5"/>
        <w:bidi w:val="0"/>
        <w:spacing w:line="360" w:lineRule="auto"/>
        <w:ind w:firstLine="602" w:firstLineChars="200"/>
        <w:rPr>
          <w:rFonts w:hint="default"/>
          <w:color w:val="auto"/>
          <w:lang w:val="en-US" w:eastAsia="zh-CN"/>
        </w:rPr>
      </w:pPr>
      <w:r>
        <w:rPr>
          <w:rFonts w:hint="default"/>
          <w:color w:val="auto"/>
          <w:lang w:val="en-US" w:eastAsia="zh-CN"/>
        </w:rPr>
        <w:t>3.4.</w:t>
      </w:r>
      <w:bookmarkStart w:id="27" w:name="_Toc22201839"/>
      <w:r>
        <w:rPr>
          <w:rFonts w:hint="eastAsia"/>
          <w:color w:val="auto"/>
          <w:lang w:val="en-US" w:eastAsia="zh-CN"/>
        </w:rPr>
        <w:t>3</w:t>
      </w:r>
      <w:r>
        <w:rPr>
          <w:rFonts w:hint="default"/>
          <w:color w:val="auto"/>
          <w:lang w:val="en-US" w:eastAsia="zh-CN"/>
        </w:rPr>
        <w:t>主要污染物产排情况</w:t>
      </w:r>
      <w:bookmarkEnd w:id="27"/>
    </w:p>
    <w:p>
      <w:pPr>
        <w:bidi w:val="0"/>
        <w:spacing w:line="360" w:lineRule="auto"/>
        <w:ind w:firstLine="560" w:firstLineChars="200"/>
        <w:outlineLvl w:val="1"/>
        <w:rPr>
          <w:rFonts w:hint="default" w:ascii="Times New Roman" w:hAnsi="Times New Roman" w:eastAsia="仿宋" w:cs="仿宋"/>
          <w:color w:val="auto"/>
          <w:sz w:val="28"/>
        </w:rPr>
      </w:pPr>
      <w:bookmarkStart w:id="28" w:name="_Toc17007"/>
      <w:r>
        <w:rPr>
          <w:rFonts w:hint="default" w:ascii="Times New Roman" w:hAnsi="Times New Roman" w:eastAsia="仿宋" w:cs="仿宋"/>
          <w:color w:val="auto"/>
          <w:sz w:val="28"/>
        </w:rPr>
        <w:t>（1）废气</w:t>
      </w:r>
      <w:bookmarkEnd w:id="28"/>
    </w:p>
    <w:p>
      <w:pPr>
        <w:keepNext w:val="0"/>
        <w:keepLines w:val="0"/>
        <w:widowControl/>
        <w:suppressLineNumbers w:val="0"/>
        <w:spacing w:line="360" w:lineRule="auto"/>
        <w:ind w:firstLine="560" w:firstLineChars="200"/>
        <w:jc w:val="left"/>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本项目废气主要为天然气燃烧废气，燃烧废气经过低氮燃烧设备处理废气，经过8m排气筒排放。</w:t>
      </w:r>
    </w:p>
    <w:p>
      <w:pPr>
        <w:bidi w:val="0"/>
        <w:spacing w:line="360" w:lineRule="auto"/>
        <w:ind w:firstLine="560" w:firstLineChars="200"/>
        <w:outlineLvl w:val="1"/>
        <w:rPr>
          <w:rFonts w:hint="default" w:ascii="Times New Roman" w:hAnsi="Times New Roman" w:eastAsia="仿宋" w:cs="仿宋"/>
          <w:color w:val="auto"/>
          <w:sz w:val="28"/>
          <w:lang w:val="en-US" w:eastAsia="zh-CN"/>
        </w:rPr>
      </w:pPr>
      <w:bookmarkStart w:id="29" w:name="_Toc19705"/>
      <w:r>
        <w:rPr>
          <w:rFonts w:hint="eastAsia" w:ascii="Times New Roman" w:hAnsi="Times New Roman" w:eastAsia="仿宋" w:cs="仿宋"/>
          <w:color w:val="auto"/>
          <w:sz w:val="28"/>
          <w:lang w:val="en-US" w:eastAsia="zh-CN"/>
        </w:rPr>
        <w:t>（2）废水</w:t>
      </w:r>
      <w:bookmarkEnd w:id="29"/>
    </w:p>
    <w:p>
      <w:pPr>
        <w:keepNext w:val="0"/>
        <w:keepLines w:val="0"/>
        <w:widowControl/>
        <w:suppressLineNumbers w:val="0"/>
        <w:spacing w:line="360" w:lineRule="auto"/>
        <w:ind w:firstLine="560" w:firstLineChars="200"/>
        <w:jc w:val="left"/>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本项目废水主要洗涤废水和生活污水，洗涤废水日产量338.2m</w:t>
      </w:r>
      <w:r>
        <w:rPr>
          <w:rFonts w:hint="eastAsia" w:ascii="仿宋" w:hAnsi="仿宋" w:eastAsia="仿宋" w:cs="仿宋"/>
          <w:color w:val="auto"/>
          <w:kern w:val="0"/>
          <w:sz w:val="28"/>
          <w:szCs w:val="28"/>
          <w:vertAlign w:val="superscript"/>
          <w:lang w:val="en-US" w:eastAsia="zh-CN" w:bidi="ar"/>
        </w:rPr>
        <w:t>3</w:t>
      </w:r>
      <w:r>
        <w:rPr>
          <w:rFonts w:hint="eastAsia" w:ascii="仿宋" w:hAnsi="仿宋" w:eastAsia="仿宋" w:cs="仿宋"/>
          <w:color w:val="auto"/>
          <w:kern w:val="0"/>
          <w:sz w:val="28"/>
          <w:szCs w:val="28"/>
          <w:vertAlign w:val="baseline"/>
          <w:lang w:val="en-US" w:eastAsia="zh-CN" w:bidi="ar"/>
        </w:rPr>
        <w:t>，生活污水日产生量为0.89m</w:t>
      </w:r>
      <w:r>
        <w:rPr>
          <w:rFonts w:hint="eastAsia" w:ascii="仿宋" w:hAnsi="仿宋" w:eastAsia="仿宋" w:cs="仿宋"/>
          <w:color w:val="auto"/>
          <w:kern w:val="0"/>
          <w:sz w:val="28"/>
          <w:szCs w:val="28"/>
          <w:vertAlign w:val="superscript"/>
          <w:lang w:val="en-US" w:eastAsia="zh-CN" w:bidi="ar"/>
        </w:rPr>
        <w:t>3</w:t>
      </w:r>
      <w:r>
        <w:rPr>
          <w:rFonts w:hint="eastAsia" w:ascii="仿宋" w:hAnsi="仿宋" w:eastAsia="仿宋" w:cs="仿宋"/>
          <w:color w:val="auto"/>
          <w:kern w:val="0"/>
          <w:sz w:val="28"/>
          <w:szCs w:val="28"/>
          <w:vertAlign w:val="baseline"/>
          <w:lang w:val="en-US" w:eastAsia="zh-CN" w:bidi="ar"/>
        </w:rPr>
        <w:t>，洗涤废水</w:t>
      </w:r>
      <w:r>
        <w:rPr>
          <w:rFonts w:hint="eastAsia" w:ascii="仿宋" w:hAnsi="仿宋" w:eastAsia="仿宋" w:cs="仿宋"/>
          <w:color w:val="auto"/>
          <w:kern w:val="0"/>
          <w:sz w:val="28"/>
          <w:szCs w:val="28"/>
          <w:lang w:val="en-US" w:eastAsia="zh-CN" w:bidi="ar"/>
        </w:rPr>
        <w:t>经污水处理站处理后回用，不能回用的洗涤废水和生活污水经过化粪池预处理，达标后排入朝阳污水处理厂。</w:t>
      </w:r>
    </w:p>
    <w:p>
      <w:pPr>
        <w:bidi w:val="0"/>
        <w:spacing w:line="360" w:lineRule="auto"/>
        <w:ind w:firstLine="560" w:firstLineChars="200"/>
        <w:outlineLvl w:val="1"/>
        <w:rPr>
          <w:rFonts w:hint="default" w:ascii="Times New Roman" w:hAnsi="Times New Roman" w:eastAsia="仿宋" w:cs="仿宋"/>
          <w:color w:val="auto"/>
          <w:sz w:val="28"/>
        </w:rPr>
      </w:pPr>
      <w:bookmarkStart w:id="30" w:name="_Toc18232"/>
      <w:r>
        <w:rPr>
          <w:rFonts w:hint="default" w:ascii="Times New Roman" w:hAnsi="Times New Roman" w:eastAsia="仿宋" w:cs="仿宋"/>
          <w:color w:val="auto"/>
          <w:sz w:val="28"/>
        </w:rPr>
        <w:t>（3）固废</w:t>
      </w:r>
      <w:bookmarkEnd w:id="30"/>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2526"/>
        <w:gridCol w:w="1056"/>
        <w:gridCol w:w="1114"/>
        <w:gridCol w:w="3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bidi w:val="0"/>
              <w:spacing w:line="360" w:lineRule="auto"/>
              <w:jc w:val="center"/>
              <w:rPr>
                <w:rFonts w:hint="default" w:ascii="Times New Roman" w:hAnsi="Times New Roman" w:eastAsia="仿宋" w:cs="Times New Roman"/>
                <w:b/>
                <w:bCs/>
                <w:color w:val="auto"/>
                <w:sz w:val="21"/>
                <w:szCs w:val="21"/>
                <w:vertAlign w:val="baseline"/>
                <w:lang w:val="en-US" w:eastAsia="zh-CN"/>
              </w:rPr>
            </w:pPr>
            <w:r>
              <w:rPr>
                <w:rFonts w:hint="default" w:ascii="Times New Roman" w:hAnsi="Times New Roman" w:eastAsia="仿宋" w:cs="Times New Roman"/>
                <w:b/>
                <w:bCs/>
                <w:color w:val="auto"/>
                <w:sz w:val="21"/>
                <w:szCs w:val="21"/>
                <w:vertAlign w:val="baseline"/>
                <w:lang w:val="en-US" w:eastAsia="zh-CN"/>
              </w:rPr>
              <w:t>序号</w:t>
            </w:r>
          </w:p>
        </w:tc>
        <w:tc>
          <w:tcPr>
            <w:tcW w:w="0" w:type="auto"/>
            <w:vAlign w:val="top"/>
          </w:tcPr>
          <w:p>
            <w:pPr>
              <w:bidi w:val="0"/>
              <w:spacing w:line="360" w:lineRule="auto"/>
              <w:jc w:val="center"/>
              <w:rPr>
                <w:rFonts w:hint="default" w:ascii="Times New Roman" w:hAnsi="Times New Roman" w:eastAsia="仿宋" w:cs="Times New Roman"/>
                <w:b/>
                <w:bCs/>
                <w:color w:val="auto"/>
                <w:sz w:val="21"/>
                <w:szCs w:val="21"/>
                <w:vertAlign w:val="baseline"/>
                <w:lang w:val="en-US" w:eastAsia="zh-CN"/>
              </w:rPr>
            </w:pPr>
            <w:r>
              <w:rPr>
                <w:rFonts w:hint="default" w:ascii="Times New Roman" w:hAnsi="Times New Roman" w:eastAsia="仿宋" w:cs="Times New Roman"/>
                <w:b/>
                <w:bCs/>
                <w:color w:val="auto"/>
                <w:sz w:val="21"/>
                <w:szCs w:val="21"/>
                <w:vertAlign w:val="baseline"/>
                <w:lang w:val="en-US" w:eastAsia="zh-CN"/>
              </w:rPr>
              <w:t>固废名称</w:t>
            </w:r>
          </w:p>
        </w:tc>
        <w:tc>
          <w:tcPr>
            <w:tcW w:w="0" w:type="auto"/>
            <w:vAlign w:val="top"/>
          </w:tcPr>
          <w:p>
            <w:pPr>
              <w:bidi w:val="0"/>
              <w:spacing w:line="360" w:lineRule="auto"/>
              <w:jc w:val="center"/>
              <w:rPr>
                <w:rFonts w:hint="default" w:ascii="Times New Roman" w:hAnsi="Times New Roman" w:eastAsia="仿宋" w:cs="Times New Roman"/>
                <w:b/>
                <w:bCs/>
                <w:color w:val="auto"/>
                <w:sz w:val="21"/>
                <w:szCs w:val="21"/>
                <w:vertAlign w:val="baseline"/>
                <w:lang w:val="en-US" w:eastAsia="zh-CN"/>
              </w:rPr>
            </w:pPr>
            <w:r>
              <w:rPr>
                <w:rFonts w:hint="default" w:ascii="Times New Roman" w:hAnsi="Times New Roman" w:eastAsia="仿宋" w:cs="Times New Roman"/>
                <w:b/>
                <w:bCs/>
                <w:color w:val="auto"/>
                <w:sz w:val="21"/>
                <w:szCs w:val="21"/>
                <w:vertAlign w:val="baseline"/>
                <w:lang w:val="en-US" w:eastAsia="zh-CN"/>
              </w:rPr>
              <w:t>性质</w:t>
            </w:r>
          </w:p>
        </w:tc>
        <w:tc>
          <w:tcPr>
            <w:tcW w:w="1114" w:type="dxa"/>
            <w:vAlign w:val="top"/>
          </w:tcPr>
          <w:p>
            <w:pPr>
              <w:bidi w:val="0"/>
              <w:spacing w:line="360" w:lineRule="auto"/>
              <w:jc w:val="center"/>
              <w:rPr>
                <w:rFonts w:hint="default" w:ascii="Times New Roman" w:hAnsi="Times New Roman" w:eastAsia="仿宋" w:cs="Times New Roman"/>
                <w:b/>
                <w:bCs/>
                <w:color w:val="auto"/>
                <w:sz w:val="21"/>
                <w:szCs w:val="21"/>
                <w:vertAlign w:val="baseline"/>
                <w:lang w:val="en-US" w:eastAsia="zh-CN"/>
              </w:rPr>
            </w:pPr>
            <w:r>
              <w:rPr>
                <w:rFonts w:hint="default" w:ascii="Times New Roman" w:hAnsi="Times New Roman" w:eastAsia="仿宋" w:cs="Times New Roman"/>
                <w:b/>
                <w:bCs/>
                <w:color w:val="auto"/>
                <w:sz w:val="21"/>
                <w:szCs w:val="21"/>
                <w:vertAlign w:val="baseline"/>
                <w:lang w:val="en-US" w:eastAsia="zh-CN"/>
              </w:rPr>
              <w:t>产量（t/a）</w:t>
            </w:r>
          </w:p>
        </w:tc>
        <w:tc>
          <w:tcPr>
            <w:tcW w:w="3282" w:type="dxa"/>
            <w:vAlign w:val="top"/>
          </w:tcPr>
          <w:p>
            <w:pPr>
              <w:bidi w:val="0"/>
              <w:spacing w:line="360" w:lineRule="auto"/>
              <w:jc w:val="center"/>
              <w:rPr>
                <w:rFonts w:hint="default" w:ascii="Times New Roman" w:hAnsi="Times New Roman" w:eastAsia="仿宋" w:cs="Times New Roman"/>
                <w:b/>
                <w:bCs/>
                <w:color w:val="auto"/>
                <w:sz w:val="21"/>
                <w:szCs w:val="21"/>
                <w:vertAlign w:val="baseline"/>
                <w:lang w:val="en-US" w:eastAsia="zh-CN"/>
              </w:rPr>
            </w:pPr>
            <w:r>
              <w:rPr>
                <w:rFonts w:hint="default" w:ascii="Times New Roman" w:hAnsi="Times New Roman" w:eastAsia="仿宋" w:cs="Times New Roman"/>
                <w:b/>
                <w:bCs/>
                <w:color w:val="auto"/>
                <w:sz w:val="21"/>
                <w:szCs w:val="21"/>
                <w:vertAlign w:val="baseline"/>
                <w:lang w:val="en-US" w:eastAsia="zh-CN"/>
              </w:rPr>
              <w:t>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1</w:t>
            </w:r>
          </w:p>
        </w:tc>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洗涤用品包装桶、包装袋</w:t>
            </w:r>
          </w:p>
        </w:tc>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一般固废</w:t>
            </w:r>
          </w:p>
        </w:tc>
        <w:tc>
          <w:tcPr>
            <w:tcW w:w="1114" w:type="dxa"/>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1.0</w:t>
            </w:r>
          </w:p>
        </w:tc>
        <w:tc>
          <w:tcPr>
            <w:tcW w:w="3282" w:type="dxa"/>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外售后综合利用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2</w:t>
            </w:r>
          </w:p>
        </w:tc>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废棉絮绒毛</w:t>
            </w:r>
          </w:p>
        </w:tc>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一般固废</w:t>
            </w:r>
          </w:p>
        </w:tc>
        <w:tc>
          <w:tcPr>
            <w:tcW w:w="1114" w:type="dxa"/>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1.0</w:t>
            </w:r>
          </w:p>
        </w:tc>
        <w:tc>
          <w:tcPr>
            <w:tcW w:w="3282" w:type="dxa"/>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定期清送垃圾填埋场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3</w:t>
            </w:r>
          </w:p>
        </w:tc>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污泥</w:t>
            </w:r>
          </w:p>
        </w:tc>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一般固废</w:t>
            </w:r>
          </w:p>
        </w:tc>
        <w:tc>
          <w:tcPr>
            <w:tcW w:w="1114" w:type="dxa"/>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3.3</w:t>
            </w:r>
          </w:p>
        </w:tc>
        <w:tc>
          <w:tcPr>
            <w:tcW w:w="3282" w:type="dxa"/>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集中收集后送至垃圾填埋场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4</w:t>
            </w:r>
          </w:p>
        </w:tc>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生活垃圾</w:t>
            </w:r>
          </w:p>
        </w:tc>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一般固废</w:t>
            </w:r>
          </w:p>
        </w:tc>
        <w:tc>
          <w:tcPr>
            <w:tcW w:w="1114" w:type="dxa"/>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9.1</w:t>
            </w:r>
          </w:p>
        </w:tc>
        <w:tc>
          <w:tcPr>
            <w:tcW w:w="3282" w:type="dxa"/>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环卫部门统一处理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5</w:t>
            </w:r>
          </w:p>
        </w:tc>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废离子交换树脂</w:t>
            </w:r>
          </w:p>
        </w:tc>
        <w:tc>
          <w:tcPr>
            <w:tcW w:w="0" w:type="auto"/>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一般固废</w:t>
            </w:r>
          </w:p>
        </w:tc>
        <w:tc>
          <w:tcPr>
            <w:tcW w:w="1114" w:type="dxa"/>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0.43</w:t>
            </w:r>
          </w:p>
        </w:tc>
        <w:tc>
          <w:tcPr>
            <w:tcW w:w="3282" w:type="dxa"/>
            <w:vAlign w:val="top"/>
          </w:tcPr>
          <w:p>
            <w:pPr>
              <w:bidi w:val="0"/>
              <w:spacing w:line="360" w:lineRule="auto"/>
              <w:jc w:val="center"/>
              <w:rPr>
                <w:rFonts w:hint="default" w:ascii="Times New Roman" w:hAnsi="Times New Roman" w:eastAsia="仿宋" w:cs="Times New Roman"/>
                <w:color w:val="auto"/>
                <w:sz w:val="21"/>
                <w:szCs w:val="21"/>
                <w:vertAlign w:val="baseline"/>
                <w:lang w:val="en-US" w:eastAsia="zh-CN"/>
              </w:rPr>
            </w:pPr>
            <w:r>
              <w:rPr>
                <w:rFonts w:hint="default" w:ascii="Times New Roman" w:hAnsi="Times New Roman" w:eastAsia="仿宋" w:cs="Times New Roman"/>
                <w:color w:val="auto"/>
                <w:sz w:val="21"/>
                <w:szCs w:val="21"/>
                <w:vertAlign w:val="baseline"/>
                <w:lang w:val="en-US" w:eastAsia="zh-CN"/>
              </w:rPr>
              <w:t>原厂家回收再生</w:t>
            </w:r>
          </w:p>
        </w:tc>
      </w:tr>
    </w:tbl>
    <w:p>
      <w:pPr>
        <w:bidi w:val="0"/>
        <w:spacing w:line="360" w:lineRule="auto"/>
        <w:ind w:firstLine="560" w:firstLineChars="200"/>
        <w:rPr>
          <w:rFonts w:hint="eastAsia" w:ascii="Times New Roman" w:hAnsi="Times New Roman" w:eastAsia="仿宋" w:cs="仿宋"/>
          <w:color w:val="auto"/>
          <w:sz w:val="28"/>
          <w:lang w:val="en-US" w:eastAsia="zh-CN"/>
        </w:rPr>
      </w:pPr>
      <w:r>
        <w:rPr>
          <w:rFonts w:hint="eastAsia" w:ascii="Times New Roman" w:hAnsi="Times New Roman" w:eastAsia="仿宋" w:cs="仿宋"/>
          <w:color w:val="auto"/>
          <w:sz w:val="28"/>
          <w:lang w:val="en-US" w:eastAsia="zh-CN"/>
        </w:rPr>
        <w:t>在日常生活产生的生活垃圾和一般固废均集中收集，由秦汉新城市政环卫部门定期清运。企业生产过程中无危险废物产生。</w:t>
      </w:r>
    </w:p>
    <w:p>
      <w:pPr>
        <w:pStyle w:val="5"/>
        <w:bidi w:val="0"/>
        <w:spacing w:line="360" w:lineRule="auto"/>
        <w:ind w:firstLine="602" w:firstLineChars="200"/>
        <w:rPr>
          <w:color w:val="auto"/>
        </w:rPr>
      </w:pPr>
      <w:bookmarkStart w:id="31" w:name="_Toc14873549"/>
      <w:r>
        <w:rPr>
          <w:color w:val="auto"/>
        </w:rPr>
        <w:t>3.4</w:t>
      </w:r>
      <w:r>
        <w:rPr>
          <w:rFonts w:hint="eastAsia"/>
          <w:color w:val="auto"/>
          <w:lang w:val="en-US" w:eastAsia="zh-CN"/>
        </w:rPr>
        <w:t>.4</w:t>
      </w:r>
      <w:r>
        <w:rPr>
          <w:color w:val="auto"/>
        </w:rPr>
        <w:t>安全生产管理</w:t>
      </w:r>
      <w:bookmarkEnd w:id="31"/>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本企业制定了相关安全管理制度，健全安全责任制和承诺制，推行“责任制、责任区、责任人”的区域安全责任制度，强化安全教育培训、提高员工安全意识，对企业全体员工进行上岗培训、安全生产培训和应急预案培训。</w:t>
      </w:r>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采用成熟、先进工艺，选用先进、安全的设备，消除或减少有害源；提高机械化、自动化水平改善劳动条件，把可能对人产生的伤害以及对环境产生的危害降到最低。</w:t>
      </w:r>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（1）对设备操作人员应进行上岗前操作技能培训，并经考试合格后上岗操作，严禁违章操作。</w:t>
      </w:r>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（2）在</w:t>
      </w:r>
      <w:r>
        <w:rPr>
          <w:rFonts w:hint="eastAsia" w:ascii="Times New Roman" w:hAnsi="Times New Roman" w:eastAsia="仿宋" w:cs="仿宋"/>
          <w:color w:val="auto"/>
          <w:sz w:val="28"/>
          <w:lang w:val="en-US" w:eastAsia="zh-CN"/>
        </w:rPr>
        <w:t>厂区内</w:t>
      </w:r>
      <w:r>
        <w:rPr>
          <w:rFonts w:ascii="Times New Roman" w:hAnsi="Times New Roman" w:eastAsia="仿宋" w:cs="仿宋"/>
          <w:color w:val="auto"/>
          <w:sz w:val="28"/>
        </w:rPr>
        <w:t>禁止使用明火，以防发生火灾爆炸造成人员伤亡及加剧环境污染。</w:t>
      </w:r>
    </w:p>
    <w:p>
      <w:pPr>
        <w:bidi w:val="0"/>
        <w:spacing w:line="360" w:lineRule="auto"/>
        <w:ind w:firstLine="560" w:firstLineChars="200"/>
        <w:rPr>
          <w:rFonts w:hint="default" w:ascii="Times New Roman" w:hAnsi="Times New Roman" w:eastAsia="仿宋" w:cs="仿宋"/>
          <w:color w:val="auto"/>
          <w:sz w:val="28"/>
          <w:lang w:val="en-US" w:eastAsia="zh-CN"/>
        </w:rPr>
      </w:pPr>
      <w:r>
        <w:rPr>
          <w:rFonts w:ascii="Times New Roman" w:hAnsi="Times New Roman" w:eastAsia="仿宋" w:cs="仿宋"/>
          <w:color w:val="auto"/>
          <w:sz w:val="28"/>
        </w:rPr>
        <w:t>（3）定期检查</w:t>
      </w:r>
      <w:r>
        <w:rPr>
          <w:rFonts w:hint="eastAsia" w:ascii="Times New Roman" w:hAnsi="Times New Roman" w:eastAsia="仿宋" w:cs="仿宋"/>
          <w:color w:val="auto"/>
          <w:sz w:val="28"/>
          <w:lang w:eastAsia="zh-CN"/>
        </w:rPr>
        <w:t>天然气燃烧</w:t>
      </w:r>
      <w:r>
        <w:rPr>
          <w:rFonts w:ascii="Times New Roman" w:hAnsi="Times New Roman" w:eastAsia="仿宋" w:cs="仿宋"/>
          <w:color w:val="auto"/>
          <w:sz w:val="28"/>
        </w:rPr>
        <w:t>处理系统</w:t>
      </w:r>
      <w:r>
        <w:rPr>
          <w:rFonts w:hint="eastAsia" w:ascii="Times New Roman" w:hAnsi="Times New Roman" w:eastAsia="仿宋" w:cs="仿宋"/>
          <w:color w:val="auto"/>
          <w:sz w:val="28"/>
          <w:lang w:eastAsia="zh-CN"/>
        </w:rPr>
        <w:t>，</w:t>
      </w:r>
      <w:r>
        <w:rPr>
          <w:rFonts w:hint="eastAsia" w:ascii="Times New Roman" w:hAnsi="Times New Roman" w:eastAsia="仿宋" w:cs="仿宋"/>
          <w:color w:val="auto"/>
          <w:sz w:val="28"/>
          <w:lang w:val="en-US" w:eastAsia="zh-CN"/>
        </w:rPr>
        <w:t>更换设备耗材，</w:t>
      </w:r>
      <w:r>
        <w:rPr>
          <w:rFonts w:ascii="Times New Roman" w:hAnsi="Times New Roman" w:eastAsia="仿宋" w:cs="仿宋"/>
          <w:color w:val="auto"/>
          <w:sz w:val="28"/>
        </w:rPr>
        <w:t>检查</w:t>
      </w:r>
      <w:r>
        <w:rPr>
          <w:rFonts w:hint="eastAsia" w:ascii="Times New Roman" w:hAnsi="Times New Roman" w:eastAsia="仿宋" w:cs="仿宋"/>
          <w:color w:val="auto"/>
          <w:sz w:val="28"/>
          <w:lang w:val="en-US" w:eastAsia="zh-CN"/>
        </w:rPr>
        <w:t>管道密封性，清理设备内的粉尘，并做好设备维护保养记录。</w:t>
      </w:r>
    </w:p>
    <w:p>
      <w:pPr>
        <w:bidi w:val="0"/>
        <w:spacing w:line="360" w:lineRule="auto"/>
        <w:ind w:firstLine="560" w:firstLineChars="200"/>
        <w:rPr>
          <w:rFonts w:hint="default" w:ascii="Times New Roman" w:hAnsi="Times New Roman" w:eastAsia="仿宋" w:cs="仿宋"/>
          <w:color w:val="auto"/>
          <w:sz w:val="28"/>
          <w:lang w:val="en-US" w:eastAsia="zh-CN"/>
        </w:rPr>
      </w:pPr>
      <w:r>
        <w:rPr>
          <w:rFonts w:hint="eastAsia" w:ascii="Times New Roman" w:hAnsi="Times New Roman" w:eastAsia="仿宋" w:cs="仿宋"/>
          <w:color w:val="auto"/>
          <w:sz w:val="28"/>
          <w:lang w:eastAsia="zh-CN"/>
        </w:rPr>
        <w:t>（</w:t>
      </w:r>
      <w:r>
        <w:rPr>
          <w:rFonts w:hint="eastAsia" w:ascii="Times New Roman" w:hAnsi="Times New Roman" w:eastAsia="仿宋" w:cs="仿宋"/>
          <w:color w:val="auto"/>
          <w:sz w:val="28"/>
          <w:lang w:val="en-US" w:eastAsia="zh-CN"/>
        </w:rPr>
        <w:t>4</w:t>
      </w:r>
      <w:r>
        <w:rPr>
          <w:rFonts w:hint="eastAsia" w:ascii="Times New Roman" w:hAnsi="Times New Roman" w:eastAsia="仿宋" w:cs="仿宋"/>
          <w:color w:val="auto"/>
          <w:sz w:val="28"/>
          <w:lang w:eastAsia="zh-CN"/>
        </w:rPr>
        <w:t>）</w:t>
      </w:r>
      <w:r>
        <w:rPr>
          <w:rFonts w:ascii="Times New Roman" w:hAnsi="Times New Roman" w:eastAsia="仿宋" w:cs="仿宋"/>
          <w:color w:val="auto"/>
          <w:sz w:val="28"/>
        </w:rPr>
        <w:t>定期检查</w:t>
      </w:r>
      <w:r>
        <w:rPr>
          <w:rFonts w:hint="eastAsia" w:ascii="Times New Roman" w:hAnsi="Times New Roman" w:eastAsia="仿宋" w:cs="仿宋"/>
          <w:color w:val="auto"/>
          <w:sz w:val="28"/>
          <w:lang w:eastAsia="zh-CN"/>
        </w:rPr>
        <w:t>污水</w:t>
      </w:r>
      <w:r>
        <w:rPr>
          <w:rFonts w:ascii="Times New Roman" w:hAnsi="Times New Roman" w:eastAsia="仿宋" w:cs="仿宋"/>
          <w:color w:val="auto"/>
          <w:sz w:val="28"/>
        </w:rPr>
        <w:t>处理系统</w:t>
      </w:r>
      <w:r>
        <w:rPr>
          <w:rFonts w:hint="eastAsia" w:ascii="Times New Roman" w:hAnsi="Times New Roman" w:eastAsia="仿宋" w:cs="仿宋"/>
          <w:color w:val="auto"/>
          <w:sz w:val="28"/>
          <w:lang w:eastAsia="zh-CN"/>
        </w:rPr>
        <w:t>，</w:t>
      </w:r>
      <w:r>
        <w:rPr>
          <w:rFonts w:hint="eastAsia" w:ascii="Times New Roman" w:hAnsi="Times New Roman" w:eastAsia="仿宋" w:cs="仿宋"/>
          <w:color w:val="auto"/>
          <w:sz w:val="28"/>
          <w:lang w:val="en-US" w:eastAsia="zh-CN"/>
        </w:rPr>
        <w:t>更换设备耗材，</w:t>
      </w:r>
      <w:r>
        <w:rPr>
          <w:rFonts w:ascii="Times New Roman" w:hAnsi="Times New Roman" w:eastAsia="仿宋" w:cs="仿宋"/>
          <w:color w:val="auto"/>
          <w:sz w:val="28"/>
        </w:rPr>
        <w:t>检查</w:t>
      </w:r>
      <w:r>
        <w:rPr>
          <w:rFonts w:hint="eastAsia" w:ascii="Times New Roman" w:hAnsi="Times New Roman" w:eastAsia="仿宋" w:cs="仿宋"/>
          <w:color w:val="auto"/>
          <w:sz w:val="28"/>
          <w:lang w:val="en-US" w:eastAsia="zh-CN"/>
        </w:rPr>
        <w:t>管道密封性，并做好设备维护保养记录。</w:t>
      </w:r>
    </w:p>
    <w:p>
      <w:pPr>
        <w:pStyle w:val="4"/>
        <w:bidi w:val="0"/>
        <w:spacing w:line="360" w:lineRule="auto"/>
        <w:ind w:firstLine="643" w:firstLineChars="200"/>
        <w:rPr>
          <w:rFonts w:hint="default"/>
          <w:color w:val="auto"/>
          <w:lang w:val="en-US" w:eastAsia="zh-CN"/>
        </w:rPr>
      </w:pPr>
      <w:bookmarkStart w:id="32" w:name="_Toc1368"/>
      <w:bookmarkStart w:id="33" w:name="_Toc10908"/>
      <w:r>
        <w:rPr>
          <w:rFonts w:hint="default"/>
          <w:color w:val="auto"/>
          <w:lang w:val="en-US" w:eastAsia="zh-CN"/>
        </w:rPr>
        <w:t>3.</w:t>
      </w:r>
      <w:r>
        <w:rPr>
          <w:rFonts w:hint="eastAsia"/>
          <w:color w:val="auto"/>
          <w:lang w:val="en-US" w:eastAsia="zh-CN"/>
        </w:rPr>
        <w:t>5</w:t>
      </w:r>
      <w:r>
        <w:rPr>
          <w:rFonts w:hint="default"/>
          <w:color w:val="auto"/>
          <w:lang w:val="en-US" w:eastAsia="zh-CN"/>
        </w:rPr>
        <w:t>现有环境风险防控与应急措施</w:t>
      </w:r>
      <w:bookmarkEnd w:id="32"/>
      <w:bookmarkEnd w:id="33"/>
    </w:p>
    <w:p>
      <w:pPr>
        <w:pStyle w:val="5"/>
        <w:bidi w:val="0"/>
        <w:spacing w:line="360" w:lineRule="auto"/>
        <w:ind w:firstLine="602" w:firstLineChars="200"/>
        <w:rPr>
          <w:rFonts w:hint="default"/>
          <w:color w:val="auto"/>
          <w:lang w:val="en-US" w:eastAsia="zh-CN"/>
        </w:rPr>
      </w:pPr>
      <w:bookmarkStart w:id="34" w:name="_Toc301018544"/>
      <w:bookmarkStart w:id="35" w:name="_Toc224965867"/>
      <w:bookmarkStart w:id="36" w:name="_Toc225244050"/>
      <w:bookmarkStart w:id="37" w:name="_Toc1030"/>
      <w:bookmarkStart w:id="38" w:name="_Toc30763"/>
      <w:bookmarkStart w:id="39" w:name="_Toc428934756"/>
      <w:bookmarkStart w:id="40" w:name="_Toc6201"/>
      <w:bookmarkStart w:id="41" w:name="_Toc3929"/>
      <w:bookmarkStart w:id="42" w:name="_Toc4149"/>
      <w:bookmarkStart w:id="43" w:name="_Toc25523"/>
      <w:r>
        <w:rPr>
          <w:rFonts w:hint="default"/>
          <w:color w:val="auto"/>
          <w:lang w:val="en-US" w:eastAsia="zh-CN"/>
        </w:rPr>
        <w:t>3.</w:t>
      </w:r>
      <w:bookmarkEnd w:id="34"/>
      <w:bookmarkEnd w:id="35"/>
      <w:bookmarkEnd w:id="36"/>
      <w:r>
        <w:rPr>
          <w:rFonts w:hint="eastAsia"/>
          <w:color w:val="auto"/>
          <w:lang w:val="en-US" w:eastAsia="zh-CN"/>
        </w:rPr>
        <w:t>5</w:t>
      </w:r>
      <w:r>
        <w:rPr>
          <w:rFonts w:hint="default"/>
          <w:color w:val="auto"/>
          <w:lang w:val="en-US" w:eastAsia="zh-CN"/>
        </w:rPr>
        <w:t>.1</w:t>
      </w:r>
      <w:bookmarkEnd w:id="37"/>
      <w:bookmarkEnd w:id="38"/>
      <w:bookmarkEnd w:id="39"/>
      <w:r>
        <w:rPr>
          <w:rFonts w:hint="default"/>
          <w:color w:val="auto"/>
          <w:lang w:val="en-US" w:eastAsia="zh-CN"/>
        </w:rPr>
        <w:t>风险单元识别</w:t>
      </w:r>
      <w:bookmarkEnd w:id="40"/>
      <w:bookmarkEnd w:id="41"/>
      <w:bookmarkEnd w:id="42"/>
      <w:bookmarkEnd w:id="43"/>
    </w:p>
    <w:p>
      <w:pPr>
        <w:spacing w:line="360" w:lineRule="auto"/>
        <w:ind w:firstLine="0" w:firstLineChars="0"/>
        <w:jc w:val="center"/>
        <w:rPr>
          <w:rFonts w:ascii="Times New Roman" w:hAnsi="Times New Roman" w:eastAsia="仿宋_GB2312" w:cs="Times New Roman"/>
          <w:b/>
          <w:bCs/>
          <w:color w:val="auto"/>
          <w:kern w:val="2"/>
          <w:sz w:val="24"/>
          <w:szCs w:val="24"/>
          <w:lang w:val="en-US" w:eastAsia="zh-CN" w:bidi="ar-SA"/>
        </w:rPr>
      </w:pPr>
      <w:r>
        <w:rPr>
          <w:rFonts w:ascii="Times New Roman" w:hAnsi="Times New Roman" w:eastAsia="仿宋_GB2312" w:cs="Times New Roman"/>
          <w:b/>
          <w:bCs/>
          <w:color w:val="auto"/>
          <w:kern w:val="2"/>
          <w:sz w:val="24"/>
          <w:szCs w:val="24"/>
          <w:lang w:val="en-GB" w:eastAsia="zh-CN" w:bidi="ar-SA"/>
        </w:rPr>
        <w:t>表</w:t>
      </w:r>
      <w:r>
        <w:rPr>
          <w:rFonts w:ascii="Times New Roman" w:hAnsi="Times New Roman" w:eastAsia="仿宋_GB2312" w:cs="Times New Roman"/>
          <w:b/>
          <w:bCs/>
          <w:color w:val="auto"/>
          <w:kern w:val="2"/>
          <w:sz w:val="24"/>
          <w:szCs w:val="24"/>
          <w:lang w:val="en-US" w:eastAsia="zh-CN" w:bidi="ar-SA"/>
        </w:rPr>
        <w:t>3.5-1企业环境风险单元识别</w:t>
      </w:r>
    </w:p>
    <w:tbl>
      <w:tblPr>
        <w:tblStyle w:val="13"/>
        <w:tblW w:w="848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077"/>
        <w:gridCol w:w="2391"/>
        <w:gridCol w:w="3554"/>
        <w:gridCol w:w="14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1077" w:type="dxa"/>
            <w:noWrap w:val="0"/>
            <w:vAlign w:val="center"/>
          </w:tcPr>
          <w:p>
            <w:pPr>
              <w:adjustRightInd w:val="0"/>
              <w:snapToGrid w:val="0"/>
              <w:spacing w:line="360" w:lineRule="auto"/>
              <w:ind w:firstLine="0" w:firstLineChars="0"/>
              <w:rPr>
                <w:rFonts w:ascii="Times New Roman" w:hAnsi="Times New Roman" w:eastAsia="仿宋" w:cs="Times New Roman"/>
                <w:b/>
                <w:bCs/>
                <w:color w:val="auto"/>
                <w:sz w:val="21"/>
                <w:szCs w:val="21"/>
              </w:rPr>
            </w:pPr>
            <w:r>
              <w:rPr>
                <w:rFonts w:ascii="Times New Roman" w:hAnsi="Times New Roman" w:eastAsia="仿宋" w:cs="Times New Roman"/>
                <w:b/>
                <w:bCs/>
                <w:color w:val="auto"/>
                <w:sz w:val="21"/>
                <w:szCs w:val="21"/>
              </w:rPr>
              <w:t>工程类别</w:t>
            </w:r>
          </w:p>
        </w:tc>
        <w:tc>
          <w:tcPr>
            <w:tcW w:w="2391" w:type="dxa"/>
            <w:noWrap w:val="0"/>
            <w:vAlign w:val="center"/>
          </w:tcPr>
          <w:p>
            <w:pPr>
              <w:adjustRightInd w:val="0"/>
              <w:snapToGrid w:val="0"/>
              <w:spacing w:line="360" w:lineRule="auto"/>
              <w:ind w:firstLine="422" w:firstLineChars="200"/>
              <w:rPr>
                <w:rFonts w:ascii="Times New Roman" w:hAnsi="Times New Roman" w:eastAsia="仿宋" w:cs="Times New Roman"/>
                <w:b/>
                <w:bCs/>
                <w:color w:val="auto"/>
                <w:sz w:val="21"/>
                <w:szCs w:val="21"/>
              </w:rPr>
            </w:pPr>
            <w:r>
              <w:rPr>
                <w:rFonts w:ascii="Times New Roman" w:hAnsi="Times New Roman" w:eastAsia="仿宋" w:cs="Times New Roman"/>
                <w:b/>
                <w:bCs/>
                <w:color w:val="auto"/>
                <w:sz w:val="21"/>
                <w:szCs w:val="21"/>
              </w:rPr>
              <w:t>主要设施</w:t>
            </w:r>
          </w:p>
        </w:tc>
        <w:tc>
          <w:tcPr>
            <w:tcW w:w="3554" w:type="dxa"/>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1"/>
                <w:szCs w:val="21"/>
              </w:rPr>
            </w:pPr>
            <w:r>
              <w:rPr>
                <w:rFonts w:ascii="Times New Roman" w:hAnsi="Times New Roman" w:eastAsia="仿宋" w:cs="Times New Roman"/>
                <w:b/>
                <w:bCs/>
                <w:color w:val="auto"/>
                <w:sz w:val="21"/>
                <w:szCs w:val="21"/>
              </w:rPr>
              <w:t>风险物质</w:t>
            </w:r>
          </w:p>
        </w:tc>
        <w:tc>
          <w:tcPr>
            <w:tcW w:w="1458" w:type="dxa"/>
            <w:noWrap w:val="0"/>
            <w:vAlign w:val="center"/>
          </w:tcPr>
          <w:p>
            <w:pPr>
              <w:adjustRightInd w:val="0"/>
              <w:snapToGrid w:val="0"/>
              <w:spacing w:line="360" w:lineRule="auto"/>
              <w:ind w:firstLine="0" w:firstLineChars="0"/>
              <w:rPr>
                <w:rFonts w:ascii="Times New Roman" w:hAnsi="Times New Roman" w:eastAsia="仿宋" w:cs="Times New Roman"/>
                <w:b/>
                <w:bCs/>
                <w:color w:val="auto"/>
                <w:sz w:val="21"/>
                <w:szCs w:val="21"/>
              </w:rPr>
            </w:pPr>
            <w:r>
              <w:rPr>
                <w:rFonts w:ascii="Times New Roman" w:hAnsi="Times New Roman" w:eastAsia="仿宋" w:cs="Times New Roman"/>
                <w:b/>
                <w:bCs/>
                <w:color w:val="auto"/>
                <w:sz w:val="21"/>
                <w:szCs w:val="21"/>
              </w:rPr>
              <w:t>是否风险单元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1077" w:type="dxa"/>
            <w:vMerge w:val="restar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1"/>
                <w:szCs w:val="21"/>
              </w:rPr>
            </w:pPr>
            <w:r>
              <w:rPr>
                <w:rFonts w:ascii="Times New Roman" w:hAnsi="Times New Roman" w:eastAsia="仿宋" w:cs="Times New Roman"/>
                <w:color w:val="auto"/>
                <w:sz w:val="21"/>
                <w:szCs w:val="21"/>
              </w:rPr>
              <w:t>环保工程</w:t>
            </w:r>
          </w:p>
        </w:tc>
        <w:tc>
          <w:tcPr>
            <w:tcW w:w="239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1"/>
                <w:szCs w:val="21"/>
              </w:rPr>
            </w:pPr>
            <w:r>
              <w:rPr>
                <w:rFonts w:ascii="Times New Roman" w:hAnsi="Times New Roman" w:eastAsia="仿宋" w:cs="Times New Roman"/>
                <w:color w:val="auto"/>
                <w:sz w:val="21"/>
                <w:szCs w:val="21"/>
              </w:rPr>
              <w:t>锅炉房</w:t>
            </w:r>
          </w:p>
        </w:tc>
        <w:tc>
          <w:tcPr>
            <w:tcW w:w="3554"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1"/>
                <w:szCs w:val="21"/>
              </w:rPr>
            </w:pPr>
            <w:r>
              <w:rPr>
                <w:rFonts w:ascii="Times New Roman" w:hAnsi="Times New Roman" w:eastAsia="仿宋" w:cs="Times New Roman"/>
                <w:color w:val="auto"/>
                <w:sz w:val="21"/>
                <w:szCs w:val="21"/>
              </w:rPr>
              <w:t>废气（二氧化硫、氮氧化物、烟尘）</w:t>
            </w:r>
          </w:p>
        </w:tc>
        <w:tc>
          <w:tcPr>
            <w:tcW w:w="1458" w:type="dxa"/>
            <w:noWrap w:val="0"/>
            <w:vAlign w:val="center"/>
          </w:tcPr>
          <w:p>
            <w:pPr>
              <w:adjustRightInd w:val="0"/>
              <w:snapToGrid w:val="0"/>
              <w:spacing w:line="360" w:lineRule="auto"/>
              <w:ind w:firstLine="630" w:firstLineChars="300"/>
              <w:rPr>
                <w:rFonts w:ascii="Times New Roman" w:hAnsi="Times New Roman" w:eastAsia="仿宋" w:cs="Times New Roman"/>
                <w:color w:val="auto"/>
                <w:sz w:val="21"/>
                <w:szCs w:val="21"/>
              </w:rPr>
            </w:pPr>
            <w:r>
              <w:rPr>
                <w:rFonts w:ascii="Times New Roman" w:hAnsi="Times New Roman" w:eastAsia="仿宋" w:cs="Times New Roman"/>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1077" w:type="dxa"/>
            <w:vMerge w:val="continue"/>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1"/>
                <w:szCs w:val="21"/>
              </w:rPr>
            </w:pPr>
          </w:p>
        </w:tc>
        <w:tc>
          <w:tcPr>
            <w:tcW w:w="239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1"/>
                <w:szCs w:val="21"/>
              </w:rPr>
            </w:pPr>
            <w:r>
              <w:rPr>
                <w:rFonts w:ascii="Times New Roman" w:hAnsi="Times New Roman" w:eastAsia="仿宋" w:cs="Times New Roman"/>
                <w:color w:val="auto"/>
                <w:sz w:val="21"/>
                <w:szCs w:val="21"/>
              </w:rPr>
              <w:t>污水处理站</w:t>
            </w:r>
          </w:p>
        </w:tc>
        <w:tc>
          <w:tcPr>
            <w:tcW w:w="3554"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1"/>
                <w:szCs w:val="21"/>
              </w:rPr>
            </w:pPr>
            <w:r>
              <w:rPr>
                <w:rFonts w:ascii="Times New Roman" w:hAnsi="Times New Roman" w:eastAsia="仿宋" w:cs="Times New Roman"/>
                <w:color w:val="auto"/>
                <w:sz w:val="21"/>
                <w:szCs w:val="21"/>
              </w:rPr>
              <w:t>废、污水</w:t>
            </w:r>
          </w:p>
        </w:tc>
        <w:tc>
          <w:tcPr>
            <w:tcW w:w="1458" w:type="dxa"/>
            <w:noWrap w:val="0"/>
            <w:vAlign w:val="center"/>
          </w:tcPr>
          <w:p>
            <w:pPr>
              <w:adjustRightInd w:val="0"/>
              <w:snapToGrid w:val="0"/>
              <w:spacing w:line="360" w:lineRule="auto"/>
              <w:ind w:firstLine="630" w:firstLineChars="300"/>
              <w:rPr>
                <w:rFonts w:ascii="Times New Roman" w:hAnsi="Times New Roman" w:eastAsia="仿宋" w:cs="Times New Roman"/>
                <w:color w:val="auto"/>
                <w:sz w:val="21"/>
                <w:szCs w:val="21"/>
              </w:rPr>
            </w:pPr>
            <w:r>
              <w:rPr>
                <w:rFonts w:ascii="Times New Roman" w:hAnsi="Times New Roman" w:eastAsia="仿宋" w:cs="Times New Roman"/>
                <w:color w:val="auto"/>
                <w:sz w:val="21"/>
                <w:szCs w:val="21"/>
              </w:rPr>
              <w:t>是</w:t>
            </w:r>
          </w:p>
        </w:tc>
      </w:tr>
    </w:tbl>
    <w:p>
      <w:pPr>
        <w:pStyle w:val="5"/>
        <w:bidi w:val="0"/>
        <w:spacing w:line="360" w:lineRule="auto"/>
        <w:ind w:firstLine="602" w:firstLineChars="200"/>
        <w:rPr>
          <w:rFonts w:hint="eastAsia"/>
          <w:color w:val="auto"/>
          <w:lang w:val="en-US" w:eastAsia="zh-CN"/>
        </w:rPr>
      </w:pPr>
      <w:bookmarkStart w:id="44" w:name="_Toc7588"/>
      <w:r>
        <w:rPr>
          <w:rFonts w:hint="eastAsia"/>
          <w:color w:val="auto"/>
          <w:lang w:val="en-US" w:eastAsia="zh-CN"/>
        </w:rPr>
        <w:t>3.5.2环境风险防控与应急措施</w:t>
      </w:r>
      <w:bookmarkEnd w:id="44"/>
    </w:p>
    <w:p>
      <w:pPr>
        <w:bidi w:val="0"/>
        <w:spacing w:line="360" w:lineRule="auto"/>
        <w:ind w:firstLine="560" w:firstLineChars="200"/>
        <w:rPr>
          <w:rFonts w:ascii="Times New Roman" w:hAnsi="Times New Roman" w:eastAsia="仿宋" w:cs="仿宋"/>
          <w:color w:val="auto"/>
          <w:sz w:val="28"/>
        </w:rPr>
      </w:pPr>
      <w:bookmarkStart w:id="45" w:name="_Toc19085"/>
      <w:bookmarkStart w:id="46" w:name="_Toc32002"/>
      <w:r>
        <w:rPr>
          <w:rFonts w:ascii="Times New Roman" w:hAnsi="Times New Roman" w:eastAsia="仿宋" w:cs="仿宋"/>
          <w:color w:val="auto"/>
          <w:sz w:val="28"/>
        </w:rPr>
        <w:t>企业突发环境风险一般由设备事故、人为操作失误等引发，风险概率较低，风险防范以预防措施为主。公司对环境风险源进行全面监控，确保各类风险源在可控状态，减少风险事故发生率，减轻事故危害。</w:t>
      </w:r>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（1）制定风险监控管理制度，按照“谁使用，谁管理”的原则，完善责任制度，确保风险源的日常监控。</w:t>
      </w:r>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（2）定期组织进行环境安全检查工作，建立环保安全检查制度，每月组织检查一次，各部门以自查为主，互查为辅，实时监控对环境可能构成危害的重点危险源。</w:t>
      </w:r>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（3）强化环保安全生产教育，企业所有职工必须具备环保安全生产基本知识，熟知生产危险区域及其环保防护的基本知识和注意事项，经培训取得上岗证，方可上岗。</w:t>
      </w:r>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（4）建立相应的环境及环境次生灾害监控预报预警联动机制，实现相关灾情、险情等信息的共享。</w:t>
      </w:r>
    </w:p>
    <w:bookmarkEnd w:id="45"/>
    <w:bookmarkEnd w:id="46"/>
    <w:p>
      <w:pPr>
        <w:bidi w:val="0"/>
        <w:spacing w:line="360" w:lineRule="auto"/>
        <w:ind w:firstLine="560" w:firstLineChars="200"/>
        <w:outlineLvl w:val="1"/>
        <w:rPr>
          <w:rFonts w:ascii="Times New Roman" w:hAnsi="Times New Roman" w:eastAsia="仿宋" w:cs="仿宋"/>
          <w:color w:val="auto"/>
          <w:sz w:val="28"/>
        </w:rPr>
      </w:pPr>
      <w:bookmarkStart w:id="47" w:name="_Toc5395"/>
      <w:r>
        <w:rPr>
          <w:rFonts w:ascii="Times New Roman" w:hAnsi="Times New Roman" w:eastAsia="仿宋" w:cs="仿宋"/>
          <w:color w:val="auto"/>
          <w:sz w:val="28"/>
        </w:rPr>
        <w:t>（5）每年定期进行设备检验和维修。</w:t>
      </w:r>
      <w:bookmarkEnd w:id="47"/>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本项目可能发生的环境风险事件主要有：废气事故</w:t>
      </w:r>
      <w:r>
        <w:rPr>
          <w:rFonts w:hint="eastAsia" w:ascii="Times New Roman" w:hAnsi="Times New Roman" w:eastAsia="仿宋" w:cs="仿宋"/>
          <w:color w:val="auto"/>
          <w:sz w:val="28"/>
          <w:lang w:eastAsia="zh-CN"/>
        </w:rPr>
        <w:t>、</w:t>
      </w:r>
      <w:r>
        <w:rPr>
          <w:rFonts w:ascii="Times New Roman" w:hAnsi="Times New Roman" w:eastAsia="仿宋" w:cs="仿宋"/>
          <w:color w:val="auto"/>
          <w:sz w:val="28"/>
        </w:rPr>
        <w:t>火灾，公司针对如上事件采取了相应的防范措施。</w:t>
      </w:r>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按照《企业突发环境事件风险评估指南》中附录A.2.3 中表5 对本公司环境风险防控与应急措施进行评估，具体见表</w:t>
      </w:r>
      <w:r>
        <w:rPr>
          <w:rFonts w:hint="eastAsia" w:ascii="Times New Roman" w:hAnsi="Times New Roman" w:eastAsia="仿宋" w:cs="仿宋"/>
          <w:color w:val="auto"/>
          <w:sz w:val="28"/>
        </w:rPr>
        <w:t>3.5-</w:t>
      </w:r>
      <w:r>
        <w:rPr>
          <w:rFonts w:hint="eastAsia" w:ascii="Times New Roman" w:hAnsi="Times New Roman" w:eastAsia="仿宋" w:cs="仿宋"/>
          <w:color w:val="auto"/>
          <w:sz w:val="28"/>
          <w:lang w:val="en-US" w:eastAsia="zh-CN"/>
        </w:rPr>
        <w:t>2</w:t>
      </w:r>
      <w:r>
        <w:rPr>
          <w:rFonts w:ascii="Times New Roman" w:hAnsi="Times New Roman" w:eastAsia="仿宋" w:cs="仿宋"/>
          <w:color w:val="auto"/>
          <w:sz w:val="28"/>
        </w:rPr>
        <w:t>。</w:t>
      </w:r>
    </w:p>
    <w:p>
      <w:pPr>
        <w:widowControl w:val="0"/>
        <w:spacing w:after="120" w:afterLines="0" w:afterAutospacing="0" w:line="360" w:lineRule="auto"/>
        <w:ind w:left="0" w:leftChars="0" w:firstLine="0" w:firstLineChars="0"/>
        <w:jc w:val="center"/>
        <w:rPr>
          <w:rFonts w:hint="eastAsia"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kern w:val="2"/>
          <w:sz w:val="24"/>
          <w:szCs w:val="24"/>
          <w:lang w:val="en-US" w:eastAsia="zh-CN" w:bidi="ar-SA"/>
        </w:rPr>
        <w:t>表</w:t>
      </w:r>
      <w:r>
        <w:rPr>
          <w:rFonts w:hint="eastAsia" w:ascii="Times New Roman" w:hAnsi="Times New Roman" w:eastAsia="仿宋" w:cs="Times New Roman"/>
          <w:b/>
          <w:bCs/>
          <w:color w:val="auto"/>
          <w:kern w:val="2"/>
          <w:sz w:val="24"/>
          <w:szCs w:val="24"/>
          <w:lang w:val="en-US" w:eastAsia="zh-CN" w:bidi="ar-SA"/>
        </w:rPr>
        <w:t>3.5-2</w:t>
      </w:r>
      <w:r>
        <w:rPr>
          <w:rFonts w:hint="default" w:ascii="Times New Roman" w:hAnsi="Times New Roman" w:eastAsia="仿宋" w:cs="Times New Roman"/>
          <w:b/>
          <w:bCs/>
          <w:color w:val="auto"/>
          <w:kern w:val="2"/>
          <w:sz w:val="24"/>
          <w:szCs w:val="24"/>
          <w:lang w:val="en-US" w:eastAsia="zh-CN" w:bidi="ar-SA"/>
        </w:rPr>
        <w:t>本公司环境风险防控与应急措施</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505"/>
        <w:gridCol w:w="1882"/>
        <w:gridCol w:w="701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0" w:type="auto"/>
            <w:noWrap w:val="0"/>
            <w:vAlign w:val="center"/>
          </w:tcPr>
          <w:p>
            <w:pPr>
              <w:keepNext w:val="0"/>
              <w:keepLines w:val="0"/>
              <w:suppressLineNumbers w:val="0"/>
              <w:adjustRightInd w:val="0"/>
              <w:snapToGrid w:val="0"/>
              <w:spacing w:before="0" w:beforeAutospacing="0" w:after="0" w:afterAutospacing="0" w:line="360" w:lineRule="auto"/>
              <w:ind w:left="0" w:right="0" w:firstLine="0" w:firstLineChars="0"/>
              <w:jc w:val="center"/>
              <w:rPr>
                <w:rFonts w:hint="eastAsia" w:ascii="Times New Roman" w:hAnsi="Times New Roman" w:eastAsia="仿宋" w:cs="Times New Roman"/>
                <w:b/>
                <w:bCs/>
                <w:color w:val="auto"/>
                <w:sz w:val="21"/>
                <w:szCs w:val="21"/>
                <w:lang w:eastAsia="zh-CN"/>
              </w:rPr>
            </w:pPr>
            <w:r>
              <w:rPr>
                <w:rFonts w:hint="eastAsia" w:ascii="Times New Roman" w:hAnsi="Times New Roman" w:eastAsia="仿宋" w:cs="Times New Roman"/>
                <w:b/>
                <w:bCs/>
                <w:color w:val="auto"/>
                <w:sz w:val="21"/>
                <w:szCs w:val="21"/>
                <w:lang w:eastAsia="zh-CN"/>
              </w:rPr>
              <w:t>序号</w:t>
            </w:r>
          </w:p>
        </w:tc>
        <w:tc>
          <w:tcPr>
            <w:tcW w:w="0" w:type="auto"/>
            <w:noWrap w:val="0"/>
            <w:vAlign w:val="center"/>
          </w:tcPr>
          <w:p>
            <w:pPr>
              <w:keepNext w:val="0"/>
              <w:keepLines w:val="0"/>
              <w:suppressLineNumbers w:val="0"/>
              <w:adjustRightInd w:val="0"/>
              <w:snapToGrid w:val="0"/>
              <w:spacing w:before="0" w:beforeAutospacing="0" w:after="0" w:afterAutospacing="0" w:line="360" w:lineRule="auto"/>
              <w:ind w:left="0" w:right="0" w:firstLine="0" w:firstLineChars="0"/>
              <w:jc w:val="center"/>
              <w:rPr>
                <w:rFonts w:hint="eastAsia" w:ascii="Times New Roman" w:hAnsi="Times New Roman" w:eastAsia="仿宋" w:cs="Times New Roman"/>
                <w:b/>
                <w:bCs/>
                <w:color w:val="auto"/>
                <w:sz w:val="21"/>
                <w:szCs w:val="21"/>
                <w:lang w:eastAsia="zh-CN"/>
              </w:rPr>
            </w:pPr>
            <w:r>
              <w:rPr>
                <w:rFonts w:hint="eastAsia" w:ascii="Times New Roman" w:hAnsi="Times New Roman" w:eastAsia="仿宋" w:cs="Times New Roman"/>
                <w:b/>
                <w:bCs/>
                <w:color w:val="auto"/>
                <w:sz w:val="21"/>
                <w:szCs w:val="21"/>
                <w:lang w:eastAsia="zh-CN"/>
              </w:rPr>
              <w:t>项目</w:t>
            </w:r>
          </w:p>
        </w:tc>
        <w:tc>
          <w:tcPr>
            <w:tcW w:w="0" w:type="auto"/>
            <w:noWrap w:val="0"/>
            <w:vAlign w:val="center"/>
          </w:tcPr>
          <w:p>
            <w:pPr>
              <w:keepNext w:val="0"/>
              <w:keepLines w:val="0"/>
              <w:widowControl/>
              <w:suppressLineNumbers w:val="0"/>
              <w:spacing w:before="0" w:beforeAutospacing="0" w:after="0" w:afterAutospacing="0" w:line="360" w:lineRule="auto"/>
              <w:ind w:left="0" w:right="0"/>
              <w:jc w:val="center"/>
              <w:rPr>
                <w:rFonts w:hint="default" w:ascii="Times New Roman" w:hAnsi="Times New Roman" w:eastAsia="仿宋" w:cs="Times New Roman"/>
                <w:b/>
                <w:bCs/>
                <w:color w:val="auto"/>
                <w:sz w:val="21"/>
                <w:szCs w:val="21"/>
              </w:rPr>
            </w:pPr>
            <w:r>
              <w:rPr>
                <w:rFonts w:hint="default" w:ascii="仿宋" w:hAnsi="仿宋" w:eastAsia="仿宋" w:cs="仿宋"/>
                <w:b/>
                <w:bCs/>
                <w:color w:val="auto"/>
                <w:kern w:val="0"/>
                <w:sz w:val="20"/>
                <w:szCs w:val="20"/>
                <w:lang w:val="en-US" w:eastAsia="zh-CN" w:bidi="ar"/>
              </w:rPr>
              <w:t>环境风险防控与应急具体措施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0" w:type="auto"/>
            <w:noWrap w:val="0"/>
            <w:vAlign w:val="center"/>
          </w:tcPr>
          <w:p>
            <w:pPr>
              <w:keepNext w:val="0"/>
              <w:keepLines w:val="0"/>
              <w:widowControl/>
              <w:suppressLineNumbers w:val="0"/>
              <w:adjustRightInd w:val="0"/>
              <w:snapToGrid w:val="0"/>
              <w:spacing w:before="0" w:beforeAutospacing="0" w:after="0" w:afterAutospacing="0" w:line="360" w:lineRule="auto"/>
              <w:ind w:left="0" w:right="0" w:firstLine="0" w:firstLineChars="0"/>
              <w:jc w:val="center"/>
              <w:rPr>
                <w:rFonts w:hint="eastAsia" w:ascii="Times New Roman" w:hAnsi="Times New Roman" w:eastAsia="仿宋" w:cs="Times New Roman"/>
                <w:color w:val="auto"/>
                <w:sz w:val="21"/>
                <w:szCs w:val="21"/>
                <w:lang w:val="zh-CN"/>
              </w:rPr>
            </w:pPr>
            <w:r>
              <w:rPr>
                <w:rFonts w:hint="eastAsia" w:ascii="Times New Roman" w:hAnsi="Times New Roman" w:eastAsia="仿宋" w:cs="Times New Roman"/>
                <w:color w:val="auto"/>
                <w:sz w:val="21"/>
                <w:szCs w:val="21"/>
                <w:lang w:val="en-US" w:eastAsia="zh-CN"/>
              </w:rPr>
              <w:t>1</w:t>
            </w:r>
          </w:p>
        </w:tc>
        <w:tc>
          <w:tcPr>
            <w:tcW w:w="0" w:type="auto"/>
            <w:noWrap w:val="0"/>
            <w:vAlign w:val="center"/>
          </w:tcPr>
          <w:p>
            <w:pPr>
              <w:keepNext w:val="0"/>
              <w:keepLines w:val="0"/>
              <w:suppressLineNumbers w:val="0"/>
              <w:adjustRightInd w:val="0"/>
              <w:snapToGrid w:val="0"/>
              <w:spacing w:before="0" w:beforeAutospacing="0" w:after="0" w:afterAutospacing="0" w:line="36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工艺技术设计安全防范及操作、管理措施</w:t>
            </w:r>
          </w:p>
        </w:tc>
        <w:tc>
          <w:tcPr>
            <w:tcW w:w="0" w:type="auto"/>
            <w:noWrap w:val="0"/>
            <w:vAlign w:val="center"/>
          </w:tcPr>
          <w:p>
            <w:pPr>
              <w:keepNext w:val="0"/>
              <w:keepLines w:val="0"/>
              <w:suppressLineNumbers w:val="0"/>
              <w:adjustRightInd w:val="0"/>
              <w:snapToGrid w:val="0"/>
              <w:spacing w:before="0" w:beforeAutospacing="0" w:after="0" w:afterAutospacing="0" w:line="360" w:lineRule="auto"/>
              <w:ind w:left="0" w:right="0" w:firstLine="0" w:firstLineChars="0"/>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采用成熟、先进工艺。选用先进、安全的设备，消除或减少有害源；提高机械化、自动化水平改善劳动条件，把可能对人产生的伤害以及对环境产生的危害降到最低。</w:t>
            </w:r>
          </w:p>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①</w:t>
            </w:r>
            <w:r>
              <w:rPr>
                <w:rFonts w:hint="default" w:ascii="Times New Roman" w:hAnsi="Times New Roman" w:eastAsia="仿宋" w:cs="Times New Roman"/>
                <w:color w:val="auto"/>
                <w:kern w:val="0"/>
                <w:sz w:val="24"/>
              </w:rPr>
              <w:t>对设备操作人员应进行岗前操作技能培训，并经考试合格后上岗操作，严禁违章操作；</w:t>
            </w:r>
          </w:p>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②</w:t>
            </w:r>
            <w:r>
              <w:rPr>
                <w:rFonts w:hint="default" w:ascii="Times New Roman" w:hAnsi="Times New Roman" w:eastAsia="仿宋" w:cs="Times New Roman"/>
                <w:color w:val="auto"/>
                <w:kern w:val="0"/>
                <w:sz w:val="24"/>
              </w:rPr>
              <w:t>在污水处理工艺上，定期检查排水和排放沟渠是否达标正常排放</w:t>
            </w:r>
            <w:r>
              <w:rPr>
                <w:rFonts w:hint="eastAsia" w:ascii="Times New Roman" w:hAnsi="Times New Roman" w:eastAsia="仿宋" w:cs="Times New Roman"/>
                <w:color w:val="auto"/>
                <w:kern w:val="0"/>
                <w:sz w:val="24"/>
              </w:rPr>
              <w:t>，</w:t>
            </w:r>
            <w:r>
              <w:rPr>
                <w:rFonts w:hint="default" w:ascii="Times New Roman" w:hAnsi="Times New Roman" w:eastAsia="仿宋" w:cs="Times New Roman"/>
                <w:color w:val="auto"/>
                <w:kern w:val="0"/>
                <w:sz w:val="24"/>
              </w:rPr>
              <w:t>避免因故障造成附近水质的污染</w:t>
            </w:r>
            <w:r>
              <w:rPr>
                <w:rFonts w:hint="eastAsia" w:ascii="Times New Roman" w:hAnsi="Times New Roman" w:eastAsia="仿宋" w:cs="Times New Roman"/>
                <w:color w:val="auto"/>
                <w:kern w:val="0"/>
                <w:sz w:val="24"/>
              </w:rPr>
              <w:t>；</w:t>
            </w:r>
          </w:p>
          <w:p>
            <w:pPr>
              <w:keepNext w:val="0"/>
              <w:keepLines w:val="0"/>
              <w:suppressLineNumbers w:val="0"/>
              <w:adjustRightInd w:val="0"/>
              <w:snapToGrid w:val="0"/>
              <w:spacing w:before="0" w:beforeAutospacing="0" w:after="0" w:afterAutospacing="0" w:line="360" w:lineRule="auto"/>
              <w:ind w:left="0" w:right="0" w:firstLine="0" w:firstLineChars="0"/>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kern w:val="0"/>
                <w:sz w:val="24"/>
              </w:rPr>
              <w:t>③</w:t>
            </w:r>
            <w:r>
              <w:rPr>
                <w:rFonts w:hint="default" w:ascii="Times New Roman" w:hAnsi="Times New Roman" w:eastAsia="仿宋" w:cs="Times New Roman"/>
                <w:color w:val="auto"/>
                <w:kern w:val="0"/>
                <w:sz w:val="24"/>
              </w:rPr>
              <w:t>保管员应熟悉贮存物品的分类、性质、保管业务知识和安全制度，掌握各消防器材的操作使用和维护保养方法，做好本岗位的防护工作。</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0" w:type="auto"/>
            <w:noWrap w:val="0"/>
            <w:vAlign w:val="center"/>
          </w:tcPr>
          <w:p>
            <w:pPr>
              <w:keepNext w:val="0"/>
              <w:keepLines w:val="0"/>
              <w:widowControl/>
              <w:suppressLineNumbers w:val="0"/>
              <w:adjustRightInd w:val="0"/>
              <w:snapToGrid w:val="0"/>
              <w:spacing w:before="0" w:beforeAutospacing="0" w:after="0" w:afterAutospacing="0" w:line="360" w:lineRule="auto"/>
              <w:ind w:left="0" w:right="0" w:firstLine="0" w:firstLineChars="0"/>
              <w:jc w:val="center"/>
              <w:rPr>
                <w:rFonts w:hint="eastAsia" w:ascii="Times New Roman" w:hAnsi="Times New Roman" w:eastAsia="仿宋" w:cs="Times New Roman"/>
                <w:color w:val="auto"/>
                <w:sz w:val="21"/>
                <w:szCs w:val="21"/>
                <w:lang w:eastAsia="zh-CN"/>
              </w:rPr>
            </w:pPr>
            <w:r>
              <w:rPr>
                <w:rFonts w:hint="eastAsia" w:ascii="Times New Roman" w:hAnsi="Times New Roman" w:eastAsia="仿宋" w:cs="Times New Roman"/>
                <w:color w:val="auto"/>
                <w:sz w:val="21"/>
                <w:szCs w:val="21"/>
                <w:lang w:val="en-US" w:eastAsia="zh-CN"/>
              </w:rPr>
              <w:t>2</w:t>
            </w:r>
          </w:p>
        </w:tc>
        <w:tc>
          <w:tcPr>
            <w:tcW w:w="0" w:type="auto"/>
            <w:noWrap w:val="0"/>
            <w:vAlign w:val="center"/>
          </w:tcPr>
          <w:p>
            <w:pPr>
              <w:keepNext w:val="0"/>
              <w:keepLines w:val="0"/>
              <w:suppressLineNumbers w:val="0"/>
              <w:adjustRightInd w:val="0"/>
              <w:snapToGrid w:val="0"/>
              <w:spacing w:before="0" w:beforeAutospacing="0" w:after="0" w:afterAutospacing="0" w:line="360" w:lineRule="auto"/>
              <w:ind w:left="0" w:right="0" w:firstLine="0" w:firstLineChars="0"/>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污水防范措施</w:t>
            </w:r>
          </w:p>
        </w:tc>
        <w:tc>
          <w:tcPr>
            <w:tcW w:w="0" w:type="auto"/>
            <w:noWrap w:val="0"/>
            <w:vAlign w:val="center"/>
          </w:tcPr>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①应组织人员定期清掏污泥池的污泥，并及时将污泥污水外运。</w:t>
            </w:r>
          </w:p>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②若污泥池已满，产生的污泥应立即组织槽车、罐车等运输，不得临时堆放污泥。</w:t>
            </w:r>
          </w:p>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③污泥池应搭建雨棚等进行苫盖，避免恶臭气体向外扩散。</w:t>
            </w:r>
          </w:p>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④运输污泥车应设置防渗滤措施，运输过程中不得向外界抛洒污泥。</w:t>
            </w:r>
          </w:p>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⑤得知停电计划或发现临时停电时，应急小组应及时启用备用电源，与供电所联系，制定停电应急计划；</w:t>
            </w:r>
          </w:p>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如属于计划停电，应保持停电信息与各污水清理组联系，停电前，开启排水设备将水池内污水降至最低水平，送电后，立即开启水泵，恢复生产。</w:t>
            </w:r>
          </w:p>
          <w:p>
            <w:pPr>
              <w:keepNext w:val="0"/>
              <w:keepLines w:val="0"/>
              <w:suppressLineNumbers w:val="0"/>
              <w:adjustRightInd w:val="0"/>
              <w:snapToGrid w:val="0"/>
              <w:spacing w:before="0" w:beforeAutospacing="0" w:after="0" w:afterAutospacing="0" w:line="360" w:lineRule="auto"/>
              <w:ind w:left="0" w:right="0" w:firstLine="0" w:firstLineChars="0"/>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kern w:val="0"/>
                <w:sz w:val="24"/>
              </w:rPr>
              <w:t>⑥当出现设备故障及大修而无备用设备或备用设备无法启用等情况时，要及时与应急领导小组联系，确定大修时间，采取相关措施在大修期间存放污水，防止外排。</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0" w:type="auto"/>
            <w:noWrap w:val="0"/>
            <w:vAlign w:val="center"/>
          </w:tcPr>
          <w:p>
            <w:pPr>
              <w:keepNext w:val="0"/>
              <w:keepLines w:val="0"/>
              <w:widowControl/>
              <w:suppressLineNumbers w:val="0"/>
              <w:adjustRightInd w:val="0"/>
              <w:snapToGrid w:val="0"/>
              <w:spacing w:before="0" w:beforeAutospacing="0" w:after="0" w:afterAutospacing="0" w:line="360" w:lineRule="auto"/>
              <w:ind w:left="0" w:right="0" w:firstLine="0" w:firstLineChars="0"/>
              <w:jc w:val="center"/>
              <w:rPr>
                <w:rFonts w:hint="default"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3</w:t>
            </w:r>
          </w:p>
        </w:tc>
        <w:tc>
          <w:tcPr>
            <w:tcW w:w="0" w:type="auto"/>
            <w:noWrap w:val="0"/>
            <w:vAlign w:val="center"/>
          </w:tcPr>
          <w:p>
            <w:pPr>
              <w:keepNext w:val="0"/>
              <w:keepLines w:val="0"/>
              <w:suppressLineNumbers w:val="0"/>
              <w:adjustRightInd w:val="0"/>
              <w:snapToGrid w:val="0"/>
              <w:spacing w:before="0" w:beforeAutospacing="0" w:after="0" w:afterAutospacing="0" w:line="360" w:lineRule="auto"/>
              <w:ind w:left="0" w:right="0" w:firstLine="0" w:firstLineChars="0"/>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管理及操作环节防范措施</w:t>
            </w:r>
          </w:p>
        </w:tc>
        <w:tc>
          <w:tcPr>
            <w:tcW w:w="0" w:type="auto"/>
            <w:noWrap w:val="0"/>
            <w:vAlign w:val="center"/>
          </w:tcPr>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①建立健全安全生产责任制，制定安全生产规章制度和操作规程；</w:t>
            </w:r>
          </w:p>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②安排人巡查，检查废气治理设施；</w:t>
            </w:r>
          </w:p>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③安排人巡查，检查排水设施有无淤堵、坍塌、结构变形，污水处理站构筑物时候出现泄漏、塌陷，检查排渗设施是否运行正常；</w:t>
            </w:r>
          </w:p>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④污水处理设施沿池部位应设置可靠的防护设施、安全围栏；</w:t>
            </w:r>
          </w:p>
          <w:p>
            <w:pPr>
              <w:keepNext w:val="0"/>
              <w:keepLines w:val="0"/>
              <w:suppressLineNumbers w:val="0"/>
              <w:adjustRightInd w:val="0"/>
              <w:snapToGrid w:val="0"/>
              <w:spacing w:before="0" w:beforeAutospacing="0" w:after="0" w:afterAutospacing="0" w:line="360" w:lineRule="auto"/>
              <w:ind w:left="0" w:right="0" w:firstLine="0" w:firstLineChars="0"/>
              <w:rPr>
                <w:rFonts w:hint="eastAsia"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⑤污水处理设施沿池部位应设置可靠的防护设施、安全围栏。</w:t>
            </w:r>
          </w:p>
        </w:tc>
      </w:tr>
    </w:tbl>
    <w:p>
      <w:pPr>
        <w:pStyle w:val="4"/>
        <w:bidi w:val="0"/>
        <w:spacing w:line="360" w:lineRule="auto"/>
        <w:ind w:firstLine="643" w:firstLineChars="200"/>
        <w:rPr>
          <w:rFonts w:hint="default"/>
          <w:color w:val="auto"/>
          <w:lang w:val="en-US" w:eastAsia="zh-CN"/>
        </w:rPr>
      </w:pPr>
      <w:bookmarkStart w:id="48" w:name="_Toc16091"/>
      <w:bookmarkStart w:id="49" w:name="_Toc21890"/>
      <w:r>
        <w:rPr>
          <w:rFonts w:hint="default"/>
          <w:color w:val="auto"/>
          <w:lang w:val="en-US" w:eastAsia="zh-CN"/>
        </w:rPr>
        <w:t>3.</w:t>
      </w:r>
      <w:r>
        <w:rPr>
          <w:rFonts w:hint="eastAsia"/>
          <w:color w:val="auto"/>
          <w:lang w:val="en-US" w:eastAsia="zh-CN"/>
        </w:rPr>
        <w:t>6</w:t>
      </w:r>
      <w:r>
        <w:rPr>
          <w:rFonts w:hint="default"/>
          <w:color w:val="auto"/>
          <w:lang w:val="en-US" w:eastAsia="zh-CN"/>
        </w:rPr>
        <w:t>现有应急物资与装备、救援队伍情况</w:t>
      </w:r>
      <w:bookmarkEnd w:id="48"/>
      <w:bookmarkEnd w:id="49"/>
    </w:p>
    <w:p>
      <w:pPr>
        <w:pStyle w:val="5"/>
        <w:bidi w:val="0"/>
        <w:spacing w:line="360" w:lineRule="auto"/>
        <w:ind w:firstLine="602" w:firstLineChars="200"/>
        <w:rPr>
          <w:rFonts w:hint="default"/>
          <w:color w:val="auto"/>
          <w:lang w:val="en-US" w:eastAsia="zh-CN"/>
        </w:rPr>
      </w:pPr>
      <w:bookmarkStart w:id="50" w:name="_Toc23740"/>
      <w:bookmarkStart w:id="51" w:name="_Toc32315"/>
      <w:bookmarkStart w:id="52" w:name="_Toc85"/>
      <w:bookmarkStart w:id="53" w:name="_Toc21733"/>
      <w:r>
        <w:rPr>
          <w:rFonts w:hint="default"/>
          <w:color w:val="auto"/>
          <w:lang w:val="en-US" w:eastAsia="zh-CN"/>
        </w:rPr>
        <w:t>3.</w:t>
      </w:r>
      <w:r>
        <w:rPr>
          <w:rFonts w:hint="eastAsia"/>
          <w:color w:val="auto"/>
          <w:lang w:val="en-US" w:eastAsia="zh-CN"/>
        </w:rPr>
        <w:t>6</w:t>
      </w:r>
      <w:r>
        <w:rPr>
          <w:rFonts w:hint="default"/>
          <w:color w:val="auto"/>
          <w:lang w:val="en-US" w:eastAsia="zh-CN"/>
        </w:rPr>
        <w:t>.1内部应急资源</w:t>
      </w:r>
      <w:bookmarkEnd w:id="50"/>
      <w:bookmarkEnd w:id="51"/>
      <w:bookmarkEnd w:id="52"/>
      <w:bookmarkEnd w:id="53"/>
    </w:p>
    <w:p>
      <w:pPr>
        <w:bidi w:val="0"/>
        <w:spacing w:line="360" w:lineRule="auto"/>
        <w:ind w:firstLine="560" w:firstLineChars="200"/>
        <w:rPr>
          <w:rFonts w:hint="default" w:ascii="Times New Roman" w:hAnsi="Times New Roman" w:eastAsia="仿宋" w:cs="Times New Roman"/>
          <w:b w:val="0"/>
          <w:bCs w:val="0"/>
          <w:color w:val="auto"/>
          <w:kern w:val="2"/>
          <w:sz w:val="28"/>
          <w:szCs w:val="28"/>
          <w:lang w:val="en-US" w:eastAsia="zh-CN" w:bidi="ar-SA"/>
        </w:rPr>
      </w:pPr>
      <w:r>
        <w:rPr>
          <w:rFonts w:hint="default" w:ascii="Times New Roman" w:hAnsi="Times New Roman" w:eastAsia="仿宋" w:cs="仿宋"/>
          <w:color w:val="auto"/>
          <w:sz w:val="28"/>
          <w:lang w:val="en-US" w:eastAsia="zh-CN"/>
        </w:rPr>
        <w:t>企业内部按照各类需求储备了相应的应急物资，并由办公室负责，企业应急资源及装备的储备情况见表3</w:t>
      </w:r>
      <w:r>
        <w:rPr>
          <w:rFonts w:hint="eastAsia" w:ascii="Times New Roman" w:hAnsi="Times New Roman" w:eastAsia="仿宋" w:cs="仿宋"/>
          <w:color w:val="auto"/>
          <w:sz w:val="28"/>
          <w:lang w:val="en-US" w:eastAsia="zh-CN"/>
        </w:rPr>
        <w:t>.7-1</w:t>
      </w:r>
      <w:r>
        <w:rPr>
          <w:rFonts w:hint="default" w:ascii="Times New Roman" w:hAnsi="Times New Roman" w:eastAsia="仿宋" w:cs="仿宋"/>
          <w:color w:val="auto"/>
          <w:sz w:val="28"/>
          <w:lang w:val="en-US" w:eastAsia="zh-CN"/>
        </w:rPr>
        <w:t>。</w:t>
      </w:r>
    </w:p>
    <w:p>
      <w:pPr>
        <w:keepNext w:val="0"/>
        <w:keepLines w:val="0"/>
        <w:widowControl/>
        <w:suppressLineNumbers w:val="0"/>
        <w:spacing w:line="360" w:lineRule="auto"/>
        <w:jc w:val="center"/>
        <w:rPr>
          <w:color w:val="auto"/>
        </w:rPr>
      </w:pPr>
      <w:r>
        <w:rPr>
          <w:rFonts w:ascii="仿宋" w:hAnsi="仿宋" w:eastAsia="仿宋" w:cs="仿宋"/>
          <w:b/>
          <w:bCs/>
          <w:color w:val="auto"/>
          <w:kern w:val="0"/>
          <w:sz w:val="24"/>
          <w:szCs w:val="24"/>
          <w:lang w:val="en-US" w:eastAsia="zh-CN" w:bidi="ar"/>
        </w:rPr>
        <w:t xml:space="preserve">表 </w:t>
      </w:r>
      <w:r>
        <w:rPr>
          <w:rFonts w:hint="default" w:ascii="Times New Roman" w:hAnsi="Times New Roman" w:eastAsia="宋体" w:cs="Times New Roman"/>
          <w:b/>
          <w:bCs/>
          <w:color w:val="auto"/>
          <w:kern w:val="0"/>
          <w:sz w:val="24"/>
          <w:szCs w:val="24"/>
          <w:lang w:val="en-US" w:eastAsia="zh-CN" w:bidi="ar"/>
        </w:rPr>
        <w:t>3.7-1</w:t>
      </w:r>
      <w:r>
        <w:rPr>
          <w:rFonts w:hint="eastAsia" w:ascii="仿宋" w:hAnsi="仿宋" w:eastAsia="仿宋" w:cs="仿宋"/>
          <w:b/>
          <w:bCs/>
          <w:color w:val="auto"/>
          <w:kern w:val="0"/>
          <w:sz w:val="24"/>
          <w:szCs w:val="24"/>
          <w:lang w:val="en-US" w:eastAsia="zh-CN" w:bidi="ar"/>
        </w:rPr>
        <w:t>企业内部应急资源、装备</w:t>
      </w:r>
    </w:p>
    <w:tbl>
      <w:tblPr>
        <w:tblStyle w:val="13"/>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2835"/>
        <w:gridCol w:w="2268"/>
        <w:gridCol w:w="993"/>
        <w:gridCol w:w="850"/>
        <w:gridCol w:w="851"/>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序号</w:t>
            </w:r>
          </w:p>
        </w:tc>
        <w:tc>
          <w:tcPr>
            <w:tcW w:w="2835" w:type="dxa"/>
            <w:noWrap w:val="0"/>
            <w:vAlign w:val="center"/>
          </w:tcPr>
          <w:p>
            <w:pPr>
              <w:adjustRightInd w:val="0"/>
              <w:snapToGrid w:val="0"/>
              <w:spacing w:line="360" w:lineRule="auto"/>
              <w:ind w:firstLine="48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名称</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型号规格</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存放地点</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库存数量</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完好程度</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到期年限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小霸王爆灯</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BCD--20</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1个</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2</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充电器</w:t>
            </w:r>
          </w:p>
        </w:tc>
        <w:tc>
          <w:tcPr>
            <w:tcW w:w="2268" w:type="dxa"/>
            <w:noWrap w:val="0"/>
            <w:vAlign w:val="center"/>
          </w:tcPr>
          <w:p>
            <w:pPr>
              <w:adjustRightInd w:val="0"/>
              <w:snapToGrid w:val="0"/>
              <w:spacing w:line="360" w:lineRule="auto"/>
              <w:ind w:firstLine="48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1套</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3</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消防栓</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SN65</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2套</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4</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插板线</w:t>
            </w:r>
          </w:p>
        </w:tc>
        <w:tc>
          <w:tcPr>
            <w:tcW w:w="2268" w:type="dxa"/>
            <w:noWrap w:val="0"/>
            <w:vAlign w:val="center"/>
          </w:tcPr>
          <w:p>
            <w:pPr>
              <w:adjustRightInd w:val="0"/>
              <w:snapToGrid w:val="0"/>
              <w:spacing w:line="360" w:lineRule="auto"/>
              <w:ind w:firstLine="48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1卷</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5</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板子</w:t>
            </w:r>
          </w:p>
        </w:tc>
        <w:tc>
          <w:tcPr>
            <w:tcW w:w="2268" w:type="dxa"/>
            <w:noWrap w:val="0"/>
            <w:vAlign w:val="center"/>
          </w:tcPr>
          <w:p>
            <w:pPr>
              <w:adjustRightInd w:val="0"/>
              <w:snapToGrid w:val="0"/>
              <w:spacing w:line="360" w:lineRule="auto"/>
              <w:ind w:firstLine="48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1套</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6</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梅花扳手</w:t>
            </w:r>
          </w:p>
        </w:tc>
        <w:tc>
          <w:tcPr>
            <w:tcW w:w="2268" w:type="dxa"/>
            <w:noWrap w:val="0"/>
            <w:vAlign w:val="center"/>
          </w:tcPr>
          <w:p>
            <w:pPr>
              <w:adjustRightInd w:val="0"/>
              <w:snapToGrid w:val="0"/>
              <w:spacing w:line="360" w:lineRule="auto"/>
              <w:ind w:firstLine="48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1套</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7</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水龙头</w:t>
            </w:r>
          </w:p>
        </w:tc>
        <w:tc>
          <w:tcPr>
            <w:tcW w:w="2268" w:type="dxa"/>
            <w:noWrap w:val="0"/>
            <w:vAlign w:val="center"/>
          </w:tcPr>
          <w:p>
            <w:pPr>
              <w:adjustRightInd w:val="0"/>
              <w:snapToGrid w:val="0"/>
              <w:spacing w:line="360" w:lineRule="auto"/>
              <w:ind w:firstLine="48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2个</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8</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软管</w:t>
            </w:r>
          </w:p>
        </w:tc>
        <w:tc>
          <w:tcPr>
            <w:tcW w:w="2268" w:type="dxa"/>
            <w:noWrap w:val="0"/>
            <w:vAlign w:val="center"/>
          </w:tcPr>
          <w:p>
            <w:pPr>
              <w:adjustRightInd w:val="0"/>
              <w:snapToGrid w:val="0"/>
              <w:spacing w:line="360" w:lineRule="auto"/>
              <w:ind w:firstLine="48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1卷</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9</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钻头</w:t>
            </w:r>
          </w:p>
        </w:tc>
        <w:tc>
          <w:tcPr>
            <w:tcW w:w="2268" w:type="dxa"/>
            <w:noWrap w:val="0"/>
            <w:vAlign w:val="center"/>
          </w:tcPr>
          <w:p>
            <w:pPr>
              <w:adjustRightInd w:val="0"/>
              <w:snapToGrid w:val="0"/>
              <w:spacing w:line="360" w:lineRule="auto"/>
              <w:ind w:firstLine="48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1套</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10</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高压水枪头</w:t>
            </w:r>
          </w:p>
        </w:tc>
        <w:tc>
          <w:tcPr>
            <w:tcW w:w="2268" w:type="dxa"/>
            <w:noWrap w:val="0"/>
            <w:vAlign w:val="center"/>
          </w:tcPr>
          <w:p>
            <w:pPr>
              <w:adjustRightInd w:val="0"/>
              <w:snapToGrid w:val="0"/>
              <w:spacing w:line="360" w:lineRule="auto"/>
              <w:ind w:firstLine="48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2套</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11</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十字螺丝刀</w:t>
            </w:r>
          </w:p>
        </w:tc>
        <w:tc>
          <w:tcPr>
            <w:tcW w:w="2268" w:type="dxa"/>
            <w:noWrap w:val="0"/>
            <w:vAlign w:val="center"/>
          </w:tcPr>
          <w:p>
            <w:pPr>
              <w:adjustRightInd w:val="0"/>
              <w:snapToGrid w:val="0"/>
              <w:spacing w:line="360" w:lineRule="auto"/>
              <w:ind w:firstLine="48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1套</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12</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电缆</w:t>
            </w:r>
          </w:p>
        </w:tc>
        <w:tc>
          <w:tcPr>
            <w:tcW w:w="2268" w:type="dxa"/>
            <w:noWrap w:val="0"/>
            <w:vAlign w:val="center"/>
          </w:tcPr>
          <w:p>
            <w:pPr>
              <w:adjustRightInd w:val="0"/>
              <w:snapToGrid w:val="0"/>
              <w:spacing w:line="360" w:lineRule="auto"/>
              <w:ind w:firstLine="48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1卷</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13</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手提式干粉灭火器</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MFZ/ABC4</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厂区内</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57个</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76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14</w:t>
            </w:r>
          </w:p>
        </w:tc>
        <w:tc>
          <w:tcPr>
            <w:tcW w:w="2835"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推车式干粉灭火器</w:t>
            </w:r>
          </w:p>
        </w:tc>
        <w:tc>
          <w:tcPr>
            <w:tcW w:w="2268"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MFTZ/ABC—35A</w:t>
            </w:r>
          </w:p>
        </w:tc>
        <w:tc>
          <w:tcPr>
            <w:tcW w:w="993"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车间</w:t>
            </w:r>
          </w:p>
        </w:tc>
        <w:tc>
          <w:tcPr>
            <w:tcW w:w="85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2个</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61"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15</w:t>
            </w:r>
          </w:p>
        </w:tc>
        <w:tc>
          <w:tcPr>
            <w:tcW w:w="2835" w:type="dxa"/>
            <w:noWrap w:val="0"/>
            <w:vAlign w:val="center"/>
          </w:tcPr>
          <w:p>
            <w:pPr>
              <w:adjustRightInd w:val="0"/>
              <w:snapToGrid w:val="0"/>
              <w:spacing w:line="360" w:lineRule="auto"/>
              <w:ind w:firstLine="720" w:firstLineChars="300"/>
              <w:rPr>
                <w:rFonts w:ascii="Times New Roman" w:hAnsi="Times New Roman" w:eastAsia="仿宋" w:cs="Times New Roman"/>
                <w:color w:val="auto"/>
                <w:sz w:val="24"/>
              </w:rPr>
            </w:pPr>
            <w:r>
              <w:rPr>
                <w:rFonts w:ascii="Times New Roman" w:hAnsi="Times New Roman" w:eastAsia="仿宋" w:cs="Times New Roman"/>
                <w:color w:val="auto"/>
                <w:sz w:val="24"/>
              </w:rPr>
              <w:t>防静电服</w:t>
            </w:r>
          </w:p>
        </w:tc>
        <w:tc>
          <w:tcPr>
            <w:tcW w:w="2268" w:type="dxa"/>
            <w:noWrap w:val="0"/>
            <w:vAlign w:val="center"/>
          </w:tcPr>
          <w:p>
            <w:pPr>
              <w:adjustRightInd w:val="0"/>
              <w:snapToGrid w:val="0"/>
              <w:spacing w:line="360" w:lineRule="auto"/>
              <w:ind w:firstLine="840" w:firstLineChars="350"/>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10套</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761"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16</w:t>
            </w:r>
          </w:p>
        </w:tc>
        <w:tc>
          <w:tcPr>
            <w:tcW w:w="2835" w:type="dxa"/>
            <w:noWrap w:val="0"/>
            <w:vAlign w:val="center"/>
          </w:tcPr>
          <w:p>
            <w:pPr>
              <w:adjustRightInd w:val="0"/>
              <w:snapToGrid w:val="0"/>
              <w:spacing w:line="360" w:lineRule="auto"/>
              <w:ind w:firstLine="960" w:firstLineChars="400"/>
              <w:rPr>
                <w:rFonts w:ascii="Times New Roman" w:hAnsi="Times New Roman" w:eastAsia="仿宋" w:cs="Times New Roman"/>
                <w:color w:val="auto"/>
                <w:sz w:val="24"/>
              </w:rPr>
            </w:pPr>
            <w:r>
              <w:rPr>
                <w:rFonts w:ascii="Times New Roman" w:hAnsi="Times New Roman" w:eastAsia="仿宋" w:cs="Times New Roman"/>
                <w:color w:val="auto"/>
                <w:sz w:val="24"/>
              </w:rPr>
              <w:t>头盔</w:t>
            </w:r>
          </w:p>
        </w:tc>
        <w:tc>
          <w:tcPr>
            <w:tcW w:w="2268" w:type="dxa"/>
            <w:noWrap w:val="0"/>
            <w:vAlign w:val="center"/>
          </w:tcPr>
          <w:p>
            <w:pPr>
              <w:adjustRightInd w:val="0"/>
              <w:snapToGrid w:val="0"/>
              <w:spacing w:line="360" w:lineRule="auto"/>
              <w:ind w:firstLine="840" w:firstLineChars="350"/>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25个</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完好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 w:hRule="atLeast"/>
          <w:jc w:val="center"/>
        </w:trPr>
        <w:tc>
          <w:tcPr>
            <w:tcW w:w="761"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17</w:t>
            </w:r>
          </w:p>
        </w:tc>
        <w:tc>
          <w:tcPr>
            <w:tcW w:w="2835" w:type="dxa"/>
            <w:noWrap w:val="0"/>
            <w:vAlign w:val="center"/>
          </w:tcPr>
          <w:p>
            <w:pPr>
              <w:adjustRightInd w:val="0"/>
              <w:snapToGrid w:val="0"/>
              <w:spacing w:line="360" w:lineRule="auto"/>
              <w:ind w:firstLine="720" w:firstLineChars="300"/>
              <w:rPr>
                <w:rFonts w:ascii="Times New Roman" w:hAnsi="Times New Roman" w:eastAsia="仿宋" w:cs="Times New Roman"/>
                <w:color w:val="auto"/>
                <w:sz w:val="24"/>
              </w:rPr>
            </w:pPr>
            <w:r>
              <w:rPr>
                <w:rFonts w:ascii="Times New Roman" w:hAnsi="Times New Roman" w:eastAsia="仿宋" w:cs="Times New Roman"/>
                <w:color w:val="auto"/>
                <w:sz w:val="24"/>
              </w:rPr>
              <w:t>防毒面具</w:t>
            </w:r>
          </w:p>
        </w:tc>
        <w:tc>
          <w:tcPr>
            <w:tcW w:w="2268" w:type="dxa"/>
            <w:noWrap w:val="0"/>
            <w:vAlign w:val="center"/>
          </w:tcPr>
          <w:p>
            <w:pPr>
              <w:adjustRightInd w:val="0"/>
              <w:snapToGrid w:val="0"/>
              <w:spacing w:line="360" w:lineRule="auto"/>
              <w:ind w:firstLine="840" w:firstLineChars="350"/>
              <w:rPr>
                <w:rFonts w:ascii="Times New Roman" w:hAnsi="Times New Roman" w:eastAsia="仿宋" w:cs="Times New Roman"/>
                <w:color w:val="auto"/>
                <w:sz w:val="24"/>
              </w:rPr>
            </w:pPr>
            <w:r>
              <w:rPr>
                <w:rFonts w:ascii="Times New Roman" w:hAnsi="Times New Roman" w:eastAsia="仿宋" w:cs="Times New Roman"/>
                <w:color w:val="auto"/>
                <w:sz w:val="24"/>
              </w:rPr>
              <w:t>/</w:t>
            </w:r>
          </w:p>
        </w:tc>
        <w:tc>
          <w:tcPr>
            <w:tcW w:w="993"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库房</w:t>
            </w:r>
          </w:p>
        </w:tc>
        <w:tc>
          <w:tcPr>
            <w:tcW w:w="850"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10套</w:t>
            </w:r>
          </w:p>
        </w:tc>
        <w:tc>
          <w:tcPr>
            <w:tcW w:w="851"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玩好</w:t>
            </w:r>
          </w:p>
        </w:tc>
        <w:tc>
          <w:tcPr>
            <w:tcW w:w="902"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长期</w:t>
            </w:r>
          </w:p>
        </w:tc>
      </w:tr>
    </w:tbl>
    <w:p>
      <w:pPr>
        <w:keepNext/>
        <w:keepLines/>
        <w:widowControl w:val="0"/>
        <w:bidi w:val="0"/>
        <w:spacing w:line="360" w:lineRule="auto"/>
        <w:ind w:firstLine="602" w:firstLineChars="200"/>
        <w:jc w:val="left"/>
        <w:outlineLvl w:val="2"/>
        <w:rPr>
          <w:rFonts w:hint="default" w:ascii="Times New Roman" w:hAnsi="Times New Roman" w:eastAsia="仿宋" w:cs="仿宋"/>
          <w:b/>
          <w:bCs/>
          <w:color w:val="auto"/>
          <w:kern w:val="2"/>
          <w:sz w:val="30"/>
          <w:szCs w:val="32"/>
          <w:lang w:val="en-US" w:eastAsia="zh-CN" w:bidi="ar-SA"/>
        </w:rPr>
      </w:pPr>
      <w:r>
        <w:rPr>
          <w:rFonts w:hint="default" w:ascii="Times New Roman" w:hAnsi="Times New Roman" w:eastAsia="仿宋" w:cs="仿宋"/>
          <w:b/>
          <w:bCs/>
          <w:color w:val="auto"/>
          <w:kern w:val="2"/>
          <w:sz w:val="30"/>
          <w:szCs w:val="32"/>
          <w:lang w:val="en-US" w:eastAsia="zh-CN" w:bidi="ar-SA"/>
        </w:rPr>
        <w:t>3.</w:t>
      </w:r>
      <w:r>
        <w:rPr>
          <w:rFonts w:hint="eastAsia" w:ascii="Times New Roman" w:hAnsi="Times New Roman" w:eastAsia="仿宋" w:cs="仿宋"/>
          <w:b/>
          <w:bCs/>
          <w:color w:val="auto"/>
          <w:kern w:val="2"/>
          <w:sz w:val="30"/>
          <w:szCs w:val="32"/>
          <w:lang w:val="en-US" w:eastAsia="zh-CN" w:bidi="ar-SA"/>
        </w:rPr>
        <w:t>6</w:t>
      </w:r>
      <w:r>
        <w:rPr>
          <w:rFonts w:hint="default" w:ascii="Times New Roman" w:hAnsi="Times New Roman" w:eastAsia="仿宋" w:cs="仿宋"/>
          <w:b/>
          <w:bCs/>
          <w:color w:val="auto"/>
          <w:kern w:val="2"/>
          <w:sz w:val="30"/>
          <w:szCs w:val="32"/>
          <w:lang w:val="en-US" w:eastAsia="zh-CN" w:bidi="ar-SA"/>
        </w:rPr>
        <w:t>.2</w:t>
      </w:r>
      <w:r>
        <w:rPr>
          <w:rFonts w:hint="eastAsia" w:ascii="Times New Roman" w:hAnsi="Times New Roman" w:eastAsia="仿宋" w:cs="仿宋"/>
          <w:b/>
          <w:bCs/>
          <w:color w:val="auto"/>
          <w:kern w:val="2"/>
          <w:sz w:val="30"/>
          <w:szCs w:val="32"/>
          <w:lang w:val="en-US" w:eastAsia="zh-CN" w:bidi="ar-SA"/>
        </w:rPr>
        <w:t>内部救援队伍</w:t>
      </w:r>
    </w:p>
    <w:p>
      <w:pPr>
        <w:keepNext w:val="0"/>
        <w:keepLines w:val="0"/>
        <w:widowControl/>
        <w:suppressLineNumbers w:val="0"/>
        <w:spacing w:line="360" w:lineRule="auto"/>
        <w:ind w:firstLine="560" w:firstLineChars="200"/>
        <w:jc w:val="left"/>
        <w:rPr>
          <w:color w:val="auto"/>
        </w:rPr>
      </w:pPr>
      <w:r>
        <w:rPr>
          <w:rFonts w:ascii="仿宋" w:hAnsi="仿宋" w:eastAsia="仿宋" w:cs="仿宋"/>
          <w:color w:val="auto"/>
          <w:kern w:val="0"/>
          <w:sz w:val="28"/>
          <w:szCs w:val="28"/>
          <w:lang w:val="en-US" w:eastAsia="zh-CN" w:bidi="ar"/>
        </w:rPr>
        <w:t>企业成立应急救援专业队伍，由于本公司人员较少，机构设置简单，其</w:t>
      </w:r>
      <w:r>
        <w:rPr>
          <w:rFonts w:hint="eastAsia" w:ascii="仿宋" w:hAnsi="仿宋" w:eastAsia="仿宋" w:cs="仿宋"/>
          <w:color w:val="auto"/>
          <w:kern w:val="0"/>
          <w:sz w:val="28"/>
          <w:szCs w:val="28"/>
          <w:lang w:val="en-US" w:eastAsia="zh-CN" w:bidi="ar"/>
        </w:rPr>
        <w:t>人员配置见表</w:t>
      </w:r>
      <w:r>
        <w:rPr>
          <w:rFonts w:hint="default" w:ascii="Times New Roman" w:hAnsi="Times New Roman" w:eastAsia="宋体" w:cs="Times New Roman"/>
          <w:color w:val="auto"/>
          <w:kern w:val="0"/>
          <w:sz w:val="28"/>
          <w:szCs w:val="28"/>
          <w:lang w:val="en-US" w:eastAsia="zh-CN" w:bidi="ar"/>
        </w:rPr>
        <w:t>3.7-2</w:t>
      </w:r>
      <w:r>
        <w:rPr>
          <w:rFonts w:hint="eastAsia" w:ascii="仿宋" w:hAnsi="仿宋" w:eastAsia="仿宋" w:cs="仿宋"/>
          <w:color w:val="auto"/>
          <w:kern w:val="0"/>
          <w:sz w:val="28"/>
          <w:szCs w:val="28"/>
          <w:lang w:val="en-US" w:eastAsia="zh-CN" w:bidi="ar"/>
        </w:rPr>
        <w:t>。</w:t>
      </w:r>
    </w:p>
    <w:p>
      <w:pPr>
        <w:keepNext w:val="0"/>
        <w:keepLines w:val="0"/>
        <w:widowControl/>
        <w:suppressLineNumbers w:val="0"/>
        <w:spacing w:line="360" w:lineRule="auto"/>
        <w:jc w:val="center"/>
        <w:rPr>
          <w:rFonts w:hint="eastAsia" w:ascii="仿宋" w:hAnsi="仿宋" w:eastAsia="仿宋" w:cs="仿宋"/>
          <w:b/>
          <w:bCs/>
          <w:color w:val="auto"/>
          <w:kern w:val="0"/>
          <w:sz w:val="24"/>
          <w:szCs w:val="24"/>
          <w:lang w:val="en-US" w:eastAsia="zh-CN" w:bidi="ar"/>
        </w:rPr>
      </w:pPr>
      <w:r>
        <w:rPr>
          <w:rFonts w:ascii="仿宋" w:hAnsi="仿宋" w:eastAsia="仿宋" w:cs="仿宋"/>
          <w:b/>
          <w:bCs/>
          <w:color w:val="auto"/>
          <w:kern w:val="0"/>
          <w:sz w:val="24"/>
          <w:szCs w:val="24"/>
          <w:lang w:val="en-US" w:eastAsia="zh-CN" w:bidi="ar"/>
        </w:rPr>
        <w:t xml:space="preserve">表 </w:t>
      </w:r>
      <w:r>
        <w:rPr>
          <w:rFonts w:hint="default" w:ascii="Times New Roman" w:hAnsi="Times New Roman" w:eastAsia="宋体" w:cs="Times New Roman"/>
          <w:b/>
          <w:bCs/>
          <w:color w:val="auto"/>
          <w:kern w:val="0"/>
          <w:sz w:val="24"/>
          <w:szCs w:val="24"/>
          <w:lang w:val="en-US" w:eastAsia="zh-CN" w:bidi="ar"/>
        </w:rPr>
        <w:t>3.7-2</w:t>
      </w:r>
      <w:r>
        <w:rPr>
          <w:rFonts w:hint="eastAsia" w:ascii="仿宋" w:hAnsi="仿宋" w:eastAsia="仿宋" w:cs="仿宋"/>
          <w:b/>
          <w:bCs/>
          <w:color w:val="auto"/>
          <w:kern w:val="0"/>
          <w:sz w:val="24"/>
          <w:szCs w:val="24"/>
          <w:lang w:val="en-US" w:eastAsia="zh-CN" w:bidi="ar"/>
        </w:rPr>
        <w:t>企业内部应急救援专业队伍名单</w:t>
      </w:r>
    </w:p>
    <w:tbl>
      <w:tblPr>
        <w:tblStyle w:val="13"/>
        <w:tblW w:w="4998" w:type="pct"/>
        <w:jc w:val="center"/>
        <w:tblLayout w:type="autofit"/>
        <w:tblCellMar>
          <w:top w:w="15" w:type="dxa"/>
          <w:left w:w="15" w:type="dxa"/>
          <w:bottom w:w="15" w:type="dxa"/>
          <w:right w:w="15" w:type="dxa"/>
        </w:tblCellMar>
      </w:tblPr>
      <w:tblGrid>
        <w:gridCol w:w="2851"/>
        <w:gridCol w:w="2120"/>
        <w:gridCol w:w="2120"/>
        <w:gridCol w:w="2120"/>
      </w:tblGrid>
      <w:tr>
        <w:tblPrEx>
          <w:tblCellMar>
            <w:top w:w="15" w:type="dxa"/>
            <w:left w:w="15" w:type="dxa"/>
            <w:bottom w:w="15" w:type="dxa"/>
            <w:right w:w="15" w:type="dxa"/>
          </w:tblCellMar>
        </w:tblPrEx>
        <w:trPr>
          <w:trHeight w:val="426"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b/>
                <w:bCs/>
                <w:color w:val="auto"/>
                <w:sz w:val="24"/>
                <w:szCs w:val="20"/>
              </w:rPr>
            </w:pPr>
            <w:r>
              <w:rPr>
                <w:rFonts w:hint="default" w:ascii="Times New Roman" w:hAnsi="Times New Roman" w:eastAsia="仿宋" w:cs="Times New Roman"/>
                <w:b/>
                <w:bCs/>
                <w:color w:val="auto"/>
                <w:sz w:val="24"/>
                <w:szCs w:val="20"/>
              </w:rPr>
              <w:t>工作岗位</w:t>
            </w:r>
          </w:p>
        </w:tc>
        <w:tc>
          <w:tcPr>
            <w:tcW w:w="1150" w:type="pct"/>
            <w:tcBorders>
              <w:top w:val="single" w:color="000000" w:sz="4" w:space="0"/>
              <w:left w:val="single" w:color="000000" w:sz="4" w:space="0"/>
              <w:bottom w:val="single" w:color="000000" w:sz="4" w:space="0"/>
              <w:right w:val="single" w:color="000000" w:sz="4" w:space="0"/>
            </w:tcBorders>
            <w:noWrap w:val="0"/>
            <w:vAlign w:val="top"/>
          </w:tcPr>
          <w:p>
            <w:pPr>
              <w:adjustRightInd/>
              <w:snapToGrid/>
              <w:spacing w:line="360" w:lineRule="auto"/>
              <w:ind w:firstLine="0" w:firstLineChars="0"/>
              <w:jc w:val="center"/>
              <w:rPr>
                <w:rFonts w:hint="default" w:ascii="Times New Roman" w:hAnsi="Times New Roman" w:eastAsia="仿宋" w:cs="Times New Roman"/>
                <w:b/>
                <w:bCs/>
                <w:color w:val="auto"/>
                <w:sz w:val="24"/>
                <w:szCs w:val="20"/>
                <w:lang w:eastAsia="zh-CN"/>
              </w:rPr>
            </w:pPr>
            <w:r>
              <w:rPr>
                <w:rFonts w:hint="default" w:ascii="Times New Roman" w:hAnsi="Times New Roman" w:eastAsia="仿宋" w:cs="Times New Roman"/>
                <w:b/>
                <w:bCs/>
                <w:color w:val="auto"/>
                <w:sz w:val="24"/>
                <w:szCs w:val="20"/>
                <w:lang w:eastAsia="zh-CN"/>
              </w:rPr>
              <w:t>姓名</w:t>
            </w:r>
          </w:p>
        </w:tc>
        <w:tc>
          <w:tcPr>
            <w:tcW w:w="1150" w:type="pct"/>
            <w:tcBorders>
              <w:top w:val="single" w:color="000000" w:sz="4" w:space="0"/>
              <w:left w:val="single" w:color="000000" w:sz="4" w:space="0"/>
              <w:bottom w:val="single" w:color="000000" w:sz="4" w:space="0"/>
              <w:right w:val="single" w:color="000000" w:sz="4" w:space="0"/>
            </w:tcBorders>
            <w:noWrap w:val="0"/>
            <w:vAlign w:val="top"/>
          </w:tcPr>
          <w:p>
            <w:pPr>
              <w:adjustRightInd/>
              <w:snapToGrid/>
              <w:spacing w:line="360" w:lineRule="auto"/>
              <w:ind w:firstLine="0" w:firstLineChars="0"/>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szCs w:val="20"/>
              </w:rPr>
              <w:t>职位</w:t>
            </w:r>
          </w:p>
        </w:tc>
        <w:tc>
          <w:tcPr>
            <w:tcW w:w="1150" w:type="pct"/>
            <w:tcBorders>
              <w:top w:val="single" w:color="000000" w:sz="4" w:space="0"/>
              <w:left w:val="single" w:color="000000" w:sz="4" w:space="0"/>
              <w:bottom w:val="single" w:color="000000" w:sz="4" w:space="0"/>
              <w:right w:val="single" w:color="000000" w:sz="4" w:space="0"/>
            </w:tcBorders>
            <w:noWrap w:val="0"/>
            <w:vAlign w:val="top"/>
          </w:tcPr>
          <w:p>
            <w:pPr>
              <w:adjustRightInd/>
              <w:snapToGrid/>
              <w:spacing w:line="360" w:lineRule="auto"/>
              <w:ind w:firstLine="0" w:firstLineChars="0"/>
              <w:jc w:val="center"/>
              <w:rPr>
                <w:rFonts w:hint="default" w:ascii="Times New Roman" w:hAnsi="Times New Roman" w:eastAsia="仿宋" w:cs="Times New Roman"/>
                <w:b/>
                <w:bCs/>
                <w:color w:val="auto"/>
                <w:sz w:val="24"/>
                <w:szCs w:val="20"/>
                <w:lang w:eastAsia="zh-CN"/>
              </w:rPr>
            </w:pPr>
            <w:r>
              <w:rPr>
                <w:rFonts w:hint="default" w:ascii="Times New Roman" w:hAnsi="Times New Roman" w:eastAsia="仿宋" w:cs="Times New Roman"/>
                <w:b/>
                <w:bCs/>
                <w:color w:val="auto"/>
                <w:sz w:val="24"/>
                <w:szCs w:val="20"/>
                <w:lang w:eastAsia="zh-CN"/>
              </w:rPr>
              <w:t>联系电话</w:t>
            </w:r>
          </w:p>
        </w:tc>
      </w:tr>
      <w:tr>
        <w:tblPrEx>
          <w:tblCellMar>
            <w:top w:w="15" w:type="dxa"/>
            <w:left w:w="15" w:type="dxa"/>
            <w:bottom w:w="15" w:type="dxa"/>
            <w:right w:w="15" w:type="dxa"/>
          </w:tblCellMar>
        </w:tblPrEx>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rPr>
            </w:pPr>
            <w:r>
              <w:rPr>
                <w:rFonts w:hint="default" w:ascii="Times New Roman" w:hAnsi="Times New Roman" w:eastAsia="仿宋" w:cs="Times New Roman"/>
                <w:color w:val="auto"/>
                <w:sz w:val="24"/>
                <w:szCs w:val="20"/>
              </w:rPr>
              <w:t xml:space="preserve">总指挥 </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eastAsia="zh-CN"/>
              </w:rPr>
            </w:pPr>
            <w:r>
              <w:rPr>
                <w:rFonts w:hint="default" w:ascii="Times New Roman" w:hAnsi="Times New Roman" w:eastAsia="仿宋" w:cs="Times New Roman"/>
                <w:color w:val="auto"/>
                <w:sz w:val="24"/>
                <w:szCs w:val="20"/>
                <w:lang w:eastAsia="zh-CN"/>
              </w:rPr>
              <w:t>陈超</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0"/>
              </w:rPr>
              <w:t>总经理</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val="en-US" w:eastAsia="zh-CN"/>
              </w:rPr>
            </w:pPr>
            <w:r>
              <w:rPr>
                <w:rFonts w:hint="default" w:ascii="Times New Roman" w:hAnsi="Times New Roman" w:eastAsia="仿宋" w:cs="Times New Roman"/>
                <w:color w:val="auto"/>
                <w:sz w:val="24"/>
                <w:szCs w:val="20"/>
                <w:lang w:val="en-US" w:eastAsia="zh-CN"/>
              </w:rPr>
              <w:t>18629092221</w:t>
            </w:r>
          </w:p>
        </w:tc>
      </w:tr>
      <w:tr>
        <w:tblPrEx>
          <w:tblCellMar>
            <w:top w:w="15" w:type="dxa"/>
            <w:left w:w="15" w:type="dxa"/>
            <w:bottom w:w="15" w:type="dxa"/>
            <w:right w:w="15" w:type="dxa"/>
          </w:tblCellMar>
        </w:tblPrEx>
        <w:trPr>
          <w:trHeight w:val="497"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rPr>
            </w:pPr>
            <w:r>
              <w:rPr>
                <w:rFonts w:hint="default" w:ascii="Times New Roman" w:hAnsi="Times New Roman" w:eastAsia="仿宋" w:cs="Times New Roman"/>
                <w:color w:val="auto"/>
                <w:sz w:val="24"/>
                <w:szCs w:val="20"/>
              </w:rPr>
              <w:t>副总指挥</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eastAsia="zh-CN"/>
              </w:rPr>
            </w:pPr>
            <w:r>
              <w:rPr>
                <w:rFonts w:hint="default" w:ascii="Times New Roman" w:hAnsi="Times New Roman" w:eastAsia="仿宋" w:cs="Times New Roman"/>
                <w:color w:val="auto"/>
                <w:sz w:val="24"/>
                <w:szCs w:val="20"/>
                <w:lang w:eastAsia="zh-CN"/>
              </w:rPr>
              <w:t>周春林</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0"/>
              </w:rPr>
              <w:t>副总经理</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val="en-US" w:eastAsia="zh-CN"/>
              </w:rPr>
            </w:pPr>
            <w:r>
              <w:rPr>
                <w:rFonts w:hint="default" w:ascii="Times New Roman" w:hAnsi="Times New Roman" w:eastAsia="仿宋" w:cs="Times New Roman"/>
                <w:color w:val="auto"/>
                <w:sz w:val="24"/>
                <w:szCs w:val="20"/>
                <w:lang w:val="en-US" w:eastAsia="zh-CN"/>
              </w:rPr>
              <w:t>13983612898</w:t>
            </w:r>
          </w:p>
        </w:tc>
      </w:tr>
      <w:tr>
        <w:tblPrEx>
          <w:tblCellMar>
            <w:top w:w="15" w:type="dxa"/>
            <w:left w:w="15" w:type="dxa"/>
            <w:bottom w:w="15" w:type="dxa"/>
            <w:right w:w="15" w:type="dxa"/>
          </w:tblCellMar>
        </w:tblPrEx>
        <w:trPr>
          <w:trHeight w:val="63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rPr>
            </w:pPr>
            <w:r>
              <w:rPr>
                <w:rFonts w:hint="default" w:ascii="Times New Roman" w:hAnsi="Times New Roman" w:eastAsia="仿宋" w:cs="Times New Roman"/>
                <w:color w:val="auto"/>
                <w:sz w:val="24"/>
                <w:szCs w:val="20"/>
              </w:rPr>
              <w:t>事故应急中心办公室主任</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eastAsia="zh-CN"/>
              </w:rPr>
            </w:pPr>
            <w:r>
              <w:rPr>
                <w:rFonts w:hint="default" w:ascii="Times New Roman" w:hAnsi="Times New Roman" w:eastAsia="仿宋" w:cs="Times New Roman"/>
                <w:color w:val="auto"/>
                <w:sz w:val="24"/>
                <w:szCs w:val="20"/>
                <w:lang w:eastAsia="zh-CN"/>
              </w:rPr>
              <w:t>郭小飞</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kern w:val="2"/>
                <w:sz w:val="24"/>
                <w:szCs w:val="24"/>
                <w:lang w:val="en-US" w:eastAsia="zh-CN" w:bidi="ar-SA"/>
              </w:rPr>
              <w:t>会计</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val="en-US" w:eastAsia="zh-CN"/>
              </w:rPr>
            </w:pPr>
            <w:r>
              <w:rPr>
                <w:rFonts w:hint="default" w:ascii="Times New Roman" w:hAnsi="Times New Roman" w:eastAsia="仿宋" w:cs="Times New Roman"/>
                <w:color w:val="auto"/>
                <w:sz w:val="24"/>
                <w:szCs w:val="20"/>
                <w:lang w:val="en-US" w:eastAsia="zh-CN"/>
              </w:rPr>
              <w:t>15929748484</w:t>
            </w:r>
          </w:p>
        </w:tc>
      </w:tr>
      <w:tr>
        <w:tblPrEx>
          <w:tblCellMar>
            <w:top w:w="15" w:type="dxa"/>
            <w:left w:w="15" w:type="dxa"/>
            <w:bottom w:w="15" w:type="dxa"/>
            <w:right w:w="15" w:type="dxa"/>
          </w:tblCellMar>
        </w:tblPrEx>
        <w:trPr>
          <w:trHeight w:val="526"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rPr>
            </w:pPr>
            <w:r>
              <w:rPr>
                <w:rFonts w:hint="default" w:ascii="Times New Roman" w:hAnsi="Times New Roman" w:eastAsia="仿宋" w:cs="Times New Roman"/>
                <w:color w:val="auto"/>
                <w:sz w:val="24"/>
                <w:szCs w:val="20"/>
                <w:highlight w:val="none"/>
              </w:rPr>
              <w:t>物资供应组</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val="en-US" w:eastAsia="zh-CN"/>
              </w:rPr>
            </w:pPr>
            <w:r>
              <w:rPr>
                <w:rFonts w:hint="default" w:ascii="Times New Roman" w:hAnsi="Times New Roman" w:eastAsia="仿宋" w:cs="Times New Roman"/>
                <w:color w:val="auto"/>
                <w:sz w:val="24"/>
                <w:szCs w:val="20"/>
                <w:highlight w:val="none"/>
                <w:lang w:val="en-US" w:eastAsia="zh-CN"/>
              </w:rPr>
              <w:t>秦秋堤</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kern w:val="2"/>
                <w:sz w:val="24"/>
                <w:szCs w:val="24"/>
                <w:highlight w:val="none"/>
                <w:lang w:val="en-US" w:eastAsia="zh-CN" w:bidi="ar-SA"/>
              </w:rPr>
              <w:t>车间主任</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val="en-US" w:eastAsia="zh-CN"/>
              </w:rPr>
            </w:pPr>
            <w:r>
              <w:rPr>
                <w:rFonts w:hint="default" w:ascii="Times New Roman" w:hAnsi="Times New Roman" w:eastAsia="仿宋" w:cs="Times New Roman"/>
                <w:color w:val="auto"/>
                <w:sz w:val="24"/>
                <w:szCs w:val="20"/>
                <w:highlight w:val="none"/>
                <w:lang w:val="en-US" w:eastAsia="zh-CN"/>
              </w:rPr>
              <w:t>15129244852</w:t>
            </w:r>
          </w:p>
        </w:tc>
      </w:tr>
      <w:tr>
        <w:tblPrEx>
          <w:tblCellMar>
            <w:top w:w="15" w:type="dxa"/>
            <w:left w:w="15" w:type="dxa"/>
            <w:bottom w:w="15" w:type="dxa"/>
            <w:right w:w="15" w:type="dxa"/>
          </w:tblCellMar>
        </w:tblPrEx>
        <w:trPr>
          <w:trHeight w:val="511"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rPr>
            </w:pPr>
            <w:r>
              <w:rPr>
                <w:rFonts w:hint="default" w:ascii="Times New Roman" w:hAnsi="Times New Roman" w:eastAsia="仿宋" w:cs="Times New Roman"/>
                <w:color w:val="auto"/>
                <w:sz w:val="24"/>
                <w:szCs w:val="20"/>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eastAsia="zh-CN"/>
              </w:rPr>
            </w:pPr>
            <w:r>
              <w:rPr>
                <w:rFonts w:hint="default" w:ascii="Times New Roman" w:hAnsi="Times New Roman" w:eastAsia="仿宋" w:cs="Times New Roman"/>
                <w:color w:val="auto"/>
                <w:sz w:val="24"/>
                <w:szCs w:val="20"/>
                <w:lang w:eastAsia="zh-CN"/>
              </w:rPr>
              <w:t>刘许刚</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0"/>
                <w:lang w:eastAsia="zh-CN"/>
              </w:rPr>
              <w:t>车间主管</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val="en-US" w:eastAsia="zh-CN"/>
              </w:rPr>
            </w:pPr>
            <w:r>
              <w:rPr>
                <w:rFonts w:hint="default" w:ascii="Times New Roman" w:hAnsi="Times New Roman" w:eastAsia="仿宋" w:cs="Times New Roman"/>
                <w:color w:val="auto"/>
                <w:sz w:val="24"/>
                <w:szCs w:val="20"/>
                <w:lang w:val="en-US" w:eastAsia="zh-CN"/>
              </w:rPr>
              <w:t>18092686131</w:t>
            </w:r>
          </w:p>
        </w:tc>
      </w:tr>
      <w:tr>
        <w:tblPrEx>
          <w:tblCellMar>
            <w:top w:w="15" w:type="dxa"/>
            <w:left w:w="15" w:type="dxa"/>
            <w:bottom w:w="15" w:type="dxa"/>
            <w:right w:w="15" w:type="dxa"/>
          </w:tblCellMar>
        </w:tblPrEx>
        <w:trPr>
          <w:trHeight w:val="511"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eastAsia="zh-CN"/>
              </w:rPr>
            </w:pPr>
            <w:r>
              <w:rPr>
                <w:rFonts w:hint="default" w:ascii="Times New Roman" w:hAnsi="Times New Roman" w:eastAsia="仿宋" w:cs="Times New Roman"/>
                <w:color w:val="auto"/>
                <w:sz w:val="24"/>
                <w:szCs w:val="20"/>
                <w:highlight w:val="none"/>
                <w:lang w:eastAsia="zh-CN"/>
              </w:rPr>
              <w:t>通讯联络组</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eastAsia="zh-CN"/>
              </w:rPr>
            </w:pPr>
            <w:r>
              <w:rPr>
                <w:rFonts w:hint="default" w:ascii="Times New Roman" w:hAnsi="Times New Roman" w:eastAsia="仿宋" w:cs="Times New Roman"/>
                <w:color w:val="auto"/>
                <w:sz w:val="24"/>
                <w:szCs w:val="20"/>
                <w:highlight w:val="none"/>
                <w:lang w:eastAsia="zh-CN"/>
              </w:rPr>
              <w:t>刘迷迎</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kern w:val="2"/>
                <w:sz w:val="24"/>
                <w:szCs w:val="24"/>
                <w:highlight w:val="none"/>
                <w:lang w:val="en-US" w:eastAsia="zh-CN" w:bidi="ar-SA"/>
              </w:rPr>
              <w:t>车间主管</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val="en-US" w:eastAsia="zh-CN"/>
              </w:rPr>
            </w:pPr>
            <w:r>
              <w:rPr>
                <w:rFonts w:hint="default" w:ascii="Times New Roman" w:hAnsi="Times New Roman" w:eastAsia="仿宋" w:cs="Times New Roman"/>
                <w:color w:val="auto"/>
                <w:sz w:val="24"/>
                <w:szCs w:val="20"/>
                <w:highlight w:val="none"/>
                <w:lang w:val="en-US" w:eastAsia="zh-CN"/>
              </w:rPr>
              <w:t>18191946749</w:t>
            </w:r>
          </w:p>
        </w:tc>
      </w:tr>
      <w:tr>
        <w:tblPrEx>
          <w:tblCellMar>
            <w:top w:w="15" w:type="dxa"/>
            <w:left w:w="15" w:type="dxa"/>
            <w:bottom w:w="15" w:type="dxa"/>
            <w:right w:w="15" w:type="dxa"/>
          </w:tblCellMar>
        </w:tblPrEx>
        <w:trPr>
          <w:trHeight w:val="455"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rPr>
            </w:pPr>
            <w:r>
              <w:rPr>
                <w:rFonts w:hint="default" w:ascii="Times New Roman" w:hAnsi="Times New Roman" w:eastAsia="仿宋" w:cs="Times New Roman"/>
                <w:color w:val="auto"/>
                <w:sz w:val="24"/>
                <w:szCs w:val="20"/>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eastAsia="zh-CN"/>
              </w:rPr>
            </w:pPr>
            <w:r>
              <w:rPr>
                <w:rFonts w:hint="default" w:ascii="Times New Roman" w:hAnsi="Times New Roman" w:eastAsia="仿宋" w:cs="Times New Roman"/>
                <w:color w:val="auto"/>
                <w:sz w:val="24"/>
                <w:szCs w:val="20"/>
                <w:lang w:eastAsia="zh-CN"/>
              </w:rPr>
              <w:t>何忠发</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0"/>
                <w:lang w:eastAsia="zh-CN"/>
              </w:rPr>
              <w:t>分拣工</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val="en-US" w:eastAsia="zh-CN"/>
              </w:rPr>
            </w:pPr>
            <w:r>
              <w:rPr>
                <w:rFonts w:hint="default" w:ascii="Times New Roman" w:hAnsi="Times New Roman" w:eastAsia="仿宋" w:cs="Times New Roman"/>
                <w:color w:val="auto"/>
                <w:sz w:val="24"/>
                <w:szCs w:val="20"/>
                <w:lang w:val="en-US" w:eastAsia="zh-CN"/>
              </w:rPr>
              <w:t>13669203549</w:t>
            </w:r>
          </w:p>
        </w:tc>
      </w:tr>
      <w:tr>
        <w:tblPrEx>
          <w:tblCellMar>
            <w:top w:w="15" w:type="dxa"/>
            <w:left w:w="15" w:type="dxa"/>
            <w:bottom w:w="15" w:type="dxa"/>
            <w:right w:w="15" w:type="dxa"/>
          </w:tblCellMar>
        </w:tblPrEx>
        <w:trPr>
          <w:trHeight w:val="455"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rPr>
            </w:pPr>
            <w:r>
              <w:rPr>
                <w:rFonts w:hint="default" w:ascii="Times New Roman" w:hAnsi="Times New Roman" w:eastAsia="仿宋" w:cs="Times New Roman"/>
                <w:color w:val="auto"/>
                <w:sz w:val="24"/>
                <w:szCs w:val="20"/>
                <w:highlight w:val="none"/>
              </w:rPr>
              <w:t>医疗救护组</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eastAsia="zh-CN"/>
              </w:rPr>
            </w:pPr>
            <w:r>
              <w:rPr>
                <w:rFonts w:hint="default" w:ascii="Times New Roman" w:hAnsi="Times New Roman" w:eastAsia="仿宋" w:cs="Times New Roman"/>
                <w:color w:val="auto"/>
                <w:sz w:val="24"/>
                <w:szCs w:val="20"/>
                <w:highlight w:val="none"/>
                <w:lang w:eastAsia="zh-CN"/>
              </w:rPr>
              <w:t>唐旭</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sz w:val="24"/>
                <w:szCs w:val="20"/>
                <w:highlight w:val="none"/>
                <w:lang w:eastAsia="zh-CN"/>
              </w:rPr>
              <w:t>工程部专员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val="en-US" w:eastAsia="zh-CN"/>
              </w:rPr>
            </w:pPr>
            <w:r>
              <w:rPr>
                <w:rFonts w:hint="default" w:ascii="Times New Roman" w:hAnsi="Times New Roman" w:eastAsia="仿宋" w:cs="Times New Roman"/>
                <w:color w:val="auto"/>
                <w:sz w:val="24"/>
                <w:szCs w:val="20"/>
                <w:highlight w:val="none"/>
                <w:lang w:val="en-US" w:eastAsia="zh-CN"/>
              </w:rPr>
              <w:t>13032916523</w:t>
            </w:r>
          </w:p>
        </w:tc>
      </w:tr>
      <w:tr>
        <w:tblPrEx>
          <w:tblCellMar>
            <w:top w:w="15" w:type="dxa"/>
            <w:left w:w="15" w:type="dxa"/>
            <w:bottom w:w="15" w:type="dxa"/>
            <w:right w:w="15" w:type="dxa"/>
          </w:tblCellMar>
        </w:tblPrEx>
        <w:trPr>
          <w:trHeight w:val="455"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rPr>
            </w:pPr>
            <w:r>
              <w:rPr>
                <w:rFonts w:hint="default" w:ascii="Times New Roman" w:hAnsi="Times New Roman" w:eastAsia="仿宋" w:cs="Times New Roman"/>
                <w:color w:val="auto"/>
                <w:sz w:val="24"/>
                <w:szCs w:val="20"/>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eastAsia="zh-CN"/>
              </w:rPr>
            </w:pPr>
            <w:r>
              <w:rPr>
                <w:rFonts w:hint="default" w:ascii="Times New Roman" w:hAnsi="Times New Roman" w:eastAsia="仿宋" w:cs="Times New Roman"/>
                <w:color w:val="auto"/>
                <w:sz w:val="24"/>
                <w:szCs w:val="20"/>
                <w:lang w:eastAsia="zh-CN"/>
              </w:rPr>
              <w:t>范耀辉</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0"/>
                <w:lang w:eastAsia="zh-CN"/>
              </w:rPr>
              <w:t>工程部专员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val="en-US" w:eastAsia="zh-CN"/>
              </w:rPr>
            </w:pPr>
            <w:r>
              <w:rPr>
                <w:rFonts w:hint="default" w:ascii="Times New Roman" w:hAnsi="Times New Roman" w:eastAsia="仿宋" w:cs="Times New Roman"/>
                <w:color w:val="auto"/>
                <w:sz w:val="24"/>
                <w:szCs w:val="20"/>
                <w:lang w:val="en-US" w:eastAsia="zh-CN"/>
              </w:rPr>
              <w:t>18717409572</w:t>
            </w:r>
          </w:p>
        </w:tc>
      </w:tr>
      <w:tr>
        <w:tblPrEx>
          <w:tblCellMar>
            <w:top w:w="15" w:type="dxa"/>
            <w:left w:w="15" w:type="dxa"/>
            <w:bottom w:w="15" w:type="dxa"/>
            <w:right w:w="15" w:type="dxa"/>
          </w:tblCellMar>
        </w:tblPrEx>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rPr>
            </w:pPr>
            <w:r>
              <w:rPr>
                <w:rFonts w:hint="default" w:ascii="Times New Roman" w:hAnsi="Times New Roman" w:eastAsia="仿宋" w:cs="Times New Roman"/>
                <w:color w:val="auto"/>
                <w:sz w:val="24"/>
                <w:szCs w:val="20"/>
                <w:highlight w:val="none"/>
                <w:lang w:eastAsia="zh-CN"/>
              </w:rPr>
              <w:t>现场处置组</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eastAsia="zh-CN"/>
              </w:rPr>
            </w:pPr>
            <w:r>
              <w:rPr>
                <w:rFonts w:hint="default" w:ascii="Times New Roman" w:hAnsi="Times New Roman" w:eastAsia="仿宋" w:cs="Times New Roman"/>
                <w:color w:val="auto"/>
                <w:sz w:val="24"/>
                <w:szCs w:val="20"/>
                <w:highlight w:val="none"/>
                <w:lang w:eastAsia="zh-CN"/>
              </w:rPr>
              <w:t>陈涛</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sz w:val="24"/>
                <w:szCs w:val="20"/>
                <w:highlight w:val="none"/>
                <w:lang w:eastAsia="zh-CN"/>
              </w:rPr>
              <w:t>车队队长</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val="en-US" w:eastAsia="zh-CN"/>
              </w:rPr>
            </w:pPr>
            <w:r>
              <w:rPr>
                <w:rFonts w:hint="default" w:ascii="Times New Roman" w:hAnsi="Times New Roman" w:eastAsia="仿宋" w:cs="Times New Roman"/>
                <w:color w:val="auto"/>
                <w:sz w:val="24"/>
                <w:szCs w:val="20"/>
                <w:highlight w:val="none"/>
                <w:lang w:val="en-US" w:eastAsia="zh-CN"/>
              </w:rPr>
              <w:t>15991799533</w:t>
            </w:r>
          </w:p>
        </w:tc>
      </w:tr>
      <w:tr>
        <w:tblPrEx>
          <w:tblCellMar>
            <w:top w:w="15" w:type="dxa"/>
            <w:left w:w="15" w:type="dxa"/>
            <w:bottom w:w="15" w:type="dxa"/>
            <w:right w:w="15" w:type="dxa"/>
          </w:tblCellMar>
        </w:tblPrEx>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rPr>
            </w:pPr>
            <w:r>
              <w:rPr>
                <w:rFonts w:hint="default" w:ascii="Times New Roman" w:hAnsi="Times New Roman" w:eastAsia="仿宋" w:cs="Times New Roman"/>
                <w:color w:val="auto"/>
                <w:sz w:val="24"/>
                <w:szCs w:val="20"/>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eastAsia="zh-CN"/>
              </w:rPr>
            </w:pPr>
            <w:r>
              <w:rPr>
                <w:rFonts w:hint="default" w:ascii="Times New Roman" w:hAnsi="Times New Roman" w:eastAsia="仿宋" w:cs="Times New Roman"/>
                <w:color w:val="auto"/>
                <w:sz w:val="24"/>
                <w:szCs w:val="20"/>
                <w:lang w:eastAsia="zh-CN"/>
              </w:rPr>
              <w:t>李忠文</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kern w:val="2"/>
                <w:sz w:val="24"/>
                <w:szCs w:val="24"/>
                <w:lang w:val="en-US" w:eastAsia="zh-CN" w:bidi="ar-SA"/>
              </w:rPr>
              <w:t>司机</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val="en-US" w:eastAsia="zh-CN"/>
              </w:rPr>
            </w:pPr>
            <w:r>
              <w:rPr>
                <w:rFonts w:hint="default" w:ascii="Times New Roman" w:hAnsi="Times New Roman" w:eastAsia="仿宋" w:cs="Times New Roman"/>
                <w:color w:val="auto"/>
                <w:sz w:val="24"/>
                <w:szCs w:val="20"/>
                <w:lang w:val="en-US" w:eastAsia="zh-CN"/>
              </w:rPr>
              <w:t>18700131990</w:t>
            </w:r>
          </w:p>
        </w:tc>
      </w:tr>
      <w:tr>
        <w:tblPrEx>
          <w:tblCellMar>
            <w:top w:w="15" w:type="dxa"/>
            <w:left w:w="15" w:type="dxa"/>
            <w:bottom w:w="15" w:type="dxa"/>
            <w:right w:w="15" w:type="dxa"/>
          </w:tblCellMar>
        </w:tblPrEx>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rPr>
            </w:pPr>
            <w:r>
              <w:rPr>
                <w:rFonts w:hint="default" w:ascii="Times New Roman" w:hAnsi="Times New Roman" w:eastAsia="仿宋" w:cs="Times New Roman"/>
                <w:color w:val="auto"/>
                <w:sz w:val="24"/>
                <w:szCs w:val="20"/>
                <w:highlight w:val="none"/>
              </w:rPr>
              <w:t>治安警戒组</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eastAsia="zh-CN"/>
              </w:rPr>
            </w:pPr>
            <w:r>
              <w:rPr>
                <w:rFonts w:hint="default" w:ascii="Times New Roman" w:hAnsi="Times New Roman" w:eastAsia="仿宋" w:cs="Times New Roman"/>
                <w:color w:val="auto"/>
                <w:sz w:val="24"/>
                <w:szCs w:val="20"/>
                <w:highlight w:val="none"/>
                <w:lang w:eastAsia="zh-CN"/>
              </w:rPr>
              <w:t>黄泰浩</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kern w:val="2"/>
                <w:sz w:val="24"/>
                <w:szCs w:val="24"/>
                <w:highlight w:val="none"/>
                <w:lang w:val="en-US" w:eastAsia="zh-CN" w:bidi="ar-SA"/>
              </w:rPr>
              <w:t>工程部经理</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val="en-US" w:eastAsia="zh-CN"/>
              </w:rPr>
            </w:pPr>
            <w:r>
              <w:rPr>
                <w:rFonts w:hint="default" w:ascii="Times New Roman" w:hAnsi="Times New Roman" w:eastAsia="仿宋" w:cs="Times New Roman"/>
                <w:color w:val="auto"/>
                <w:sz w:val="24"/>
                <w:szCs w:val="20"/>
                <w:highlight w:val="none"/>
                <w:lang w:val="en-US" w:eastAsia="zh-CN"/>
              </w:rPr>
              <w:t>18192318665</w:t>
            </w:r>
          </w:p>
        </w:tc>
      </w:tr>
      <w:tr>
        <w:tblPrEx>
          <w:tblCellMar>
            <w:top w:w="15" w:type="dxa"/>
            <w:left w:w="15" w:type="dxa"/>
            <w:bottom w:w="15" w:type="dxa"/>
            <w:right w:w="15" w:type="dxa"/>
          </w:tblCellMar>
        </w:tblPrEx>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rPr>
            </w:pPr>
            <w:r>
              <w:rPr>
                <w:rFonts w:hint="default" w:ascii="Times New Roman" w:hAnsi="Times New Roman" w:eastAsia="仿宋" w:cs="Times New Roman"/>
                <w:color w:val="auto"/>
                <w:sz w:val="24"/>
                <w:szCs w:val="20"/>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eastAsia="zh-CN"/>
              </w:rPr>
            </w:pPr>
            <w:r>
              <w:rPr>
                <w:rFonts w:hint="default" w:ascii="Times New Roman" w:hAnsi="Times New Roman" w:eastAsia="仿宋" w:cs="Times New Roman"/>
                <w:color w:val="auto"/>
                <w:sz w:val="24"/>
                <w:szCs w:val="20"/>
                <w:lang w:eastAsia="zh-CN"/>
              </w:rPr>
              <w:t>王欢</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0"/>
                <w:lang w:eastAsia="zh-CN"/>
              </w:rPr>
              <w:t>折叠组长</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lang w:val="en-US" w:eastAsia="zh-CN"/>
              </w:rPr>
            </w:pPr>
            <w:r>
              <w:rPr>
                <w:rFonts w:hint="default" w:ascii="Times New Roman" w:hAnsi="Times New Roman" w:eastAsia="仿宋" w:cs="Times New Roman"/>
                <w:color w:val="auto"/>
                <w:sz w:val="24"/>
                <w:szCs w:val="20"/>
                <w:lang w:val="en-US" w:eastAsia="zh-CN"/>
              </w:rPr>
              <w:t>13429706682</w:t>
            </w:r>
          </w:p>
        </w:tc>
      </w:tr>
      <w:tr>
        <w:tblPrEx>
          <w:tblCellMar>
            <w:top w:w="15" w:type="dxa"/>
            <w:left w:w="15" w:type="dxa"/>
            <w:bottom w:w="15" w:type="dxa"/>
            <w:right w:w="15" w:type="dxa"/>
          </w:tblCellMar>
        </w:tblPrEx>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rPr>
            </w:pPr>
            <w:r>
              <w:rPr>
                <w:rFonts w:hint="default" w:ascii="Times New Roman" w:hAnsi="Times New Roman" w:eastAsia="仿宋" w:cs="Times New Roman"/>
                <w:color w:val="auto"/>
                <w:sz w:val="24"/>
                <w:szCs w:val="20"/>
                <w:highlight w:val="none"/>
              </w:rPr>
              <w:t>应急</w:t>
            </w:r>
            <w:r>
              <w:rPr>
                <w:rFonts w:hint="default" w:ascii="Times New Roman" w:hAnsi="Times New Roman" w:eastAsia="仿宋" w:cs="Times New Roman"/>
                <w:color w:val="auto"/>
                <w:sz w:val="24"/>
                <w:szCs w:val="20"/>
                <w:highlight w:val="none"/>
                <w:lang w:eastAsia="zh-CN"/>
              </w:rPr>
              <w:t>监</w:t>
            </w:r>
            <w:r>
              <w:rPr>
                <w:rFonts w:hint="default" w:ascii="Times New Roman" w:hAnsi="Times New Roman" w:eastAsia="仿宋" w:cs="Times New Roman"/>
                <w:color w:val="auto"/>
                <w:sz w:val="24"/>
                <w:szCs w:val="20"/>
                <w:highlight w:val="none"/>
              </w:rPr>
              <w:t>测组长</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eastAsia="zh-CN"/>
              </w:rPr>
            </w:pPr>
            <w:r>
              <w:rPr>
                <w:rFonts w:hint="default" w:ascii="Times New Roman" w:hAnsi="Times New Roman" w:eastAsia="仿宋" w:cs="Times New Roman"/>
                <w:color w:val="auto"/>
                <w:sz w:val="24"/>
                <w:szCs w:val="20"/>
                <w:highlight w:val="none"/>
                <w:lang w:eastAsia="zh-CN"/>
              </w:rPr>
              <w:t>沈凤维</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sz w:val="24"/>
                <w:szCs w:val="20"/>
                <w:highlight w:val="none"/>
                <w:lang w:eastAsia="zh-CN"/>
              </w:rPr>
              <w:t>出纳</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val="en-US" w:eastAsia="zh-CN"/>
              </w:rPr>
            </w:pPr>
            <w:r>
              <w:rPr>
                <w:rFonts w:hint="default" w:ascii="Times New Roman" w:hAnsi="Times New Roman" w:eastAsia="仿宋" w:cs="Times New Roman"/>
                <w:color w:val="auto"/>
                <w:sz w:val="24"/>
                <w:szCs w:val="20"/>
                <w:highlight w:val="none"/>
                <w:lang w:val="en-US" w:eastAsia="zh-CN"/>
              </w:rPr>
              <w:t>13319208235</w:t>
            </w:r>
          </w:p>
        </w:tc>
      </w:tr>
      <w:tr>
        <w:tblPrEx>
          <w:tblCellMar>
            <w:top w:w="15" w:type="dxa"/>
            <w:left w:w="15" w:type="dxa"/>
            <w:bottom w:w="15" w:type="dxa"/>
            <w:right w:w="15" w:type="dxa"/>
          </w:tblCellMar>
        </w:tblPrEx>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rPr>
            </w:pPr>
            <w:r>
              <w:rPr>
                <w:rFonts w:hint="default" w:ascii="Times New Roman" w:hAnsi="Times New Roman" w:eastAsia="仿宋" w:cs="Times New Roman"/>
                <w:color w:val="auto"/>
                <w:sz w:val="24"/>
                <w:szCs w:val="20"/>
                <w:highlight w:val="none"/>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eastAsia="zh-CN"/>
              </w:rPr>
            </w:pPr>
            <w:r>
              <w:rPr>
                <w:rFonts w:hint="default" w:ascii="Times New Roman" w:hAnsi="Times New Roman" w:eastAsia="仿宋" w:cs="Times New Roman"/>
                <w:color w:val="auto"/>
                <w:sz w:val="24"/>
                <w:szCs w:val="20"/>
                <w:highlight w:val="none"/>
                <w:lang w:eastAsia="zh-CN"/>
              </w:rPr>
              <w:t>付让</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sz w:val="24"/>
                <w:szCs w:val="20"/>
                <w:highlight w:val="none"/>
                <w:lang w:eastAsia="zh-CN"/>
              </w:rPr>
              <w:t>车间主管</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360" w:lineRule="auto"/>
              <w:ind w:firstLine="0" w:firstLineChars="0"/>
              <w:jc w:val="center"/>
              <w:rPr>
                <w:rFonts w:hint="default" w:ascii="Times New Roman" w:hAnsi="Times New Roman" w:eastAsia="仿宋" w:cs="Times New Roman"/>
                <w:color w:val="auto"/>
                <w:sz w:val="24"/>
                <w:szCs w:val="20"/>
                <w:highlight w:val="none"/>
                <w:lang w:val="en-US" w:eastAsia="zh-CN"/>
              </w:rPr>
            </w:pPr>
            <w:r>
              <w:rPr>
                <w:rFonts w:hint="default" w:ascii="Times New Roman" w:hAnsi="Times New Roman" w:eastAsia="仿宋" w:cs="Times New Roman"/>
                <w:color w:val="auto"/>
                <w:sz w:val="24"/>
                <w:szCs w:val="20"/>
                <w:highlight w:val="none"/>
                <w:lang w:val="en-US" w:eastAsia="zh-CN"/>
              </w:rPr>
              <w:t>18092782685</w:t>
            </w:r>
          </w:p>
        </w:tc>
      </w:tr>
    </w:tbl>
    <w:p>
      <w:pPr>
        <w:pStyle w:val="2"/>
        <w:spacing w:line="360" w:lineRule="auto"/>
        <w:rPr>
          <w:color w:val="auto"/>
        </w:rPr>
      </w:pPr>
    </w:p>
    <w:p>
      <w:pPr>
        <w:keepNext/>
        <w:keepLines/>
        <w:widowControl w:val="0"/>
        <w:bidi w:val="0"/>
        <w:spacing w:line="360" w:lineRule="auto"/>
        <w:ind w:firstLine="602" w:firstLineChars="200"/>
        <w:jc w:val="left"/>
        <w:outlineLvl w:val="2"/>
        <w:rPr>
          <w:rFonts w:hint="default" w:ascii="Times New Roman" w:hAnsi="Times New Roman" w:eastAsia="仿宋" w:cs="仿宋"/>
          <w:b/>
          <w:bCs/>
          <w:color w:val="auto"/>
          <w:kern w:val="2"/>
          <w:sz w:val="30"/>
          <w:szCs w:val="32"/>
          <w:lang w:val="en-US" w:eastAsia="zh-CN" w:bidi="ar-SA"/>
        </w:rPr>
      </w:pPr>
      <w:r>
        <w:rPr>
          <w:rFonts w:hint="default" w:ascii="Times New Roman" w:hAnsi="Times New Roman" w:eastAsia="仿宋" w:cs="仿宋"/>
          <w:b/>
          <w:bCs/>
          <w:color w:val="auto"/>
          <w:kern w:val="2"/>
          <w:sz w:val="30"/>
          <w:szCs w:val="32"/>
          <w:lang w:val="en-US" w:eastAsia="zh-CN" w:bidi="ar-SA"/>
        </w:rPr>
        <w:t>3.</w:t>
      </w:r>
      <w:r>
        <w:rPr>
          <w:rFonts w:hint="eastAsia" w:ascii="Times New Roman" w:hAnsi="Times New Roman" w:eastAsia="仿宋" w:cs="仿宋"/>
          <w:b/>
          <w:bCs/>
          <w:color w:val="auto"/>
          <w:kern w:val="2"/>
          <w:sz w:val="30"/>
          <w:szCs w:val="32"/>
          <w:lang w:val="en-US" w:eastAsia="zh-CN" w:bidi="ar-SA"/>
        </w:rPr>
        <w:t>6</w:t>
      </w:r>
      <w:r>
        <w:rPr>
          <w:rFonts w:hint="default" w:ascii="Times New Roman" w:hAnsi="Times New Roman" w:eastAsia="仿宋" w:cs="仿宋"/>
          <w:b/>
          <w:bCs/>
          <w:color w:val="auto"/>
          <w:kern w:val="2"/>
          <w:sz w:val="30"/>
          <w:szCs w:val="32"/>
          <w:lang w:val="en-US" w:eastAsia="zh-CN" w:bidi="ar-SA"/>
        </w:rPr>
        <w:t>.</w:t>
      </w:r>
      <w:r>
        <w:rPr>
          <w:rFonts w:hint="eastAsia" w:ascii="Times New Roman" w:hAnsi="Times New Roman" w:eastAsia="仿宋" w:cs="仿宋"/>
          <w:b/>
          <w:bCs/>
          <w:color w:val="auto"/>
          <w:kern w:val="2"/>
          <w:sz w:val="30"/>
          <w:szCs w:val="32"/>
          <w:lang w:val="en-US" w:eastAsia="zh-CN" w:bidi="ar-SA"/>
        </w:rPr>
        <w:t>3外部救援队伍</w:t>
      </w:r>
    </w:p>
    <w:p>
      <w:pPr>
        <w:keepNext w:val="0"/>
        <w:keepLines w:val="0"/>
        <w:widowControl/>
        <w:suppressLineNumbers w:val="0"/>
        <w:spacing w:line="360" w:lineRule="auto"/>
        <w:jc w:val="center"/>
        <w:outlineLvl w:val="0"/>
        <w:rPr>
          <w:color w:val="auto"/>
        </w:rPr>
      </w:pPr>
      <w:bookmarkStart w:id="54" w:name="_Toc7045"/>
      <w:r>
        <w:rPr>
          <w:rFonts w:hint="default" w:ascii="Times New Roman" w:hAnsi="Times New Roman" w:eastAsia="宋体" w:cs="Times New Roman"/>
          <w:b/>
          <w:bCs/>
          <w:color w:val="auto"/>
          <w:kern w:val="0"/>
          <w:sz w:val="24"/>
          <w:szCs w:val="24"/>
          <w:lang w:val="en-US" w:eastAsia="zh-CN" w:bidi="ar"/>
        </w:rPr>
        <w:t>3.7-3</w:t>
      </w:r>
      <w:r>
        <w:rPr>
          <w:rFonts w:ascii="仿宋" w:hAnsi="仿宋" w:eastAsia="仿宋" w:cs="仿宋"/>
          <w:b/>
          <w:bCs/>
          <w:color w:val="auto"/>
          <w:kern w:val="0"/>
          <w:sz w:val="24"/>
          <w:szCs w:val="24"/>
          <w:lang w:val="en-US" w:eastAsia="zh-CN" w:bidi="ar"/>
        </w:rPr>
        <w:t>外部资源及救援队伍</w:t>
      </w:r>
      <w:bookmarkEnd w:id="54"/>
    </w:p>
    <w:tbl>
      <w:tblPr>
        <w:tblStyle w:val="13"/>
        <w:tblW w:w="4774" w:type="pct"/>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0" w:type="dxa"/>
          <w:bottom w:w="0" w:type="dxa"/>
          <w:right w:w="0" w:type="dxa"/>
        </w:tblCellMar>
      </w:tblPr>
      <w:tblGrid>
        <w:gridCol w:w="807"/>
        <w:gridCol w:w="1936"/>
        <w:gridCol w:w="3681"/>
        <w:gridCol w:w="2447"/>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541" w:hRule="exact"/>
          <w:jc w:val="center"/>
        </w:trPr>
        <w:tc>
          <w:tcPr>
            <w:tcW w:w="455"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序号</w:t>
            </w: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类别</w:t>
            </w:r>
          </w:p>
        </w:tc>
        <w:tc>
          <w:tcPr>
            <w:tcW w:w="2074"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单位名称</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应急电话</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541" w:hRule="exact"/>
          <w:jc w:val="center"/>
        </w:trPr>
        <w:tc>
          <w:tcPr>
            <w:tcW w:w="455"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1</w:t>
            </w: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12"/>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eastAsia="zh-CN"/>
              </w:rPr>
              <w:t>西咸新区秦汉新城党委管委会</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029-33185000</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735" w:hRule="exact"/>
          <w:jc w:val="center"/>
        </w:trPr>
        <w:tc>
          <w:tcPr>
            <w:tcW w:w="455"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2</w:t>
            </w: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12"/>
              <w:widowControl w:val="0"/>
              <w:adjustRightInd w:val="0"/>
              <w:snapToGrid w:val="0"/>
              <w:spacing w:beforeAutospacing="0" w:afterAutospacing="0" w:line="360" w:lineRule="auto"/>
              <w:jc w:val="center"/>
              <w:rPr>
                <w:rFonts w:hint="eastAsia" w:ascii="Times New Roman" w:hAnsi="Times New Roman" w:eastAsia="仿宋" w:cs="Times New Roman"/>
                <w:color w:val="auto"/>
                <w:kern w:val="2"/>
                <w:sz w:val="21"/>
                <w:szCs w:val="21"/>
                <w:u w:val="none"/>
                <w:lang w:val="en-US" w:eastAsia="zh-CN" w:bidi="ar-SA"/>
              </w:rPr>
            </w:pPr>
            <w:r>
              <w:rPr>
                <w:rFonts w:hint="eastAsia" w:ascii="Times New Roman" w:hAnsi="Times New Roman" w:eastAsia="仿宋"/>
                <w:color w:val="auto"/>
                <w:kern w:val="2"/>
                <w:sz w:val="21"/>
                <w:szCs w:val="21"/>
                <w:lang w:eastAsia="zh-CN"/>
              </w:rPr>
              <w:t>西咸新区生态环境局（秦汉）工作部</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029-33185030</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735" w:hRule="exact"/>
          <w:jc w:val="center"/>
        </w:trPr>
        <w:tc>
          <w:tcPr>
            <w:tcW w:w="455"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3</w:t>
            </w: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12"/>
              <w:widowControl w:val="0"/>
              <w:adjustRightInd w:val="0"/>
              <w:snapToGrid w:val="0"/>
              <w:spacing w:beforeAutospacing="0" w:afterAutospacing="0" w:line="360" w:lineRule="auto"/>
              <w:jc w:val="center"/>
              <w:rPr>
                <w:rFonts w:hint="eastAsia"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eastAsia="zh-CN"/>
              </w:rPr>
              <w:t>咸阳市人民医院</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120/029-33280120</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541" w:hRule="exact"/>
          <w:jc w:val="center"/>
        </w:trPr>
        <w:tc>
          <w:tcPr>
            <w:tcW w:w="455"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4</w:t>
            </w: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12"/>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hint="default" w:ascii="Times New Roman" w:hAnsi="Times New Roman" w:eastAsia="仿宋" w:cs="Times New Roman"/>
                <w:color w:val="auto"/>
                <w:kern w:val="2"/>
                <w:sz w:val="21"/>
                <w:szCs w:val="21"/>
                <w:u w:val="none"/>
                <w:lang w:val="en-US" w:eastAsia="zh-CN" w:bidi="ar"/>
              </w:rPr>
              <w:t>西咸新区公安局秦汉新城分局</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fldChar w:fldCharType="begin"/>
            </w:r>
            <w:r>
              <w:rPr>
                <w:rFonts w:hint="eastAsia" w:ascii="Times New Roman" w:hAnsi="Times New Roman" w:eastAsia="仿宋"/>
                <w:color w:val="auto"/>
                <w:kern w:val="2"/>
                <w:sz w:val="21"/>
                <w:szCs w:val="21"/>
                <w:lang w:eastAsia="zh-CN"/>
              </w:rPr>
              <w:instrText xml:space="preserve"> HYPERLINK "http://www.so.com/link?m=aK4JimY9OWVAhB+9VKbpO5QQ2P9icfEP2DBiUN8FM/FPohnSOKhRfNUeo2NQWXaCTXTAYxKkLfMY6LXLjKd3zzPrMNdvGio59lNfdjfHgO3M40qXV+EWp991SfukFrzaxTy5ZyRXu62DPrFBbG0E71m6XmNafLdLJvmUIOmB2xwnQpWvMh+mO7/QFmyKXdB1DAUPyONu+W3lqvh0bwLl09c3x0ZEP4HIS7L3Wg1uhTfi0iU/T3/8+Jj0L8JC5aVsSYtLllQ==" \t "https://www.so.com/_blank" </w:instrText>
            </w:r>
            <w:r>
              <w:rPr>
                <w:rFonts w:hint="eastAsia" w:ascii="Times New Roman" w:hAnsi="Times New Roman" w:eastAsia="仿宋"/>
                <w:color w:val="auto"/>
                <w:kern w:val="2"/>
                <w:sz w:val="21"/>
                <w:szCs w:val="21"/>
                <w:lang w:eastAsia="zh-CN"/>
              </w:rPr>
              <w:fldChar w:fldCharType="separate"/>
            </w:r>
            <w:r>
              <w:rPr>
                <w:rFonts w:hint="eastAsia" w:ascii="Times New Roman" w:hAnsi="Times New Roman" w:eastAsia="仿宋"/>
                <w:color w:val="auto"/>
                <w:kern w:val="2"/>
                <w:sz w:val="21"/>
                <w:szCs w:val="21"/>
                <w:lang w:eastAsia="zh-CN"/>
              </w:rPr>
              <w:t>110</w:t>
            </w:r>
            <w:r>
              <w:rPr>
                <w:rFonts w:hint="eastAsia" w:ascii="Times New Roman" w:hAnsi="Times New Roman" w:eastAsia="仿宋"/>
                <w:color w:val="auto"/>
                <w:kern w:val="2"/>
                <w:sz w:val="21"/>
                <w:szCs w:val="21"/>
                <w:lang w:eastAsia="zh-CN"/>
              </w:rPr>
              <w:fldChar w:fldCharType="end"/>
            </w:r>
            <w:r>
              <w:rPr>
                <w:rFonts w:hint="eastAsia" w:ascii="Times New Roman" w:hAnsi="Times New Roman" w:eastAsia="仿宋"/>
                <w:color w:val="auto"/>
                <w:kern w:val="2"/>
                <w:sz w:val="21"/>
                <w:szCs w:val="21"/>
                <w:lang w:eastAsia="zh-CN"/>
              </w:rPr>
              <w:t>/029- 33185021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696" w:hRule="exact"/>
          <w:jc w:val="center"/>
        </w:trPr>
        <w:tc>
          <w:tcPr>
            <w:tcW w:w="455"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5</w:t>
            </w: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12"/>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eastAsia="zh-CN"/>
              </w:rPr>
              <w:t>西咸新区秦汉新城消防大队</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119/029-33185703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726" w:hRule="exact"/>
          <w:jc w:val="center"/>
        </w:trPr>
        <w:tc>
          <w:tcPr>
            <w:tcW w:w="455"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6</w:t>
            </w: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12"/>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eastAsia="zh-CN"/>
              </w:rPr>
              <w:t>西咸新区市场监督管理局秦汉新城分局</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029- 33185321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541" w:hRule="exact"/>
          <w:jc w:val="center"/>
        </w:trPr>
        <w:tc>
          <w:tcPr>
            <w:tcW w:w="455"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7</w:t>
            </w: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12"/>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ascii="Times New Roman" w:hAnsi="Times New Roman" w:eastAsia="仿宋"/>
                <w:color w:val="auto"/>
                <w:kern w:val="2"/>
                <w:sz w:val="21"/>
                <w:szCs w:val="21"/>
              </w:rPr>
              <w:t>咸阳市气象局</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029- 33185321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686" w:hRule="exact"/>
          <w:jc w:val="center"/>
        </w:trPr>
        <w:tc>
          <w:tcPr>
            <w:tcW w:w="455"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8</w:t>
            </w: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12"/>
              <w:widowControl w:val="0"/>
              <w:adjustRightInd w:val="0"/>
              <w:snapToGrid w:val="0"/>
              <w:spacing w:beforeAutospacing="0" w:afterAutospacing="0" w:line="360" w:lineRule="auto"/>
              <w:jc w:val="center"/>
              <w:rPr>
                <w:rFonts w:hint="eastAsia"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eastAsia="zh-CN"/>
              </w:rPr>
              <w:t>西咸新区公安局秦汉新城分局交巡警大队</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029-33556100</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541" w:hRule="exact"/>
          <w:jc w:val="center"/>
        </w:trPr>
        <w:tc>
          <w:tcPr>
            <w:tcW w:w="455"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9</w:t>
            </w: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12"/>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ascii="Times New Roman" w:hAnsi="Times New Roman" w:eastAsia="仿宋"/>
                <w:color w:val="auto"/>
                <w:kern w:val="2"/>
                <w:sz w:val="21"/>
                <w:szCs w:val="21"/>
              </w:rPr>
              <w:t>咸阳市环境监测站</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029-3214687</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570" w:hRule="exact"/>
          <w:jc w:val="center"/>
        </w:trPr>
        <w:tc>
          <w:tcPr>
            <w:tcW w:w="455" w:type="pct"/>
            <w:vMerge w:val="restar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cs="Times New Roman"/>
                <w:b/>
                <w:bCs/>
                <w:color w:val="auto"/>
                <w:kern w:val="2"/>
                <w:sz w:val="21"/>
                <w:szCs w:val="21"/>
                <w:lang w:val="en-US" w:eastAsia="zh-CN" w:bidi="ar"/>
              </w:rPr>
              <w:t>10</w:t>
            </w: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四邻单位</w:t>
            </w:r>
          </w:p>
        </w:tc>
        <w:tc>
          <w:tcPr>
            <w:tcW w:w="2074"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val="en-US" w:eastAsia="zh-CN"/>
              </w:rPr>
              <w:t>崔张村村委会</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0910-</w:t>
            </w:r>
            <w:r>
              <w:rPr>
                <w:rFonts w:hint="eastAsia" w:ascii="Times New Roman" w:hAnsi="Times New Roman" w:eastAsia="仿宋"/>
                <w:color w:val="auto"/>
                <w:kern w:val="2"/>
                <w:sz w:val="21"/>
                <w:szCs w:val="21"/>
                <w:lang w:val="en-US" w:eastAsia="zh-CN"/>
              </w:rPr>
              <w:t>3115258</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570" w:hRule="exact"/>
          <w:jc w:val="center"/>
        </w:trPr>
        <w:tc>
          <w:tcPr>
            <w:tcW w:w="455" w:type="pct"/>
            <w:vMerge w:val="continue"/>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p>
        </w:tc>
        <w:tc>
          <w:tcPr>
            <w:tcW w:w="1091"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四邻单位</w:t>
            </w:r>
          </w:p>
        </w:tc>
        <w:tc>
          <w:tcPr>
            <w:tcW w:w="2074"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val="en-US" w:eastAsia="zh-CN"/>
              </w:rPr>
              <w:t>陈村村委会</w:t>
            </w:r>
          </w:p>
        </w:tc>
        <w:tc>
          <w:tcPr>
            <w:tcW w:w="1379" w:type="pct"/>
            <w:tcBorders>
              <w:tl2br w:val="nil"/>
              <w:tr2bl w:val="nil"/>
            </w:tcBorders>
            <w:noWrap w:val="0"/>
            <w:vAlign w:val="center"/>
          </w:tcPr>
          <w:p>
            <w:pPr>
              <w:pStyle w:val="12"/>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0910-</w:t>
            </w:r>
            <w:r>
              <w:rPr>
                <w:rFonts w:hint="eastAsia" w:ascii="Times New Roman" w:hAnsi="Times New Roman" w:eastAsia="仿宋"/>
                <w:color w:val="auto"/>
                <w:kern w:val="2"/>
                <w:sz w:val="21"/>
                <w:szCs w:val="21"/>
                <w:lang w:val="en-US" w:eastAsia="zh-CN"/>
              </w:rPr>
              <w:t>3229129</w:t>
            </w:r>
          </w:p>
        </w:tc>
      </w:tr>
    </w:tbl>
    <w:p>
      <w:pPr>
        <w:keepNext w:val="0"/>
        <w:keepLines w:val="0"/>
        <w:widowControl/>
        <w:suppressLineNumbers w:val="0"/>
        <w:spacing w:line="360" w:lineRule="auto"/>
        <w:jc w:val="left"/>
        <w:rPr>
          <w:rFonts w:hint="eastAsia" w:ascii="仿宋" w:hAnsi="仿宋" w:eastAsia="仿宋" w:cs="仿宋"/>
          <w:b/>
          <w:bCs/>
          <w:color w:val="auto"/>
          <w:kern w:val="0"/>
          <w:sz w:val="28"/>
          <w:szCs w:val="28"/>
          <w:lang w:val="en-US" w:eastAsia="zh-CN" w:bidi="ar"/>
        </w:rPr>
      </w:pPr>
    </w:p>
    <w:p>
      <w:pPr>
        <w:pStyle w:val="4"/>
        <w:spacing w:line="360" w:lineRule="auto"/>
        <w:outlineLvl w:val="9"/>
        <w:rPr>
          <w:rFonts w:hint="eastAsia" w:ascii="仿宋" w:hAnsi="仿宋" w:eastAsia="仿宋" w:cs="仿宋"/>
          <w:b/>
          <w:bCs/>
          <w:color w:val="auto"/>
          <w:kern w:val="0"/>
          <w:sz w:val="28"/>
          <w:szCs w:val="28"/>
          <w:lang w:val="en-US" w:eastAsia="zh-CN" w:bidi="ar"/>
        </w:rPr>
      </w:pPr>
    </w:p>
    <w:p>
      <w:pPr>
        <w:rPr>
          <w:rFonts w:hint="eastAsia" w:ascii="仿宋" w:hAnsi="仿宋" w:eastAsia="仿宋" w:cs="仿宋"/>
          <w:b/>
          <w:bCs/>
          <w:color w:val="auto"/>
          <w:kern w:val="0"/>
          <w:sz w:val="28"/>
          <w:szCs w:val="28"/>
          <w:lang w:val="en-US" w:eastAsia="zh-CN" w:bidi="ar"/>
        </w:rPr>
      </w:pPr>
      <w:r>
        <w:rPr>
          <w:rFonts w:hint="eastAsia" w:ascii="仿宋" w:hAnsi="仿宋" w:eastAsia="仿宋" w:cs="仿宋"/>
          <w:b/>
          <w:bCs/>
          <w:color w:val="auto"/>
          <w:kern w:val="0"/>
          <w:sz w:val="28"/>
          <w:szCs w:val="28"/>
          <w:lang w:val="en-US" w:eastAsia="zh-CN" w:bidi="ar"/>
        </w:rPr>
        <w:br w:type="page"/>
      </w:r>
    </w:p>
    <w:p>
      <w:pPr>
        <w:keepNext/>
        <w:keepLines/>
        <w:pageBreakBefore/>
        <w:widowControl w:val="0"/>
        <w:bidi w:val="0"/>
        <w:spacing w:beforeLines="0" w:afterLines="0" w:line="360" w:lineRule="auto"/>
        <w:ind w:firstLine="643" w:firstLineChars="200"/>
        <w:jc w:val="left"/>
        <w:outlineLvl w:val="0"/>
        <w:rPr>
          <w:rFonts w:hint="default" w:ascii="Times New Roman" w:hAnsi="Times New Roman" w:eastAsia="仿宋" w:cs="仿宋"/>
          <w:b/>
          <w:bCs/>
          <w:color w:val="auto"/>
          <w:kern w:val="44"/>
          <w:sz w:val="32"/>
          <w:szCs w:val="44"/>
          <w:lang w:val="en-US" w:eastAsia="zh-CN" w:bidi="ar-SA"/>
        </w:rPr>
      </w:pPr>
      <w:bookmarkStart w:id="55" w:name="_Toc28921"/>
      <w:bookmarkStart w:id="56" w:name="_Toc4040"/>
      <w:r>
        <w:rPr>
          <w:rFonts w:hint="eastAsia" w:ascii="Times New Roman" w:hAnsi="Times New Roman" w:eastAsia="仿宋" w:cs="仿宋"/>
          <w:b/>
          <w:bCs/>
          <w:color w:val="auto"/>
          <w:kern w:val="44"/>
          <w:sz w:val="32"/>
          <w:szCs w:val="44"/>
          <w:lang w:val="en-US" w:eastAsia="zh-CN" w:bidi="ar-SA"/>
        </w:rPr>
        <w:t>4</w:t>
      </w:r>
      <w:r>
        <w:rPr>
          <w:rFonts w:hint="default" w:ascii="Times New Roman" w:hAnsi="Times New Roman" w:eastAsia="仿宋" w:cs="仿宋"/>
          <w:b/>
          <w:bCs/>
          <w:color w:val="auto"/>
          <w:kern w:val="44"/>
          <w:sz w:val="32"/>
          <w:szCs w:val="44"/>
          <w:lang w:val="en-US" w:eastAsia="zh-CN" w:bidi="ar-SA"/>
        </w:rPr>
        <w:t>突发环境事件及其后果分析</w:t>
      </w:r>
      <w:bookmarkEnd w:id="55"/>
      <w:bookmarkEnd w:id="56"/>
    </w:p>
    <w:p>
      <w:pPr>
        <w:keepNext w:val="0"/>
        <w:keepLines w:val="0"/>
        <w:widowControl/>
        <w:suppressLineNumbers w:val="0"/>
        <w:spacing w:line="360" w:lineRule="auto"/>
        <w:ind w:firstLine="622" w:firstLineChars="200"/>
        <w:jc w:val="left"/>
        <w:outlineLvl w:val="1"/>
        <w:rPr>
          <w:color w:val="auto"/>
        </w:rPr>
      </w:pPr>
      <w:bookmarkStart w:id="57" w:name="_Toc468"/>
      <w:r>
        <w:rPr>
          <w:rFonts w:hint="default" w:ascii="Times New Roman" w:hAnsi="Times New Roman" w:eastAsia="宋体" w:cs="Times New Roman"/>
          <w:b/>
          <w:bCs/>
          <w:color w:val="auto"/>
          <w:kern w:val="0"/>
          <w:sz w:val="31"/>
          <w:szCs w:val="31"/>
          <w:lang w:val="en-US" w:eastAsia="zh-CN" w:bidi="ar"/>
        </w:rPr>
        <w:t>4.1</w:t>
      </w:r>
      <w:r>
        <w:rPr>
          <w:rFonts w:ascii="楷体" w:hAnsi="楷体" w:eastAsia="楷体" w:cs="楷体"/>
          <w:b/>
          <w:bCs/>
          <w:color w:val="auto"/>
          <w:kern w:val="0"/>
          <w:sz w:val="31"/>
          <w:szCs w:val="31"/>
          <w:lang w:val="en-US" w:eastAsia="zh-CN" w:bidi="ar"/>
        </w:rPr>
        <w:t>突发环境事件情景分析</w:t>
      </w:r>
      <w:bookmarkEnd w:id="57"/>
      <w:r>
        <w:rPr>
          <w:rFonts w:ascii="楷体" w:hAnsi="楷体" w:eastAsia="楷体" w:cs="楷体"/>
          <w:b/>
          <w:bCs/>
          <w:color w:val="auto"/>
          <w:kern w:val="0"/>
          <w:sz w:val="31"/>
          <w:szCs w:val="31"/>
          <w:lang w:val="en-US" w:eastAsia="zh-CN" w:bidi="ar"/>
        </w:rPr>
        <w:t xml:space="preserve"> </w:t>
      </w:r>
    </w:p>
    <w:p>
      <w:pPr>
        <w:keepNext w:val="0"/>
        <w:keepLines w:val="0"/>
        <w:widowControl/>
        <w:suppressLineNumbers w:val="0"/>
        <w:spacing w:line="360" w:lineRule="auto"/>
        <w:ind w:firstLine="562" w:firstLineChars="200"/>
        <w:jc w:val="left"/>
        <w:rPr>
          <w:color w:val="auto"/>
        </w:rPr>
      </w:pPr>
      <w:r>
        <w:rPr>
          <w:rFonts w:hint="default" w:ascii="Times New Roman" w:hAnsi="Times New Roman" w:eastAsia="宋体" w:cs="Times New Roman"/>
          <w:b/>
          <w:bCs/>
          <w:color w:val="auto"/>
          <w:kern w:val="0"/>
          <w:sz w:val="28"/>
          <w:szCs w:val="28"/>
          <w:lang w:val="en-US" w:eastAsia="zh-CN" w:bidi="ar"/>
        </w:rPr>
        <w:t>4.1.1</w:t>
      </w:r>
      <w:r>
        <w:rPr>
          <w:rFonts w:ascii="仿宋" w:hAnsi="仿宋" w:eastAsia="仿宋" w:cs="仿宋"/>
          <w:b/>
          <w:bCs/>
          <w:color w:val="auto"/>
          <w:kern w:val="0"/>
          <w:sz w:val="28"/>
          <w:szCs w:val="28"/>
          <w:lang w:val="en-US" w:eastAsia="zh-CN" w:bidi="ar"/>
        </w:rPr>
        <w:t>国内同类企业突发事件</w:t>
      </w:r>
    </w:p>
    <w:p>
      <w:pPr>
        <w:keepNext w:val="0"/>
        <w:keepLines w:val="0"/>
        <w:widowControl/>
        <w:suppressLineNumbers w:val="0"/>
        <w:spacing w:line="360" w:lineRule="auto"/>
        <w:ind w:firstLine="562" w:firstLineChars="200"/>
        <w:jc w:val="left"/>
        <w:rPr>
          <w:color w:val="auto"/>
        </w:rPr>
      </w:pPr>
      <w:r>
        <w:rPr>
          <w:rFonts w:ascii="仿宋" w:hAnsi="仿宋" w:eastAsia="仿宋" w:cs="仿宋"/>
          <w:b/>
          <w:bCs/>
          <w:color w:val="auto"/>
          <w:kern w:val="0"/>
          <w:sz w:val="28"/>
          <w:szCs w:val="28"/>
          <w:lang w:val="en-US" w:eastAsia="zh-CN" w:bidi="ar"/>
        </w:rPr>
        <w:t>案例一：</w:t>
      </w:r>
    </w:p>
    <w:p>
      <w:pPr>
        <w:keepNext w:val="0"/>
        <w:keepLines w:val="0"/>
        <w:widowControl/>
        <w:suppressLineNumbers w:val="0"/>
        <w:spacing w:line="360" w:lineRule="auto"/>
        <w:ind w:firstLine="560" w:firstLineChars="200"/>
        <w:jc w:val="left"/>
        <w:rPr>
          <w:color w:val="auto"/>
        </w:rPr>
      </w:pPr>
      <w:r>
        <w:rPr>
          <w:rFonts w:hint="default" w:ascii="Times New Roman" w:hAnsi="Times New Roman" w:eastAsia="宋体" w:cs="Times New Roman"/>
          <w:color w:val="auto"/>
          <w:kern w:val="0"/>
          <w:sz w:val="28"/>
          <w:szCs w:val="28"/>
          <w:lang w:val="en-US" w:eastAsia="zh-CN" w:bidi="ar"/>
        </w:rPr>
        <w:t>201</w:t>
      </w:r>
      <w:r>
        <w:rPr>
          <w:rFonts w:hint="eastAsia" w:ascii="Times New Roman" w:hAnsi="Times New Roman" w:eastAsia="宋体" w:cs="Times New Roman"/>
          <w:color w:val="auto"/>
          <w:kern w:val="0"/>
          <w:sz w:val="28"/>
          <w:szCs w:val="28"/>
          <w:lang w:val="en-US" w:eastAsia="zh-CN" w:bidi="ar"/>
        </w:rPr>
        <w:t>0</w:t>
      </w:r>
      <w:r>
        <w:rPr>
          <w:rFonts w:ascii="仿宋" w:hAnsi="仿宋" w:eastAsia="仿宋" w:cs="仿宋"/>
          <w:color w:val="auto"/>
          <w:kern w:val="0"/>
          <w:sz w:val="28"/>
          <w:szCs w:val="28"/>
          <w:lang w:val="en-US" w:eastAsia="zh-CN" w:bidi="ar"/>
        </w:rPr>
        <w:t>年</w:t>
      </w:r>
      <w:r>
        <w:rPr>
          <w:rFonts w:hint="default" w:ascii="Times New Roman" w:hAnsi="Times New Roman" w:eastAsia="宋体" w:cs="Times New Roman"/>
          <w:color w:val="auto"/>
          <w:kern w:val="0"/>
          <w:sz w:val="28"/>
          <w:szCs w:val="28"/>
          <w:lang w:val="en-US" w:eastAsia="zh-CN" w:bidi="ar"/>
        </w:rPr>
        <w:t>7</w:t>
      </w:r>
      <w:r>
        <w:rPr>
          <w:rFonts w:hint="eastAsia" w:ascii="仿宋" w:hAnsi="仿宋" w:eastAsia="仿宋" w:cs="仿宋"/>
          <w:color w:val="auto"/>
          <w:kern w:val="0"/>
          <w:sz w:val="28"/>
          <w:szCs w:val="28"/>
          <w:lang w:val="en-US" w:eastAsia="zh-CN" w:bidi="ar"/>
        </w:rPr>
        <w:t>月</w:t>
      </w:r>
      <w:r>
        <w:rPr>
          <w:rFonts w:hint="eastAsia" w:ascii="Times New Roman" w:hAnsi="Times New Roman" w:eastAsia="宋体" w:cs="Times New Roman"/>
          <w:color w:val="auto"/>
          <w:kern w:val="0"/>
          <w:sz w:val="28"/>
          <w:szCs w:val="28"/>
          <w:lang w:val="en-US" w:eastAsia="zh-CN" w:bidi="ar"/>
        </w:rPr>
        <w:t>3</w:t>
      </w:r>
      <w:r>
        <w:rPr>
          <w:rFonts w:hint="eastAsia" w:ascii="仿宋" w:hAnsi="仿宋" w:eastAsia="仿宋" w:cs="仿宋"/>
          <w:color w:val="auto"/>
          <w:kern w:val="0"/>
          <w:sz w:val="28"/>
          <w:szCs w:val="28"/>
          <w:lang w:val="en-US" w:eastAsia="zh-CN" w:bidi="ar"/>
        </w:rPr>
        <w:t>日，紫金矿业位于福建上杭县的紫金山铜矿湿法厂发生污水渗漏事故，引发福建汀江流域污染，造成沿江上杭、永定鱼类大面积死亡和水质污染。</w:t>
      </w:r>
    </w:p>
    <w:p>
      <w:pPr>
        <w:keepNext w:val="0"/>
        <w:keepLines w:val="0"/>
        <w:widowControl/>
        <w:suppressLineNumbers w:val="0"/>
        <w:spacing w:line="360" w:lineRule="auto"/>
        <w:ind w:firstLine="562" w:firstLineChars="200"/>
        <w:jc w:val="left"/>
        <w:rPr>
          <w:rFonts w:ascii="仿宋" w:hAnsi="仿宋" w:eastAsia="仿宋" w:cs="仿宋"/>
          <w:b/>
          <w:bCs/>
          <w:color w:val="auto"/>
          <w:kern w:val="0"/>
          <w:sz w:val="28"/>
          <w:szCs w:val="28"/>
          <w:lang w:val="en-US" w:eastAsia="zh-CN" w:bidi="ar"/>
        </w:rPr>
      </w:pPr>
      <w:r>
        <w:rPr>
          <w:rFonts w:ascii="仿宋" w:hAnsi="仿宋" w:eastAsia="仿宋" w:cs="仿宋"/>
          <w:b/>
          <w:bCs/>
          <w:color w:val="auto"/>
          <w:kern w:val="0"/>
          <w:sz w:val="28"/>
          <w:szCs w:val="28"/>
          <w:lang w:val="en-US" w:eastAsia="zh-CN" w:bidi="ar"/>
        </w:rPr>
        <w:t>案例二：</w:t>
      </w:r>
    </w:p>
    <w:p>
      <w:pPr>
        <w:pStyle w:val="2"/>
        <w:spacing w:line="360" w:lineRule="auto"/>
        <w:ind w:left="0" w:leftChars="0" w:firstLine="560" w:firstLineChars="200"/>
        <w:rPr>
          <w:rFonts w:hint="eastAsia" w:ascii="仿宋" w:hAnsi="仿宋" w:eastAsia="仿宋" w:cs="仿宋"/>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201</w:t>
      </w:r>
      <w:r>
        <w:rPr>
          <w:rFonts w:hint="eastAsia" w:eastAsia="宋体" w:cs="Times New Roman"/>
          <w:color w:val="auto"/>
          <w:kern w:val="0"/>
          <w:sz w:val="28"/>
          <w:szCs w:val="28"/>
          <w:lang w:val="en-US" w:eastAsia="zh-CN" w:bidi="ar"/>
        </w:rPr>
        <w:t>8</w:t>
      </w:r>
      <w:r>
        <w:rPr>
          <w:rFonts w:ascii="仿宋" w:hAnsi="仿宋" w:eastAsia="仿宋" w:cs="仿宋"/>
          <w:color w:val="auto"/>
          <w:kern w:val="0"/>
          <w:sz w:val="28"/>
          <w:szCs w:val="28"/>
          <w:lang w:val="en-US" w:eastAsia="zh-CN" w:bidi="ar"/>
        </w:rPr>
        <w:t>年</w:t>
      </w:r>
      <w:r>
        <w:rPr>
          <w:rFonts w:hint="eastAsia" w:eastAsia="宋体" w:cs="Times New Roman"/>
          <w:color w:val="auto"/>
          <w:kern w:val="0"/>
          <w:sz w:val="28"/>
          <w:szCs w:val="28"/>
          <w:lang w:val="en-US" w:eastAsia="zh-CN" w:bidi="ar"/>
        </w:rPr>
        <w:t>6</w:t>
      </w:r>
      <w:r>
        <w:rPr>
          <w:rFonts w:hint="eastAsia" w:ascii="仿宋" w:hAnsi="仿宋" w:eastAsia="仿宋" w:cs="仿宋"/>
          <w:color w:val="auto"/>
          <w:kern w:val="0"/>
          <w:sz w:val="28"/>
          <w:szCs w:val="28"/>
          <w:lang w:val="en-US" w:eastAsia="zh-CN" w:bidi="ar"/>
        </w:rPr>
        <w:t>月</w:t>
      </w:r>
      <w:r>
        <w:rPr>
          <w:rFonts w:hint="eastAsia" w:eastAsia="宋体" w:cs="Times New Roman"/>
          <w:color w:val="auto"/>
          <w:kern w:val="0"/>
          <w:sz w:val="28"/>
          <w:szCs w:val="28"/>
          <w:lang w:val="en-US" w:eastAsia="zh-CN" w:bidi="ar"/>
        </w:rPr>
        <w:t>7</w:t>
      </w:r>
      <w:r>
        <w:rPr>
          <w:rFonts w:hint="eastAsia" w:ascii="仿宋" w:hAnsi="仿宋" w:eastAsia="仿宋" w:cs="仿宋"/>
          <w:color w:val="auto"/>
          <w:kern w:val="0"/>
          <w:sz w:val="28"/>
          <w:szCs w:val="28"/>
          <w:lang w:val="en-US" w:eastAsia="zh-CN" w:bidi="ar"/>
        </w:rPr>
        <w:t>日，遵义市桐梓县高新区益新农业科技有限公司食用菌厂锅炉发生爆炸，该事件造成3人死亡，6人受伤，直接经济损失666.4万元。锅炉爆炸导致锅炉筒体飞至桐梓县职业技术学校实验楼3楼，造成2名学生受重伤致死。</w:t>
      </w:r>
    </w:p>
    <w:p>
      <w:pPr>
        <w:keepNext w:val="0"/>
        <w:keepLines w:val="0"/>
        <w:widowControl/>
        <w:suppressLineNumbers w:val="0"/>
        <w:spacing w:line="360" w:lineRule="auto"/>
        <w:ind w:firstLine="622" w:firstLineChars="200"/>
        <w:jc w:val="left"/>
        <w:outlineLvl w:val="1"/>
        <w:rPr>
          <w:color w:val="auto"/>
        </w:rPr>
      </w:pPr>
      <w:bookmarkStart w:id="58" w:name="_Toc17554"/>
      <w:r>
        <w:rPr>
          <w:rFonts w:hint="default" w:ascii="Times New Roman" w:hAnsi="Times New Roman" w:eastAsia="宋体" w:cs="Times New Roman"/>
          <w:b/>
          <w:bCs/>
          <w:color w:val="auto"/>
          <w:kern w:val="0"/>
          <w:sz w:val="31"/>
          <w:szCs w:val="31"/>
          <w:lang w:val="en-US" w:eastAsia="zh-CN" w:bidi="ar"/>
        </w:rPr>
        <w:t>4.2</w:t>
      </w:r>
      <w:r>
        <w:rPr>
          <w:rFonts w:ascii="楷体" w:hAnsi="楷体" w:eastAsia="楷体" w:cs="楷体"/>
          <w:b/>
          <w:bCs/>
          <w:color w:val="auto"/>
          <w:kern w:val="0"/>
          <w:sz w:val="31"/>
          <w:szCs w:val="31"/>
          <w:lang w:val="en-US" w:eastAsia="zh-CN" w:bidi="ar"/>
        </w:rPr>
        <w:t>最大可信事故</w:t>
      </w:r>
      <w:bookmarkEnd w:id="58"/>
      <w:r>
        <w:rPr>
          <w:rFonts w:ascii="楷体" w:hAnsi="楷体" w:eastAsia="楷体" w:cs="楷体"/>
          <w:b/>
          <w:bCs/>
          <w:color w:val="auto"/>
          <w:kern w:val="0"/>
          <w:sz w:val="31"/>
          <w:szCs w:val="31"/>
          <w:lang w:val="en-US" w:eastAsia="zh-CN" w:bidi="ar"/>
        </w:rPr>
        <w:t xml:space="preserve"> </w:t>
      </w:r>
    </w:p>
    <w:p>
      <w:pPr>
        <w:keepNext w:val="0"/>
        <w:keepLines w:val="0"/>
        <w:widowControl/>
        <w:suppressLineNumbers w:val="0"/>
        <w:spacing w:line="360" w:lineRule="auto"/>
        <w:ind w:firstLine="560" w:firstLineChars="200"/>
        <w:jc w:val="left"/>
        <w:rPr>
          <w:rFonts w:hint="eastAsia" w:ascii="仿宋" w:hAnsi="仿宋" w:eastAsia="仿宋" w:cs="仿宋"/>
          <w:color w:val="auto"/>
          <w:kern w:val="0"/>
          <w:sz w:val="28"/>
          <w:szCs w:val="28"/>
          <w:lang w:val="en-US" w:eastAsia="zh-CN" w:bidi="ar"/>
        </w:rPr>
      </w:pPr>
      <w:r>
        <w:rPr>
          <w:rFonts w:ascii="仿宋" w:hAnsi="仿宋" w:eastAsia="仿宋" w:cs="仿宋"/>
          <w:color w:val="auto"/>
          <w:kern w:val="0"/>
          <w:sz w:val="28"/>
          <w:szCs w:val="28"/>
          <w:lang w:val="en-US" w:eastAsia="zh-CN" w:bidi="ar"/>
        </w:rPr>
        <w:t xml:space="preserve">企业在生产经营中可能发生的突发环境事件情景见表 </w:t>
      </w:r>
      <w:r>
        <w:rPr>
          <w:rFonts w:hint="default" w:ascii="Times New Roman" w:hAnsi="Times New Roman" w:eastAsia="宋体" w:cs="Times New Roman"/>
          <w:color w:val="auto"/>
          <w:kern w:val="0"/>
          <w:sz w:val="28"/>
          <w:szCs w:val="28"/>
          <w:lang w:val="en-US" w:eastAsia="zh-CN" w:bidi="ar"/>
        </w:rPr>
        <w:t>4.2-1</w:t>
      </w:r>
      <w:r>
        <w:rPr>
          <w:rFonts w:hint="eastAsia" w:ascii="仿宋" w:hAnsi="仿宋" w:eastAsia="仿宋" w:cs="仿宋"/>
          <w:color w:val="auto"/>
          <w:kern w:val="0"/>
          <w:sz w:val="28"/>
          <w:szCs w:val="28"/>
          <w:lang w:val="en-US" w:eastAsia="zh-CN" w:bidi="ar"/>
        </w:rPr>
        <w:t xml:space="preserve">。 </w:t>
      </w:r>
    </w:p>
    <w:p>
      <w:pPr>
        <w:keepNext w:val="0"/>
        <w:keepLines w:val="0"/>
        <w:widowControl/>
        <w:suppressLineNumbers w:val="0"/>
        <w:spacing w:line="360" w:lineRule="auto"/>
        <w:ind w:firstLine="482" w:firstLineChars="200"/>
        <w:jc w:val="center"/>
        <w:rPr>
          <w:color w:val="auto"/>
        </w:rPr>
      </w:pPr>
      <w:r>
        <w:rPr>
          <w:rFonts w:hint="eastAsia" w:ascii="仿宋" w:hAnsi="仿宋" w:eastAsia="仿宋" w:cs="仿宋"/>
          <w:b/>
          <w:bCs/>
          <w:color w:val="auto"/>
          <w:kern w:val="0"/>
          <w:sz w:val="24"/>
          <w:szCs w:val="24"/>
          <w:lang w:val="en-US" w:eastAsia="zh-CN" w:bidi="ar"/>
        </w:rPr>
        <w:t xml:space="preserve">表 </w:t>
      </w:r>
      <w:r>
        <w:rPr>
          <w:rFonts w:hint="default" w:ascii="Times New Roman" w:hAnsi="Times New Roman" w:eastAsia="宋体" w:cs="Times New Roman"/>
          <w:b/>
          <w:bCs/>
          <w:color w:val="auto"/>
          <w:kern w:val="0"/>
          <w:sz w:val="24"/>
          <w:szCs w:val="24"/>
          <w:lang w:val="en-US" w:eastAsia="zh-CN" w:bidi="ar"/>
        </w:rPr>
        <w:t>4.2-1</w:t>
      </w:r>
      <w:r>
        <w:rPr>
          <w:rFonts w:hint="eastAsia" w:ascii="仿宋" w:hAnsi="仿宋" w:eastAsia="仿宋" w:cs="仿宋"/>
          <w:b/>
          <w:bCs/>
          <w:color w:val="auto"/>
          <w:kern w:val="0"/>
          <w:sz w:val="24"/>
          <w:szCs w:val="24"/>
          <w:lang w:val="en-US" w:eastAsia="zh-CN" w:bidi="ar"/>
        </w:rPr>
        <w:t>突发环境事件情景</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1321"/>
        <w:gridCol w:w="1559"/>
        <w:gridCol w:w="1559"/>
        <w:gridCol w:w="3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序号</w:t>
            </w:r>
          </w:p>
        </w:tc>
        <w:tc>
          <w:tcPr>
            <w:tcW w:w="1321"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环境事件情景</w:t>
            </w:r>
          </w:p>
        </w:tc>
        <w:tc>
          <w:tcPr>
            <w:tcW w:w="1559"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释放环境风险物质</w:t>
            </w:r>
          </w:p>
        </w:tc>
        <w:tc>
          <w:tcPr>
            <w:tcW w:w="1559"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扩散范围</w:t>
            </w:r>
          </w:p>
        </w:tc>
        <w:tc>
          <w:tcPr>
            <w:tcW w:w="3305"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持续时间及危害程度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1</w:t>
            </w:r>
          </w:p>
        </w:tc>
        <w:tc>
          <w:tcPr>
            <w:tcW w:w="1321"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火灾、泄漏</w:t>
            </w:r>
          </w:p>
        </w:tc>
        <w:tc>
          <w:tcPr>
            <w:tcW w:w="1559"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二氧化硫、氮氧化物、烟尘</w:t>
            </w:r>
          </w:p>
        </w:tc>
        <w:tc>
          <w:tcPr>
            <w:tcW w:w="1559"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企业厂区</w:t>
            </w:r>
          </w:p>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周边</w:t>
            </w:r>
          </w:p>
        </w:tc>
        <w:tc>
          <w:tcPr>
            <w:tcW w:w="3305" w:type="dxa"/>
            <w:noWrap w:val="0"/>
            <w:vAlign w:val="center"/>
          </w:tcPr>
          <w:p>
            <w:pPr>
              <w:keepNext w:val="0"/>
              <w:keepLines w:val="0"/>
              <w:suppressLineNumbers w:val="0"/>
              <w:autoSpaceDE w:val="0"/>
              <w:autoSpaceDN w:val="0"/>
              <w:adjustRightInd w:val="0"/>
              <w:snapToGrid/>
              <w:spacing w:before="0" w:beforeAutospacing="0" w:after="0" w:afterAutospacing="0" w:line="360" w:lineRule="auto"/>
              <w:ind w:left="0" w:right="0" w:firstLine="0" w:firstLineChars="0"/>
              <w:jc w:val="center"/>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此类事故持续时间约为半小时以内，最大危害程度为污染物超标排放，引起环境污染。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2</w:t>
            </w:r>
          </w:p>
        </w:tc>
        <w:tc>
          <w:tcPr>
            <w:tcW w:w="1321"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泄漏</w:t>
            </w:r>
          </w:p>
        </w:tc>
        <w:tc>
          <w:tcPr>
            <w:tcW w:w="1559"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洗涤废水、生活污水</w:t>
            </w:r>
          </w:p>
        </w:tc>
        <w:tc>
          <w:tcPr>
            <w:tcW w:w="1559" w:type="dxa"/>
            <w:noWrap w:val="0"/>
            <w:vAlign w:val="center"/>
          </w:tcPr>
          <w:p>
            <w:pPr>
              <w:keepNext w:val="0"/>
              <w:keepLines w:val="0"/>
              <w:suppressLineNumbers w:val="0"/>
              <w:autoSpaceDE w:val="0"/>
              <w:autoSpaceDN w:val="0"/>
              <w:adjustRightInd w:val="0"/>
              <w:snapToGrid/>
              <w:spacing w:before="0" w:beforeAutospacing="0" w:after="80" w:afterAutospacing="0" w:line="360" w:lineRule="auto"/>
              <w:ind w:left="0" w:right="0" w:firstLine="0" w:firstLineChars="0"/>
              <w:jc w:val="center"/>
              <w:textAlignment w:val="baseline"/>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污水处理设施及其排放</w:t>
            </w:r>
          </w:p>
        </w:tc>
        <w:tc>
          <w:tcPr>
            <w:tcW w:w="3305" w:type="dxa"/>
            <w:noWrap w:val="0"/>
            <w:vAlign w:val="center"/>
          </w:tcPr>
          <w:p>
            <w:pPr>
              <w:keepNext w:val="0"/>
              <w:keepLines w:val="0"/>
              <w:suppressLineNumbers w:val="0"/>
              <w:autoSpaceDE w:val="0"/>
              <w:autoSpaceDN w:val="0"/>
              <w:adjustRightInd w:val="0"/>
              <w:snapToGrid/>
              <w:spacing w:before="0" w:beforeAutospacing="0" w:after="0" w:afterAutospacing="0" w:line="360" w:lineRule="auto"/>
              <w:ind w:left="0" w:right="0" w:firstLine="0" w:firstLineChars="0"/>
              <w:jc w:val="center"/>
              <w:rPr>
                <w:rFonts w:hint="default" w:ascii="Times New Roman" w:hAnsi="Times New Roman" w:eastAsia="仿宋" w:cs="Times New Roman"/>
                <w:color w:val="auto"/>
                <w:kern w:val="0"/>
                <w:sz w:val="24"/>
              </w:rPr>
            </w:pPr>
            <w:r>
              <w:rPr>
                <w:rFonts w:hint="eastAsia" w:ascii="Times New Roman" w:hAnsi="Times New Roman" w:eastAsia="仿宋" w:cs="Times New Roman"/>
                <w:color w:val="auto"/>
                <w:kern w:val="0"/>
                <w:sz w:val="24"/>
              </w:rPr>
              <w:t>此类事故持续时间约为</w:t>
            </w:r>
            <w:r>
              <w:rPr>
                <w:rFonts w:hint="default" w:ascii="Times New Roman" w:hAnsi="Times New Roman" w:eastAsia="仿宋" w:cs="Times New Roman"/>
                <w:color w:val="auto"/>
                <w:kern w:val="0"/>
                <w:sz w:val="24"/>
              </w:rPr>
              <w:t xml:space="preserve">1 </w:t>
            </w:r>
            <w:r>
              <w:rPr>
                <w:rFonts w:hint="eastAsia" w:ascii="Times New Roman" w:hAnsi="Times New Roman" w:eastAsia="仿宋" w:cs="Times New Roman"/>
                <w:color w:val="auto"/>
                <w:kern w:val="0"/>
                <w:sz w:val="24"/>
              </w:rPr>
              <w:t>天以上，最大危害程度为：污染地下水环境。</w:t>
            </w:r>
          </w:p>
        </w:tc>
      </w:tr>
    </w:tbl>
    <w:p>
      <w:pPr>
        <w:keepNext w:val="0"/>
        <w:keepLines w:val="0"/>
        <w:widowControl/>
        <w:suppressLineNumbers w:val="0"/>
        <w:spacing w:line="360" w:lineRule="auto"/>
        <w:ind w:firstLine="622" w:firstLineChars="200"/>
        <w:jc w:val="left"/>
        <w:outlineLvl w:val="1"/>
        <w:rPr>
          <w:color w:val="auto"/>
        </w:rPr>
      </w:pPr>
      <w:bookmarkStart w:id="59" w:name="_Toc24985"/>
      <w:r>
        <w:rPr>
          <w:rFonts w:hint="default" w:ascii="Times New Roman" w:hAnsi="Times New Roman" w:eastAsia="宋体" w:cs="Times New Roman"/>
          <w:b/>
          <w:bCs/>
          <w:color w:val="auto"/>
          <w:kern w:val="0"/>
          <w:sz w:val="31"/>
          <w:szCs w:val="31"/>
          <w:lang w:val="en-US" w:eastAsia="zh-CN" w:bidi="ar"/>
        </w:rPr>
        <w:t>4.3</w:t>
      </w:r>
      <w:r>
        <w:rPr>
          <w:rFonts w:ascii="楷体" w:hAnsi="楷体" w:eastAsia="楷体" w:cs="楷体"/>
          <w:b/>
          <w:bCs/>
          <w:color w:val="auto"/>
          <w:kern w:val="0"/>
          <w:sz w:val="31"/>
          <w:szCs w:val="31"/>
          <w:lang w:val="en-US" w:eastAsia="zh-CN" w:bidi="ar"/>
        </w:rPr>
        <w:t>释放环境风险物质的扩散途径、涉及环境风险防控</w:t>
      </w:r>
      <w:bookmarkEnd w:id="59"/>
    </w:p>
    <w:p>
      <w:pPr>
        <w:bidi w:val="0"/>
        <w:spacing w:line="360" w:lineRule="auto"/>
        <w:ind w:firstLine="560" w:firstLineChars="200"/>
        <w:outlineLvl w:val="0"/>
        <w:rPr>
          <w:rFonts w:ascii="Times New Roman" w:hAnsi="Times New Roman" w:eastAsia="仿宋" w:cs="仿宋"/>
          <w:color w:val="auto"/>
          <w:sz w:val="28"/>
        </w:rPr>
      </w:pPr>
      <w:bookmarkStart w:id="60" w:name="_Toc488060885"/>
      <w:bookmarkStart w:id="61" w:name="_Toc19249"/>
      <w:r>
        <w:rPr>
          <w:rFonts w:hint="eastAsia" w:ascii="Times New Roman" w:hAnsi="Times New Roman" w:eastAsia="仿宋" w:cs="仿宋"/>
          <w:color w:val="auto"/>
          <w:sz w:val="28"/>
          <w:lang w:val="en-US" w:eastAsia="zh-CN"/>
        </w:rPr>
        <w:t>1、</w:t>
      </w:r>
      <w:r>
        <w:rPr>
          <w:rFonts w:ascii="Times New Roman" w:hAnsi="Times New Roman" w:eastAsia="仿宋" w:cs="仿宋"/>
          <w:color w:val="auto"/>
          <w:sz w:val="28"/>
        </w:rPr>
        <w:t xml:space="preserve"> 火灾事故</w:t>
      </w:r>
      <w:r>
        <w:rPr>
          <w:rFonts w:hint="eastAsia" w:ascii="Times New Roman" w:hAnsi="Times New Roman" w:eastAsia="仿宋" w:cs="仿宋"/>
          <w:color w:val="auto"/>
          <w:sz w:val="28"/>
          <w:lang w:eastAsia="zh-CN"/>
        </w:rPr>
        <w:t>对</w:t>
      </w:r>
      <w:r>
        <w:rPr>
          <w:rFonts w:ascii="Times New Roman" w:hAnsi="Times New Roman" w:eastAsia="仿宋" w:cs="仿宋"/>
          <w:color w:val="auto"/>
          <w:sz w:val="28"/>
        </w:rPr>
        <w:t>大气环境的影响</w:t>
      </w:r>
      <w:bookmarkEnd w:id="60"/>
      <w:bookmarkEnd w:id="61"/>
    </w:p>
    <w:p>
      <w:pPr>
        <w:bidi w:val="0"/>
        <w:spacing w:line="360" w:lineRule="auto"/>
        <w:ind w:firstLine="560" w:firstLineChars="200"/>
        <w:rPr>
          <w:rFonts w:ascii="Times New Roman" w:hAnsi="Times New Roman" w:eastAsia="仿宋" w:cs="仿宋"/>
          <w:color w:val="auto"/>
          <w:sz w:val="28"/>
        </w:rPr>
      </w:pPr>
      <w:r>
        <w:rPr>
          <w:rFonts w:hint="eastAsia" w:ascii="Times New Roman" w:hAnsi="Times New Roman" w:eastAsia="仿宋" w:cs="仿宋"/>
          <w:color w:val="auto"/>
          <w:sz w:val="28"/>
          <w:lang w:val="en-US" w:eastAsia="zh-CN"/>
        </w:rPr>
        <w:t>厂区的产品及原材料</w:t>
      </w:r>
      <w:r>
        <w:rPr>
          <w:rFonts w:ascii="Times New Roman" w:hAnsi="Times New Roman" w:eastAsia="仿宋" w:cs="仿宋"/>
          <w:color w:val="auto"/>
          <w:sz w:val="28"/>
        </w:rPr>
        <w:t>遇明火时，发生火灾、其燃烧物质燃烧过程中则同时产生伴生或次生有害物质CO、</w:t>
      </w:r>
      <w:r>
        <w:rPr>
          <w:rFonts w:hint="eastAsia" w:ascii="Times New Roman" w:hAnsi="Times New Roman" w:eastAsia="仿宋" w:cs="仿宋"/>
          <w:color w:val="auto"/>
          <w:sz w:val="28"/>
          <w:lang w:eastAsia="zh-CN"/>
        </w:rPr>
        <w:t>二氧化硫</w:t>
      </w:r>
      <w:r>
        <w:rPr>
          <w:rFonts w:ascii="Times New Roman" w:hAnsi="Times New Roman" w:eastAsia="仿宋" w:cs="仿宋"/>
          <w:color w:val="auto"/>
          <w:sz w:val="28"/>
        </w:rPr>
        <w:t>和烟尘等，并扩散至大气中，对周围大气环境会产生短时不利的污染影响。燃烧过程中产生的CO对外环境空气质量影响较大。因此，建议发生火灾时，要向周围500m范围内受影响的人群采取必要的疏散安置措施。</w:t>
      </w:r>
    </w:p>
    <w:p>
      <w:pPr>
        <w:bidi w:val="0"/>
        <w:spacing w:line="360" w:lineRule="auto"/>
        <w:ind w:firstLine="560" w:firstLineChars="200"/>
        <w:outlineLvl w:val="0"/>
        <w:rPr>
          <w:rFonts w:ascii="Times New Roman" w:hAnsi="Times New Roman" w:eastAsia="仿宋" w:cs="仿宋"/>
          <w:color w:val="auto"/>
          <w:sz w:val="28"/>
        </w:rPr>
      </w:pPr>
      <w:bookmarkStart w:id="62" w:name="_Toc15124"/>
      <w:bookmarkStart w:id="63" w:name="_Toc488060886"/>
      <w:r>
        <w:rPr>
          <w:rFonts w:hint="eastAsia" w:ascii="Times New Roman" w:hAnsi="Times New Roman" w:eastAsia="仿宋" w:cs="仿宋"/>
          <w:color w:val="auto"/>
          <w:sz w:val="28"/>
          <w:lang w:val="en-US" w:eastAsia="zh-CN"/>
        </w:rPr>
        <w:t>2、</w:t>
      </w:r>
      <w:r>
        <w:rPr>
          <w:rFonts w:ascii="Times New Roman" w:hAnsi="Times New Roman" w:eastAsia="仿宋" w:cs="仿宋"/>
          <w:color w:val="auto"/>
          <w:sz w:val="28"/>
        </w:rPr>
        <w:t>事故废水对水环境的影响</w:t>
      </w:r>
      <w:bookmarkEnd w:id="62"/>
      <w:bookmarkEnd w:id="63"/>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项目发生火灾使用</w:t>
      </w:r>
      <w:r>
        <w:rPr>
          <w:rFonts w:hint="eastAsia" w:ascii="Times New Roman" w:hAnsi="Times New Roman" w:eastAsia="仿宋" w:cs="仿宋"/>
          <w:color w:val="auto"/>
          <w:sz w:val="28"/>
          <w:lang w:val="en-US" w:eastAsia="zh-CN"/>
        </w:rPr>
        <w:t>干粉</w:t>
      </w:r>
      <w:r>
        <w:rPr>
          <w:rFonts w:ascii="Times New Roman" w:hAnsi="Times New Roman" w:eastAsia="仿宋" w:cs="仿宋"/>
          <w:color w:val="auto"/>
          <w:sz w:val="28"/>
        </w:rPr>
        <w:t>进行灭火，该类废水中因含有</w:t>
      </w:r>
      <w:r>
        <w:rPr>
          <w:rFonts w:hint="eastAsia" w:ascii="Times New Roman" w:hAnsi="Times New Roman" w:eastAsia="仿宋" w:cs="仿宋"/>
          <w:color w:val="auto"/>
          <w:sz w:val="28"/>
          <w:lang w:val="en-US" w:eastAsia="zh-CN"/>
        </w:rPr>
        <w:t>干粉</w:t>
      </w:r>
      <w:r>
        <w:rPr>
          <w:rFonts w:ascii="Times New Roman" w:hAnsi="Times New Roman" w:eastAsia="仿宋" w:cs="仿宋"/>
          <w:color w:val="auto"/>
          <w:sz w:val="28"/>
        </w:rPr>
        <w:t>，如果随意排放到地表水环境中，会污染地表水体，对水体可能会产生不可逆转的影响。项目厂区内</w:t>
      </w:r>
      <w:r>
        <w:rPr>
          <w:rFonts w:hint="eastAsia" w:ascii="Times New Roman" w:hAnsi="Times New Roman" w:eastAsia="仿宋" w:cs="仿宋"/>
          <w:color w:val="auto"/>
          <w:sz w:val="28"/>
          <w:lang w:val="en-US" w:eastAsia="zh-CN"/>
        </w:rPr>
        <w:t>设有事故收集池（20m³）</w:t>
      </w:r>
      <w:r>
        <w:rPr>
          <w:rFonts w:ascii="Times New Roman" w:hAnsi="Times New Roman" w:eastAsia="仿宋" w:cs="仿宋"/>
          <w:color w:val="auto"/>
          <w:sz w:val="28"/>
        </w:rPr>
        <w:t>，</w:t>
      </w:r>
      <w:r>
        <w:rPr>
          <w:rFonts w:hint="eastAsia" w:ascii="Times New Roman" w:hAnsi="Times New Roman" w:eastAsia="仿宋" w:cs="仿宋"/>
          <w:color w:val="auto"/>
          <w:sz w:val="28"/>
          <w:lang w:val="en-US" w:eastAsia="zh-CN"/>
        </w:rPr>
        <w:t>发生火灾后的</w:t>
      </w:r>
      <w:r>
        <w:rPr>
          <w:rFonts w:ascii="Times New Roman" w:hAnsi="Times New Roman" w:eastAsia="仿宋" w:cs="仿宋"/>
          <w:color w:val="auto"/>
          <w:sz w:val="28"/>
        </w:rPr>
        <w:t>消防废水</w:t>
      </w:r>
      <w:r>
        <w:rPr>
          <w:rFonts w:hint="eastAsia" w:ascii="Times New Roman" w:hAnsi="Times New Roman" w:eastAsia="仿宋" w:cs="仿宋"/>
          <w:color w:val="auto"/>
          <w:sz w:val="28"/>
          <w:lang w:val="en-US" w:eastAsia="zh-CN"/>
        </w:rPr>
        <w:t>可以</w:t>
      </w:r>
      <w:r>
        <w:rPr>
          <w:rFonts w:ascii="Times New Roman" w:hAnsi="Times New Roman" w:eastAsia="仿宋" w:cs="仿宋"/>
          <w:color w:val="auto"/>
          <w:sz w:val="28"/>
        </w:rPr>
        <w:t>统一收集处置，对外界水体环境</w:t>
      </w:r>
      <w:r>
        <w:rPr>
          <w:rFonts w:hint="eastAsia" w:ascii="Times New Roman" w:hAnsi="Times New Roman" w:eastAsia="仿宋" w:cs="仿宋"/>
          <w:color w:val="auto"/>
          <w:sz w:val="28"/>
          <w:lang w:val="en-US" w:eastAsia="zh-CN"/>
        </w:rPr>
        <w:t>不会</w:t>
      </w:r>
      <w:r>
        <w:rPr>
          <w:rFonts w:ascii="Times New Roman" w:hAnsi="Times New Roman" w:eastAsia="仿宋" w:cs="仿宋"/>
          <w:color w:val="auto"/>
          <w:sz w:val="28"/>
        </w:rPr>
        <w:t>造成污染事故。救灾过程中产生的消防</w:t>
      </w:r>
      <w:r>
        <w:rPr>
          <w:rFonts w:hint="eastAsia" w:ascii="Times New Roman" w:hAnsi="Times New Roman" w:eastAsia="仿宋" w:cs="仿宋"/>
          <w:color w:val="auto"/>
          <w:sz w:val="28"/>
          <w:lang w:val="en-US" w:eastAsia="zh-CN"/>
        </w:rPr>
        <w:t>废</w:t>
      </w:r>
      <w:r>
        <w:rPr>
          <w:rFonts w:ascii="Times New Roman" w:hAnsi="Times New Roman" w:eastAsia="仿宋" w:cs="仿宋"/>
          <w:color w:val="auto"/>
          <w:sz w:val="28"/>
        </w:rPr>
        <w:t>水可在企业内部得到控制，不会外排至外环境中。</w:t>
      </w:r>
    </w:p>
    <w:p>
      <w:pPr>
        <w:keepNext/>
        <w:keepLines/>
        <w:widowControl w:val="0"/>
        <w:bidi w:val="0"/>
        <w:spacing w:line="360" w:lineRule="auto"/>
        <w:ind w:firstLine="643" w:firstLineChars="200"/>
        <w:jc w:val="left"/>
        <w:textAlignment w:val="baseline"/>
        <w:outlineLvl w:val="1"/>
        <w:rPr>
          <w:rFonts w:hint="default" w:ascii="Times New Roman" w:hAnsi="Times New Roman" w:eastAsia="楷体" w:cs="Times New Roman"/>
          <w:b/>
          <w:bCs/>
          <w:color w:val="auto"/>
          <w:kern w:val="2"/>
          <w:sz w:val="32"/>
          <w:szCs w:val="32"/>
          <w:lang w:val="en-US" w:eastAsia="zh-CN" w:bidi="ar-SA"/>
        </w:rPr>
      </w:pPr>
      <w:bookmarkStart w:id="64" w:name="_Toc22870"/>
      <w:bookmarkStart w:id="65" w:name="_Toc29234"/>
      <w:r>
        <w:rPr>
          <w:rFonts w:hint="eastAsia" w:ascii="Times New Roman" w:hAnsi="Times New Roman" w:eastAsia="楷体" w:cs="Times New Roman"/>
          <w:b/>
          <w:bCs/>
          <w:color w:val="auto"/>
          <w:kern w:val="2"/>
          <w:sz w:val="32"/>
          <w:szCs w:val="32"/>
          <w:lang w:val="en-US" w:eastAsia="zh-CN" w:bidi="ar-SA"/>
        </w:rPr>
        <w:t>4.4</w:t>
      </w:r>
      <w:bookmarkStart w:id="66" w:name="_Toc494553025"/>
      <w:r>
        <w:rPr>
          <w:rFonts w:hint="eastAsia" w:ascii="Times New Roman" w:hAnsi="Times New Roman" w:eastAsia="楷体" w:cs="Times New Roman"/>
          <w:b/>
          <w:bCs/>
          <w:color w:val="auto"/>
          <w:kern w:val="2"/>
          <w:sz w:val="32"/>
          <w:szCs w:val="32"/>
          <w:lang w:val="en-US" w:eastAsia="zh-CN" w:bidi="ar-SA"/>
        </w:rPr>
        <w:t>具体应急措施</w:t>
      </w:r>
      <w:bookmarkEnd w:id="64"/>
      <w:bookmarkEnd w:id="65"/>
      <w:bookmarkEnd w:id="66"/>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公司突发环境事故主要</w:t>
      </w:r>
      <w:r>
        <w:rPr>
          <w:rFonts w:hint="eastAsia" w:ascii="Times New Roman" w:hAnsi="Times New Roman" w:eastAsia="仿宋" w:cs="仿宋"/>
          <w:color w:val="auto"/>
          <w:sz w:val="28"/>
          <w:lang w:val="en-US" w:eastAsia="zh-CN"/>
        </w:rPr>
        <w:t>为</w:t>
      </w:r>
      <w:r>
        <w:rPr>
          <w:rFonts w:ascii="Times New Roman" w:hAnsi="Times New Roman" w:eastAsia="仿宋" w:cs="仿宋"/>
          <w:color w:val="auto"/>
          <w:sz w:val="28"/>
        </w:rPr>
        <w:t>火灾、污染物治理设施失效</w:t>
      </w:r>
      <w:r>
        <w:rPr>
          <w:rFonts w:hint="eastAsia" w:ascii="Times New Roman" w:hAnsi="Times New Roman" w:eastAsia="仿宋" w:cs="仿宋"/>
          <w:color w:val="auto"/>
          <w:sz w:val="28"/>
          <w:lang w:val="en-US" w:eastAsia="zh-CN"/>
        </w:rPr>
        <w:t>产生的废气排放超标，废水泄漏</w:t>
      </w:r>
      <w:r>
        <w:rPr>
          <w:rFonts w:ascii="Times New Roman" w:hAnsi="Times New Roman" w:eastAsia="仿宋" w:cs="仿宋"/>
          <w:color w:val="auto"/>
          <w:sz w:val="28"/>
        </w:rPr>
        <w:t>等。</w:t>
      </w:r>
      <w:r>
        <w:rPr>
          <w:rFonts w:ascii="Times New Roman" w:hAnsi="Times New Roman" w:eastAsia="仿宋" w:cs="仿宋"/>
          <w:color w:val="auto"/>
          <w:sz w:val="28"/>
          <w:lang w:val="en-US" w:eastAsia="zh-CN"/>
        </w:rPr>
        <w:t>现场应急处置中应遵循的</w:t>
      </w:r>
      <w:r>
        <w:rPr>
          <w:rFonts w:hint="eastAsia" w:ascii="Times New Roman" w:hAnsi="Times New Roman" w:eastAsia="仿宋" w:cs="仿宋"/>
          <w:color w:val="auto"/>
          <w:sz w:val="28"/>
          <w:lang w:val="en-US" w:eastAsia="zh-CN"/>
        </w:rPr>
        <w:t>以下规定</w:t>
      </w:r>
      <w:r>
        <w:rPr>
          <w:rFonts w:ascii="Times New Roman" w:hAnsi="Times New Roman" w:eastAsia="仿宋" w:cs="仿宋"/>
          <w:color w:val="auto"/>
          <w:sz w:val="28"/>
          <w:lang w:val="en-US" w:eastAsia="zh-CN"/>
        </w:rPr>
        <w:t xml:space="preserve">： </w:t>
      </w:r>
    </w:p>
    <w:p>
      <w:pPr>
        <w:numPr>
          <w:ilvl w:val="0"/>
          <w:numId w:val="2"/>
        </w:num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在生产经营过程中，认真贯彻执行公司安全生产规章制度和环保工作要求，安全环保部定期开展大检查和安全风险评估工作，对设备、环保设施执行定期检验、定期维护</w:t>
      </w:r>
      <w:r>
        <w:rPr>
          <w:rFonts w:hint="eastAsia" w:ascii="Times New Roman" w:hAnsi="Times New Roman" w:eastAsia="仿宋" w:cs="仿宋"/>
          <w:color w:val="auto"/>
          <w:sz w:val="28"/>
          <w:lang w:eastAsia="zh-CN"/>
        </w:rPr>
        <w:t>。</w:t>
      </w:r>
    </w:p>
    <w:p>
      <w:pPr>
        <w:pStyle w:val="2"/>
        <w:spacing w:line="360" w:lineRule="auto"/>
        <w:ind w:left="0" w:leftChars="0" w:firstLine="560" w:firstLineChars="200"/>
        <w:rPr>
          <w:rFonts w:hint="eastAsia"/>
          <w:color w:val="auto"/>
          <w:lang w:val="en-US" w:eastAsia="zh-CN"/>
        </w:rPr>
      </w:pPr>
      <w:r>
        <w:rPr>
          <w:rFonts w:hint="eastAsia" w:ascii="Times New Roman" w:hAnsi="Times New Roman" w:eastAsia="仿宋" w:cs="仿宋"/>
          <w:color w:val="auto"/>
          <w:sz w:val="28"/>
          <w:lang w:val="en-US" w:eastAsia="zh-CN"/>
        </w:rPr>
        <w:t>（2）在发生突发环境事件时，做好源头控制。</w:t>
      </w:r>
    </w:p>
    <w:p>
      <w:pPr>
        <w:keepNext/>
        <w:keepLines/>
        <w:widowControl w:val="0"/>
        <w:bidi w:val="0"/>
        <w:spacing w:line="360" w:lineRule="auto"/>
        <w:ind w:firstLine="602" w:firstLineChars="200"/>
        <w:jc w:val="left"/>
        <w:outlineLvl w:val="2"/>
        <w:rPr>
          <w:rFonts w:hint="eastAsia" w:ascii="Times New Roman" w:hAnsi="Times New Roman" w:eastAsia="仿宋" w:cs="仿宋"/>
          <w:b/>
          <w:bCs/>
          <w:color w:val="auto"/>
          <w:kern w:val="2"/>
          <w:sz w:val="30"/>
          <w:szCs w:val="32"/>
          <w:lang w:val="en-US" w:eastAsia="zh-CN" w:bidi="ar-SA"/>
        </w:rPr>
      </w:pPr>
      <w:bookmarkStart w:id="67" w:name="_Toc14080"/>
      <w:r>
        <w:rPr>
          <w:rFonts w:hint="eastAsia" w:ascii="Times New Roman" w:hAnsi="Times New Roman" w:eastAsia="仿宋" w:cs="仿宋"/>
          <w:b/>
          <w:bCs/>
          <w:color w:val="auto"/>
          <w:kern w:val="2"/>
          <w:sz w:val="30"/>
          <w:szCs w:val="32"/>
          <w:lang w:val="en-US" w:eastAsia="zh-CN" w:bidi="ar-SA"/>
        </w:rPr>
        <w:t>4.4.1火灾事故具体应急防范措施</w:t>
      </w:r>
      <w:bookmarkEnd w:id="67"/>
    </w:p>
    <w:p>
      <w:pPr>
        <w:numPr>
          <w:ilvl w:val="0"/>
          <w:numId w:val="3"/>
        </w:num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各生产岗位电器、仪表维修等，</w:t>
      </w:r>
      <w:r>
        <w:rPr>
          <w:rFonts w:hint="eastAsia" w:ascii="Times New Roman" w:hAnsi="Times New Roman" w:eastAsia="仿宋" w:cs="仿宋"/>
          <w:color w:val="auto"/>
          <w:sz w:val="28"/>
          <w:lang w:val="en-US" w:eastAsia="zh-CN"/>
        </w:rPr>
        <w:t>做到</w:t>
      </w:r>
      <w:r>
        <w:rPr>
          <w:rFonts w:ascii="Times New Roman" w:hAnsi="Times New Roman" w:eastAsia="仿宋" w:cs="仿宋"/>
          <w:color w:val="auto"/>
          <w:sz w:val="28"/>
        </w:rPr>
        <w:t>定时巡检，发现问题及时反映、及时处理</w:t>
      </w:r>
      <w:r>
        <w:rPr>
          <w:rFonts w:hint="eastAsia" w:ascii="Times New Roman" w:hAnsi="Times New Roman" w:eastAsia="仿宋" w:cs="仿宋"/>
          <w:color w:val="auto"/>
          <w:sz w:val="28"/>
          <w:lang w:eastAsia="zh-CN"/>
        </w:rPr>
        <w:t>；</w:t>
      </w:r>
      <w:r>
        <w:rPr>
          <w:rFonts w:ascii="Times New Roman" w:hAnsi="Times New Roman" w:eastAsia="仿宋" w:cs="仿宋"/>
          <w:color w:val="auto"/>
          <w:sz w:val="28"/>
        </w:rPr>
        <w:t>严格遵守安全用电的有关规定，使用防爆开关，严禁私拉乱接电线，存</w:t>
      </w:r>
      <w:r>
        <w:rPr>
          <w:rFonts w:hint="eastAsia" w:ascii="Times New Roman" w:hAnsi="Times New Roman" w:eastAsia="仿宋" w:cs="仿宋"/>
          <w:color w:val="auto"/>
          <w:sz w:val="28"/>
        </w:rPr>
        <w:t>储</w:t>
      </w:r>
      <w:r>
        <w:rPr>
          <w:rFonts w:ascii="Times New Roman" w:hAnsi="Times New Roman" w:eastAsia="仿宋" w:cs="仿宋"/>
          <w:color w:val="auto"/>
          <w:sz w:val="28"/>
        </w:rPr>
        <w:t>间禁止明火吸烟等。</w:t>
      </w:r>
    </w:p>
    <w:p>
      <w:pPr>
        <w:numPr>
          <w:ilvl w:val="0"/>
          <w:numId w:val="3"/>
        </w:numPr>
        <w:bidi w:val="0"/>
        <w:spacing w:line="360" w:lineRule="auto"/>
        <w:ind w:firstLine="560" w:firstLineChars="200"/>
        <w:rPr>
          <w:rFonts w:hint="eastAsia" w:ascii="Times New Roman" w:hAnsi="Times New Roman" w:eastAsia="仿宋" w:cs="仿宋"/>
          <w:color w:val="auto"/>
          <w:sz w:val="28"/>
          <w:lang w:eastAsia="zh-CN"/>
        </w:rPr>
      </w:pPr>
      <w:r>
        <w:rPr>
          <w:rFonts w:hint="eastAsia" w:ascii="Times New Roman" w:hAnsi="Times New Roman" w:eastAsia="仿宋" w:cs="仿宋"/>
          <w:color w:val="auto"/>
          <w:sz w:val="28"/>
          <w:lang w:eastAsia="zh-CN"/>
        </w:rPr>
        <w:t>按照标准规范配齐消防设施和急救器材，消防设施和急救器材应实行“三定”定理，落实责任。</w:t>
      </w:r>
    </w:p>
    <w:p>
      <w:pPr>
        <w:numPr>
          <w:ilvl w:val="0"/>
          <w:numId w:val="3"/>
        </w:numPr>
        <w:bidi w:val="0"/>
        <w:spacing w:line="360" w:lineRule="auto"/>
        <w:ind w:firstLine="560" w:firstLineChars="200"/>
        <w:rPr>
          <w:rFonts w:hint="eastAsia" w:ascii="Times New Roman" w:hAnsi="Times New Roman" w:eastAsia="仿宋" w:cs="仿宋"/>
          <w:color w:val="auto"/>
          <w:sz w:val="28"/>
          <w:lang w:eastAsia="zh-CN"/>
        </w:rPr>
      </w:pPr>
      <w:r>
        <w:rPr>
          <w:rFonts w:hint="eastAsia" w:ascii="Times New Roman" w:hAnsi="Times New Roman" w:eastAsia="仿宋" w:cs="仿宋"/>
          <w:color w:val="auto"/>
          <w:sz w:val="28"/>
          <w:lang w:eastAsia="zh-CN"/>
        </w:rPr>
        <w:t>厂区应合理布局，配备相应数量灭火器，设应急通道；</w:t>
      </w:r>
    </w:p>
    <w:p>
      <w:pPr>
        <w:numPr>
          <w:ilvl w:val="0"/>
          <w:numId w:val="3"/>
        </w:numPr>
        <w:bidi w:val="0"/>
        <w:spacing w:line="360" w:lineRule="auto"/>
        <w:ind w:firstLine="560" w:firstLineChars="200"/>
        <w:rPr>
          <w:rFonts w:hint="eastAsia" w:ascii="Times New Roman" w:hAnsi="Times New Roman" w:eastAsia="仿宋" w:cs="仿宋"/>
          <w:color w:val="auto"/>
          <w:sz w:val="28"/>
          <w:lang w:eastAsia="zh-CN"/>
        </w:rPr>
      </w:pPr>
      <w:r>
        <w:rPr>
          <w:rFonts w:hint="eastAsia" w:ascii="Times New Roman" w:hAnsi="Times New Roman" w:eastAsia="仿宋" w:cs="仿宋"/>
          <w:color w:val="auto"/>
          <w:sz w:val="28"/>
          <w:lang w:eastAsia="zh-CN"/>
        </w:rPr>
        <w:t>厂区通风，存储风险物质处，应贴有相应标识，并由专人管理，厂区内严禁出现明火；</w:t>
      </w:r>
    </w:p>
    <w:p>
      <w:pPr>
        <w:numPr>
          <w:ilvl w:val="0"/>
          <w:numId w:val="3"/>
        </w:numPr>
        <w:bidi w:val="0"/>
        <w:spacing w:line="360" w:lineRule="auto"/>
        <w:ind w:firstLine="560" w:firstLineChars="200"/>
        <w:rPr>
          <w:rFonts w:hint="eastAsia" w:ascii="Times New Roman" w:hAnsi="Times New Roman" w:eastAsia="仿宋" w:cs="仿宋"/>
          <w:color w:val="auto"/>
          <w:sz w:val="28"/>
          <w:lang w:eastAsia="zh-CN"/>
        </w:rPr>
      </w:pPr>
      <w:r>
        <w:rPr>
          <w:rFonts w:hint="eastAsia" w:ascii="Times New Roman" w:hAnsi="Times New Roman" w:eastAsia="仿宋" w:cs="仿宋"/>
          <w:color w:val="auto"/>
          <w:sz w:val="28"/>
          <w:lang w:val="en-US" w:eastAsia="zh-CN"/>
        </w:rPr>
        <w:t>厂内定期进行消防演练和知识培训，</w:t>
      </w:r>
      <w:r>
        <w:rPr>
          <w:rFonts w:hint="default" w:ascii="Times New Roman" w:hAnsi="Times New Roman" w:eastAsia="仿宋" w:cs="仿宋"/>
          <w:color w:val="auto"/>
          <w:sz w:val="28"/>
        </w:rPr>
        <w:t>做好用电安全</w:t>
      </w:r>
      <w:r>
        <w:rPr>
          <w:rFonts w:hint="eastAsia" w:ascii="Times New Roman" w:hAnsi="Times New Roman" w:eastAsia="仿宋" w:cs="仿宋"/>
          <w:color w:val="auto"/>
          <w:sz w:val="28"/>
          <w:lang w:val="en-US" w:eastAsia="zh-CN"/>
        </w:rPr>
        <w:t>。</w:t>
      </w:r>
    </w:p>
    <w:p>
      <w:pPr>
        <w:keepNext/>
        <w:keepLines/>
        <w:widowControl w:val="0"/>
        <w:bidi w:val="0"/>
        <w:spacing w:line="360" w:lineRule="auto"/>
        <w:ind w:firstLine="602" w:firstLineChars="200"/>
        <w:jc w:val="left"/>
        <w:outlineLvl w:val="2"/>
        <w:rPr>
          <w:rFonts w:hint="default" w:ascii="Times New Roman" w:hAnsi="Times New Roman" w:eastAsia="仿宋" w:cs="仿宋"/>
          <w:b/>
          <w:bCs/>
          <w:color w:val="auto"/>
          <w:kern w:val="2"/>
          <w:sz w:val="30"/>
          <w:szCs w:val="32"/>
          <w:lang w:val="en-US" w:eastAsia="zh-CN" w:bidi="ar-SA"/>
        </w:rPr>
      </w:pPr>
      <w:bookmarkStart w:id="68" w:name="_Toc28765"/>
      <w:r>
        <w:rPr>
          <w:rFonts w:hint="eastAsia" w:ascii="Times New Roman" w:hAnsi="Times New Roman" w:eastAsia="仿宋" w:cs="仿宋"/>
          <w:b/>
          <w:bCs/>
          <w:color w:val="auto"/>
          <w:kern w:val="2"/>
          <w:sz w:val="30"/>
          <w:szCs w:val="32"/>
          <w:lang w:val="en-US" w:eastAsia="zh-CN" w:bidi="ar-SA"/>
        </w:rPr>
        <w:t>4.4.2废气超标事故具体应急防范措施</w:t>
      </w:r>
      <w:bookmarkEnd w:id="68"/>
    </w:p>
    <w:p>
      <w:pPr>
        <w:bidi w:val="0"/>
        <w:spacing w:line="360" w:lineRule="auto"/>
        <w:ind w:firstLine="560" w:firstLineChars="200"/>
        <w:rPr>
          <w:rFonts w:ascii="Times New Roman" w:hAnsi="Times New Roman" w:eastAsia="仿宋" w:cs="仿宋"/>
          <w:color w:val="auto"/>
          <w:sz w:val="28"/>
        </w:rPr>
      </w:pPr>
      <w:bookmarkStart w:id="69" w:name="_Toc1558"/>
      <w:r>
        <w:rPr>
          <w:rFonts w:hint="eastAsia" w:ascii="Times New Roman" w:hAnsi="Times New Roman" w:eastAsia="仿宋" w:cs="仿宋"/>
          <w:color w:val="auto"/>
          <w:sz w:val="28"/>
        </w:rPr>
        <w:t>项目</w:t>
      </w:r>
      <w:r>
        <w:rPr>
          <w:rFonts w:hint="eastAsia" w:ascii="Times New Roman" w:hAnsi="Times New Roman" w:eastAsia="仿宋" w:cs="仿宋"/>
          <w:color w:val="auto"/>
          <w:sz w:val="28"/>
          <w:lang w:val="en-US" w:eastAsia="zh-CN"/>
        </w:rPr>
        <w:t>建有低氮燃烧器</w:t>
      </w:r>
      <w:r>
        <w:rPr>
          <w:rFonts w:hint="eastAsia" w:ascii="Times New Roman" w:hAnsi="Times New Roman" w:eastAsia="仿宋" w:cs="仿宋"/>
          <w:color w:val="auto"/>
          <w:sz w:val="28"/>
        </w:rPr>
        <w:t>装置，处理后由</w:t>
      </w:r>
      <w:r>
        <w:rPr>
          <w:rFonts w:hint="eastAsia" w:ascii="Times New Roman" w:hAnsi="Times New Roman" w:eastAsia="仿宋" w:cs="仿宋"/>
          <w:color w:val="auto"/>
          <w:sz w:val="28"/>
          <w:lang w:val="en-US" w:eastAsia="zh-CN"/>
        </w:rPr>
        <w:t>8</w:t>
      </w:r>
      <w:r>
        <w:rPr>
          <w:rFonts w:hint="eastAsia" w:ascii="Times New Roman" w:hAnsi="Times New Roman" w:eastAsia="仿宋" w:cs="仿宋"/>
          <w:color w:val="auto"/>
          <w:sz w:val="28"/>
        </w:rPr>
        <w:t>m高排气筒排放，</w:t>
      </w:r>
      <w:r>
        <w:rPr>
          <w:rFonts w:ascii="Times New Roman" w:hAnsi="Times New Roman" w:eastAsia="仿宋" w:cs="仿宋"/>
          <w:color w:val="auto"/>
          <w:sz w:val="28"/>
        </w:rPr>
        <w:t>根据环境监测计划，每年进行一次</w:t>
      </w:r>
      <w:r>
        <w:rPr>
          <w:rFonts w:hint="eastAsia" w:ascii="Times New Roman" w:hAnsi="Times New Roman" w:eastAsia="仿宋" w:cs="仿宋"/>
          <w:color w:val="auto"/>
          <w:sz w:val="28"/>
        </w:rPr>
        <w:t>厂界无组织废气</w:t>
      </w:r>
      <w:r>
        <w:rPr>
          <w:rFonts w:ascii="Times New Roman" w:hAnsi="Times New Roman" w:eastAsia="仿宋" w:cs="仿宋"/>
          <w:color w:val="auto"/>
          <w:sz w:val="28"/>
        </w:rPr>
        <w:t>监测</w:t>
      </w:r>
      <w:r>
        <w:rPr>
          <w:rFonts w:hint="eastAsia" w:ascii="Times New Roman" w:hAnsi="Times New Roman" w:eastAsia="仿宋" w:cs="仿宋"/>
          <w:color w:val="auto"/>
          <w:sz w:val="28"/>
        </w:rPr>
        <w:t>，日常巡查</w:t>
      </w:r>
      <w:r>
        <w:rPr>
          <w:rFonts w:ascii="Times New Roman" w:hAnsi="Times New Roman" w:eastAsia="仿宋" w:cs="仿宋"/>
          <w:color w:val="auto"/>
          <w:sz w:val="28"/>
        </w:rPr>
        <w:t>应采取以下风险防范措施：</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0" w:firstLineChars="200"/>
        <w:textAlignment w:val="auto"/>
        <w:rPr>
          <w:rFonts w:hint="eastAsia" w:ascii="Times New Roman" w:hAnsi="Times New Roman" w:eastAsia="仿宋" w:cs="仿宋"/>
          <w:color w:val="auto"/>
          <w:sz w:val="28"/>
          <w:lang w:val="en-US" w:eastAsia="zh-CN"/>
        </w:rPr>
      </w:pPr>
      <w:r>
        <w:rPr>
          <w:rFonts w:hint="eastAsia" w:ascii="Times New Roman" w:hAnsi="Times New Roman" w:eastAsia="仿宋" w:cs="仿宋"/>
          <w:color w:val="auto"/>
          <w:sz w:val="28"/>
          <w:lang w:val="en-US" w:eastAsia="zh-CN"/>
        </w:rPr>
        <w:t>严格落实低氮燃烧器装置的运行、操作，对于相关工作人员进行定期的检查与考核；</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0" w:firstLineChars="200"/>
        <w:textAlignment w:val="auto"/>
        <w:rPr>
          <w:rFonts w:hint="eastAsia" w:ascii="Times New Roman" w:hAnsi="Times New Roman" w:eastAsia="仿宋" w:cs="仿宋"/>
          <w:color w:val="auto"/>
          <w:sz w:val="28"/>
          <w:lang w:val="en-US" w:eastAsia="zh-CN"/>
        </w:rPr>
      </w:pPr>
      <w:r>
        <w:rPr>
          <w:rFonts w:hint="eastAsia" w:ascii="Times New Roman" w:hAnsi="Times New Roman" w:eastAsia="仿宋" w:cs="仿宋"/>
          <w:color w:val="auto"/>
          <w:sz w:val="28"/>
          <w:lang w:val="en-US" w:eastAsia="zh-CN"/>
        </w:rPr>
        <w:t>加强设备重点部位的巡查，特别是低氮燃烧装置、管道连接处等；</w:t>
      </w:r>
    </w:p>
    <w:p>
      <w:pPr>
        <w:keepNext/>
        <w:keepLines/>
        <w:widowControl w:val="0"/>
        <w:bidi w:val="0"/>
        <w:spacing w:line="360" w:lineRule="auto"/>
        <w:ind w:firstLine="602" w:firstLineChars="200"/>
        <w:jc w:val="left"/>
        <w:outlineLvl w:val="2"/>
        <w:rPr>
          <w:rFonts w:hint="eastAsia" w:ascii="Times New Roman" w:hAnsi="Times New Roman" w:eastAsia="仿宋" w:cs="仿宋"/>
          <w:b/>
          <w:bCs/>
          <w:color w:val="auto"/>
          <w:kern w:val="2"/>
          <w:sz w:val="30"/>
          <w:szCs w:val="32"/>
          <w:lang w:val="en-US" w:eastAsia="zh-CN" w:bidi="ar-SA"/>
        </w:rPr>
      </w:pPr>
      <w:r>
        <w:rPr>
          <w:rFonts w:hint="eastAsia" w:ascii="Times New Roman" w:hAnsi="Times New Roman" w:eastAsia="仿宋" w:cs="仿宋"/>
          <w:b/>
          <w:bCs/>
          <w:color w:val="auto"/>
          <w:kern w:val="2"/>
          <w:sz w:val="30"/>
          <w:szCs w:val="32"/>
          <w:lang w:val="en-US" w:eastAsia="zh-CN" w:bidi="ar-SA"/>
        </w:rPr>
        <w:t>4.4.4废水泄漏事故具体应急防范措施</w:t>
      </w:r>
      <w:bookmarkEnd w:id="69"/>
    </w:p>
    <w:p>
      <w:pPr>
        <w:bidi w:val="0"/>
        <w:spacing w:line="360" w:lineRule="auto"/>
        <w:ind w:firstLine="560" w:firstLineChars="200"/>
        <w:rPr>
          <w:rFonts w:hint="eastAsia" w:ascii="Times New Roman" w:hAnsi="Times New Roman" w:eastAsia="仿宋" w:cs="仿宋"/>
          <w:color w:val="auto"/>
          <w:sz w:val="28"/>
          <w:lang w:val="en-US" w:eastAsia="zh-CN"/>
        </w:rPr>
      </w:pPr>
      <w:r>
        <w:rPr>
          <w:rFonts w:ascii="Times New Roman" w:hAnsi="Times New Roman" w:eastAsia="仿宋" w:cs="仿宋"/>
          <w:color w:val="auto"/>
          <w:sz w:val="28"/>
        </w:rPr>
        <w:t>（1）</w:t>
      </w:r>
      <w:r>
        <w:rPr>
          <w:rFonts w:hint="eastAsia" w:ascii="Times New Roman" w:hAnsi="Times New Roman" w:eastAsia="仿宋" w:cs="仿宋"/>
          <w:color w:val="auto"/>
          <w:sz w:val="28"/>
        </w:rPr>
        <w:t>本项目</w:t>
      </w:r>
      <w:r>
        <w:rPr>
          <w:rFonts w:hint="eastAsia" w:ascii="Times New Roman" w:hAnsi="Times New Roman" w:eastAsia="仿宋" w:cs="仿宋"/>
          <w:color w:val="auto"/>
          <w:sz w:val="28"/>
          <w:lang w:val="en-US" w:eastAsia="zh-CN"/>
        </w:rPr>
        <w:t>运营期间产生洗涤废水和生活污水，洗涤废水排入废水处理站后回用，不能回用的排入化粪池。生活污水进入化粪池处理后，同不能回用的洗涤废水一期排入市政污水管网，最终排入朝阳污水处理厂。</w:t>
      </w:r>
    </w:p>
    <w:p>
      <w:pPr>
        <w:bidi w:val="0"/>
        <w:spacing w:line="360" w:lineRule="auto"/>
        <w:ind w:firstLine="560" w:firstLineChars="200"/>
        <w:rPr>
          <w:rFonts w:hint="eastAsia" w:ascii="Times New Roman" w:hAnsi="Times New Roman" w:eastAsia="仿宋" w:cs="仿宋"/>
          <w:color w:val="auto"/>
          <w:sz w:val="28"/>
        </w:rPr>
      </w:pPr>
      <w:r>
        <w:rPr>
          <w:rFonts w:ascii="Times New Roman" w:hAnsi="Times New Roman" w:eastAsia="仿宋" w:cs="仿宋"/>
          <w:color w:val="auto"/>
          <w:sz w:val="28"/>
        </w:rPr>
        <w:t>（</w:t>
      </w:r>
      <w:r>
        <w:rPr>
          <w:rFonts w:hint="eastAsia" w:ascii="Times New Roman" w:hAnsi="Times New Roman" w:eastAsia="仿宋" w:cs="仿宋"/>
          <w:color w:val="auto"/>
          <w:sz w:val="28"/>
          <w:lang w:val="en-US" w:eastAsia="zh-CN"/>
        </w:rPr>
        <w:t>2</w:t>
      </w:r>
      <w:r>
        <w:rPr>
          <w:rFonts w:ascii="Times New Roman" w:hAnsi="Times New Roman" w:eastAsia="仿宋" w:cs="仿宋"/>
          <w:color w:val="auto"/>
          <w:sz w:val="28"/>
        </w:rPr>
        <w:t>）</w:t>
      </w:r>
      <w:r>
        <w:rPr>
          <w:rFonts w:hint="eastAsia" w:ascii="Times New Roman" w:hAnsi="Times New Roman" w:eastAsia="仿宋" w:cs="仿宋"/>
          <w:color w:val="auto"/>
          <w:sz w:val="28"/>
        </w:rPr>
        <w:t>地表水风险防范措施主要消防废水的收集和处理措施当发生火灾时，开启收集池，使消防废水全是进入收集池中；</w:t>
      </w:r>
    </w:p>
    <w:p>
      <w:pPr>
        <w:bidi w:val="0"/>
        <w:spacing w:line="360" w:lineRule="auto"/>
        <w:ind w:firstLine="560" w:firstLineChars="200"/>
        <w:rPr>
          <w:rFonts w:hint="eastAsia" w:ascii="Times New Roman" w:hAnsi="Times New Roman" w:eastAsia="仿宋" w:cs="仿宋"/>
          <w:color w:val="auto"/>
          <w:sz w:val="28"/>
          <w:lang w:val="en-US" w:eastAsia="zh-CN"/>
        </w:rPr>
      </w:pPr>
      <w:r>
        <w:rPr>
          <w:rFonts w:ascii="Times New Roman" w:hAnsi="Times New Roman" w:eastAsia="仿宋" w:cs="仿宋"/>
          <w:color w:val="auto"/>
          <w:sz w:val="28"/>
        </w:rPr>
        <w:t>（</w:t>
      </w:r>
      <w:r>
        <w:rPr>
          <w:rFonts w:hint="eastAsia" w:ascii="Times New Roman" w:hAnsi="Times New Roman" w:eastAsia="仿宋" w:cs="仿宋"/>
          <w:color w:val="auto"/>
          <w:sz w:val="28"/>
          <w:lang w:val="en-US" w:eastAsia="zh-CN"/>
        </w:rPr>
        <w:t>3</w:t>
      </w:r>
      <w:r>
        <w:rPr>
          <w:rFonts w:ascii="Times New Roman" w:hAnsi="Times New Roman" w:eastAsia="仿宋" w:cs="仿宋"/>
          <w:color w:val="auto"/>
          <w:sz w:val="28"/>
        </w:rPr>
        <w:t>）</w:t>
      </w:r>
      <w:r>
        <w:rPr>
          <w:rFonts w:hint="eastAsia" w:ascii="Times New Roman" w:hAnsi="Times New Roman" w:eastAsia="仿宋" w:cs="仿宋"/>
          <w:color w:val="auto"/>
          <w:sz w:val="28"/>
          <w:lang w:val="en-US" w:eastAsia="zh-CN"/>
        </w:rPr>
        <w:t>雨水经过厂区的雨水管网收集后，排入厂区外的自然环境</w:t>
      </w:r>
      <w:r>
        <w:rPr>
          <w:rFonts w:hint="eastAsia" w:ascii="Times New Roman" w:hAnsi="Times New Roman" w:eastAsia="仿宋" w:cs="仿宋"/>
          <w:color w:val="auto"/>
          <w:sz w:val="28"/>
        </w:rPr>
        <w:t>。</w:t>
      </w:r>
    </w:p>
    <w:p>
      <w:pPr>
        <w:keepNext/>
        <w:keepLines/>
        <w:widowControl w:val="0"/>
        <w:bidi w:val="0"/>
        <w:spacing w:line="360" w:lineRule="auto"/>
        <w:ind w:firstLine="643" w:firstLineChars="200"/>
        <w:jc w:val="left"/>
        <w:textAlignment w:val="baseline"/>
        <w:outlineLvl w:val="1"/>
        <w:rPr>
          <w:rFonts w:ascii="Times New Roman" w:hAnsi="Times New Roman" w:eastAsia="楷体" w:cs="Times New Roman"/>
          <w:b/>
          <w:bCs/>
          <w:color w:val="auto"/>
          <w:kern w:val="2"/>
          <w:sz w:val="32"/>
          <w:szCs w:val="32"/>
          <w:lang w:val="en-US" w:eastAsia="zh-CN" w:bidi="ar-SA"/>
        </w:rPr>
      </w:pPr>
      <w:bookmarkStart w:id="70" w:name="_Toc18680"/>
      <w:bookmarkStart w:id="71" w:name="_Toc6398"/>
      <w:r>
        <w:rPr>
          <w:rFonts w:hint="eastAsia" w:ascii="Times New Roman" w:hAnsi="Times New Roman" w:eastAsia="楷体" w:cs="Times New Roman"/>
          <w:b/>
          <w:bCs/>
          <w:color w:val="auto"/>
          <w:kern w:val="2"/>
          <w:sz w:val="32"/>
          <w:szCs w:val="32"/>
          <w:lang w:val="en-US" w:eastAsia="zh-CN" w:bidi="ar-SA"/>
        </w:rPr>
        <w:t>4.5</w:t>
      </w:r>
      <w:r>
        <w:rPr>
          <w:rFonts w:ascii="Times New Roman" w:hAnsi="Times New Roman" w:eastAsia="楷体" w:cs="Times New Roman"/>
          <w:b/>
          <w:bCs/>
          <w:color w:val="auto"/>
          <w:kern w:val="2"/>
          <w:sz w:val="32"/>
          <w:szCs w:val="32"/>
          <w:lang w:val="en-US" w:eastAsia="zh-CN" w:bidi="ar-SA"/>
        </w:rPr>
        <w:t>突发环境事件危害后果分析</w:t>
      </w:r>
      <w:bookmarkEnd w:id="70"/>
      <w:bookmarkEnd w:id="71"/>
      <w:r>
        <w:rPr>
          <w:rFonts w:ascii="Times New Roman" w:hAnsi="Times New Roman" w:eastAsia="楷体" w:cs="Times New Roman"/>
          <w:b/>
          <w:bCs/>
          <w:color w:val="auto"/>
          <w:kern w:val="2"/>
          <w:sz w:val="32"/>
          <w:szCs w:val="32"/>
          <w:lang w:val="en-US" w:eastAsia="zh-CN" w:bidi="ar-SA"/>
        </w:rPr>
        <w:t xml:space="preserve"> </w:t>
      </w:r>
    </w:p>
    <w:p>
      <w:pPr>
        <w:bidi w:val="0"/>
        <w:spacing w:line="360" w:lineRule="auto"/>
        <w:ind w:firstLine="560" w:firstLineChars="200"/>
        <w:rPr>
          <w:rFonts w:hint="eastAsia" w:ascii="Times New Roman" w:hAnsi="Times New Roman" w:eastAsia="仿宋" w:cs="仿宋"/>
          <w:color w:val="auto"/>
          <w:sz w:val="28"/>
          <w:lang w:val="en-US" w:eastAsia="zh-CN"/>
        </w:rPr>
      </w:pPr>
      <w:r>
        <w:rPr>
          <w:rFonts w:hint="eastAsia" w:ascii="Times New Roman" w:hAnsi="Times New Roman" w:eastAsia="仿宋" w:cs="仿宋"/>
          <w:color w:val="auto"/>
          <w:sz w:val="28"/>
          <w:lang w:val="en-US" w:eastAsia="zh-CN"/>
        </w:rPr>
        <w:t>根据公司突发环境事件情景的源强及危害程度，公司各类突发环境事件从地表水、地下水、土壤、大气、人口、财产以及社会影响等方面综合考虑，对周边居民人群的影响较小，危害范围较小，预计可能发生的突发环境事件级别为一般环境事件。</w:t>
      </w:r>
    </w:p>
    <w:p>
      <w:pPr>
        <w:rPr>
          <w:rFonts w:hint="eastAsia" w:ascii="Times New Roman" w:hAnsi="Times New Roman" w:eastAsia="仿宋" w:cs="仿宋"/>
          <w:color w:val="auto"/>
          <w:sz w:val="28"/>
          <w:lang w:val="en-US" w:eastAsia="zh-CN"/>
        </w:rPr>
      </w:pPr>
      <w:r>
        <w:rPr>
          <w:rFonts w:hint="eastAsia" w:ascii="Times New Roman" w:hAnsi="Times New Roman" w:eastAsia="仿宋" w:cs="仿宋"/>
          <w:color w:val="auto"/>
          <w:sz w:val="28"/>
          <w:lang w:val="en-US" w:eastAsia="zh-CN"/>
        </w:rPr>
        <w:br w:type="page"/>
      </w:r>
    </w:p>
    <w:p>
      <w:pPr>
        <w:keepNext/>
        <w:keepLines/>
        <w:pageBreakBefore/>
        <w:widowControl w:val="0"/>
        <w:bidi w:val="0"/>
        <w:spacing w:beforeLines="0" w:afterLines="0" w:line="360" w:lineRule="auto"/>
        <w:ind w:firstLine="643" w:firstLineChars="200"/>
        <w:jc w:val="left"/>
        <w:outlineLvl w:val="0"/>
        <w:rPr>
          <w:rFonts w:hint="default" w:ascii="Times New Roman" w:hAnsi="Times New Roman" w:eastAsia="仿宋" w:cs="仿宋"/>
          <w:b/>
          <w:bCs/>
          <w:color w:val="auto"/>
          <w:kern w:val="44"/>
          <w:sz w:val="32"/>
          <w:szCs w:val="44"/>
          <w:lang w:val="en-US" w:eastAsia="zh-CN" w:bidi="ar-SA"/>
        </w:rPr>
      </w:pPr>
      <w:bookmarkStart w:id="72" w:name="_Toc7725"/>
      <w:bookmarkStart w:id="73" w:name="_Toc8551"/>
      <w:r>
        <w:rPr>
          <w:rFonts w:hint="eastAsia" w:ascii="Times New Roman" w:hAnsi="Times New Roman" w:eastAsia="仿宋" w:cs="仿宋"/>
          <w:b/>
          <w:bCs/>
          <w:color w:val="auto"/>
          <w:kern w:val="44"/>
          <w:sz w:val="32"/>
          <w:szCs w:val="44"/>
          <w:lang w:val="en-US" w:eastAsia="zh-CN" w:bidi="ar-SA"/>
        </w:rPr>
        <w:t>5</w:t>
      </w:r>
      <w:r>
        <w:rPr>
          <w:rFonts w:hint="default" w:ascii="Times New Roman" w:hAnsi="Times New Roman" w:eastAsia="仿宋" w:cs="仿宋"/>
          <w:b/>
          <w:bCs/>
          <w:color w:val="auto"/>
          <w:kern w:val="44"/>
          <w:sz w:val="32"/>
          <w:szCs w:val="44"/>
          <w:lang w:val="en-US" w:eastAsia="zh-CN" w:bidi="ar-SA"/>
        </w:rPr>
        <w:t>现有环境风险防控和应急措施差距分析</w:t>
      </w:r>
      <w:bookmarkEnd w:id="72"/>
      <w:bookmarkEnd w:id="73"/>
    </w:p>
    <w:p>
      <w:pPr>
        <w:keepNext/>
        <w:keepLines/>
        <w:widowControl w:val="0"/>
        <w:bidi w:val="0"/>
        <w:spacing w:line="360" w:lineRule="auto"/>
        <w:ind w:firstLine="643" w:firstLineChars="200"/>
        <w:jc w:val="left"/>
        <w:textAlignment w:val="baseline"/>
        <w:outlineLvl w:val="1"/>
        <w:rPr>
          <w:rFonts w:ascii="Times New Roman" w:hAnsi="Times New Roman" w:eastAsia="楷体" w:cs="Times New Roman"/>
          <w:b/>
          <w:bCs/>
          <w:color w:val="auto"/>
          <w:kern w:val="2"/>
          <w:sz w:val="32"/>
          <w:szCs w:val="32"/>
          <w:lang w:val="zh-CN" w:eastAsia="zh-CN" w:bidi="ar-SA"/>
        </w:rPr>
      </w:pPr>
      <w:bookmarkStart w:id="74" w:name="_Toc18399"/>
      <w:bookmarkStart w:id="75" w:name="_Toc29693"/>
      <w:bookmarkStart w:id="76" w:name="_Toc23896"/>
      <w:bookmarkStart w:id="77" w:name="_Toc10416"/>
      <w:bookmarkStart w:id="78" w:name="_Toc456950173"/>
      <w:bookmarkStart w:id="79" w:name="_Toc30117"/>
      <w:bookmarkStart w:id="80" w:name="_Toc12536"/>
      <w:r>
        <w:rPr>
          <w:rFonts w:hint="default" w:ascii="Times New Roman" w:hAnsi="Times New Roman" w:eastAsia="楷体" w:cs="Times New Roman"/>
          <w:b/>
          <w:bCs/>
          <w:color w:val="auto"/>
          <w:kern w:val="2"/>
          <w:sz w:val="32"/>
          <w:szCs w:val="32"/>
          <w:lang w:val="zh-CN" w:eastAsia="zh-CN" w:bidi="ar-SA"/>
        </w:rPr>
        <w:t>5.1环</w:t>
      </w:r>
      <w:r>
        <w:rPr>
          <w:rFonts w:ascii="Times New Roman" w:hAnsi="Times New Roman" w:eastAsia="楷体" w:cs="Times New Roman"/>
          <w:b/>
          <w:bCs/>
          <w:color w:val="auto"/>
          <w:kern w:val="2"/>
          <w:sz w:val="32"/>
          <w:szCs w:val="32"/>
          <w:lang w:val="zh-CN" w:eastAsia="zh-CN" w:bidi="ar-SA"/>
        </w:rPr>
        <w:t>境风险管理制度</w:t>
      </w:r>
      <w:bookmarkEnd w:id="74"/>
      <w:bookmarkEnd w:id="75"/>
      <w:bookmarkEnd w:id="76"/>
      <w:bookmarkEnd w:id="77"/>
      <w:bookmarkEnd w:id="78"/>
      <w:bookmarkEnd w:id="79"/>
      <w:bookmarkEnd w:id="80"/>
    </w:p>
    <w:p>
      <w:pPr>
        <w:bidi w:val="0"/>
        <w:spacing w:line="360" w:lineRule="auto"/>
        <w:ind w:firstLine="560" w:firstLineChars="200"/>
        <w:rPr>
          <w:rFonts w:ascii="Times New Roman" w:hAnsi="Times New Roman" w:eastAsia="仿宋" w:cs="仿宋"/>
          <w:color w:val="auto"/>
          <w:sz w:val="28"/>
        </w:rPr>
      </w:pPr>
      <w:r>
        <w:rPr>
          <w:rFonts w:ascii="Times New Roman" w:hAnsi="Times New Roman" w:eastAsia="仿宋" w:cs="仿宋"/>
          <w:color w:val="auto"/>
          <w:sz w:val="28"/>
        </w:rPr>
        <w:t>环境风险管理制度见表5</w:t>
      </w:r>
      <w:r>
        <w:rPr>
          <w:rFonts w:hint="eastAsia" w:ascii="Times New Roman" w:hAnsi="Times New Roman" w:eastAsia="仿宋" w:cs="仿宋"/>
          <w:color w:val="auto"/>
          <w:sz w:val="28"/>
          <w:lang w:val="en-US" w:eastAsia="zh-CN"/>
        </w:rPr>
        <w:t>.1</w:t>
      </w:r>
      <w:r>
        <w:rPr>
          <w:rFonts w:ascii="Times New Roman" w:hAnsi="Times New Roman" w:eastAsia="仿宋" w:cs="仿宋"/>
          <w:color w:val="auto"/>
          <w:sz w:val="28"/>
        </w:rPr>
        <w:t>-1。</w:t>
      </w:r>
    </w:p>
    <w:p>
      <w:pPr>
        <w:keepNext w:val="0"/>
        <w:keepLines w:val="0"/>
        <w:widowControl/>
        <w:suppressLineNumbers w:val="0"/>
        <w:spacing w:line="360" w:lineRule="auto"/>
        <w:jc w:val="center"/>
        <w:rPr>
          <w:color w:val="auto"/>
        </w:rPr>
      </w:pPr>
      <w:r>
        <w:rPr>
          <w:rFonts w:ascii="仿宋" w:hAnsi="仿宋" w:eastAsia="仿宋" w:cs="仿宋"/>
          <w:b/>
          <w:bCs/>
          <w:color w:val="auto"/>
          <w:kern w:val="0"/>
          <w:sz w:val="24"/>
          <w:szCs w:val="24"/>
          <w:lang w:val="en-US" w:eastAsia="zh-CN" w:bidi="ar"/>
        </w:rPr>
        <w:t xml:space="preserve">表 </w:t>
      </w:r>
      <w:r>
        <w:rPr>
          <w:rFonts w:hint="default" w:ascii="Times New Roman" w:hAnsi="Times New Roman" w:eastAsia="宋体" w:cs="Times New Roman"/>
          <w:b/>
          <w:bCs/>
          <w:color w:val="auto"/>
          <w:kern w:val="0"/>
          <w:sz w:val="24"/>
          <w:szCs w:val="24"/>
          <w:lang w:val="en-US" w:eastAsia="zh-CN" w:bidi="ar"/>
        </w:rPr>
        <w:t>5.1-1</w:t>
      </w:r>
      <w:r>
        <w:rPr>
          <w:rFonts w:hint="eastAsia" w:ascii="仿宋" w:hAnsi="仿宋" w:eastAsia="仿宋" w:cs="仿宋"/>
          <w:b/>
          <w:bCs/>
          <w:color w:val="auto"/>
          <w:kern w:val="0"/>
          <w:sz w:val="24"/>
          <w:szCs w:val="24"/>
          <w:lang w:val="en-US" w:eastAsia="zh-CN" w:bidi="ar"/>
        </w:rPr>
        <w:t>环境风险管理制度</w:t>
      </w:r>
    </w:p>
    <w:tbl>
      <w:tblPr>
        <w:tblStyle w:val="13"/>
        <w:tblW w:w="4845" w:type="pct"/>
        <w:jc w:val="center"/>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Layout w:type="autofit"/>
        <w:tblCellMar>
          <w:top w:w="0" w:type="dxa"/>
          <w:left w:w="108" w:type="dxa"/>
          <w:bottom w:w="0" w:type="dxa"/>
          <w:right w:w="108" w:type="dxa"/>
        </w:tblCellMar>
      </w:tblPr>
      <w:tblGrid>
        <w:gridCol w:w="707"/>
        <w:gridCol w:w="5244"/>
        <w:gridCol w:w="1294"/>
        <w:gridCol w:w="1865"/>
      </w:tblGrid>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388" w:type="pct"/>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szCs w:val="24"/>
              </w:rPr>
            </w:pPr>
            <w:r>
              <w:rPr>
                <w:rFonts w:ascii="Times New Roman" w:hAnsi="Times New Roman" w:eastAsia="仿宋" w:cs="Times New Roman"/>
                <w:b/>
                <w:bCs/>
                <w:color w:val="auto"/>
                <w:sz w:val="24"/>
                <w:szCs w:val="24"/>
              </w:rPr>
              <w:t>序号</w:t>
            </w:r>
          </w:p>
        </w:tc>
        <w:tc>
          <w:tcPr>
            <w:tcW w:w="2877" w:type="pct"/>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szCs w:val="24"/>
              </w:rPr>
            </w:pPr>
            <w:r>
              <w:rPr>
                <w:rFonts w:ascii="Times New Roman" w:hAnsi="Times New Roman" w:eastAsia="仿宋" w:cs="Times New Roman"/>
                <w:b/>
                <w:bCs/>
                <w:color w:val="auto"/>
                <w:sz w:val="24"/>
                <w:szCs w:val="24"/>
              </w:rPr>
              <w:t>内容</w:t>
            </w:r>
          </w:p>
        </w:tc>
        <w:tc>
          <w:tcPr>
            <w:tcW w:w="710" w:type="pct"/>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szCs w:val="24"/>
              </w:rPr>
            </w:pPr>
            <w:r>
              <w:rPr>
                <w:rFonts w:ascii="Times New Roman" w:hAnsi="Times New Roman" w:eastAsia="仿宋" w:cs="Times New Roman"/>
                <w:b/>
                <w:bCs/>
                <w:color w:val="auto"/>
                <w:sz w:val="24"/>
                <w:szCs w:val="24"/>
              </w:rPr>
              <w:t>是否建立（落实）</w:t>
            </w:r>
          </w:p>
        </w:tc>
        <w:tc>
          <w:tcPr>
            <w:tcW w:w="1023" w:type="pct"/>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szCs w:val="24"/>
              </w:rPr>
            </w:pPr>
            <w:r>
              <w:rPr>
                <w:rFonts w:ascii="Times New Roman" w:hAnsi="Times New Roman" w:eastAsia="仿宋" w:cs="Times New Roman"/>
                <w:b/>
                <w:bCs/>
                <w:color w:val="auto"/>
                <w:sz w:val="24"/>
                <w:szCs w:val="24"/>
              </w:rPr>
              <w:t>是否与应急措施</w:t>
            </w:r>
          </w:p>
          <w:p>
            <w:pPr>
              <w:adjustRightInd w:val="0"/>
              <w:snapToGrid w:val="0"/>
              <w:spacing w:line="360" w:lineRule="auto"/>
              <w:ind w:firstLine="0" w:firstLineChars="0"/>
              <w:jc w:val="center"/>
              <w:rPr>
                <w:rFonts w:ascii="Times New Roman" w:hAnsi="Times New Roman" w:eastAsia="仿宋" w:cs="Times New Roman"/>
                <w:b/>
                <w:bCs/>
                <w:color w:val="auto"/>
                <w:sz w:val="24"/>
                <w:szCs w:val="24"/>
              </w:rPr>
            </w:pPr>
            <w:r>
              <w:rPr>
                <w:rFonts w:ascii="Times New Roman" w:hAnsi="Times New Roman" w:eastAsia="仿宋" w:cs="Times New Roman"/>
                <w:b/>
                <w:bCs/>
                <w:color w:val="auto"/>
                <w:sz w:val="24"/>
                <w:szCs w:val="24"/>
              </w:rPr>
              <w:t>相符合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369" w:hRule="atLeast"/>
          <w:jc w:val="center"/>
        </w:trPr>
        <w:tc>
          <w:tcPr>
            <w:tcW w:w="388" w:type="pct"/>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szCs w:val="24"/>
              </w:rPr>
            </w:pPr>
            <w:r>
              <w:rPr>
                <w:rFonts w:ascii="Times New Roman" w:hAnsi="Times New Roman" w:eastAsia="仿宋" w:cs="Times New Roman"/>
                <w:b/>
                <w:bCs/>
                <w:color w:val="auto"/>
                <w:sz w:val="24"/>
                <w:szCs w:val="24"/>
              </w:rPr>
              <w:t>1</w:t>
            </w:r>
          </w:p>
        </w:tc>
        <w:tc>
          <w:tcPr>
            <w:tcW w:w="2877"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环境风险防控和应急措施制度</w:t>
            </w:r>
          </w:p>
        </w:tc>
        <w:tc>
          <w:tcPr>
            <w:tcW w:w="710"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是</w:t>
            </w:r>
          </w:p>
        </w:tc>
        <w:tc>
          <w:tcPr>
            <w:tcW w:w="1023"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369" w:hRule="atLeast"/>
          <w:jc w:val="center"/>
        </w:trPr>
        <w:tc>
          <w:tcPr>
            <w:tcW w:w="388" w:type="pct"/>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szCs w:val="24"/>
              </w:rPr>
            </w:pPr>
            <w:r>
              <w:rPr>
                <w:rFonts w:ascii="Times New Roman" w:hAnsi="Times New Roman" w:eastAsia="仿宋" w:cs="Times New Roman"/>
                <w:b/>
                <w:bCs/>
                <w:color w:val="auto"/>
                <w:sz w:val="24"/>
                <w:szCs w:val="24"/>
              </w:rPr>
              <w:t>2</w:t>
            </w:r>
          </w:p>
        </w:tc>
        <w:tc>
          <w:tcPr>
            <w:tcW w:w="2877"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环境风险防控责任人及责任机构</w:t>
            </w:r>
          </w:p>
        </w:tc>
        <w:tc>
          <w:tcPr>
            <w:tcW w:w="710"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是</w:t>
            </w:r>
          </w:p>
        </w:tc>
        <w:tc>
          <w:tcPr>
            <w:tcW w:w="1023"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369" w:hRule="atLeast"/>
          <w:jc w:val="center"/>
        </w:trPr>
        <w:tc>
          <w:tcPr>
            <w:tcW w:w="388" w:type="pct"/>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szCs w:val="24"/>
              </w:rPr>
            </w:pPr>
            <w:r>
              <w:rPr>
                <w:rFonts w:ascii="Times New Roman" w:hAnsi="Times New Roman" w:eastAsia="仿宋" w:cs="Times New Roman"/>
                <w:b/>
                <w:bCs/>
                <w:color w:val="auto"/>
                <w:sz w:val="24"/>
                <w:szCs w:val="24"/>
              </w:rPr>
              <w:t>3</w:t>
            </w:r>
          </w:p>
        </w:tc>
        <w:tc>
          <w:tcPr>
            <w:tcW w:w="2877"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定期巡检和维护责任制度（一月一次）</w:t>
            </w:r>
          </w:p>
        </w:tc>
        <w:tc>
          <w:tcPr>
            <w:tcW w:w="710"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是</w:t>
            </w:r>
          </w:p>
        </w:tc>
        <w:tc>
          <w:tcPr>
            <w:tcW w:w="1023"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545" w:hRule="atLeast"/>
          <w:jc w:val="center"/>
        </w:trPr>
        <w:tc>
          <w:tcPr>
            <w:tcW w:w="388" w:type="pct"/>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szCs w:val="24"/>
              </w:rPr>
            </w:pPr>
            <w:r>
              <w:rPr>
                <w:rFonts w:ascii="Times New Roman" w:hAnsi="Times New Roman" w:eastAsia="仿宋" w:cs="Times New Roman"/>
                <w:b/>
                <w:bCs/>
                <w:color w:val="auto"/>
                <w:sz w:val="24"/>
                <w:szCs w:val="24"/>
              </w:rPr>
              <w:t>4</w:t>
            </w:r>
          </w:p>
        </w:tc>
        <w:tc>
          <w:tcPr>
            <w:tcW w:w="2877"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环评及批复中各项环境风险防控和应急措施要求</w:t>
            </w:r>
          </w:p>
        </w:tc>
        <w:tc>
          <w:tcPr>
            <w:tcW w:w="710"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是</w:t>
            </w:r>
          </w:p>
        </w:tc>
        <w:tc>
          <w:tcPr>
            <w:tcW w:w="1023"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545" w:hRule="atLeast"/>
          <w:jc w:val="center"/>
        </w:trPr>
        <w:tc>
          <w:tcPr>
            <w:tcW w:w="388" w:type="pct"/>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szCs w:val="24"/>
              </w:rPr>
            </w:pPr>
            <w:r>
              <w:rPr>
                <w:rFonts w:ascii="Times New Roman" w:hAnsi="Times New Roman" w:eastAsia="仿宋" w:cs="Times New Roman"/>
                <w:b/>
                <w:bCs/>
                <w:color w:val="auto"/>
                <w:sz w:val="24"/>
                <w:szCs w:val="24"/>
              </w:rPr>
              <w:t>5</w:t>
            </w:r>
          </w:p>
        </w:tc>
        <w:tc>
          <w:tcPr>
            <w:tcW w:w="2877"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对职工开展环境风险和环境应急管理宣传和培训（一年一次以上）</w:t>
            </w:r>
          </w:p>
        </w:tc>
        <w:tc>
          <w:tcPr>
            <w:tcW w:w="710"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是</w:t>
            </w:r>
          </w:p>
        </w:tc>
        <w:tc>
          <w:tcPr>
            <w:tcW w:w="1023"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388" w:hRule="atLeast"/>
          <w:jc w:val="center"/>
        </w:trPr>
        <w:tc>
          <w:tcPr>
            <w:tcW w:w="388" w:type="pct"/>
            <w:noWrap w:val="0"/>
            <w:vAlign w:val="center"/>
          </w:tcPr>
          <w:p>
            <w:pPr>
              <w:adjustRightInd w:val="0"/>
              <w:snapToGrid w:val="0"/>
              <w:spacing w:line="360" w:lineRule="auto"/>
              <w:ind w:firstLine="0" w:firstLineChars="0"/>
              <w:jc w:val="center"/>
              <w:rPr>
                <w:rFonts w:ascii="Times New Roman" w:hAnsi="Times New Roman" w:eastAsia="仿宋" w:cs="Times New Roman"/>
                <w:b/>
                <w:bCs/>
                <w:color w:val="auto"/>
                <w:sz w:val="24"/>
                <w:szCs w:val="24"/>
              </w:rPr>
            </w:pPr>
            <w:r>
              <w:rPr>
                <w:rFonts w:ascii="Times New Roman" w:hAnsi="Times New Roman" w:eastAsia="仿宋" w:cs="Times New Roman"/>
                <w:b/>
                <w:bCs/>
                <w:color w:val="auto"/>
                <w:sz w:val="24"/>
                <w:szCs w:val="24"/>
              </w:rPr>
              <w:t>6</w:t>
            </w:r>
          </w:p>
        </w:tc>
        <w:tc>
          <w:tcPr>
            <w:tcW w:w="2877"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建立突发环境事件信息报告制度</w:t>
            </w:r>
          </w:p>
        </w:tc>
        <w:tc>
          <w:tcPr>
            <w:tcW w:w="710"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是</w:t>
            </w:r>
          </w:p>
        </w:tc>
        <w:tc>
          <w:tcPr>
            <w:tcW w:w="1023"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符合</w:t>
            </w:r>
          </w:p>
        </w:tc>
      </w:tr>
    </w:tbl>
    <w:p>
      <w:pPr>
        <w:keepNext/>
        <w:keepLines/>
        <w:widowControl w:val="0"/>
        <w:bidi w:val="0"/>
        <w:spacing w:line="360" w:lineRule="auto"/>
        <w:ind w:firstLine="643" w:firstLineChars="200"/>
        <w:jc w:val="left"/>
        <w:textAlignment w:val="baseline"/>
        <w:outlineLvl w:val="1"/>
        <w:rPr>
          <w:rFonts w:hint="default" w:ascii="Times New Roman" w:hAnsi="Times New Roman" w:eastAsia="楷体" w:cs="Times New Roman"/>
          <w:b/>
          <w:bCs/>
          <w:color w:val="auto"/>
          <w:kern w:val="2"/>
          <w:sz w:val="32"/>
          <w:szCs w:val="32"/>
          <w:lang w:val="zh-CN" w:eastAsia="zh-CN" w:bidi="ar-SA"/>
        </w:rPr>
      </w:pPr>
      <w:bookmarkStart w:id="81" w:name="_Toc456950174"/>
      <w:bookmarkStart w:id="82" w:name="_Toc19963"/>
      <w:bookmarkStart w:id="83" w:name="_Toc27282"/>
      <w:bookmarkStart w:id="84" w:name="_Toc155"/>
      <w:bookmarkStart w:id="85" w:name="_Toc32390"/>
      <w:bookmarkStart w:id="86" w:name="_Toc4393"/>
      <w:bookmarkStart w:id="87" w:name="_Toc15883"/>
      <w:r>
        <w:rPr>
          <w:rFonts w:hint="default" w:ascii="Times New Roman" w:hAnsi="Times New Roman" w:eastAsia="楷体" w:cs="Times New Roman"/>
          <w:b/>
          <w:bCs/>
          <w:color w:val="auto"/>
          <w:kern w:val="2"/>
          <w:sz w:val="32"/>
          <w:szCs w:val="32"/>
          <w:lang w:val="zh-CN" w:eastAsia="zh-CN" w:bidi="ar-SA"/>
        </w:rPr>
        <w:t>5.2环境风险防控与应急措施</w:t>
      </w:r>
      <w:bookmarkEnd w:id="81"/>
      <w:bookmarkEnd w:id="82"/>
      <w:bookmarkEnd w:id="83"/>
      <w:bookmarkEnd w:id="84"/>
      <w:bookmarkEnd w:id="85"/>
      <w:bookmarkEnd w:id="86"/>
      <w:bookmarkEnd w:id="87"/>
    </w:p>
    <w:p>
      <w:pPr>
        <w:widowControl w:val="0"/>
        <w:adjustRightInd w:val="0"/>
        <w:snapToGrid w:val="0"/>
        <w:spacing w:line="360" w:lineRule="auto"/>
        <w:ind w:firstLine="560" w:firstLineChars="200"/>
        <w:jc w:val="both"/>
        <w:rPr>
          <w:rFonts w:ascii="Times New Roman" w:hAnsi="Times New Roman" w:eastAsia="仿宋" w:cs="Times New Roman"/>
          <w:bCs/>
          <w:color w:val="auto"/>
          <w:kern w:val="2"/>
          <w:sz w:val="28"/>
          <w:szCs w:val="28"/>
          <w:lang w:val="zh-CN" w:eastAsia="zh-CN" w:bidi="ar-SA"/>
        </w:rPr>
      </w:pPr>
      <w:r>
        <w:rPr>
          <w:rFonts w:ascii="Times New Roman" w:hAnsi="Times New Roman" w:eastAsia="仿宋" w:cs="Times New Roman"/>
          <w:bCs/>
          <w:color w:val="auto"/>
          <w:kern w:val="2"/>
          <w:sz w:val="28"/>
          <w:szCs w:val="28"/>
          <w:lang w:val="zh-CN" w:eastAsia="zh-CN" w:bidi="ar-SA"/>
        </w:rPr>
        <w:t>环境风险防控与应急措施见表5</w:t>
      </w:r>
      <w:r>
        <w:rPr>
          <w:rFonts w:hint="eastAsia" w:ascii="Times New Roman" w:hAnsi="Times New Roman" w:eastAsia="仿宋" w:cs="Times New Roman"/>
          <w:bCs/>
          <w:color w:val="auto"/>
          <w:kern w:val="2"/>
          <w:sz w:val="28"/>
          <w:szCs w:val="28"/>
          <w:lang w:val="en-US" w:eastAsia="zh-CN" w:bidi="ar-SA"/>
        </w:rPr>
        <w:t>.2</w:t>
      </w:r>
      <w:r>
        <w:rPr>
          <w:rFonts w:ascii="Times New Roman" w:hAnsi="Times New Roman" w:eastAsia="仿宋" w:cs="Times New Roman"/>
          <w:bCs/>
          <w:color w:val="auto"/>
          <w:kern w:val="2"/>
          <w:sz w:val="28"/>
          <w:szCs w:val="28"/>
          <w:lang w:val="zh-CN" w:eastAsia="zh-CN" w:bidi="ar-SA"/>
        </w:rPr>
        <w:t>-</w:t>
      </w:r>
      <w:r>
        <w:rPr>
          <w:rFonts w:hint="eastAsia" w:ascii="Times New Roman" w:hAnsi="Times New Roman" w:eastAsia="仿宋" w:cs="Times New Roman"/>
          <w:bCs/>
          <w:color w:val="auto"/>
          <w:kern w:val="2"/>
          <w:sz w:val="28"/>
          <w:szCs w:val="28"/>
          <w:lang w:val="en-US" w:eastAsia="zh-CN" w:bidi="ar-SA"/>
        </w:rPr>
        <w:t>1</w:t>
      </w:r>
      <w:r>
        <w:rPr>
          <w:rFonts w:ascii="Times New Roman" w:hAnsi="Times New Roman" w:eastAsia="仿宋" w:cs="Times New Roman"/>
          <w:bCs/>
          <w:color w:val="auto"/>
          <w:kern w:val="2"/>
          <w:sz w:val="28"/>
          <w:szCs w:val="28"/>
          <w:lang w:val="zh-CN" w:eastAsia="zh-CN" w:bidi="ar-SA"/>
        </w:rPr>
        <w:t>。</w:t>
      </w:r>
    </w:p>
    <w:p>
      <w:pPr>
        <w:keepNext w:val="0"/>
        <w:keepLines w:val="0"/>
        <w:widowControl/>
        <w:suppressLineNumbers w:val="0"/>
        <w:spacing w:line="360" w:lineRule="auto"/>
        <w:jc w:val="center"/>
        <w:rPr>
          <w:rFonts w:ascii="Times New Roman" w:hAnsi="Times New Roman" w:eastAsia="仿宋" w:cs="Times New Roman"/>
          <w:bCs/>
          <w:color w:val="auto"/>
          <w:kern w:val="2"/>
          <w:sz w:val="28"/>
          <w:szCs w:val="28"/>
          <w:lang w:val="zh-CN" w:eastAsia="zh-CN" w:bidi="ar-SA"/>
        </w:rPr>
      </w:pPr>
      <w:r>
        <w:rPr>
          <w:rFonts w:ascii="仿宋" w:hAnsi="仿宋" w:eastAsia="仿宋" w:cs="仿宋"/>
          <w:b/>
          <w:bCs/>
          <w:color w:val="auto"/>
          <w:kern w:val="0"/>
          <w:sz w:val="24"/>
          <w:szCs w:val="24"/>
          <w:lang w:val="en-US" w:eastAsia="zh-CN" w:bidi="ar"/>
        </w:rPr>
        <w:t xml:space="preserve">表 </w:t>
      </w:r>
      <w:r>
        <w:rPr>
          <w:rFonts w:hint="default" w:ascii="Times New Roman" w:hAnsi="Times New Roman" w:eastAsia="宋体" w:cs="Times New Roman"/>
          <w:b/>
          <w:bCs/>
          <w:color w:val="auto"/>
          <w:kern w:val="0"/>
          <w:sz w:val="24"/>
          <w:szCs w:val="24"/>
          <w:lang w:val="en-US" w:eastAsia="zh-CN" w:bidi="ar"/>
        </w:rPr>
        <w:t>5.2-1</w:t>
      </w:r>
      <w:r>
        <w:rPr>
          <w:rFonts w:hint="eastAsia" w:ascii="仿宋" w:hAnsi="仿宋" w:eastAsia="仿宋" w:cs="仿宋"/>
          <w:b/>
          <w:bCs/>
          <w:color w:val="auto"/>
          <w:kern w:val="0"/>
          <w:sz w:val="24"/>
          <w:szCs w:val="24"/>
          <w:lang w:val="en-US" w:eastAsia="zh-CN" w:bidi="ar"/>
        </w:rPr>
        <w:t>环境风险防控与应急措施</w:t>
      </w:r>
    </w:p>
    <w:tbl>
      <w:tblPr>
        <w:tblStyle w:val="13"/>
        <w:tblW w:w="8800"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817"/>
        <w:gridCol w:w="5670"/>
        <w:gridCol w:w="709"/>
        <w:gridCol w:w="160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序号</w:t>
            </w:r>
          </w:p>
        </w:tc>
        <w:tc>
          <w:tcPr>
            <w:tcW w:w="5670"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内   容</w:t>
            </w:r>
          </w:p>
        </w:tc>
        <w:tc>
          <w:tcPr>
            <w:tcW w:w="709"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是否设置</w:t>
            </w:r>
          </w:p>
        </w:tc>
        <w:tc>
          <w:tcPr>
            <w:tcW w:w="1604"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是否与应急措施相符合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1</w:t>
            </w:r>
          </w:p>
        </w:tc>
        <w:tc>
          <w:tcPr>
            <w:tcW w:w="5670"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对污水处理站设置监视、控制措施，设置岗位责任制</w:t>
            </w:r>
          </w:p>
        </w:tc>
        <w:tc>
          <w:tcPr>
            <w:tcW w:w="709" w:type="dxa"/>
            <w:noWrap w:val="0"/>
            <w:vAlign w:val="center"/>
          </w:tcPr>
          <w:p>
            <w:pPr>
              <w:adjustRightInd w:val="0"/>
              <w:snapToGrid w:val="0"/>
              <w:spacing w:line="360" w:lineRule="auto"/>
              <w:ind w:firstLine="199" w:firstLineChars="83"/>
              <w:rPr>
                <w:rFonts w:ascii="Times New Roman" w:hAnsi="Times New Roman" w:eastAsia="仿宋" w:cs="Times New Roman"/>
                <w:color w:val="auto"/>
                <w:sz w:val="24"/>
              </w:rPr>
            </w:pPr>
            <w:r>
              <w:rPr>
                <w:rFonts w:ascii="Times New Roman" w:hAnsi="Times New Roman" w:eastAsia="仿宋" w:cs="Times New Roman"/>
                <w:color w:val="auto"/>
                <w:sz w:val="24"/>
              </w:rPr>
              <w:t>是</w:t>
            </w:r>
          </w:p>
        </w:tc>
        <w:tc>
          <w:tcPr>
            <w:tcW w:w="1604" w:type="dxa"/>
            <w:noWrap w:val="0"/>
            <w:vAlign w:val="center"/>
          </w:tcPr>
          <w:p>
            <w:pPr>
              <w:adjustRightInd w:val="0"/>
              <w:snapToGrid w:val="0"/>
              <w:spacing w:line="360" w:lineRule="auto"/>
              <w:ind w:firstLine="480" w:firstLineChars="200"/>
              <w:rPr>
                <w:rFonts w:ascii="Times New Roman" w:hAnsi="Times New Roman" w:eastAsia="仿宋" w:cs="Times New Roman"/>
                <w:color w:val="auto"/>
                <w:sz w:val="24"/>
              </w:rPr>
            </w:pPr>
            <w:r>
              <w:rPr>
                <w:rFonts w:ascii="Times New Roman" w:hAnsi="Times New Roman" w:eastAsia="仿宋" w:cs="Times New Roman"/>
                <w:color w:val="auto"/>
                <w:sz w:val="24"/>
              </w:rPr>
              <w:t>符合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2</w:t>
            </w:r>
          </w:p>
        </w:tc>
        <w:tc>
          <w:tcPr>
            <w:tcW w:w="5670"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根据泄漏事故，分析每项措施的管理制度、岗位职责和措施的有效性</w:t>
            </w:r>
          </w:p>
        </w:tc>
        <w:tc>
          <w:tcPr>
            <w:tcW w:w="709" w:type="dxa"/>
            <w:noWrap w:val="0"/>
            <w:vAlign w:val="center"/>
          </w:tcPr>
          <w:p>
            <w:pPr>
              <w:adjustRightInd w:val="0"/>
              <w:snapToGrid w:val="0"/>
              <w:spacing w:line="360" w:lineRule="auto"/>
              <w:ind w:firstLine="199" w:firstLineChars="83"/>
              <w:rPr>
                <w:rFonts w:ascii="Times New Roman" w:hAnsi="Times New Roman" w:eastAsia="仿宋" w:cs="Times New Roman"/>
                <w:color w:val="auto"/>
                <w:sz w:val="24"/>
              </w:rPr>
            </w:pPr>
            <w:r>
              <w:rPr>
                <w:rFonts w:ascii="Times New Roman" w:hAnsi="Times New Roman" w:eastAsia="仿宋" w:cs="Times New Roman"/>
                <w:color w:val="auto"/>
                <w:sz w:val="24"/>
              </w:rPr>
              <w:t>是</w:t>
            </w:r>
          </w:p>
        </w:tc>
        <w:tc>
          <w:tcPr>
            <w:tcW w:w="1604" w:type="dxa"/>
            <w:noWrap w:val="0"/>
            <w:vAlign w:val="center"/>
          </w:tcPr>
          <w:p>
            <w:pPr>
              <w:adjustRightInd w:val="0"/>
              <w:snapToGrid w:val="0"/>
              <w:spacing w:line="360" w:lineRule="auto"/>
              <w:ind w:firstLine="480" w:firstLineChars="200"/>
              <w:rPr>
                <w:rFonts w:ascii="Times New Roman" w:hAnsi="Times New Roman" w:eastAsia="仿宋" w:cs="Times New Roman"/>
                <w:color w:val="auto"/>
                <w:sz w:val="24"/>
              </w:rPr>
            </w:pPr>
            <w:r>
              <w:rPr>
                <w:rFonts w:ascii="Times New Roman" w:hAnsi="Times New Roman" w:eastAsia="仿宋" w:cs="Times New Roman"/>
                <w:color w:val="auto"/>
                <w:sz w:val="24"/>
              </w:rPr>
              <w:t>符合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rPr>
            </w:pPr>
            <w:r>
              <w:rPr>
                <w:rFonts w:ascii="Times New Roman" w:hAnsi="Times New Roman" w:eastAsia="仿宋" w:cs="Times New Roman"/>
                <w:color w:val="auto"/>
                <w:sz w:val="24"/>
              </w:rPr>
              <w:t>3</w:t>
            </w:r>
          </w:p>
        </w:tc>
        <w:tc>
          <w:tcPr>
            <w:tcW w:w="5670" w:type="dxa"/>
            <w:noWrap w:val="0"/>
            <w:vAlign w:val="center"/>
          </w:tcPr>
          <w:p>
            <w:pPr>
              <w:adjustRightInd w:val="0"/>
              <w:snapToGrid w:val="0"/>
              <w:spacing w:line="360" w:lineRule="auto"/>
              <w:ind w:firstLine="0" w:firstLineChars="0"/>
              <w:rPr>
                <w:rFonts w:ascii="Times New Roman" w:hAnsi="Times New Roman" w:eastAsia="仿宋" w:cs="Times New Roman"/>
                <w:color w:val="auto"/>
                <w:sz w:val="24"/>
              </w:rPr>
            </w:pPr>
            <w:r>
              <w:rPr>
                <w:rFonts w:ascii="Times New Roman" w:hAnsi="Times New Roman" w:eastAsia="仿宋" w:cs="Times New Roman"/>
                <w:color w:val="auto"/>
                <w:sz w:val="24"/>
              </w:rPr>
              <w:t>设置事故时提醒周边人员紧急疏散的措施，分析每项措施的管理制度、岗位职责和措施的有效性</w:t>
            </w:r>
          </w:p>
        </w:tc>
        <w:tc>
          <w:tcPr>
            <w:tcW w:w="709" w:type="dxa"/>
            <w:noWrap w:val="0"/>
            <w:vAlign w:val="center"/>
          </w:tcPr>
          <w:p>
            <w:pPr>
              <w:adjustRightInd w:val="0"/>
              <w:snapToGrid w:val="0"/>
              <w:spacing w:line="360" w:lineRule="auto"/>
              <w:ind w:firstLine="199" w:firstLineChars="83"/>
              <w:rPr>
                <w:rFonts w:ascii="Times New Roman" w:hAnsi="Times New Roman" w:eastAsia="仿宋" w:cs="Times New Roman"/>
                <w:color w:val="auto"/>
                <w:sz w:val="24"/>
              </w:rPr>
            </w:pPr>
            <w:r>
              <w:rPr>
                <w:rFonts w:ascii="Times New Roman" w:hAnsi="Times New Roman" w:eastAsia="仿宋" w:cs="Times New Roman"/>
                <w:color w:val="auto"/>
                <w:sz w:val="24"/>
              </w:rPr>
              <w:t>是</w:t>
            </w:r>
          </w:p>
        </w:tc>
        <w:tc>
          <w:tcPr>
            <w:tcW w:w="1604" w:type="dxa"/>
            <w:noWrap w:val="0"/>
            <w:vAlign w:val="center"/>
          </w:tcPr>
          <w:p>
            <w:pPr>
              <w:adjustRightInd w:val="0"/>
              <w:snapToGrid w:val="0"/>
              <w:spacing w:line="360" w:lineRule="auto"/>
              <w:ind w:firstLine="480" w:firstLineChars="200"/>
              <w:rPr>
                <w:rFonts w:ascii="Times New Roman" w:hAnsi="Times New Roman" w:eastAsia="仿宋" w:cs="Times New Roman"/>
                <w:color w:val="auto"/>
                <w:sz w:val="24"/>
              </w:rPr>
            </w:pPr>
            <w:r>
              <w:rPr>
                <w:rFonts w:ascii="Times New Roman" w:hAnsi="Times New Roman" w:eastAsia="仿宋" w:cs="Times New Roman"/>
                <w:color w:val="auto"/>
                <w:sz w:val="24"/>
              </w:rPr>
              <w:t>符合</w:t>
            </w:r>
          </w:p>
        </w:tc>
      </w:tr>
    </w:tbl>
    <w:p>
      <w:pPr>
        <w:keepNext/>
        <w:keepLines/>
        <w:widowControl w:val="0"/>
        <w:bidi w:val="0"/>
        <w:spacing w:line="360" w:lineRule="auto"/>
        <w:ind w:firstLine="643" w:firstLineChars="200"/>
        <w:jc w:val="left"/>
        <w:textAlignment w:val="baseline"/>
        <w:outlineLvl w:val="1"/>
        <w:rPr>
          <w:rFonts w:hint="default" w:ascii="Times New Roman" w:hAnsi="Times New Roman" w:eastAsia="楷体" w:cs="Times New Roman"/>
          <w:b/>
          <w:bCs/>
          <w:color w:val="auto"/>
          <w:kern w:val="2"/>
          <w:sz w:val="32"/>
          <w:szCs w:val="32"/>
          <w:lang w:val="zh-CN" w:eastAsia="zh-CN" w:bidi="ar-SA"/>
        </w:rPr>
      </w:pPr>
      <w:bookmarkStart w:id="88" w:name="_Toc5109"/>
      <w:bookmarkStart w:id="89" w:name="_Toc25917"/>
      <w:bookmarkStart w:id="90" w:name="_Toc30668"/>
      <w:bookmarkStart w:id="91" w:name="_Toc456950175"/>
      <w:bookmarkStart w:id="92" w:name="_Toc23512"/>
      <w:bookmarkStart w:id="93" w:name="_Toc7217"/>
      <w:bookmarkStart w:id="94" w:name="_Toc2324"/>
      <w:r>
        <w:rPr>
          <w:rFonts w:hint="default" w:ascii="Times New Roman" w:hAnsi="Times New Roman" w:eastAsia="楷体" w:cs="Times New Roman"/>
          <w:b/>
          <w:bCs/>
          <w:color w:val="auto"/>
          <w:kern w:val="2"/>
          <w:sz w:val="32"/>
          <w:szCs w:val="32"/>
          <w:lang w:val="zh-CN" w:eastAsia="zh-CN" w:bidi="ar-SA"/>
        </w:rPr>
        <w:t>5.3环境应急资源</w:t>
      </w:r>
      <w:bookmarkEnd w:id="88"/>
      <w:bookmarkEnd w:id="89"/>
      <w:bookmarkEnd w:id="90"/>
      <w:bookmarkEnd w:id="91"/>
      <w:bookmarkEnd w:id="92"/>
      <w:bookmarkEnd w:id="93"/>
      <w:bookmarkEnd w:id="94"/>
    </w:p>
    <w:p>
      <w:pPr>
        <w:widowControl w:val="0"/>
        <w:adjustRightInd w:val="0"/>
        <w:snapToGrid w:val="0"/>
        <w:spacing w:line="360" w:lineRule="auto"/>
        <w:ind w:firstLine="560" w:firstLineChars="200"/>
        <w:jc w:val="both"/>
        <w:rPr>
          <w:rFonts w:ascii="Times New Roman" w:hAnsi="Times New Roman" w:eastAsia="仿宋" w:cs="Times New Roman"/>
          <w:bCs/>
          <w:color w:val="auto"/>
          <w:kern w:val="2"/>
          <w:sz w:val="28"/>
          <w:szCs w:val="28"/>
          <w:lang w:val="zh-CN" w:eastAsia="zh-CN" w:bidi="ar-SA"/>
        </w:rPr>
      </w:pPr>
      <w:r>
        <w:rPr>
          <w:rFonts w:ascii="Times New Roman" w:hAnsi="Times New Roman" w:eastAsia="仿宋" w:cs="Times New Roman"/>
          <w:bCs/>
          <w:color w:val="auto"/>
          <w:kern w:val="2"/>
          <w:sz w:val="28"/>
          <w:szCs w:val="28"/>
          <w:lang w:val="zh-CN" w:eastAsia="zh-CN" w:bidi="ar-SA"/>
        </w:rPr>
        <w:t>环境应急资源见表5</w:t>
      </w:r>
      <w:r>
        <w:rPr>
          <w:rFonts w:hint="eastAsia" w:ascii="Times New Roman" w:hAnsi="Times New Roman" w:eastAsia="仿宋" w:cs="Times New Roman"/>
          <w:bCs/>
          <w:color w:val="auto"/>
          <w:kern w:val="2"/>
          <w:sz w:val="28"/>
          <w:szCs w:val="28"/>
          <w:lang w:val="en-US" w:eastAsia="zh-CN" w:bidi="ar-SA"/>
        </w:rPr>
        <w:t>.3</w:t>
      </w:r>
      <w:r>
        <w:rPr>
          <w:rFonts w:ascii="Times New Roman" w:hAnsi="Times New Roman" w:eastAsia="仿宋" w:cs="Times New Roman"/>
          <w:bCs/>
          <w:color w:val="auto"/>
          <w:kern w:val="2"/>
          <w:sz w:val="28"/>
          <w:szCs w:val="28"/>
          <w:lang w:val="zh-CN" w:eastAsia="zh-CN" w:bidi="ar-SA"/>
        </w:rPr>
        <w:t>-</w:t>
      </w:r>
      <w:r>
        <w:rPr>
          <w:rFonts w:hint="eastAsia" w:ascii="Times New Roman" w:hAnsi="Times New Roman" w:eastAsia="仿宋" w:cs="Times New Roman"/>
          <w:bCs/>
          <w:color w:val="auto"/>
          <w:kern w:val="2"/>
          <w:sz w:val="28"/>
          <w:szCs w:val="28"/>
          <w:lang w:val="en-US" w:eastAsia="zh-CN" w:bidi="ar-SA"/>
        </w:rPr>
        <w:t>1</w:t>
      </w:r>
      <w:r>
        <w:rPr>
          <w:rFonts w:ascii="Times New Roman" w:hAnsi="Times New Roman" w:eastAsia="仿宋" w:cs="Times New Roman"/>
          <w:bCs/>
          <w:color w:val="auto"/>
          <w:kern w:val="2"/>
          <w:sz w:val="28"/>
          <w:szCs w:val="28"/>
          <w:lang w:val="zh-CN" w:eastAsia="zh-CN" w:bidi="ar-SA"/>
        </w:rPr>
        <w:t>。</w:t>
      </w:r>
    </w:p>
    <w:p>
      <w:pPr>
        <w:keepNext w:val="0"/>
        <w:keepLines w:val="0"/>
        <w:widowControl/>
        <w:suppressLineNumbers w:val="0"/>
        <w:spacing w:line="360" w:lineRule="auto"/>
        <w:jc w:val="center"/>
        <w:rPr>
          <w:color w:val="auto"/>
        </w:rPr>
      </w:pPr>
      <w:r>
        <w:rPr>
          <w:rFonts w:ascii="仿宋" w:hAnsi="仿宋" w:eastAsia="仿宋" w:cs="仿宋"/>
          <w:b/>
          <w:bCs/>
          <w:color w:val="auto"/>
          <w:kern w:val="0"/>
          <w:sz w:val="24"/>
          <w:szCs w:val="24"/>
          <w:lang w:val="en-US" w:eastAsia="zh-CN" w:bidi="ar"/>
        </w:rPr>
        <w:t xml:space="preserve">表 </w:t>
      </w:r>
      <w:r>
        <w:rPr>
          <w:rFonts w:hint="default" w:ascii="Times New Roman" w:hAnsi="Times New Roman" w:eastAsia="宋体" w:cs="Times New Roman"/>
          <w:b/>
          <w:bCs/>
          <w:color w:val="auto"/>
          <w:kern w:val="0"/>
          <w:sz w:val="24"/>
          <w:szCs w:val="24"/>
          <w:lang w:val="en-US" w:eastAsia="zh-CN" w:bidi="ar"/>
        </w:rPr>
        <w:t>5.3-1</w:t>
      </w:r>
      <w:r>
        <w:rPr>
          <w:rFonts w:hint="eastAsia" w:ascii="仿宋" w:hAnsi="仿宋" w:eastAsia="仿宋" w:cs="仿宋"/>
          <w:b/>
          <w:bCs/>
          <w:color w:val="auto"/>
          <w:kern w:val="0"/>
          <w:sz w:val="24"/>
          <w:szCs w:val="24"/>
          <w:lang w:val="en-US" w:eastAsia="zh-CN" w:bidi="ar"/>
        </w:rPr>
        <w:t>环境应急资源</w:t>
      </w:r>
    </w:p>
    <w:tbl>
      <w:tblPr>
        <w:tblStyle w:val="13"/>
        <w:tblW w:w="4832" w:type="pct"/>
        <w:jc w:val="center"/>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Layout w:type="autofit"/>
        <w:tblCellMar>
          <w:top w:w="0" w:type="dxa"/>
          <w:left w:w="108" w:type="dxa"/>
          <w:bottom w:w="0" w:type="dxa"/>
          <w:right w:w="108" w:type="dxa"/>
        </w:tblCellMar>
      </w:tblPr>
      <w:tblGrid>
        <w:gridCol w:w="993"/>
        <w:gridCol w:w="3896"/>
        <w:gridCol w:w="1494"/>
        <w:gridCol w:w="2702"/>
      </w:tblGrid>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579" w:hRule="atLeast"/>
          <w:jc w:val="center"/>
        </w:trPr>
        <w:tc>
          <w:tcPr>
            <w:tcW w:w="546"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序号</w:t>
            </w:r>
          </w:p>
        </w:tc>
        <w:tc>
          <w:tcPr>
            <w:tcW w:w="2143"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内   容</w:t>
            </w:r>
          </w:p>
        </w:tc>
        <w:tc>
          <w:tcPr>
            <w:tcW w:w="822"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是否配备</w:t>
            </w:r>
          </w:p>
        </w:tc>
        <w:tc>
          <w:tcPr>
            <w:tcW w:w="1486"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是否与应急措施相符合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621" w:hRule="atLeast"/>
          <w:jc w:val="center"/>
        </w:trPr>
        <w:tc>
          <w:tcPr>
            <w:tcW w:w="546"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1</w:t>
            </w:r>
          </w:p>
        </w:tc>
        <w:tc>
          <w:tcPr>
            <w:tcW w:w="2143"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必要的应急物资和应急装备</w:t>
            </w:r>
          </w:p>
        </w:tc>
        <w:tc>
          <w:tcPr>
            <w:tcW w:w="822"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是</w:t>
            </w:r>
          </w:p>
        </w:tc>
        <w:tc>
          <w:tcPr>
            <w:tcW w:w="1486"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603" w:hRule="atLeast"/>
          <w:jc w:val="center"/>
        </w:trPr>
        <w:tc>
          <w:tcPr>
            <w:tcW w:w="546"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2</w:t>
            </w:r>
          </w:p>
        </w:tc>
        <w:tc>
          <w:tcPr>
            <w:tcW w:w="2143"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设置专职人员组成的应急救援队伍</w:t>
            </w:r>
          </w:p>
        </w:tc>
        <w:tc>
          <w:tcPr>
            <w:tcW w:w="822"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是</w:t>
            </w:r>
          </w:p>
        </w:tc>
        <w:tc>
          <w:tcPr>
            <w:tcW w:w="1486"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380" w:hRule="atLeast"/>
          <w:jc w:val="center"/>
        </w:trPr>
        <w:tc>
          <w:tcPr>
            <w:tcW w:w="546"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3</w:t>
            </w:r>
          </w:p>
        </w:tc>
        <w:tc>
          <w:tcPr>
            <w:tcW w:w="2143" w:type="pct"/>
            <w:noWrap w:val="0"/>
            <w:vAlign w:val="center"/>
          </w:tcPr>
          <w:p>
            <w:pPr>
              <w:adjustRightInd w:val="0"/>
              <w:snapToGrid w:val="0"/>
              <w:spacing w:line="360" w:lineRule="auto"/>
              <w:ind w:firstLine="0" w:firstLineChars="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与其他单位、组织签订应急救援协议</w:t>
            </w:r>
          </w:p>
        </w:tc>
        <w:tc>
          <w:tcPr>
            <w:tcW w:w="822" w:type="pct"/>
            <w:noWrap w:val="0"/>
            <w:vAlign w:val="center"/>
          </w:tcPr>
          <w:p>
            <w:pPr>
              <w:adjustRightInd w:val="0"/>
              <w:snapToGrid w:val="0"/>
              <w:spacing w:line="360" w:lineRule="auto"/>
              <w:ind w:firstLine="0" w:firstLineChars="0"/>
              <w:jc w:val="center"/>
              <w:rPr>
                <w:rFonts w:hint="eastAsia" w:ascii="Times New Roman" w:hAnsi="Times New Roman" w:eastAsia="仿宋" w:cs="Times New Roman"/>
                <w:color w:val="auto"/>
                <w:sz w:val="24"/>
                <w:szCs w:val="24"/>
              </w:rPr>
            </w:pPr>
            <w:r>
              <w:rPr>
                <w:rFonts w:hint="eastAsia" w:ascii="Times New Roman" w:hAnsi="Times New Roman" w:eastAsia="仿宋" w:cs="Times New Roman"/>
                <w:color w:val="auto"/>
                <w:sz w:val="24"/>
                <w:szCs w:val="24"/>
              </w:rPr>
              <w:t>否</w:t>
            </w:r>
          </w:p>
        </w:tc>
        <w:tc>
          <w:tcPr>
            <w:tcW w:w="1486" w:type="pct"/>
            <w:noWrap w:val="0"/>
            <w:vAlign w:val="center"/>
          </w:tcPr>
          <w:p>
            <w:pPr>
              <w:adjustRightInd w:val="0"/>
              <w:snapToGrid w:val="0"/>
              <w:spacing w:line="360" w:lineRule="auto"/>
              <w:ind w:firstLine="0" w:firstLineChars="0"/>
              <w:jc w:val="center"/>
              <w:rPr>
                <w:rFonts w:hint="eastAsia" w:ascii="Times New Roman" w:hAnsi="Times New Roman" w:eastAsia="仿宋" w:cs="Times New Roman"/>
                <w:color w:val="auto"/>
                <w:sz w:val="24"/>
                <w:szCs w:val="24"/>
                <w:lang w:eastAsia="zh-CN"/>
              </w:rPr>
            </w:pPr>
            <w:r>
              <w:rPr>
                <w:rFonts w:hint="eastAsia" w:ascii="Times New Roman" w:hAnsi="Times New Roman" w:eastAsia="仿宋" w:cs="Times New Roman"/>
                <w:color w:val="auto"/>
                <w:sz w:val="24"/>
                <w:szCs w:val="24"/>
              </w:rPr>
              <w:t>不</w:t>
            </w:r>
            <w:r>
              <w:rPr>
                <w:rFonts w:ascii="Times New Roman" w:hAnsi="Times New Roman" w:eastAsia="仿宋" w:cs="Times New Roman"/>
                <w:color w:val="auto"/>
                <w:sz w:val="24"/>
                <w:szCs w:val="24"/>
              </w:rPr>
              <w:t>符合</w:t>
            </w:r>
            <w:r>
              <w:rPr>
                <w:rFonts w:hint="eastAsia" w:ascii="Times New Roman" w:hAnsi="Times New Roman" w:eastAsia="仿宋" w:cs="Times New Roman"/>
                <w:color w:val="auto"/>
                <w:sz w:val="24"/>
                <w:szCs w:val="24"/>
                <w:lang w:eastAsia="zh-CN"/>
              </w:rPr>
              <w:t>，暂时未与其他单位签订应急救援协议</w:t>
            </w:r>
          </w:p>
        </w:tc>
      </w:tr>
    </w:tbl>
    <w:p>
      <w:pPr>
        <w:keepNext/>
        <w:keepLines/>
        <w:widowControl w:val="0"/>
        <w:bidi w:val="0"/>
        <w:spacing w:line="360" w:lineRule="auto"/>
        <w:ind w:firstLine="643" w:firstLineChars="200"/>
        <w:jc w:val="left"/>
        <w:textAlignment w:val="baseline"/>
        <w:outlineLvl w:val="1"/>
        <w:rPr>
          <w:rFonts w:hint="default" w:ascii="Times New Roman" w:hAnsi="Times New Roman" w:eastAsia="楷体" w:cs="Times New Roman"/>
          <w:b/>
          <w:bCs/>
          <w:color w:val="auto"/>
          <w:kern w:val="2"/>
          <w:sz w:val="32"/>
          <w:szCs w:val="32"/>
          <w:lang w:val="zh-CN" w:eastAsia="zh-CN" w:bidi="ar-SA"/>
        </w:rPr>
      </w:pPr>
      <w:bookmarkStart w:id="95" w:name="_Toc18304"/>
      <w:bookmarkStart w:id="96" w:name="_Toc21513"/>
      <w:bookmarkStart w:id="97" w:name="_Toc18723"/>
      <w:bookmarkStart w:id="98" w:name="_Toc456950176"/>
      <w:bookmarkStart w:id="99" w:name="_Toc12857"/>
      <w:bookmarkStart w:id="100" w:name="_Toc11240"/>
      <w:bookmarkStart w:id="101" w:name="_Toc24752"/>
      <w:r>
        <w:rPr>
          <w:rFonts w:hint="default" w:ascii="Times New Roman" w:hAnsi="Times New Roman" w:eastAsia="楷体" w:cs="Times New Roman"/>
          <w:b/>
          <w:bCs/>
          <w:color w:val="auto"/>
          <w:kern w:val="2"/>
          <w:sz w:val="32"/>
          <w:szCs w:val="32"/>
          <w:lang w:val="zh-CN" w:eastAsia="zh-CN" w:bidi="ar-SA"/>
        </w:rPr>
        <w:t>5.4历史经验教训总结</w:t>
      </w:r>
      <w:bookmarkEnd w:id="95"/>
      <w:bookmarkEnd w:id="96"/>
      <w:bookmarkEnd w:id="97"/>
      <w:bookmarkEnd w:id="98"/>
      <w:bookmarkEnd w:id="99"/>
      <w:bookmarkEnd w:id="100"/>
      <w:bookmarkEnd w:id="101"/>
    </w:p>
    <w:p>
      <w:pPr>
        <w:bidi w:val="0"/>
        <w:spacing w:line="360" w:lineRule="auto"/>
        <w:ind w:firstLine="560" w:firstLineChars="200"/>
        <w:rPr>
          <w:rFonts w:ascii="Times New Roman" w:hAnsi="Times New Roman" w:eastAsia="仿宋" w:cs="仿宋"/>
          <w:color w:val="auto"/>
          <w:sz w:val="28"/>
          <w:lang w:val="zh-CN"/>
        </w:rPr>
      </w:pPr>
      <w:bookmarkStart w:id="102" w:name="_Toc355552208"/>
      <w:r>
        <w:rPr>
          <w:rFonts w:ascii="Times New Roman" w:hAnsi="Times New Roman" w:eastAsia="仿宋" w:cs="仿宋"/>
          <w:color w:val="auto"/>
          <w:sz w:val="28"/>
          <w:lang w:val="zh-CN"/>
        </w:rPr>
        <w:t>通常风险事件的发生主要原因表现为：自然灾害事件和因人们对某种事物的规律性尚未认识，目前的科学技术水平尚无法预防和避免的事件等；违章操作、违章指挥、违反劳动纪律、管理缺陷、生产作业条件恶劣、设计缺陷、设备保养不良等原因造成的事件。</w:t>
      </w:r>
      <w:bookmarkEnd w:id="102"/>
    </w:p>
    <w:p>
      <w:pPr>
        <w:bidi w:val="0"/>
        <w:spacing w:line="360" w:lineRule="auto"/>
        <w:ind w:firstLine="560" w:firstLineChars="200"/>
        <w:rPr>
          <w:rFonts w:ascii="Times New Roman" w:hAnsi="Times New Roman" w:eastAsia="仿宋" w:cs="仿宋"/>
          <w:color w:val="auto"/>
          <w:sz w:val="28"/>
          <w:lang w:val="zh-CN"/>
        </w:rPr>
      </w:pPr>
      <w:r>
        <w:rPr>
          <w:rFonts w:hint="eastAsia" w:ascii="Times New Roman" w:hAnsi="Times New Roman" w:eastAsia="仿宋" w:cs="仿宋"/>
          <w:color w:val="auto"/>
          <w:sz w:val="28"/>
          <w:lang w:val="en-US" w:eastAsia="zh-CN"/>
        </w:rPr>
        <w:t>陕西蓝驰宇洁洗涤服务有限责任公司</w:t>
      </w:r>
      <w:r>
        <w:rPr>
          <w:rFonts w:ascii="Times New Roman" w:hAnsi="Times New Roman" w:eastAsia="仿宋" w:cs="仿宋"/>
          <w:color w:val="auto"/>
          <w:sz w:val="28"/>
          <w:lang w:val="zh-CN"/>
        </w:rPr>
        <w:t>目前无环境污染事件。但公司可能会发生以下环境污染事件：</w:t>
      </w:r>
      <w:r>
        <w:rPr>
          <w:rFonts w:hint="eastAsia" w:ascii="Times New Roman" w:hAnsi="Times New Roman" w:eastAsia="仿宋" w:cs="仿宋"/>
          <w:color w:val="auto"/>
          <w:sz w:val="28"/>
          <w:lang w:val="zh-CN"/>
        </w:rPr>
        <w:t>出现明火引发火灾和爆炸、污染大气，污染地表水及地下水，危及健康等。</w:t>
      </w:r>
    </w:p>
    <w:p>
      <w:pPr>
        <w:bidi w:val="0"/>
        <w:spacing w:line="360" w:lineRule="auto"/>
        <w:ind w:firstLine="560" w:firstLineChars="200"/>
        <w:rPr>
          <w:rFonts w:hint="default" w:ascii="Times New Roman" w:hAnsi="Times New Roman" w:eastAsia="仿宋" w:cs="仿宋"/>
          <w:color w:val="auto"/>
          <w:sz w:val="28"/>
        </w:rPr>
      </w:pPr>
      <w:r>
        <w:rPr>
          <w:rFonts w:hint="default" w:ascii="Times New Roman" w:hAnsi="Times New Roman" w:eastAsia="仿宋" w:cs="仿宋"/>
          <w:color w:val="auto"/>
          <w:sz w:val="28"/>
        </w:rPr>
        <w:t>为避免环境风险事故的发生，在重点剖析上述酿成事故原因的基础上，本评估提出以下建议及相应对策：</w:t>
      </w:r>
    </w:p>
    <w:p>
      <w:pPr>
        <w:bidi w:val="0"/>
        <w:spacing w:line="360" w:lineRule="auto"/>
        <w:ind w:firstLine="560" w:firstLineChars="200"/>
        <w:rPr>
          <w:rFonts w:hint="default" w:ascii="Times New Roman" w:hAnsi="Times New Roman" w:eastAsia="仿宋" w:cs="仿宋"/>
          <w:color w:val="auto"/>
          <w:sz w:val="28"/>
          <w:lang w:val="zh-CN"/>
        </w:rPr>
      </w:pPr>
      <w:r>
        <w:rPr>
          <w:rFonts w:hint="default" w:ascii="Times New Roman" w:hAnsi="Times New Roman" w:eastAsia="仿宋" w:cs="仿宋"/>
          <w:color w:val="auto"/>
          <w:sz w:val="28"/>
          <w:lang w:val="zh-CN"/>
        </w:rPr>
        <w:t>（1）加强管理，制定各岗位操作规程，并严格按照规程要求职工。</w:t>
      </w:r>
    </w:p>
    <w:p>
      <w:pPr>
        <w:bidi w:val="0"/>
        <w:spacing w:line="360" w:lineRule="auto"/>
        <w:ind w:firstLine="560" w:firstLineChars="200"/>
        <w:rPr>
          <w:rFonts w:hint="default" w:ascii="Times New Roman" w:hAnsi="Times New Roman" w:eastAsia="仿宋" w:cs="仿宋"/>
          <w:color w:val="auto"/>
          <w:sz w:val="28"/>
          <w:lang w:val="zh-CN"/>
        </w:rPr>
      </w:pPr>
      <w:r>
        <w:rPr>
          <w:rFonts w:hint="default" w:ascii="Times New Roman" w:hAnsi="Times New Roman" w:eastAsia="仿宋" w:cs="仿宋"/>
          <w:color w:val="auto"/>
          <w:sz w:val="28"/>
          <w:lang w:val="zh-CN"/>
        </w:rPr>
        <w:t>（2）严格按照《安全生产管理条例》，加强对环保设施检查维修保养，使得设施正常运转，设专人看管。</w:t>
      </w:r>
    </w:p>
    <w:p>
      <w:pPr>
        <w:bidi w:val="0"/>
        <w:spacing w:line="360" w:lineRule="auto"/>
        <w:ind w:firstLine="560" w:firstLineChars="200"/>
        <w:rPr>
          <w:rFonts w:hint="default" w:ascii="Times New Roman" w:hAnsi="Times New Roman" w:eastAsia="仿宋" w:cs="仿宋"/>
          <w:color w:val="auto"/>
          <w:sz w:val="28"/>
          <w:lang w:val="zh-CN"/>
        </w:rPr>
      </w:pPr>
      <w:r>
        <w:rPr>
          <w:rFonts w:hint="default" w:ascii="Times New Roman" w:hAnsi="Times New Roman" w:eastAsia="仿宋" w:cs="仿宋"/>
          <w:color w:val="auto"/>
          <w:sz w:val="28"/>
          <w:lang w:val="zh-CN"/>
        </w:rPr>
        <w:t>（3）严格按照公司制度定期进行设备、电气检修。</w:t>
      </w:r>
    </w:p>
    <w:p>
      <w:pPr>
        <w:bidi w:val="0"/>
        <w:spacing w:line="360" w:lineRule="auto"/>
        <w:ind w:firstLine="560" w:firstLineChars="200"/>
        <w:rPr>
          <w:rFonts w:hint="default" w:ascii="Times New Roman" w:hAnsi="Times New Roman" w:eastAsia="仿宋" w:cs="仿宋"/>
          <w:color w:val="auto"/>
          <w:sz w:val="28"/>
          <w:lang w:val="zh-CN"/>
        </w:rPr>
      </w:pPr>
      <w:r>
        <w:rPr>
          <w:rFonts w:hint="default" w:ascii="Times New Roman" w:hAnsi="Times New Roman" w:eastAsia="仿宋" w:cs="仿宋"/>
          <w:color w:val="auto"/>
          <w:sz w:val="28"/>
          <w:lang w:val="zh-CN"/>
        </w:rPr>
        <w:t>（4）加强管理，定期开展操作员工培训，提高员工素质、增强操作技能；内部、外部培训后进行考试。对员工考核结果应记录备案，考试通过即为合格。考试合格者才能使用，不合格者应继续补习，直到合格为止，做到持证上岗；为加强单位员工按章规范操作的主动性、自觉性，制定并落实内部奖惩措施。</w:t>
      </w:r>
    </w:p>
    <w:p>
      <w:pPr>
        <w:keepNext/>
        <w:keepLines/>
        <w:widowControl w:val="0"/>
        <w:bidi w:val="0"/>
        <w:spacing w:line="360" w:lineRule="auto"/>
        <w:ind w:firstLine="643" w:firstLineChars="200"/>
        <w:jc w:val="left"/>
        <w:textAlignment w:val="baseline"/>
        <w:outlineLvl w:val="1"/>
        <w:rPr>
          <w:rFonts w:hint="default" w:ascii="Times New Roman" w:hAnsi="Times New Roman" w:eastAsia="楷体" w:cs="Times New Roman"/>
          <w:b/>
          <w:bCs/>
          <w:color w:val="auto"/>
          <w:kern w:val="2"/>
          <w:sz w:val="32"/>
          <w:szCs w:val="32"/>
          <w:lang w:val="zh-CN" w:eastAsia="zh-CN" w:bidi="ar-SA"/>
        </w:rPr>
      </w:pPr>
      <w:bookmarkStart w:id="103" w:name="_Toc27934"/>
      <w:bookmarkStart w:id="104" w:name="_Toc25400"/>
      <w:r>
        <w:rPr>
          <w:rFonts w:hint="default" w:ascii="Times New Roman" w:hAnsi="Times New Roman" w:eastAsia="楷体" w:cs="Times New Roman"/>
          <w:b/>
          <w:bCs/>
          <w:color w:val="auto"/>
          <w:kern w:val="2"/>
          <w:sz w:val="32"/>
          <w:szCs w:val="32"/>
          <w:lang w:val="zh-CN" w:eastAsia="zh-CN" w:bidi="ar-SA"/>
        </w:rPr>
        <w:t>5.5需要整改的短期、中期和长期项目内容</w:t>
      </w:r>
      <w:bookmarkEnd w:id="103"/>
      <w:bookmarkEnd w:id="104"/>
    </w:p>
    <w:p>
      <w:pPr>
        <w:bidi w:val="0"/>
        <w:spacing w:line="360" w:lineRule="auto"/>
        <w:ind w:firstLine="560" w:firstLineChars="200"/>
        <w:rPr>
          <w:rFonts w:hint="default" w:ascii="Times New Roman" w:hAnsi="Times New Roman" w:eastAsia="仿宋" w:cs="仿宋"/>
          <w:color w:val="auto"/>
          <w:sz w:val="28"/>
        </w:rPr>
      </w:pPr>
      <w:r>
        <w:rPr>
          <w:rFonts w:hint="default" w:ascii="Times New Roman" w:hAnsi="Times New Roman" w:eastAsia="仿宋" w:cs="仿宋"/>
          <w:color w:val="auto"/>
          <w:sz w:val="28"/>
        </w:rPr>
        <w:t>针对上述排查的每一项差距和隐患，根据其危害性、紧迫性和治理时间的长短，提出需要完成整改的期限，分别按短期（3个月）、中期（3-6个月）和长期（6个月以上）给出，详见下表。</w:t>
      </w:r>
    </w:p>
    <w:p>
      <w:pPr>
        <w:keepNext w:val="0"/>
        <w:keepLines w:val="0"/>
        <w:widowControl/>
        <w:suppressLineNumbers w:val="0"/>
        <w:spacing w:line="360" w:lineRule="auto"/>
        <w:jc w:val="center"/>
        <w:rPr>
          <w:color w:val="auto"/>
        </w:rPr>
      </w:pPr>
      <w:r>
        <w:rPr>
          <w:rFonts w:ascii="仿宋" w:hAnsi="仿宋" w:eastAsia="仿宋" w:cs="仿宋"/>
          <w:b/>
          <w:bCs/>
          <w:color w:val="auto"/>
          <w:kern w:val="0"/>
          <w:sz w:val="24"/>
          <w:szCs w:val="24"/>
          <w:lang w:val="en-US" w:eastAsia="zh-CN" w:bidi="ar"/>
        </w:rPr>
        <w:t xml:space="preserve">表 </w:t>
      </w:r>
      <w:r>
        <w:rPr>
          <w:rFonts w:hint="default" w:ascii="Times New Roman" w:hAnsi="Times New Roman" w:eastAsia="宋体" w:cs="Times New Roman"/>
          <w:b/>
          <w:bCs/>
          <w:color w:val="auto"/>
          <w:kern w:val="0"/>
          <w:sz w:val="24"/>
          <w:szCs w:val="24"/>
          <w:lang w:val="en-US" w:eastAsia="zh-CN" w:bidi="ar"/>
        </w:rPr>
        <w:t xml:space="preserve">5.5-1 </w:t>
      </w:r>
      <w:r>
        <w:rPr>
          <w:rFonts w:hint="eastAsia" w:ascii="仿宋" w:hAnsi="仿宋" w:eastAsia="仿宋" w:cs="仿宋"/>
          <w:b/>
          <w:bCs/>
          <w:color w:val="auto"/>
          <w:kern w:val="0"/>
          <w:sz w:val="24"/>
          <w:szCs w:val="24"/>
          <w:lang w:val="en-US" w:eastAsia="zh-CN" w:bidi="ar"/>
        </w:rPr>
        <w:t>本企业要整改内容</w:t>
      </w:r>
    </w:p>
    <w:tbl>
      <w:tblPr>
        <w:tblStyle w:val="14"/>
        <w:tblW w:w="5513" w:type="pct"/>
        <w:jc w:val="center"/>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Layout w:type="autofit"/>
        <w:tblCellMar>
          <w:top w:w="0" w:type="dxa"/>
          <w:left w:w="108" w:type="dxa"/>
          <w:bottom w:w="0" w:type="dxa"/>
          <w:right w:w="108" w:type="dxa"/>
        </w:tblCellMar>
      </w:tblPr>
      <w:tblGrid>
        <w:gridCol w:w="883"/>
        <w:gridCol w:w="7558"/>
        <w:gridCol w:w="1925"/>
      </w:tblGrid>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jc w:val="center"/>
        </w:trPr>
        <w:tc>
          <w:tcPr>
            <w:tcW w:w="426" w:type="pct"/>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rPr>
            </w:pPr>
            <w:r>
              <w:rPr>
                <w:rFonts w:hint="default" w:ascii="Times New Roman" w:hAnsi="Times New Roman" w:eastAsia="仿宋" w:cs="Times New Roman"/>
                <w:b/>
                <w:bCs/>
                <w:snapToGrid w:val="0"/>
                <w:color w:val="auto"/>
                <w:kern w:val="0"/>
                <w:sz w:val="24"/>
              </w:rPr>
              <w:t>序号</w:t>
            </w:r>
          </w:p>
        </w:tc>
        <w:tc>
          <w:tcPr>
            <w:tcW w:w="3644" w:type="pct"/>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rPr>
            </w:pPr>
            <w:r>
              <w:rPr>
                <w:rFonts w:hint="default" w:ascii="Times New Roman" w:hAnsi="Times New Roman" w:eastAsia="仿宋" w:cs="Times New Roman"/>
                <w:b/>
                <w:bCs/>
                <w:snapToGrid w:val="0"/>
                <w:color w:val="auto"/>
                <w:kern w:val="0"/>
                <w:sz w:val="24"/>
              </w:rPr>
              <w:t>整改内容</w:t>
            </w:r>
          </w:p>
        </w:tc>
        <w:tc>
          <w:tcPr>
            <w:tcW w:w="928" w:type="pct"/>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rPr>
            </w:pPr>
            <w:r>
              <w:rPr>
                <w:rFonts w:hint="default" w:ascii="Times New Roman" w:hAnsi="Times New Roman" w:eastAsia="仿宋" w:cs="Times New Roman"/>
                <w:b/>
                <w:bCs/>
                <w:snapToGrid w:val="0"/>
                <w:color w:val="auto"/>
                <w:kern w:val="0"/>
                <w:sz w:val="24"/>
              </w:rPr>
              <w:t>整改期限</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jc w:val="center"/>
        </w:trPr>
        <w:tc>
          <w:tcPr>
            <w:tcW w:w="426" w:type="pct"/>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rPr>
            </w:pPr>
            <w:r>
              <w:rPr>
                <w:rFonts w:hint="default" w:ascii="Times New Roman" w:hAnsi="Times New Roman" w:eastAsia="仿宋" w:cs="Times New Roman"/>
                <w:b/>
                <w:bCs/>
                <w:snapToGrid w:val="0"/>
                <w:color w:val="auto"/>
                <w:kern w:val="0"/>
                <w:sz w:val="24"/>
              </w:rPr>
              <w:t>1</w:t>
            </w:r>
          </w:p>
        </w:tc>
        <w:tc>
          <w:tcPr>
            <w:tcW w:w="3644" w:type="pct"/>
            <w:vAlign w:val="center"/>
          </w:tcPr>
          <w:p>
            <w:pPr>
              <w:adjustRightInd/>
              <w:snapToGrid/>
              <w:spacing w:line="360" w:lineRule="auto"/>
              <w:ind w:firstLine="0" w:firstLineChars="0"/>
              <w:rPr>
                <w:rFonts w:hint="default" w:asciiTheme="minorHAnsi" w:hAnsiTheme="minorHAnsi" w:eastAsiaTheme="minorEastAsia" w:cstheme="minorBidi"/>
                <w:color w:val="auto"/>
                <w:kern w:val="2"/>
                <w:sz w:val="24"/>
                <w:szCs w:val="24"/>
                <w:lang w:val="en-US" w:eastAsia="zh-CN" w:bidi="ar-SA"/>
              </w:rPr>
            </w:pPr>
            <w:r>
              <w:rPr>
                <w:rFonts w:hint="eastAsia" w:ascii="Times New Roman" w:hAnsi="Times New Roman" w:eastAsia="仿宋" w:cs="Times New Roman"/>
                <w:b w:val="0"/>
                <w:bCs w:val="0"/>
                <w:snapToGrid w:val="0"/>
                <w:color w:val="auto"/>
                <w:kern w:val="0"/>
                <w:sz w:val="24"/>
                <w:lang w:eastAsia="zh-CN"/>
              </w:rPr>
              <w:t>建设事故应急池，并进行防渗处理</w:t>
            </w:r>
          </w:p>
        </w:tc>
        <w:tc>
          <w:tcPr>
            <w:tcW w:w="928" w:type="pct"/>
            <w:vMerge w:val="restart"/>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rPr>
            </w:pPr>
            <w:r>
              <w:rPr>
                <w:rFonts w:hint="default" w:ascii="Times New Roman" w:hAnsi="Times New Roman" w:eastAsia="仿宋" w:cs="Times New Roman"/>
                <w:b/>
                <w:bCs/>
                <w:snapToGrid w:val="0"/>
                <w:color w:val="auto"/>
                <w:kern w:val="0"/>
                <w:sz w:val="24"/>
              </w:rPr>
              <w:t>短期</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jc w:val="center"/>
        </w:trPr>
        <w:tc>
          <w:tcPr>
            <w:tcW w:w="426" w:type="pct"/>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rPr>
            </w:pPr>
            <w:r>
              <w:rPr>
                <w:rFonts w:hint="default" w:ascii="Times New Roman" w:hAnsi="Times New Roman" w:eastAsia="仿宋" w:cs="Times New Roman"/>
                <w:b/>
                <w:bCs/>
                <w:snapToGrid w:val="0"/>
                <w:color w:val="auto"/>
                <w:kern w:val="0"/>
                <w:sz w:val="24"/>
              </w:rPr>
              <w:t>2</w:t>
            </w:r>
          </w:p>
        </w:tc>
        <w:tc>
          <w:tcPr>
            <w:tcW w:w="3644" w:type="pct"/>
            <w:vAlign w:val="center"/>
          </w:tcPr>
          <w:p>
            <w:pPr>
              <w:spacing w:line="360" w:lineRule="auto"/>
              <w:ind w:left="0" w:leftChars="0" w:right="-105" w:rightChars="-50" w:firstLine="0" w:firstLineChars="0"/>
              <w:jc w:val="both"/>
              <w:rPr>
                <w:rFonts w:hint="eastAsia" w:ascii="Times New Roman" w:hAnsi="Times New Roman" w:eastAsia="仿宋" w:cs="Times New Roman"/>
                <w:b w:val="0"/>
                <w:bCs w:val="0"/>
                <w:snapToGrid w:val="0"/>
                <w:color w:val="auto"/>
                <w:kern w:val="0"/>
                <w:sz w:val="24"/>
                <w:lang w:val="en-US" w:eastAsia="zh-CN"/>
              </w:rPr>
            </w:pPr>
            <w:r>
              <w:rPr>
                <w:rFonts w:hint="eastAsia" w:ascii="Times New Roman" w:hAnsi="Times New Roman" w:eastAsia="仿宋" w:cs="Times New Roman"/>
                <w:b w:val="0"/>
                <w:bCs w:val="0"/>
                <w:snapToGrid w:val="0"/>
                <w:color w:val="auto"/>
                <w:kern w:val="0"/>
                <w:sz w:val="24"/>
                <w:lang w:eastAsia="zh-CN"/>
              </w:rPr>
              <w:t>需</w:t>
            </w:r>
            <w:r>
              <w:rPr>
                <w:rFonts w:hint="default" w:ascii="Times New Roman" w:hAnsi="Times New Roman" w:eastAsia="仿宋" w:cs="Times New Roman"/>
                <w:b w:val="0"/>
                <w:bCs w:val="0"/>
                <w:snapToGrid w:val="0"/>
                <w:color w:val="auto"/>
                <w:kern w:val="0"/>
                <w:sz w:val="24"/>
              </w:rPr>
              <w:t>张贴应急疏散路线图</w:t>
            </w:r>
            <w:r>
              <w:rPr>
                <w:rFonts w:hint="eastAsia" w:ascii="Times New Roman" w:hAnsi="Times New Roman" w:eastAsia="仿宋" w:cs="Times New Roman"/>
                <w:b w:val="0"/>
                <w:bCs w:val="0"/>
                <w:snapToGrid w:val="0"/>
                <w:color w:val="auto"/>
                <w:kern w:val="0"/>
                <w:sz w:val="24"/>
                <w:lang w:eastAsia="zh-CN"/>
              </w:rPr>
              <w:t>。</w:t>
            </w:r>
          </w:p>
        </w:tc>
        <w:tc>
          <w:tcPr>
            <w:tcW w:w="928" w:type="pct"/>
            <w:vMerge w:val="continue"/>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rPr>
            </w:pP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jc w:val="center"/>
        </w:trPr>
        <w:tc>
          <w:tcPr>
            <w:tcW w:w="426" w:type="pct"/>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lang w:val="en-US" w:eastAsia="zh-CN"/>
              </w:rPr>
            </w:pPr>
            <w:r>
              <w:rPr>
                <w:rFonts w:hint="eastAsia" w:ascii="Times New Roman" w:hAnsi="Times New Roman" w:eastAsia="仿宋" w:cs="Times New Roman"/>
                <w:b/>
                <w:bCs/>
                <w:snapToGrid w:val="0"/>
                <w:color w:val="auto"/>
                <w:kern w:val="0"/>
                <w:sz w:val="24"/>
                <w:lang w:val="en-US" w:eastAsia="zh-CN"/>
              </w:rPr>
              <w:t>3</w:t>
            </w:r>
          </w:p>
        </w:tc>
        <w:tc>
          <w:tcPr>
            <w:tcW w:w="3644" w:type="pct"/>
            <w:vAlign w:val="center"/>
          </w:tcPr>
          <w:p>
            <w:pPr>
              <w:spacing w:line="360" w:lineRule="auto"/>
              <w:ind w:left="0" w:leftChars="0" w:right="-105" w:rightChars="-50" w:firstLine="0" w:firstLineChars="0"/>
              <w:jc w:val="both"/>
              <w:rPr>
                <w:rFonts w:hint="default" w:ascii="Times New Roman" w:hAnsi="Times New Roman" w:eastAsia="仿宋" w:cs="Times New Roman"/>
                <w:b w:val="0"/>
                <w:bCs w:val="0"/>
                <w:snapToGrid w:val="0"/>
                <w:color w:val="auto"/>
                <w:kern w:val="0"/>
                <w:sz w:val="24"/>
              </w:rPr>
            </w:pPr>
            <w:r>
              <w:rPr>
                <w:rFonts w:hint="eastAsia" w:ascii="Times New Roman" w:hAnsi="Times New Roman" w:eastAsia="仿宋" w:cs="Times New Roman"/>
                <w:b w:val="0"/>
                <w:bCs w:val="0"/>
                <w:snapToGrid w:val="0"/>
                <w:color w:val="auto"/>
                <w:kern w:val="0"/>
                <w:sz w:val="24"/>
                <w:lang w:eastAsia="zh-CN"/>
              </w:rPr>
              <w:t>需</w:t>
            </w:r>
            <w:r>
              <w:rPr>
                <w:rFonts w:hint="default" w:ascii="Times New Roman" w:hAnsi="Times New Roman" w:eastAsia="仿宋" w:cs="Times New Roman"/>
                <w:b w:val="0"/>
                <w:bCs w:val="0"/>
                <w:snapToGrid w:val="0"/>
                <w:color w:val="auto"/>
                <w:kern w:val="0"/>
                <w:sz w:val="24"/>
              </w:rPr>
              <w:t>建立健全环境应急管理体系，进一步落实环境风险防控重点岗位责任人，落实环境风险设施定期巡检和维护责任制度；所有操作人员均应经培训后上岗，并严格按照操作规程操作，减少人为事故发生。</w:t>
            </w:r>
          </w:p>
        </w:tc>
        <w:tc>
          <w:tcPr>
            <w:tcW w:w="928" w:type="pct"/>
            <w:vMerge w:val="restart"/>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rPr>
            </w:pPr>
            <w:r>
              <w:rPr>
                <w:rFonts w:hint="default" w:ascii="Times New Roman" w:hAnsi="Times New Roman" w:eastAsia="仿宋" w:cs="Times New Roman"/>
                <w:b/>
                <w:bCs/>
                <w:snapToGrid w:val="0"/>
                <w:color w:val="auto"/>
                <w:kern w:val="0"/>
                <w:sz w:val="24"/>
              </w:rPr>
              <w:t>中期</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jc w:val="center"/>
        </w:trPr>
        <w:tc>
          <w:tcPr>
            <w:tcW w:w="426" w:type="pct"/>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lang w:val="en-US" w:eastAsia="zh-CN"/>
              </w:rPr>
            </w:pPr>
            <w:r>
              <w:rPr>
                <w:rFonts w:hint="eastAsia" w:ascii="Times New Roman" w:hAnsi="Times New Roman" w:eastAsia="仿宋" w:cs="Times New Roman"/>
                <w:b/>
                <w:bCs/>
                <w:snapToGrid w:val="0"/>
                <w:color w:val="auto"/>
                <w:kern w:val="0"/>
                <w:sz w:val="24"/>
                <w:lang w:val="en-US" w:eastAsia="zh-CN"/>
              </w:rPr>
              <w:t>4</w:t>
            </w:r>
          </w:p>
        </w:tc>
        <w:tc>
          <w:tcPr>
            <w:tcW w:w="3644" w:type="pct"/>
            <w:vAlign w:val="center"/>
          </w:tcPr>
          <w:p>
            <w:pPr>
              <w:spacing w:line="360" w:lineRule="auto"/>
              <w:ind w:left="0" w:leftChars="0" w:right="-105" w:rightChars="-50" w:firstLine="0" w:firstLineChars="0"/>
              <w:jc w:val="both"/>
              <w:rPr>
                <w:rFonts w:hint="default" w:ascii="Times New Roman" w:hAnsi="Times New Roman" w:eastAsia="仿宋" w:cs="Times New Roman"/>
                <w:b w:val="0"/>
                <w:bCs w:val="0"/>
                <w:snapToGrid w:val="0"/>
                <w:color w:val="auto"/>
                <w:kern w:val="0"/>
                <w:sz w:val="24"/>
              </w:rPr>
            </w:pPr>
            <w:r>
              <w:rPr>
                <w:rFonts w:hint="eastAsia" w:ascii="Times New Roman" w:hAnsi="Times New Roman" w:eastAsia="仿宋" w:cs="Times New Roman"/>
                <w:b w:val="0"/>
                <w:bCs w:val="0"/>
                <w:snapToGrid w:val="0"/>
                <w:color w:val="auto"/>
                <w:kern w:val="0"/>
                <w:sz w:val="24"/>
                <w:lang w:eastAsia="zh-CN"/>
              </w:rPr>
              <w:t>需</w:t>
            </w:r>
            <w:r>
              <w:rPr>
                <w:rFonts w:hint="default" w:ascii="Times New Roman" w:hAnsi="Times New Roman" w:eastAsia="仿宋" w:cs="Times New Roman"/>
                <w:b w:val="0"/>
                <w:bCs w:val="0"/>
                <w:snapToGrid w:val="0"/>
                <w:color w:val="auto"/>
                <w:kern w:val="0"/>
                <w:sz w:val="24"/>
              </w:rPr>
              <w:t>建立环境事件信息报告制度，落实并完善隐患排查制度。</w:t>
            </w:r>
          </w:p>
        </w:tc>
        <w:tc>
          <w:tcPr>
            <w:tcW w:w="928" w:type="pct"/>
            <w:vMerge w:val="continue"/>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rPr>
            </w:pP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jc w:val="center"/>
        </w:trPr>
        <w:tc>
          <w:tcPr>
            <w:tcW w:w="426" w:type="pct"/>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lang w:val="en-US" w:eastAsia="zh-CN"/>
              </w:rPr>
            </w:pPr>
            <w:r>
              <w:rPr>
                <w:rFonts w:hint="eastAsia" w:ascii="Times New Roman" w:hAnsi="Times New Roman" w:eastAsia="仿宋" w:cs="Times New Roman"/>
                <w:b/>
                <w:bCs/>
                <w:snapToGrid w:val="0"/>
                <w:color w:val="auto"/>
                <w:kern w:val="0"/>
                <w:sz w:val="24"/>
                <w:lang w:val="en-US" w:eastAsia="zh-CN"/>
              </w:rPr>
              <w:t>5</w:t>
            </w:r>
          </w:p>
        </w:tc>
        <w:tc>
          <w:tcPr>
            <w:tcW w:w="3644" w:type="pct"/>
            <w:vAlign w:val="center"/>
          </w:tcPr>
          <w:p>
            <w:pPr>
              <w:spacing w:line="360" w:lineRule="auto"/>
              <w:ind w:left="0" w:leftChars="0" w:right="-105" w:rightChars="-50" w:firstLine="0" w:firstLineChars="0"/>
              <w:jc w:val="both"/>
              <w:rPr>
                <w:rFonts w:hint="default" w:ascii="Times New Roman" w:hAnsi="Times New Roman" w:eastAsia="仿宋" w:cs="Times New Roman"/>
                <w:b w:val="0"/>
                <w:bCs w:val="0"/>
                <w:snapToGrid w:val="0"/>
                <w:color w:val="auto"/>
                <w:kern w:val="0"/>
                <w:sz w:val="24"/>
              </w:rPr>
            </w:pPr>
            <w:r>
              <w:rPr>
                <w:rFonts w:hint="eastAsia" w:ascii="Times New Roman" w:hAnsi="Times New Roman" w:eastAsia="仿宋" w:cs="Times New Roman"/>
                <w:b w:val="0"/>
                <w:bCs w:val="0"/>
                <w:snapToGrid w:val="0"/>
                <w:color w:val="auto"/>
                <w:kern w:val="0"/>
                <w:sz w:val="24"/>
                <w:lang w:eastAsia="zh-CN"/>
              </w:rPr>
              <w:t>需</w:t>
            </w:r>
            <w:r>
              <w:rPr>
                <w:rFonts w:hint="default" w:ascii="Times New Roman" w:hAnsi="Times New Roman" w:eastAsia="仿宋" w:cs="Times New Roman"/>
                <w:b w:val="0"/>
                <w:bCs w:val="0"/>
                <w:snapToGrid w:val="0"/>
                <w:color w:val="auto"/>
                <w:kern w:val="0"/>
                <w:sz w:val="24"/>
              </w:rPr>
              <w:t>开展对本企业员工、周边企业员工和居民的环境风险和环境应急管理的宣传工作及安全消防教育工作，定期组织员工进行专题培训和教育，并开展预案演练并归档。</w:t>
            </w:r>
          </w:p>
        </w:tc>
        <w:tc>
          <w:tcPr>
            <w:tcW w:w="928" w:type="pct"/>
            <w:vAlign w:val="center"/>
          </w:tcPr>
          <w:p>
            <w:pPr>
              <w:spacing w:line="360" w:lineRule="auto"/>
              <w:ind w:left="0" w:leftChars="0" w:right="-105" w:rightChars="-50" w:firstLine="0" w:firstLineChars="0"/>
              <w:jc w:val="center"/>
              <w:rPr>
                <w:rFonts w:hint="default" w:ascii="Times New Roman" w:hAnsi="Times New Roman" w:eastAsia="仿宋" w:cs="Times New Roman"/>
                <w:b/>
                <w:bCs/>
                <w:snapToGrid w:val="0"/>
                <w:color w:val="auto"/>
                <w:kern w:val="0"/>
                <w:sz w:val="24"/>
              </w:rPr>
            </w:pPr>
            <w:r>
              <w:rPr>
                <w:rFonts w:hint="default" w:ascii="Times New Roman" w:hAnsi="Times New Roman" w:eastAsia="仿宋" w:cs="Times New Roman"/>
                <w:b/>
                <w:bCs/>
                <w:snapToGrid w:val="0"/>
                <w:color w:val="auto"/>
                <w:kern w:val="0"/>
                <w:sz w:val="24"/>
              </w:rPr>
              <w:t>长期</w:t>
            </w:r>
          </w:p>
        </w:tc>
      </w:tr>
    </w:tbl>
    <w:p>
      <w:pPr>
        <w:bidi w:val="0"/>
        <w:spacing w:line="360" w:lineRule="auto"/>
        <w:ind w:firstLine="560" w:firstLineChars="200"/>
        <w:rPr>
          <w:rFonts w:hint="eastAsia" w:eastAsia="仿宋"/>
          <w:color w:val="auto"/>
          <w:lang w:eastAsia="zh-CN"/>
        </w:rPr>
        <w:sectPr>
          <w:footerReference r:id="rId3" w:type="default"/>
          <w:pgSz w:w="11906" w:h="16838"/>
          <w:pgMar w:top="1417" w:right="1134" w:bottom="1134" w:left="1587" w:header="851" w:footer="992" w:gutter="0"/>
          <w:pgBorders>
            <w:top w:val="none" w:sz="0" w:space="0"/>
            <w:left w:val="none" w:sz="0" w:space="0"/>
            <w:bottom w:val="none" w:sz="0" w:space="0"/>
            <w:right w:val="none" w:sz="0" w:space="0"/>
          </w:pgBorders>
          <w:pgNumType w:fmt="decimal" w:start="1"/>
          <w:cols w:space="0" w:num="1"/>
          <w:rtlGutter w:val="0"/>
          <w:docGrid w:type="lines" w:linePitch="386" w:charSpace="0"/>
        </w:sectPr>
      </w:pPr>
      <w:r>
        <w:rPr>
          <w:rFonts w:hint="default" w:ascii="Times New Roman" w:hAnsi="Times New Roman" w:eastAsia="仿宋" w:cs="仿宋"/>
          <w:color w:val="auto"/>
          <w:sz w:val="28"/>
        </w:rPr>
        <w:t>针对以上实施计划，每完成一个计划，都应将计划完成情况登记建档备查</w:t>
      </w:r>
      <w:r>
        <w:rPr>
          <w:rFonts w:hint="eastAsia" w:ascii="Times New Roman" w:hAnsi="Times New Roman" w:eastAsia="仿宋" w:cs="仿宋"/>
          <w:color w:val="auto"/>
          <w:sz w:val="28"/>
          <w:lang w:eastAsia="zh-CN"/>
        </w:rPr>
        <w:t>。</w:t>
      </w:r>
    </w:p>
    <w:p>
      <w:pPr>
        <w:keepNext/>
        <w:keepLines/>
        <w:pageBreakBefore/>
        <w:widowControl w:val="0"/>
        <w:bidi w:val="0"/>
        <w:spacing w:beforeLines="0" w:afterLines="0" w:line="360" w:lineRule="auto"/>
        <w:ind w:firstLine="643" w:firstLineChars="200"/>
        <w:jc w:val="left"/>
        <w:outlineLvl w:val="0"/>
        <w:rPr>
          <w:rFonts w:hint="default" w:ascii="Times New Roman" w:hAnsi="Times New Roman" w:eastAsia="仿宋" w:cs="仿宋"/>
          <w:b/>
          <w:bCs/>
          <w:color w:val="auto"/>
          <w:kern w:val="44"/>
          <w:sz w:val="32"/>
          <w:szCs w:val="44"/>
          <w:lang w:val="en-US" w:eastAsia="zh-CN" w:bidi="ar-SA"/>
        </w:rPr>
      </w:pPr>
      <w:bookmarkStart w:id="105" w:name="_Toc14494"/>
      <w:bookmarkStart w:id="106" w:name="_Toc28037"/>
      <w:bookmarkStart w:id="107" w:name="_Toc27668"/>
      <w:r>
        <w:rPr>
          <w:rFonts w:hint="eastAsia" w:ascii="Times New Roman" w:hAnsi="Times New Roman" w:eastAsia="仿宋" w:cs="仿宋"/>
          <w:b/>
          <w:bCs/>
          <w:color w:val="auto"/>
          <w:kern w:val="44"/>
          <w:sz w:val="32"/>
          <w:szCs w:val="44"/>
          <w:lang w:val="en-US" w:eastAsia="zh-CN" w:bidi="ar-SA"/>
        </w:rPr>
        <w:t>6完善环境风险防控和应急措施的实施计划</w:t>
      </w:r>
      <w:bookmarkEnd w:id="105"/>
      <w:bookmarkEnd w:id="106"/>
      <w:bookmarkEnd w:id="107"/>
    </w:p>
    <w:p>
      <w:pPr>
        <w:bidi w:val="0"/>
        <w:spacing w:line="360" w:lineRule="auto"/>
        <w:ind w:firstLine="560" w:firstLineChars="200"/>
        <w:rPr>
          <w:rFonts w:hint="eastAsia" w:ascii="Times New Roman" w:hAnsi="Times New Roman" w:eastAsia="仿宋" w:cs="仿宋"/>
          <w:color w:val="auto"/>
          <w:sz w:val="28"/>
          <w:lang w:val="en-US" w:eastAsia="zh-CN"/>
        </w:rPr>
      </w:pPr>
      <w:r>
        <w:rPr>
          <w:rFonts w:hint="eastAsia" w:ascii="Times New Roman" w:hAnsi="Times New Roman" w:eastAsia="仿宋" w:cs="仿宋"/>
          <w:color w:val="auto"/>
          <w:sz w:val="28"/>
          <w:lang w:val="en-US" w:eastAsia="zh-CN"/>
        </w:rPr>
        <w:t>针对需要整改的项目，企业分别制定完善的风险防控和应急措施的实施计划，逐步完成整改措施，见下表。</w:t>
      </w:r>
    </w:p>
    <w:p>
      <w:pPr>
        <w:spacing w:line="360" w:lineRule="auto"/>
        <w:ind w:firstLine="482" w:firstLineChars="200"/>
        <w:jc w:val="center"/>
        <w:rPr>
          <w:rFonts w:hint="eastAsia"/>
          <w:color w:val="auto"/>
          <w:lang w:val="en-US" w:eastAsia="zh-CN"/>
        </w:rPr>
      </w:pPr>
      <w:r>
        <w:rPr>
          <w:rFonts w:hint="eastAsia" w:ascii="Times New Roman" w:hAnsi="Times New Roman" w:eastAsia="仿宋" w:cs="Times New Roman"/>
          <w:b/>
          <w:bCs/>
          <w:color w:val="auto"/>
          <w:sz w:val="24"/>
          <w:szCs w:val="24"/>
        </w:rPr>
        <w:t>表6-1  需要整改项目实施计划</w:t>
      </w:r>
    </w:p>
    <w:tbl>
      <w:tblPr>
        <w:tblStyle w:val="13"/>
        <w:tblW w:w="4944" w:type="pct"/>
        <w:jc w:val="center"/>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Layout w:type="autofit"/>
        <w:tblCellMar>
          <w:top w:w="0" w:type="dxa"/>
          <w:left w:w="0" w:type="dxa"/>
          <w:bottom w:w="0" w:type="dxa"/>
          <w:right w:w="0" w:type="dxa"/>
        </w:tblCellMar>
      </w:tblPr>
      <w:tblGrid>
        <w:gridCol w:w="474"/>
        <w:gridCol w:w="1082"/>
        <w:gridCol w:w="4241"/>
        <w:gridCol w:w="1292"/>
        <w:gridCol w:w="1229"/>
      </w:tblGrid>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5"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bCs w:val="0"/>
                <w:color w:val="auto"/>
                <w:sz w:val="24"/>
                <w:szCs w:val="24"/>
                <w:vertAlign w:val="baseline"/>
                <w:lang w:val="en-US" w:eastAsia="zh-CN"/>
              </w:rPr>
            </w:pPr>
            <w:r>
              <w:rPr>
                <w:rFonts w:hint="eastAsia" w:ascii="Times New Roman" w:hAnsi="Times New Roman" w:eastAsia="仿宋" w:cs="Times New Roman"/>
                <w:b/>
                <w:bCs w:val="0"/>
                <w:color w:val="auto"/>
                <w:sz w:val="24"/>
                <w:szCs w:val="24"/>
                <w:vertAlign w:val="baseline"/>
                <w:lang w:val="en-US" w:eastAsia="zh-CN"/>
              </w:rPr>
              <w:t>序号</w:t>
            </w:r>
          </w:p>
        </w:tc>
        <w:tc>
          <w:tcPr>
            <w:tcW w:w="650"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bCs w:val="0"/>
                <w:color w:val="auto"/>
                <w:sz w:val="24"/>
                <w:szCs w:val="24"/>
                <w:vertAlign w:val="baseline"/>
                <w:lang w:val="en-US" w:eastAsia="zh-CN"/>
              </w:rPr>
            </w:pPr>
            <w:r>
              <w:rPr>
                <w:rFonts w:hint="eastAsia" w:ascii="Times New Roman" w:hAnsi="Times New Roman" w:eastAsia="仿宋" w:cs="Times New Roman"/>
                <w:b/>
                <w:bCs w:val="0"/>
                <w:color w:val="auto"/>
                <w:sz w:val="24"/>
                <w:szCs w:val="24"/>
                <w:vertAlign w:val="baseline"/>
                <w:lang w:val="en-US" w:eastAsia="zh-CN"/>
              </w:rPr>
              <w:t>紧急程度</w:t>
            </w:r>
          </w:p>
        </w:tc>
        <w:tc>
          <w:tcPr>
            <w:tcW w:w="2548"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bCs w:val="0"/>
                <w:color w:val="auto"/>
                <w:sz w:val="24"/>
                <w:szCs w:val="24"/>
                <w:vertAlign w:val="baseline"/>
                <w:lang w:val="en-US" w:eastAsia="zh-CN"/>
              </w:rPr>
            </w:pPr>
            <w:r>
              <w:rPr>
                <w:rFonts w:hint="eastAsia" w:ascii="Times New Roman" w:hAnsi="Times New Roman" w:eastAsia="仿宋" w:cs="Times New Roman"/>
                <w:b/>
                <w:bCs w:val="0"/>
                <w:color w:val="auto"/>
                <w:sz w:val="24"/>
                <w:szCs w:val="24"/>
                <w:vertAlign w:val="baseline"/>
                <w:lang w:val="en-US" w:eastAsia="zh-CN"/>
              </w:rPr>
              <w:t>完善内容</w:t>
            </w:r>
          </w:p>
        </w:tc>
        <w:tc>
          <w:tcPr>
            <w:tcW w:w="776"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bCs w:val="0"/>
                <w:color w:val="auto"/>
                <w:sz w:val="24"/>
                <w:szCs w:val="24"/>
                <w:vertAlign w:val="baseline"/>
                <w:lang w:val="en-US" w:eastAsia="zh-CN"/>
              </w:rPr>
            </w:pPr>
            <w:r>
              <w:rPr>
                <w:rFonts w:hint="eastAsia" w:ascii="Times New Roman" w:hAnsi="Times New Roman" w:eastAsia="仿宋" w:cs="Times New Roman"/>
                <w:b/>
                <w:bCs w:val="0"/>
                <w:color w:val="auto"/>
                <w:sz w:val="24"/>
                <w:szCs w:val="24"/>
                <w:vertAlign w:val="baseline"/>
                <w:lang w:val="en-US" w:eastAsia="zh-CN"/>
              </w:rPr>
              <w:t>完成时限</w:t>
            </w:r>
          </w:p>
        </w:tc>
        <w:tc>
          <w:tcPr>
            <w:tcW w:w="738"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bCs w:val="0"/>
                <w:color w:val="auto"/>
                <w:sz w:val="24"/>
                <w:szCs w:val="24"/>
                <w:vertAlign w:val="baseline"/>
                <w:lang w:val="en-US" w:eastAsia="zh-CN"/>
              </w:rPr>
            </w:pPr>
            <w:r>
              <w:rPr>
                <w:rFonts w:hint="eastAsia" w:ascii="Times New Roman" w:hAnsi="Times New Roman" w:eastAsia="仿宋" w:cs="Times New Roman"/>
                <w:b/>
                <w:bCs w:val="0"/>
                <w:color w:val="auto"/>
                <w:sz w:val="24"/>
                <w:szCs w:val="24"/>
                <w:vertAlign w:val="baseline"/>
                <w:lang w:val="en-US" w:eastAsia="zh-CN"/>
              </w:rPr>
              <w:t>负责人</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5"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bCs w:val="0"/>
                <w:color w:val="auto"/>
                <w:sz w:val="24"/>
                <w:szCs w:val="24"/>
                <w:vertAlign w:val="baseline"/>
                <w:lang w:val="en-US" w:eastAsia="zh-CN"/>
              </w:rPr>
            </w:pPr>
            <w:r>
              <w:rPr>
                <w:rFonts w:hint="eastAsia" w:ascii="Times New Roman" w:hAnsi="Times New Roman" w:eastAsia="仿宋" w:cs="Times New Roman"/>
                <w:b/>
                <w:bCs w:val="0"/>
                <w:color w:val="auto"/>
                <w:sz w:val="24"/>
                <w:szCs w:val="24"/>
                <w:vertAlign w:val="baseline"/>
                <w:lang w:val="en-US" w:eastAsia="zh-CN"/>
              </w:rPr>
              <w:t>1</w:t>
            </w:r>
          </w:p>
        </w:tc>
        <w:tc>
          <w:tcPr>
            <w:tcW w:w="650" w:type="pct"/>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eastAsia" w:ascii="Times New Roman" w:hAnsi="Times New Roman" w:eastAsia="仿宋" w:cs="Times New Roman"/>
                <w:b w:val="0"/>
                <w:bCs/>
                <w:color w:val="auto"/>
                <w:sz w:val="24"/>
                <w:szCs w:val="24"/>
                <w:vertAlign w:val="baseline"/>
                <w:lang w:val="en-US" w:eastAsia="zh-CN"/>
              </w:rPr>
              <w:t>短期计划</w:t>
            </w:r>
          </w:p>
        </w:tc>
        <w:tc>
          <w:tcPr>
            <w:tcW w:w="2548"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eastAsia" w:ascii="Times New Roman" w:hAnsi="Times New Roman" w:eastAsia="仿宋" w:cs="Times New Roman"/>
                <w:b w:val="0"/>
                <w:bCs/>
                <w:color w:val="auto"/>
                <w:sz w:val="24"/>
                <w:szCs w:val="24"/>
                <w:vertAlign w:val="baseline"/>
                <w:lang w:val="en-US" w:eastAsia="zh-CN"/>
              </w:rPr>
              <w:t>建设事故应急池，并进行防渗处理</w:t>
            </w:r>
          </w:p>
        </w:tc>
        <w:tc>
          <w:tcPr>
            <w:tcW w:w="776" w:type="pct"/>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 w:cs="Times New Roman"/>
                <w:b w:val="0"/>
                <w:bCs/>
                <w:color w:val="auto"/>
                <w:sz w:val="24"/>
                <w:szCs w:val="24"/>
                <w:vertAlign w:val="baseline"/>
                <w:lang w:val="en-US" w:eastAsia="zh-CN"/>
              </w:rPr>
            </w:pPr>
            <w:r>
              <w:rPr>
                <w:rFonts w:hint="eastAsia" w:ascii="Times New Roman" w:hAnsi="Times New Roman" w:eastAsia="仿宋" w:cs="Times New Roman"/>
                <w:b w:val="0"/>
                <w:bCs/>
                <w:color w:val="auto"/>
                <w:sz w:val="24"/>
                <w:szCs w:val="24"/>
                <w:vertAlign w:val="baseline"/>
                <w:lang w:val="en-US" w:eastAsia="zh-CN"/>
              </w:rPr>
              <w:t>3个月内</w:t>
            </w:r>
          </w:p>
        </w:tc>
        <w:tc>
          <w:tcPr>
            <w:tcW w:w="738" w:type="pct"/>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 w:cs="Times New Roman"/>
                <w:b w:val="0"/>
                <w:bCs/>
                <w:color w:val="auto"/>
                <w:sz w:val="24"/>
                <w:szCs w:val="24"/>
                <w:vertAlign w:val="baseline"/>
                <w:lang w:val="en-US" w:eastAsia="zh-CN"/>
              </w:rPr>
            </w:pPr>
            <w:r>
              <w:rPr>
                <w:rFonts w:hint="default" w:ascii="Times New Roman" w:hAnsi="Times New Roman" w:eastAsia="仿宋" w:cs="Times New Roman"/>
                <w:color w:val="auto"/>
                <w:sz w:val="24"/>
                <w:szCs w:val="20"/>
                <w:lang w:eastAsia="zh-CN"/>
              </w:rPr>
              <w:t>陈超</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5"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 w:cs="Times New Roman"/>
                <w:b/>
                <w:bCs w:val="0"/>
                <w:color w:val="auto"/>
                <w:sz w:val="24"/>
                <w:szCs w:val="24"/>
                <w:vertAlign w:val="baseline"/>
                <w:lang w:val="en-US" w:eastAsia="zh-CN"/>
              </w:rPr>
            </w:pPr>
            <w:r>
              <w:rPr>
                <w:rFonts w:hint="eastAsia" w:ascii="Times New Roman" w:hAnsi="Times New Roman" w:eastAsia="仿宋" w:cs="Times New Roman"/>
                <w:b/>
                <w:bCs w:val="0"/>
                <w:color w:val="auto"/>
                <w:sz w:val="24"/>
                <w:szCs w:val="24"/>
                <w:vertAlign w:val="baseline"/>
                <w:lang w:val="en-US" w:eastAsia="zh-CN"/>
              </w:rPr>
              <w:t>2</w:t>
            </w:r>
          </w:p>
        </w:tc>
        <w:tc>
          <w:tcPr>
            <w:tcW w:w="650"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p>
        </w:tc>
        <w:tc>
          <w:tcPr>
            <w:tcW w:w="2548"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eastAsia" w:ascii="Times New Roman" w:hAnsi="Times New Roman" w:eastAsia="仿宋" w:cs="Times New Roman"/>
                <w:b w:val="0"/>
                <w:bCs/>
                <w:color w:val="auto"/>
                <w:sz w:val="24"/>
                <w:szCs w:val="24"/>
                <w:vertAlign w:val="baseline"/>
                <w:lang w:val="en-US" w:eastAsia="zh-CN"/>
              </w:rPr>
              <w:t>张贴应急疏散路线图</w:t>
            </w:r>
          </w:p>
        </w:tc>
        <w:tc>
          <w:tcPr>
            <w:tcW w:w="776"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p>
        </w:tc>
        <w:tc>
          <w:tcPr>
            <w:tcW w:w="738"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5"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bCs w:val="0"/>
                <w:color w:val="auto"/>
                <w:sz w:val="24"/>
                <w:szCs w:val="24"/>
                <w:vertAlign w:val="baseline"/>
                <w:lang w:val="en-US" w:eastAsia="zh-CN"/>
              </w:rPr>
            </w:pPr>
            <w:r>
              <w:rPr>
                <w:rFonts w:hint="eastAsia" w:ascii="Times New Roman" w:hAnsi="Times New Roman" w:eastAsia="仿宋" w:cs="Times New Roman"/>
                <w:b/>
                <w:bCs w:val="0"/>
                <w:color w:val="auto"/>
                <w:sz w:val="24"/>
                <w:szCs w:val="24"/>
                <w:vertAlign w:val="baseline"/>
                <w:lang w:val="en-US" w:eastAsia="zh-CN"/>
              </w:rPr>
              <w:t>3</w:t>
            </w:r>
          </w:p>
        </w:tc>
        <w:tc>
          <w:tcPr>
            <w:tcW w:w="650" w:type="pct"/>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eastAsia" w:ascii="Times New Roman" w:hAnsi="Times New Roman" w:eastAsia="仿宋" w:cs="Times New Roman"/>
                <w:b w:val="0"/>
                <w:bCs/>
                <w:color w:val="auto"/>
                <w:sz w:val="24"/>
                <w:szCs w:val="24"/>
                <w:vertAlign w:val="baseline"/>
                <w:lang w:val="en-US" w:eastAsia="zh-CN"/>
              </w:rPr>
              <w:t>中期计划</w:t>
            </w:r>
          </w:p>
        </w:tc>
        <w:tc>
          <w:tcPr>
            <w:tcW w:w="2548"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default" w:ascii="Times New Roman" w:hAnsi="Times New Roman" w:eastAsia="仿宋" w:cs="Times New Roman"/>
                <w:snapToGrid w:val="0"/>
                <w:color w:val="auto"/>
                <w:kern w:val="0"/>
                <w:sz w:val="24"/>
                <w:szCs w:val="24"/>
              </w:rPr>
              <w:t>健全环境应急管理体系</w:t>
            </w:r>
          </w:p>
        </w:tc>
        <w:tc>
          <w:tcPr>
            <w:tcW w:w="776" w:type="pct"/>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eastAsia" w:ascii="Times New Roman" w:hAnsi="Times New Roman" w:eastAsia="仿宋" w:cs="Times New Roman"/>
                <w:b w:val="0"/>
                <w:bCs/>
                <w:color w:val="auto"/>
                <w:sz w:val="24"/>
                <w:szCs w:val="24"/>
                <w:vertAlign w:val="baseline"/>
                <w:lang w:val="en-US" w:eastAsia="zh-CN"/>
              </w:rPr>
              <w:t>3-6个月</w:t>
            </w:r>
          </w:p>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eastAsia" w:ascii="Times New Roman" w:hAnsi="Times New Roman" w:eastAsia="仿宋" w:cs="Times New Roman"/>
                <w:b w:val="0"/>
                <w:bCs/>
                <w:color w:val="auto"/>
                <w:sz w:val="24"/>
                <w:szCs w:val="24"/>
                <w:vertAlign w:val="baseline"/>
                <w:lang w:val="en-US" w:eastAsia="zh-CN"/>
              </w:rPr>
              <w:t>完成</w:t>
            </w:r>
          </w:p>
        </w:tc>
        <w:tc>
          <w:tcPr>
            <w:tcW w:w="738" w:type="pct"/>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 w:cs="Times New Roman"/>
                <w:b w:val="0"/>
                <w:bCs/>
                <w:color w:val="auto"/>
                <w:sz w:val="24"/>
                <w:szCs w:val="24"/>
                <w:vertAlign w:val="baseline"/>
                <w:lang w:val="en-US" w:eastAsia="zh-CN"/>
              </w:rPr>
            </w:pPr>
            <w:r>
              <w:rPr>
                <w:rFonts w:hint="default" w:ascii="Times New Roman" w:hAnsi="Times New Roman" w:eastAsia="仿宋" w:cs="Times New Roman"/>
                <w:color w:val="auto"/>
                <w:sz w:val="24"/>
                <w:szCs w:val="20"/>
                <w:lang w:eastAsia="zh-CN"/>
              </w:rPr>
              <w:t>陈超</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5"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bCs w:val="0"/>
                <w:color w:val="auto"/>
                <w:sz w:val="24"/>
                <w:szCs w:val="24"/>
                <w:vertAlign w:val="baseline"/>
                <w:lang w:val="en-US" w:eastAsia="zh-CN"/>
              </w:rPr>
            </w:pPr>
            <w:r>
              <w:rPr>
                <w:rFonts w:hint="eastAsia" w:ascii="Times New Roman" w:hAnsi="Times New Roman" w:eastAsia="仿宋" w:cs="Times New Roman"/>
                <w:b/>
                <w:bCs w:val="0"/>
                <w:color w:val="auto"/>
                <w:sz w:val="24"/>
                <w:szCs w:val="24"/>
                <w:vertAlign w:val="baseline"/>
                <w:lang w:val="en-US" w:eastAsia="zh-CN"/>
              </w:rPr>
              <w:t>4</w:t>
            </w:r>
          </w:p>
        </w:tc>
        <w:tc>
          <w:tcPr>
            <w:tcW w:w="650"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p>
        </w:tc>
        <w:tc>
          <w:tcPr>
            <w:tcW w:w="2548"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eastAsia" w:cs="Times New Roman"/>
                <w:b w:val="0"/>
                <w:bCs/>
                <w:color w:val="auto"/>
                <w:sz w:val="24"/>
                <w:szCs w:val="24"/>
                <w:vertAlign w:val="baseline"/>
                <w:lang w:val="en-US" w:eastAsia="zh-CN"/>
              </w:rPr>
              <w:t>健全</w:t>
            </w:r>
            <w:r>
              <w:rPr>
                <w:rFonts w:hint="eastAsia" w:ascii="Times New Roman" w:hAnsi="Times New Roman" w:eastAsia="仿宋" w:cs="Times New Roman"/>
                <w:b w:val="0"/>
                <w:bCs/>
                <w:color w:val="auto"/>
                <w:sz w:val="24"/>
                <w:szCs w:val="24"/>
                <w:vertAlign w:val="baseline"/>
                <w:lang w:val="en-US" w:eastAsia="zh-CN"/>
              </w:rPr>
              <w:t>环境事件信息报告制度</w:t>
            </w:r>
          </w:p>
        </w:tc>
        <w:tc>
          <w:tcPr>
            <w:tcW w:w="776"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p>
        </w:tc>
        <w:tc>
          <w:tcPr>
            <w:tcW w:w="738"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5"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 w:cs="Times New Roman"/>
                <w:b/>
                <w:bCs w:val="0"/>
                <w:color w:val="auto"/>
                <w:sz w:val="24"/>
                <w:szCs w:val="24"/>
                <w:vertAlign w:val="baseline"/>
                <w:lang w:val="en-US" w:eastAsia="zh-CN"/>
              </w:rPr>
            </w:pPr>
            <w:r>
              <w:rPr>
                <w:rFonts w:hint="eastAsia" w:ascii="Times New Roman" w:hAnsi="Times New Roman" w:eastAsia="仿宋" w:cs="Times New Roman"/>
                <w:b/>
                <w:bCs w:val="0"/>
                <w:color w:val="auto"/>
                <w:sz w:val="24"/>
                <w:szCs w:val="24"/>
                <w:vertAlign w:val="baseline"/>
                <w:lang w:val="en-US" w:eastAsia="zh-CN"/>
              </w:rPr>
              <w:t>5</w:t>
            </w:r>
          </w:p>
        </w:tc>
        <w:tc>
          <w:tcPr>
            <w:tcW w:w="650"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p>
        </w:tc>
        <w:tc>
          <w:tcPr>
            <w:tcW w:w="2548"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eastAsia" w:ascii="Times New Roman" w:hAnsi="Times New Roman" w:eastAsia="仿宋" w:cs="Times New Roman"/>
                <w:b w:val="0"/>
                <w:bCs/>
                <w:color w:val="auto"/>
                <w:sz w:val="24"/>
                <w:szCs w:val="24"/>
                <w:vertAlign w:val="baseline"/>
                <w:lang w:val="en-US" w:eastAsia="zh-CN"/>
              </w:rPr>
              <w:t>落实岗位责任制</w:t>
            </w:r>
          </w:p>
        </w:tc>
        <w:tc>
          <w:tcPr>
            <w:tcW w:w="776"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p>
        </w:tc>
        <w:tc>
          <w:tcPr>
            <w:tcW w:w="738"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5"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bCs w:val="0"/>
                <w:color w:val="auto"/>
                <w:sz w:val="24"/>
                <w:szCs w:val="24"/>
                <w:vertAlign w:val="baseline"/>
                <w:lang w:val="en-US" w:eastAsia="zh-CN"/>
              </w:rPr>
            </w:pPr>
            <w:r>
              <w:rPr>
                <w:rFonts w:hint="eastAsia" w:ascii="Times New Roman" w:hAnsi="Times New Roman" w:eastAsia="仿宋" w:cs="Times New Roman"/>
                <w:b/>
                <w:bCs w:val="0"/>
                <w:color w:val="auto"/>
                <w:sz w:val="24"/>
                <w:szCs w:val="24"/>
                <w:vertAlign w:val="baseline"/>
                <w:lang w:val="en-US" w:eastAsia="zh-CN"/>
              </w:rPr>
              <w:t>6</w:t>
            </w:r>
          </w:p>
        </w:tc>
        <w:tc>
          <w:tcPr>
            <w:tcW w:w="650"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eastAsia" w:ascii="Times New Roman" w:hAnsi="Times New Roman" w:eastAsia="仿宋" w:cs="Times New Roman"/>
                <w:b w:val="0"/>
                <w:bCs/>
                <w:color w:val="auto"/>
                <w:sz w:val="24"/>
                <w:szCs w:val="24"/>
                <w:vertAlign w:val="baseline"/>
                <w:lang w:val="en-US" w:eastAsia="zh-CN"/>
              </w:rPr>
              <w:t>长期计划</w:t>
            </w:r>
          </w:p>
        </w:tc>
        <w:tc>
          <w:tcPr>
            <w:tcW w:w="2548"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eastAsia" w:ascii="Times New Roman" w:hAnsi="Times New Roman" w:eastAsia="仿宋" w:cs="Times New Roman"/>
                <w:b w:val="0"/>
                <w:bCs/>
                <w:color w:val="auto"/>
                <w:sz w:val="24"/>
                <w:szCs w:val="24"/>
                <w:vertAlign w:val="baseline"/>
                <w:lang w:val="en-US" w:eastAsia="zh-CN"/>
              </w:rPr>
              <w:t>定期对员工进行培训并定期开展应急演练</w:t>
            </w:r>
          </w:p>
        </w:tc>
        <w:tc>
          <w:tcPr>
            <w:tcW w:w="776"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仿宋" w:cs="Times New Roman"/>
                <w:b w:val="0"/>
                <w:bCs/>
                <w:color w:val="auto"/>
                <w:sz w:val="24"/>
                <w:szCs w:val="24"/>
                <w:vertAlign w:val="baseline"/>
                <w:lang w:val="en-US" w:eastAsia="zh-CN"/>
              </w:rPr>
            </w:pPr>
            <w:r>
              <w:rPr>
                <w:rFonts w:hint="eastAsia" w:ascii="Times New Roman" w:hAnsi="Times New Roman" w:eastAsia="仿宋" w:cs="Times New Roman"/>
                <w:b w:val="0"/>
                <w:bCs/>
                <w:color w:val="auto"/>
                <w:sz w:val="24"/>
                <w:szCs w:val="24"/>
                <w:vertAlign w:val="baseline"/>
                <w:lang w:val="en-US" w:eastAsia="zh-CN"/>
              </w:rPr>
              <w:t>常年</w:t>
            </w:r>
          </w:p>
        </w:tc>
        <w:tc>
          <w:tcPr>
            <w:tcW w:w="738"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 w:cs="Times New Roman"/>
                <w:b w:val="0"/>
                <w:bCs/>
                <w:color w:val="auto"/>
                <w:sz w:val="24"/>
                <w:szCs w:val="24"/>
                <w:vertAlign w:val="baseline"/>
                <w:lang w:val="en-US" w:eastAsia="zh-CN"/>
              </w:rPr>
            </w:pPr>
            <w:r>
              <w:rPr>
                <w:rFonts w:hint="default" w:ascii="Times New Roman" w:hAnsi="Times New Roman" w:eastAsia="仿宋" w:cs="Times New Roman"/>
                <w:color w:val="auto"/>
                <w:sz w:val="24"/>
                <w:szCs w:val="20"/>
                <w:lang w:eastAsia="zh-CN"/>
              </w:rPr>
              <w:t>陈超</w:t>
            </w:r>
          </w:p>
        </w:tc>
      </w:tr>
    </w:tbl>
    <w:p>
      <w:pPr>
        <w:rPr>
          <w:rFonts w:hint="eastAsia"/>
          <w:color w:val="auto"/>
          <w:lang w:val="en-US" w:eastAsia="zh-CN"/>
        </w:rPr>
      </w:pPr>
      <w:r>
        <w:rPr>
          <w:rFonts w:hint="eastAsia"/>
          <w:color w:val="auto"/>
          <w:lang w:val="en-US" w:eastAsia="zh-CN"/>
        </w:rPr>
        <w:br w:type="page"/>
      </w:r>
    </w:p>
    <w:p>
      <w:pPr>
        <w:keepNext/>
        <w:keepLines/>
        <w:pageBreakBefore/>
        <w:widowControl w:val="0"/>
        <w:bidi w:val="0"/>
        <w:spacing w:beforeLines="0" w:afterLines="0" w:line="360" w:lineRule="auto"/>
        <w:ind w:firstLine="643" w:firstLineChars="200"/>
        <w:jc w:val="left"/>
        <w:outlineLvl w:val="0"/>
        <w:rPr>
          <w:rFonts w:hint="default" w:ascii="Times New Roman" w:hAnsi="Times New Roman" w:eastAsia="仿宋" w:cs="仿宋"/>
          <w:b/>
          <w:bCs/>
          <w:color w:val="auto"/>
          <w:kern w:val="44"/>
          <w:sz w:val="32"/>
          <w:szCs w:val="44"/>
          <w:lang w:val="en-US" w:eastAsia="zh-CN" w:bidi="ar-SA"/>
        </w:rPr>
      </w:pPr>
      <w:bookmarkStart w:id="108" w:name="_Toc2486"/>
      <w:bookmarkStart w:id="109" w:name="_Toc24751"/>
      <w:r>
        <w:rPr>
          <w:rFonts w:hint="eastAsia" w:ascii="Times New Roman" w:hAnsi="Times New Roman" w:eastAsia="仿宋" w:cs="仿宋"/>
          <w:b/>
          <w:bCs/>
          <w:color w:val="auto"/>
          <w:kern w:val="44"/>
          <w:sz w:val="32"/>
          <w:szCs w:val="44"/>
          <w:lang w:val="en-US" w:eastAsia="zh-CN" w:bidi="ar-SA"/>
        </w:rPr>
        <w:t>7</w:t>
      </w:r>
      <w:r>
        <w:rPr>
          <w:rFonts w:hint="default" w:ascii="Times New Roman" w:hAnsi="Times New Roman" w:eastAsia="仿宋" w:cs="仿宋"/>
          <w:b/>
          <w:bCs/>
          <w:color w:val="auto"/>
          <w:kern w:val="44"/>
          <w:sz w:val="32"/>
          <w:szCs w:val="44"/>
          <w:lang w:val="en-US" w:eastAsia="zh-CN" w:bidi="ar-SA"/>
        </w:rPr>
        <w:t>企业突发环境事件风险等级</w:t>
      </w:r>
      <w:bookmarkEnd w:id="108"/>
      <w:bookmarkEnd w:id="109"/>
    </w:p>
    <w:p>
      <w:pPr>
        <w:keepNext/>
        <w:keepLines/>
        <w:widowControl w:val="0"/>
        <w:bidi w:val="0"/>
        <w:spacing w:line="360" w:lineRule="auto"/>
        <w:ind w:firstLine="643" w:firstLineChars="200"/>
        <w:jc w:val="left"/>
        <w:textAlignment w:val="baseline"/>
        <w:outlineLvl w:val="1"/>
        <w:rPr>
          <w:rFonts w:hint="default" w:ascii="Times New Roman" w:hAnsi="Times New Roman" w:eastAsia="楷体" w:cs="Times New Roman"/>
          <w:b/>
          <w:bCs/>
          <w:color w:val="auto"/>
          <w:kern w:val="2"/>
          <w:sz w:val="32"/>
          <w:szCs w:val="32"/>
          <w:lang w:val="en-US" w:eastAsia="zh-CN" w:bidi="ar-SA"/>
        </w:rPr>
      </w:pPr>
      <w:bookmarkStart w:id="110" w:name="_Toc22491"/>
      <w:bookmarkStart w:id="111" w:name="_Toc2826"/>
      <w:r>
        <w:rPr>
          <w:rFonts w:hint="eastAsia" w:ascii="Times New Roman" w:hAnsi="Times New Roman" w:eastAsia="楷体" w:cs="Times New Roman"/>
          <w:b/>
          <w:bCs/>
          <w:color w:val="auto"/>
          <w:kern w:val="2"/>
          <w:sz w:val="32"/>
          <w:szCs w:val="32"/>
          <w:lang w:val="en-US" w:eastAsia="zh-CN" w:bidi="ar-SA"/>
        </w:rPr>
        <w:t>7</w:t>
      </w:r>
      <w:r>
        <w:rPr>
          <w:rFonts w:hint="default" w:ascii="Times New Roman" w:hAnsi="Times New Roman" w:eastAsia="楷体" w:cs="Times New Roman"/>
          <w:b/>
          <w:bCs/>
          <w:color w:val="auto"/>
          <w:kern w:val="2"/>
          <w:sz w:val="32"/>
          <w:szCs w:val="32"/>
          <w:lang w:val="en-US" w:eastAsia="zh-CN" w:bidi="ar-SA"/>
        </w:rPr>
        <w:t>.1企业突发环境事件风险等级划分方法</w:t>
      </w:r>
      <w:bookmarkEnd w:id="110"/>
      <w:bookmarkEnd w:id="111"/>
    </w:p>
    <w:p>
      <w:pPr>
        <w:spacing w:line="360" w:lineRule="auto"/>
        <w:ind w:firstLine="560" w:firstLineChars="200"/>
        <w:rPr>
          <w:rFonts w:hint="default" w:ascii="Times New Roman" w:hAnsi="Times New Roman" w:eastAsia="仿宋" w:cs="Times New Roman"/>
          <w:color w:val="auto"/>
          <w:kern w:val="0"/>
          <w:sz w:val="28"/>
          <w:szCs w:val="28"/>
        </w:rPr>
      </w:pPr>
      <w:r>
        <w:rPr>
          <w:rFonts w:hint="default" w:ascii="Times New Roman" w:hAnsi="Times New Roman" w:eastAsia="仿宋" w:cs="Times New Roman"/>
          <w:snapToGrid w:val="0"/>
          <w:color w:val="auto"/>
          <w:kern w:val="0"/>
          <w:sz w:val="28"/>
          <w:szCs w:val="28"/>
        </w:rPr>
        <w:t>本次突发环境事件风险等级的划分参照</w:t>
      </w:r>
      <w:r>
        <w:rPr>
          <w:rFonts w:hint="default" w:ascii="Times New Roman" w:hAnsi="Times New Roman" w:eastAsia="仿宋" w:cs="Times New Roman"/>
          <w:color w:val="auto"/>
          <w:kern w:val="0"/>
          <w:sz w:val="28"/>
          <w:szCs w:val="28"/>
        </w:rPr>
        <w:t>《企业突发环境事件风险分级方法》（HJ 941-2018）中相关工作流程及方法。工作流程见图</w:t>
      </w:r>
      <w:r>
        <w:rPr>
          <w:rFonts w:hint="eastAsia" w:ascii="Times New Roman" w:hAnsi="Times New Roman" w:eastAsia="仿宋" w:cs="Times New Roman"/>
          <w:color w:val="auto"/>
          <w:kern w:val="0"/>
          <w:sz w:val="28"/>
          <w:szCs w:val="28"/>
          <w:lang w:val="en-US" w:eastAsia="zh-CN"/>
        </w:rPr>
        <w:t>7</w:t>
      </w:r>
      <w:r>
        <w:rPr>
          <w:rFonts w:hint="default" w:ascii="Times New Roman" w:hAnsi="Times New Roman" w:eastAsia="仿宋" w:cs="Times New Roman"/>
          <w:color w:val="auto"/>
          <w:kern w:val="0"/>
          <w:sz w:val="28"/>
          <w:szCs w:val="28"/>
        </w:rPr>
        <w:t>-1。</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 w:cs="Times New Roman"/>
          <w:b/>
          <w:bCs/>
          <w:color w:val="auto"/>
          <w:sz w:val="24"/>
          <w:szCs w:val="24"/>
        </w:rPr>
      </w:pPr>
      <w:r>
        <w:rPr>
          <w:rFonts w:ascii="Times New Roman" w:hAnsi="Times New Roman" w:eastAsia="仿宋"/>
          <w:b/>
          <w:color w:val="auto"/>
          <w:sz w:val="24"/>
        </w:rPr>
        <w:object>
          <v:shape id="_x0000_i1025" o:spt="75" type="#_x0000_t75" style="height:291.2pt;width:427.6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r>
        <w:rPr>
          <w:rFonts w:hint="default" w:ascii="Times New Roman" w:hAnsi="Times New Roman" w:eastAsia="仿宋" w:cs="Times New Roman"/>
          <w:b/>
          <w:bCs/>
          <w:color w:val="auto"/>
          <w:sz w:val="24"/>
          <w:szCs w:val="24"/>
        </w:rPr>
        <w:t>图</w:t>
      </w:r>
      <w:r>
        <w:rPr>
          <w:rFonts w:hint="eastAsia" w:ascii="Times New Roman" w:hAnsi="Times New Roman" w:eastAsia="仿宋" w:cs="Times New Roman"/>
          <w:b/>
          <w:bCs/>
          <w:color w:val="auto"/>
          <w:sz w:val="24"/>
          <w:szCs w:val="24"/>
          <w:lang w:val="en-US" w:eastAsia="zh-CN"/>
        </w:rPr>
        <w:t>7</w:t>
      </w:r>
      <w:r>
        <w:rPr>
          <w:rFonts w:hint="default" w:ascii="Times New Roman" w:hAnsi="Times New Roman" w:eastAsia="仿宋" w:cs="Times New Roman"/>
          <w:b/>
          <w:bCs/>
          <w:color w:val="auto"/>
          <w:sz w:val="24"/>
          <w:szCs w:val="24"/>
        </w:rPr>
        <w:t>-1  突发环境事件风险评估流程图</w:t>
      </w:r>
    </w:p>
    <w:p>
      <w:pPr>
        <w:bidi w:val="0"/>
        <w:spacing w:line="360" w:lineRule="auto"/>
        <w:ind w:firstLine="560" w:firstLineChars="200"/>
        <w:rPr>
          <w:rFonts w:hint="default" w:ascii="Times New Roman" w:hAnsi="Times New Roman" w:eastAsia="仿宋" w:cs="仿宋"/>
          <w:color w:val="auto"/>
          <w:sz w:val="28"/>
        </w:rPr>
      </w:pPr>
      <w:r>
        <w:rPr>
          <w:rFonts w:hint="default" w:ascii="Times New Roman" w:hAnsi="Times New Roman" w:eastAsia="仿宋" w:cs="仿宋"/>
          <w:color w:val="auto"/>
          <w:sz w:val="28"/>
        </w:rPr>
        <w:t>由图可知，在进行企业突发环境事件风险评估中等级划分前，首先应确定企业所涉及的《企业突发环境事件风险分级方法》（HJ 941-2018）中涉气（或水）风险物质数量与其临界量的比值Q，再根据Q值以及生产工艺过程与大气（或水）环境风险控制水平M、大气（或水）环境风险受体敏感程度E，对照企业突发环境事件风险分级矩阵表确定风险等级（气或水）。</w:t>
      </w:r>
    </w:p>
    <w:p>
      <w:pPr>
        <w:keepNext/>
        <w:keepLines/>
        <w:widowControl w:val="0"/>
        <w:bidi w:val="0"/>
        <w:spacing w:line="360" w:lineRule="auto"/>
        <w:ind w:firstLine="643" w:firstLineChars="200"/>
        <w:jc w:val="left"/>
        <w:textAlignment w:val="baseline"/>
        <w:outlineLvl w:val="1"/>
        <w:rPr>
          <w:rFonts w:hint="default" w:ascii="Times New Roman" w:hAnsi="Times New Roman" w:eastAsia="楷体" w:cs="Times New Roman"/>
          <w:b/>
          <w:bCs/>
          <w:color w:val="auto"/>
          <w:kern w:val="2"/>
          <w:sz w:val="32"/>
          <w:szCs w:val="32"/>
          <w:lang w:val="en-US" w:eastAsia="zh-CN" w:bidi="ar-SA"/>
        </w:rPr>
      </w:pPr>
      <w:bookmarkStart w:id="112" w:name="_Toc12230"/>
      <w:bookmarkStart w:id="113" w:name="_Toc14094"/>
      <w:bookmarkStart w:id="114" w:name="_Toc30028"/>
      <w:bookmarkStart w:id="115" w:name="_Toc26020"/>
      <w:r>
        <w:rPr>
          <w:rFonts w:hint="eastAsia" w:ascii="Times New Roman" w:hAnsi="Times New Roman" w:eastAsia="楷体" w:cs="Times New Roman"/>
          <w:b/>
          <w:bCs/>
          <w:color w:val="auto"/>
          <w:kern w:val="2"/>
          <w:sz w:val="32"/>
          <w:szCs w:val="32"/>
          <w:lang w:val="en-US" w:eastAsia="zh-CN" w:bidi="ar-SA"/>
        </w:rPr>
        <w:t>7</w:t>
      </w:r>
      <w:r>
        <w:rPr>
          <w:rFonts w:hint="default" w:ascii="Times New Roman" w:hAnsi="Times New Roman" w:eastAsia="楷体" w:cs="Times New Roman"/>
          <w:b/>
          <w:bCs/>
          <w:color w:val="auto"/>
          <w:kern w:val="2"/>
          <w:sz w:val="32"/>
          <w:szCs w:val="32"/>
          <w:lang w:val="en-US" w:eastAsia="zh-CN" w:bidi="ar-SA"/>
        </w:rPr>
        <w:t>.2风险物质识别</w:t>
      </w:r>
      <w:bookmarkEnd w:id="112"/>
      <w:bookmarkEnd w:id="113"/>
      <w:bookmarkEnd w:id="114"/>
      <w:bookmarkEnd w:id="115"/>
    </w:p>
    <w:p>
      <w:pPr>
        <w:bidi w:val="0"/>
        <w:spacing w:line="360" w:lineRule="auto"/>
        <w:ind w:firstLine="560" w:firstLineChars="200"/>
        <w:rPr>
          <w:rFonts w:hint="default" w:ascii="Times New Roman" w:hAnsi="Times New Roman" w:eastAsia="仿宋" w:cs="仿宋"/>
          <w:color w:val="auto"/>
          <w:sz w:val="28"/>
        </w:rPr>
      </w:pPr>
      <w:r>
        <w:rPr>
          <w:rFonts w:hint="default" w:ascii="Times New Roman" w:hAnsi="Times New Roman" w:eastAsia="仿宋" w:cs="仿宋"/>
          <w:color w:val="auto"/>
          <w:sz w:val="28"/>
        </w:rPr>
        <w:t>依据企业涉及的各类化学物质种类和风险进行风险物质识别。突发环境事件风险物质及临界量清单见《企业突发环境事件分级HJ941-2018》附录A。</w:t>
      </w:r>
    </w:p>
    <w:p>
      <w:pPr>
        <w:bidi w:val="0"/>
        <w:spacing w:line="360" w:lineRule="auto"/>
        <w:ind w:firstLine="560" w:firstLineChars="200"/>
        <w:rPr>
          <w:rFonts w:hint="eastAsia" w:ascii="Times New Roman" w:hAnsi="Times New Roman" w:eastAsia="仿宋" w:cs="仿宋"/>
          <w:color w:val="auto"/>
          <w:sz w:val="28"/>
          <w:lang w:eastAsia="zh-CN"/>
        </w:rPr>
      </w:pPr>
      <w:r>
        <w:rPr>
          <w:rFonts w:hint="default" w:ascii="Times New Roman" w:hAnsi="Times New Roman" w:eastAsia="仿宋" w:cs="仿宋"/>
          <w:color w:val="auto"/>
          <w:sz w:val="28"/>
        </w:rPr>
        <w:t>公司</w:t>
      </w:r>
      <w:r>
        <w:rPr>
          <w:rFonts w:hint="eastAsia" w:ascii="Times New Roman" w:hAnsi="Times New Roman" w:eastAsia="仿宋" w:cs="仿宋"/>
          <w:color w:val="auto"/>
          <w:sz w:val="28"/>
          <w:lang w:val="en-US" w:eastAsia="zh-CN"/>
        </w:rPr>
        <w:t>生产经营过程中不涉及使用</w:t>
      </w:r>
      <w:r>
        <w:rPr>
          <w:rFonts w:hint="default" w:ascii="Times New Roman" w:hAnsi="Times New Roman" w:eastAsia="仿宋" w:cs="仿宋"/>
          <w:color w:val="auto"/>
          <w:sz w:val="28"/>
        </w:rPr>
        <w:t>涉气环境风险物质</w:t>
      </w:r>
      <w:r>
        <w:rPr>
          <w:rFonts w:hint="eastAsia" w:ascii="Times New Roman" w:hAnsi="Times New Roman" w:eastAsia="仿宋" w:cs="仿宋"/>
          <w:color w:val="auto"/>
          <w:sz w:val="28"/>
          <w:lang w:val="en-US" w:eastAsia="zh-CN"/>
        </w:rPr>
        <w:t>及</w:t>
      </w:r>
      <w:r>
        <w:rPr>
          <w:rFonts w:hint="default" w:ascii="Times New Roman" w:hAnsi="Times New Roman" w:eastAsia="仿宋" w:cs="仿宋"/>
          <w:color w:val="auto"/>
          <w:sz w:val="28"/>
        </w:rPr>
        <w:t>涉水环境风险物质</w:t>
      </w:r>
      <w:r>
        <w:rPr>
          <w:rFonts w:hint="eastAsia" w:ascii="Times New Roman" w:hAnsi="Times New Roman" w:eastAsia="仿宋" w:cs="仿宋"/>
          <w:color w:val="auto"/>
          <w:sz w:val="28"/>
          <w:lang w:eastAsia="zh-CN"/>
        </w:rPr>
        <w:t>。</w:t>
      </w:r>
    </w:p>
    <w:p>
      <w:pPr>
        <w:keepNext/>
        <w:keepLines/>
        <w:widowControl w:val="0"/>
        <w:bidi w:val="0"/>
        <w:spacing w:line="360" w:lineRule="auto"/>
        <w:ind w:firstLine="643" w:firstLineChars="200"/>
        <w:jc w:val="left"/>
        <w:textAlignment w:val="baseline"/>
        <w:outlineLvl w:val="1"/>
        <w:rPr>
          <w:rFonts w:hint="default" w:ascii="Times New Roman" w:hAnsi="Times New Roman" w:eastAsia="楷体" w:cs="Times New Roman"/>
          <w:b/>
          <w:bCs/>
          <w:color w:val="auto"/>
          <w:kern w:val="2"/>
          <w:sz w:val="32"/>
          <w:szCs w:val="32"/>
          <w:lang w:val="en-US" w:eastAsia="zh-CN" w:bidi="ar-SA"/>
        </w:rPr>
      </w:pPr>
      <w:bookmarkStart w:id="116" w:name="_Toc5656"/>
      <w:bookmarkStart w:id="117" w:name="_Toc2073"/>
      <w:bookmarkStart w:id="118" w:name="_Toc16444"/>
      <w:bookmarkStart w:id="119" w:name="_Toc14419"/>
      <w:r>
        <w:rPr>
          <w:rFonts w:hint="eastAsia" w:ascii="Times New Roman" w:hAnsi="Times New Roman" w:eastAsia="楷体" w:cs="Times New Roman"/>
          <w:b/>
          <w:bCs/>
          <w:color w:val="auto"/>
          <w:kern w:val="2"/>
          <w:sz w:val="32"/>
          <w:szCs w:val="32"/>
          <w:lang w:val="en-US" w:eastAsia="zh-CN" w:bidi="ar-SA"/>
        </w:rPr>
        <w:t>7</w:t>
      </w:r>
      <w:r>
        <w:rPr>
          <w:rFonts w:hint="default" w:ascii="Times New Roman" w:hAnsi="Times New Roman" w:eastAsia="楷体" w:cs="Times New Roman"/>
          <w:b/>
          <w:bCs/>
          <w:color w:val="auto"/>
          <w:kern w:val="2"/>
          <w:sz w:val="32"/>
          <w:szCs w:val="32"/>
          <w:lang w:val="en-US" w:eastAsia="zh-CN" w:bidi="ar-SA"/>
        </w:rPr>
        <w:t>.3突发大气环境事件风险分级</w:t>
      </w:r>
      <w:bookmarkEnd w:id="116"/>
      <w:bookmarkEnd w:id="117"/>
      <w:bookmarkEnd w:id="118"/>
      <w:bookmarkEnd w:id="119"/>
    </w:p>
    <w:p>
      <w:pPr>
        <w:bidi w:val="0"/>
        <w:spacing w:line="360" w:lineRule="auto"/>
        <w:ind w:firstLine="560" w:firstLineChars="200"/>
        <w:rPr>
          <w:rFonts w:hint="default" w:ascii="Times New Roman" w:hAnsi="Times New Roman" w:eastAsia="仿宋" w:cs="仿宋"/>
          <w:color w:val="auto"/>
          <w:sz w:val="28"/>
        </w:rPr>
      </w:pPr>
      <w:r>
        <w:rPr>
          <w:rFonts w:ascii="Times New Roman" w:hAnsi="Times New Roman" w:eastAsia="仿宋" w:cs="仿宋"/>
          <w:color w:val="auto"/>
          <w:sz w:val="28"/>
        </w:rPr>
        <w:t>对于公司而言，主要环境风险物质的燃烧</w:t>
      </w:r>
      <w:r>
        <w:rPr>
          <w:rFonts w:hint="eastAsia" w:ascii="Times New Roman" w:hAnsi="Times New Roman" w:eastAsia="仿宋" w:cs="仿宋"/>
          <w:color w:val="auto"/>
          <w:sz w:val="28"/>
          <w:lang w:eastAsia="zh-CN"/>
        </w:rPr>
        <w:t>、泄漏</w:t>
      </w:r>
      <w:r>
        <w:rPr>
          <w:rFonts w:ascii="Times New Roman" w:hAnsi="Times New Roman" w:eastAsia="仿宋" w:cs="仿宋"/>
          <w:color w:val="auto"/>
          <w:sz w:val="28"/>
        </w:rPr>
        <w:t>，决定了危害事故存在火灾、爆炸和环境污染的可能。</w:t>
      </w:r>
      <w:r>
        <w:rPr>
          <w:rFonts w:hint="default" w:ascii="Times New Roman" w:hAnsi="Times New Roman" w:eastAsia="仿宋" w:cs="仿宋"/>
          <w:color w:val="auto"/>
          <w:sz w:val="28"/>
        </w:rPr>
        <w:t>根据《企业突发环境事件风险分级方法》（HJ941-2018）中企业突发环境事件风险等级划分方法中的相关要求，当企业存在环境风险物质时，则按下式计算物质与其临界量比值（Q），计算公式如下：</w:t>
      </w:r>
    </w:p>
    <w:p>
      <w:pPr>
        <w:bidi w:val="0"/>
        <w:spacing w:line="360" w:lineRule="auto"/>
        <w:ind w:firstLine="560" w:firstLineChars="200"/>
        <w:rPr>
          <w:rFonts w:hint="default" w:ascii="Times New Roman" w:hAnsi="Times New Roman" w:eastAsia="仿宋" w:cs="仿宋"/>
          <w:color w:val="auto"/>
          <w:sz w:val="28"/>
        </w:rPr>
      </w:pPr>
      <w:r>
        <w:rPr>
          <w:rFonts w:hint="default" w:ascii="Times New Roman" w:hAnsi="Times New Roman" w:eastAsia="仿宋" w:cs="仿宋"/>
          <w:color w:val="auto"/>
          <w:sz w:val="28"/>
        </w:rPr>
        <w:t>Q=q/Q</w:t>
      </w:r>
      <w:r>
        <w:rPr>
          <w:rFonts w:hint="default" w:ascii="Times New Roman" w:hAnsi="Times New Roman" w:eastAsia="仿宋" w:cs="仿宋"/>
          <w:color w:val="auto"/>
          <w:sz w:val="28"/>
          <w:vertAlign w:val="subscript"/>
        </w:rPr>
        <w:t>1</w:t>
      </w:r>
    </w:p>
    <w:p>
      <w:pPr>
        <w:bidi w:val="0"/>
        <w:spacing w:line="360" w:lineRule="auto"/>
        <w:ind w:firstLine="560" w:firstLineChars="200"/>
        <w:rPr>
          <w:rFonts w:hint="default" w:ascii="Times New Roman" w:hAnsi="Times New Roman" w:eastAsia="仿宋" w:cs="仿宋"/>
          <w:color w:val="auto"/>
          <w:sz w:val="28"/>
        </w:rPr>
      </w:pPr>
      <w:r>
        <w:rPr>
          <w:rFonts w:hint="default" w:ascii="Times New Roman" w:hAnsi="Times New Roman" w:eastAsia="仿宋" w:cs="仿宋"/>
          <w:color w:val="auto"/>
          <w:sz w:val="28"/>
        </w:rPr>
        <w:t>式中：q——环境风险物质的最大存在总量，t；</w:t>
      </w:r>
    </w:p>
    <w:p>
      <w:pPr>
        <w:bidi w:val="0"/>
        <w:spacing w:line="360" w:lineRule="auto"/>
        <w:ind w:firstLine="560" w:firstLineChars="200"/>
        <w:rPr>
          <w:rFonts w:hint="default" w:ascii="Times New Roman" w:hAnsi="Times New Roman" w:eastAsia="仿宋" w:cs="仿宋"/>
          <w:color w:val="auto"/>
          <w:sz w:val="28"/>
        </w:rPr>
      </w:pPr>
      <w:r>
        <w:rPr>
          <w:rFonts w:hint="default" w:ascii="Times New Roman" w:hAnsi="Times New Roman" w:eastAsia="仿宋" w:cs="仿宋"/>
          <w:color w:val="auto"/>
          <w:sz w:val="28"/>
        </w:rPr>
        <w:t>Q</w:t>
      </w:r>
      <w:r>
        <w:rPr>
          <w:rFonts w:hint="default" w:ascii="Times New Roman" w:hAnsi="Times New Roman" w:eastAsia="仿宋" w:cs="仿宋"/>
          <w:color w:val="auto"/>
          <w:sz w:val="28"/>
          <w:vertAlign w:val="subscript"/>
        </w:rPr>
        <w:t>1</w:t>
      </w:r>
      <w:r>
        <w:rPr>
          <w:rFonts w:hint="default" w:ascii="Times New Roman" w:hAnsi="Times New Roman" w:eastAsia="仿宋" w:cs="仿宋"/>
          <w:color w:val="auto"/>
          <w:sz w:val="28"/>
        </w:rPr>
        <w:t>——环境风险物质的临界量，t。</w:t>
      </w:r>
    </w:p>
    <w:p>
      <w:pPr>
        <w:bidi w:val="0"/>
        <w:spacing w:line="360" w:lineRule="auto"/>
        <w:ind w:firstLine="560" w:firstLineChars="200"/>
        <w:rPr>
          <w:rFonts w:hint="default" w:ascii="Times New Roman" w:hAnsi="Times New Roman" w:eastAsia="仿宋" w:cs="仿宋"/>
          <w:color w:val="auto"/>
          <w:sz w:val="28"/>
        </w:rPr>
      </w:pPr>
      <w:r>
        <w:rPr>
          <w:rFonts w:hint="default" w:ascii="Times New Roman" w:hAnsi="Times New Roman" w:eastAsia="仿宋" w:cs="仿宋"/>
          <w:color w:val="auto"/>
          <w:sz w:val="28"/>
        </w:rPr>
        <w:t>则按其临界量比值（Q），将Q值划分为4级，分别为：①当Q&lt;1时，企业直接评为一般环境风险等级，以Q</w:t>
      </w:r>
      <w:r>
        <w:rPr>
          <w:rFonts w:hint="default" w:ascii="Times New Roman" w:hAnsi="Times New Roman" w:eastAsia="仿宋" w:cs="仿宋"/>
          <w:color w:val="auto"/>
          <w:sz w:val="28"/>
          <w:vertAlign w:val="subscript"/>
        </w:rPr>
        <w:t>0</w:t>
      </w:r>
      <w:r>
        <w:rPr>
          <w:rFonts w:hint="default" w:ascii="Times New Roman" w:hAnsi="Times New Roman" w:eastAsia="仿宋" w:cs="仿宋"/>
          <w:color w:val="auto"/>
          <w:sz w:val="28"/>
        </w:rPr>
        <w:t>表示。②当1≤Q&lt;10时，以Q</w:t>
      </w:r>
      <w:r>
        <w:rPr>
          <w:rFonts w:hint="default" w:ascii="Times New Roman" w:hAnsi="Times New Roman" w:eastAsia="仿宋" w:cs="仿宋"/>
          <w:color w:val="auto"/>
          <w:sz w:val="28"/>
          <w:vertAlign w:val="subscript"/>
        </w:rPr>
        <w:t>1</w:t>
      </w:r>
      <w:r>
        <w:rPr>
          <w:rFonts w:hint="default" w:ascii="Times New Roman" w:hAnsi="Times New Roman" w:eastAsia="仿宋" w:cs="仿宋"/>
          <w:color w:val="auto"/>
          <w:sz w:val="28"/>
        </w:rPr>
        <w:t>表示。③当10≤Q&lt;100时，以Q</w:t>
      </w:r>
      <w:r>
        <w:rPr>
          <w:rFonts w:hint="default" w:ascii="Times New Roman" w:hAnsi="Times New Roman" w:eastAsia="仿宋" w:cs="仿宋"/>
          <w:color w:val="auto"/>
          <w:sz w:val="28"/>
          <w:vertAlign w:val="subscript"/>
        </w:rPr>
        <w:t>2</w:t>
      </w:r>
      <w:r>
        <w:rPr>
          <w:rFonts w:hint="default" w:ascii="Times New Roman" w:hAnsi="Times New Roman" w:eastAsia="仿宋" w:cs="仿宋"/>
          <w:color w:val="auto"/>
          <w:sz w:val="28"/>
        </w:rPr>
        <w:t>表示。④当Q≥100时，以Q</w:t>
      </w:r>
      <w:r>
        <w:rPr>
          <w:rFonts w:hint="default" w:ascii="Times New Roman" w:hAnsi="Times New Roman" w:eastAsia="仿宋" w:cs="仿宋"/>
          <w:color w:val="auto"/>
          <w:sz w:val="28"/>
          <w:vertAlign w:val="subscript"/>
        </w:rPr>
        <w:t>3</w:t>
      </w:r>
      <w:r>
        <w:rPr>
          <w:rFonts w:hint="default" w:ascii="Times New Roman" w:hAnsi="Times New Roman" w:eastAsia="仿宋" w:cs="仿宋"/>
          <w:color w:val="auto"/>
          <w:sz w:val="28"/>
        </w:rPr>
        <w:t>表示。</w:t>
      </w:r>
    </w:p>
    <w:p>
      <w:pPr>
        <w:bidi w:val="0"/>
        <w:spacing w:line="360" w:lineRule="auto"/>
        <w:ind w:firstLine="560" w:firstLineChars="200"/>
        <w:rPr>
          <w:rFonts w:hint="eastAsia"/>
          <w:color w:val="auto"/>
          <w:lang w:val="en-US" w:eastAsia="zh-CN"/>
        </w:rPr>
      </w:pPr>
      <w:r>
        <w:rPr>
          <w:rFonts w:hint="default" w:ascii="Times New Roman" w:hAnsi="Times New Roman" w:eastAsia="仿宋" w:cs="仿宋"/>
          <w:color w:val="auto"/>
          <w:sz w:val="28"/>
        </w:rPr>
        <w:t>对照《企业突发环境事件分级HJ941-2018》附录A，公司</w:t>
      </w:r>
      <w:r>
        <w:rPr>
          <w:rFonts w:hint="eastAsia" w:ascii="Times New Roman" w:hAnsi="Times New Roman" w:eastAsia="仿宋" w:cs="仿宋"/>
          <w:color w:val="auto"/>
          <w:sz w:val="28"/>
          <w:lang w:val="en-US" w:eastAsia="zh-CN"/>
        </w:rPr>
        <w:t>生产经营过程中不涉及使用</w:t>
      </w:r>
      <w:r>
        <w:rPr>
          <w:rFonts w:hint="default" w:ascii="Times New Roman" w:hAnsi="Times New Roman" w:eastAsia="仿宋" w:cs="仿宋"/>
          <w:color w:val="auto"/>
          <w:sz w:val="28"/>
        </w:rPr>
        <w:t>涉气环境风险物质</w:t>
      </w:r>
      <w:r>
        <w:rPr>
          <w:rFonts w:hint="eastAsia" w:ascii="Times New Roman" w:hAnsi="Times New Roman" w:eastAsia="仿宋" w:cs="仿宋"/>
          <w:color w:val="auto"/>
          <w:sz w:val="28"/>
          <w:lang w:val="en-US" w:eastAsia="zh-CN"/>
        </w:rPr>
        <w:t>及</w:t>
      </w:r>
      <w:r>
        <w:rPr>
          <w:rFonts w:hint="default" w:ascii="Times New Roman" w:hAnsi="Times New Roman" w:eastAsia="仿宋" w:cs="仿宋"/>
          <w:color w:val="auto"/>
          <w:sz w:val="28"/>
        </w:rPr>
        <w:t>涉水环境风险物质</w:t>
      </w:r>
      <w:r>
        <w:rPr>
          <w:rFonts w:hint="eastAsia" w:ascii="Times New Roman" w:hAnsi="Times New Roman" w:eastAsia="仿宋" w:cs="仿宋"/>
          <w:color w:val="auto"/>
          <w:sz w:val="28"/>
          <w:lang w:eastAsia="zh-CN"/>
        </w:rPr>
        <w:t>，</w:t>
      </w:r>
      <w:r>
        <w:rPr>
          <w:rFonts w:hint="eastAsia" w:ascii="Times New Roman" w:hAnsi="Times New Roman" w:eastAsia="仿宋" w:cs="仿宋"/>
          <w:color w:val="auto"/>
          <w:sz w:val="28"/>
          <w:lang w:val="en-US" w:eastAsia="zh-CN"/>
        </w:rPr>
        <w:t>可以直接判定</w:t>
      </w:r>
      <w:r>
        <w:rPr>
          <w:rFonts w:hint="default" w:ascii="Times New Roman" w:hAnsi="Times New Roman" w:eastAsia="仿宋" w:cs="仿宋"/>
          <w:color w:val="auto"/>
          <w:sz w:val="28"/>
        </w:rPr>
        <w:t>本项目Q＜1，故本企业大气环境风险等级为</w:t>
      </w:r>
      <w:r>
        <w:rPr>
          <w:rFonts w:hint="eastAsia" w:ascii="Times New Roman" w:hAnsi="Times New Roman" w:eastAsia="仿宋" w:cs="仿宋"/>
          <w:color w:val="auto"/>
          <w:sz w:val="28"/>
          <w:lang w:eastAsia="zh-CN"/>
        </w:rPr>
        <w:t>一般风险等级。</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150DDB"/>
    <w:multiLevelType w:val="singleLevel"/>
    <w:tmpl w:val="BD150DDB"/>
    <w:lvl w:ilvl="0" w:tentative="0">
      <w:start w:val="1"/>
      <w:numFmt w:val="decimal"/>
      <w:suff w:val="nothing"/>
      <w:lvlText w:val="（%1）"/>
      <w:lvlJc w:val="left"/>
    </w:lvl>
  </w:abstractNum>
  <w:abstractNum w:abstractNumId="1">
    <w:nsid w:val="00266199"/>
    <w:multiLevelType w:val="multilevel"/>
    <w:tmpl w:val="00266199"/>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596A75AC"/>
    <w:multiLevelType w:val="singleLevel"/>
    <w:tmpl w:val="596A75AC"/>
    <w:lvl w:ilvl="0" w:tentative="0">
      <w:start w:val="1"/>
      <w:numFmt w:val="decimal"/>
      <w:suff w:val="nothing"/>
      <w:lvlText w:val="（%1）"/>
      <w:lvlJc w:val="left"/>
    </w:lvl>
  </w:abstractNum>
  <w:abstractNum w:abstractNumId="3">
    <w:nsid w:val="7C2A6E73"/>
    <w:multiLevelType w:val="singleLevel"/>
    <w:tmpl w:val="7C2A6E73"/>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4C690045"/>
    <w:rsid w:val="00100E5B"/>
    <w:rsid w:val="04BC7282"/>
    <w:rsid w:val="12B824E7"/>
    <w:rsid w:val="144260E6"/>
    <w:rsid w:val="1A193AEE"/>
    <w:rsid w:val="1D13456F"/>
    <w:rsid w:val="1D2A3308"/>
    <w:rsid w:val="3E034BC0"/>
    <w:rsid w:val="442176A1"/>
    <w:rsid w:val="4C690045"/>
    <w:rsid w:val="551222AD"/>
    <w:rsid w:val="5C7E1B4A"/>
    <w:rsid w:val="6083010B"/>
    <w:rsid w:val="773D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pageBreakBefore/>
      <w:spacing w:beforeLines="0" w:afterLines="0" w:line="480" w:lineRule="auto"/>
      <w:jc w:val="left"/>
      <w:outlineLvl w:val="0"/>
    </w:pPr>
    <w:rPr>
      <w:rFonts w:ascii="Times New Roman" w:hAnsi="Times New Roman"/>
      <w:b/>
      <w:bCs/>
      <w:kern w:val="44"/>
      <w:sz w:val="32"/>
      <w:szCs w:val="44"/>
    </w:rPr>
  </w:style>
  <w:style w:type="paragraph" w:styleId="4">
    <w:name w:val="heading 2"/>
    <w:basedOn w:val="1"/>
    <w:next w:val="1"/>
    <w:qFormat/>
    <w:uiPriority w:val="0"/>
    <w:pPr>
      <w:keepNext/>
      <w:keepLines/>
      <w:spacing w:line="360" w:lineRule="auto"/>
      <w:jc w:val="left"/>
      <w:textAlignment w:val="baseline"/>
      <w:outlineLvl w:val="1"/>
    </w:pPr>
    <w:rPr>
      <w:rFonts w:ascii="Times New Roman" w:hAnsi="Times New Roman" w:eastAsia="楷体" w:cs="Times New Roman"/>
      <w:b/>
      <w:bCs/>
      <w:sz w:val="32"/>
      <w:szCs w:val="32"/>
    </w:rPr>
  </w:style>
  <w:style w:type="paragraph" w:styleId="5">
    <w:name w:val="heading 3"/>
    <w:basedOn w:val="1"/>
    <w:next w:val="1"/>
    <w:qFormat/>
    <w:uiPriority w:val="0"/>
    <w:pPr>
      <w:keepNext/>
      <w:keepLines/>
      <w:spacing w:line="360" w:lineRule="auto"/>
      <w:jc w:val="left"/>
      <w:outlineLvl w:val="2"/>
    </w:pPr>
    <w:rPr>
      <w:rFonts w:ascii="Times New Roman" w:hAnsi="Times New Roman"/>
      <w:b/>
      <w:bCs/>
      <w:sz w:val="30"/>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qFormat/>
    <w:uiPriority w:val="0"/>
    <w:pPr>
      <w:ind w:firstLine="420" w:firstLineChars="200"/>
    </w:pPr>
    <w:rPr>
      <w:rFonts w:eastAsia="Times New Roman"/>
      <w:sz w:val="18"/>
      <w:szCs w:val="18"/>
    </w:rPr>
  </w:style>
  <w:style w:type="paragraph" w:styleId="6">
    <w:name w:val="annotation text"/>
    <w:basedOn w:val="1"/>
    <w:qFormat/>
    <w:uiPriority w:val="0"/>
    <w:pPr>
      <w:jc w:val="left"/>
    </w:pPr>
  </w:style>
  <w:style w:type="paragraph" w:styleId="7">
    <w:name w:val="Body Text Indent"/>
    <w:basedOn w:val="1"/>
    <w:qFormat/>
    <w:uiPriority w:val="0"/>
    <w:pPr>
      <w:ind w:firstLine="525"/>
    </w:pPr>
    <w:rPr>
      <w:b/>
      <w:sz w:val="28"/>
    </w:rPr>
  </w:style>
  <w:style w:type="paragraph" w:styleId="8">
    <w:name w:val="Plain Text"/>
    <w:basedOn w:val="1"/>
    <w:qFormat/>
    <w:uiPriority w:val="0"/>
    <w:rPr>
      <w:rFonts w:ascii="宋体" w:hAnsi="Courier New" w:cs="Courier New"/>
      <w:szCs w:val="21"/>
    </w:rPr>
  </w:style>
  <w:style w:type="paragraph" w:styleId="9">
    <w:name w:val="Body Text Indent 2"/>
    <w:basedOn w:val="1"/>
    <w:qFormat/>
    <w:uiPriority w:val="0"/>
    <w:pPr>
      <w:spacing w:after="120" w:afterLines="0" w:afterAutospacing="0" w:line="480" w:lineRule="auto"/>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widowControl/>
      <w:spacing w:beforeAutospacing="1" w:afterAutospacing="1"/>
      <w:jc w:val="left"/>
    </w:pPr>
    <w:rPr>
      <w:rFonts w:ascii="宋体" w:hAnsi="宋体"/>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qFormat/>
    <w:uiPriority w:val="99"/>
    <w:rPr>
      <w:color w:val="0000FF"/>
      <w:u w:val="single"/>
    </w:rPr>
  </w:style>
  <w:style w:type="paragraph" w:customStyle="1" w:styleId="17">
    <w:name w:val="正文（海诚）"/>
    <w:basedOn w:val="1"/>
    <w:qFormat/>
    <w:uiPriority w:val="0"/>
    <w:pPr>
      <w:spacing w:line="520" w:lineRule="exact"/>
      <w:ind w:firstLine="560" w:firstLineChars="200"/>
    </w:pPr>
    <w:rPr>
      <w:rFonts w:eastAsia="仿宋_GB2312"/>
      <w:kern w:val="2"/>
      <w:sz w:val="28"/>
      <w:lang w:val="en-US" w:eastAsia="zh-CN"/>
    </w:rPr>
  </w:style>
  <w:style w:type="paragraph" w:customStyle="1" w:styleId="18">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9">
    <w:name w:val="Default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0">
    <w:name w:val="样式正文无级"/>
    <w:basedOn w:val="1"/>
    <w:qFormat/>
    <w:uiPriority w:val="0"/>
    <w:pPr>
      <w:spacing w:line="360" w:lineRule="auto"/>
      <w:ind w:firstLine="480" w:firstLineChars="200"/>
    </w:pPr>
    <w:rPr>
      <w:rFonts w:eastAsia="Times New Roman"/>
      <w:sz w:val="24"/>
      <w:szCs w:val="24"/>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e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11460</Words>
  <Characters>12901</Characters>
  <Lines>0</Lines>
  <Paragraphs>0</Paragraphs>
  <TotalTime>14</TotalTime>
  <ScaleCrop>false</ScaleCrop>
  <LinksUpToDate>false</LinksUpToDate>
  <CharactersWithSpaces>13082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2022-08-11T07:30:00Z</dcterms:created>
  <dc:creator>汉斯小木屋</dc:creator>
  <cp:lastModifiedBy>汉斯小木屋</cp:lastModifiedBy>
  <cp:lastPrinted>2022-10-13T06:24:10Z</cp:lastPrinted>
  <dcterms:modified xsi:type="dcterms:W3CDTF">2022-10-13T06:31:09Z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ADDB8DA13C5346B291096446EA931DBC</vt:lpwstr>
  </property>
</Properties>
</file>