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粗黑宋简体" w:eastAsia="方正小标宋简体"/>
          <w:sz w:val="44"/>
          <w:szCs w:val="44"/>
        </w:rPr>
      </w:pPr>
      <w:r>
        <w:rPr>
          <w:rFonts w:hint="eastAsia" w:ascii="方正小标宋简体" w:hAnsi="方正粗黑宋简体" w:eastAsia="方正小标宋简体"/>
          <w:sz w:val="44"/>
          <w:szCs w:val="44"/>
        </w:rPr>
        <w:t>西咸新区物业服务企业信用信息评价管理实施细则（试行）</w:t>
      </w:r>
    </w:p>
    <w:p>
      <w:pPr>
        <w:spacing w:line="560" w:lineRule="exact"/>
        <w:jc w:val="center"/>
        <w:rPr>
          <w:rFonts w:hint="eastAsia"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ind w:firstLine="640" w:firstLineChars="200"/>
        <w:rPr>
          <w:rFonts w:ascii="仿宋" w:hAnsi="仿宋" w:eastAsia="仿宋" w:cs="仿宋"/>
          <w:sz w:val="32"/>
          <w:szCs w:val="32"/>
        </w:rPr>
      </w:pPr>
      <w:r>
        <w:rPr>
          <w:rFonts w:hint="eastAsia" w:ascii="黑体" w:hAnsi="黑体" w:eastAsia="黑体" w:cs="仿宋"/>
          <w:sz w:val="32"/>
          <w:szCs w:val="32"/>
        </w:rPr>
        <w:t>第一条</w:t>
      </w:r>
      <w:r>
        <w:rPr>
          <w:rFonts w:hint="eastAsia" w:ascii="仿宋_GB2312" w:hAnsi="仿宋" w:eastAsia="仿宋_GB2312" w:cs="仿宋"/>
          <w:sz w:val="32"/>
          <w:szCs w:val="32"/>
        </w:rPr>
        <w:t>为了规范物业服务企业经营服务行为，构建新区物业管理行业信用体系，完善“守信联合激励、失信联合惩戒”制度，促进物业管理行业健康有序发展，维护业主权益。根据《物业管理条例》《国务院关于建立完善守信联合激励和失信联合惩戒制度加快推进社会诚信建设的指导意见》（国发〔2016〕33号）《住房城乡建设部办公厅关于印发失信被执行人信用监督、警示和惩戒机制建设分工方案的通知》（建办厅〔2017〕32号）规定，</w:t>
      </w:r>
      <w:r>
        <w:rPr>
          <w:rFonts w:hint="eastAsia" w:ascii="仿宋" w:hAnsi="仿宋" w:eastAsia="仿宋" w:cs="仿宋"/>
          <w:sz w:val="32"/>
          <w:szCs w:val="32"/>
        </w:rPr>
        <w:t>结合新区实际，制定本细则。</w:t>
      </w:r>
    </w:p>
    <w:p>
      <w:pPr>
        <w:spacing w:line="560" w:lineRule="exact"/>
        <w:ind w:firstLine="640" w:firstLineChars="200"/>
        <w:rPr>
          <w:rFonts w:ascii="仿宋_GB2312" w:hAnsi="仿宋" w:eastAsia="仿宋_GB2312" w:cs="仿宋"/>
          <w:sz w:val="32"/>
          <w:szCs w:val="32"/>
        </w:rPr>
      </w:pPr>
      <w:r>
        <w:rPr>
          <w:rFonts w:hint="eastAsia" w:ascii="黑体" w:hAnsi="黑体" w:eastAsia="黑体" w:cs="仿宋"/>
          <w:sz w:val="32"/>
          <w:szCs w:val="32"/>
        </w:rPr>
        <w:t>第二条</w:t>
      </w:r>
      <w:r>
        <w:rPr>
          <w:rFonts w:hint="eastAsia" w:ascii="仿宋_GB2312" w:hAnsi="仿宋" w:eastAsia="仿宋_GB2312" w:cs="仿宋"/>
          <w:sz w:val="32"/>
          <w:szCs w:val="32"/>
        </w:rPr>
        <w:t>本细则适用于新区范围内物业服务企业及项目负责人的信用信息采集、认定、记载、公布、使用，信用等级评定、守信激励和失信惩戒等管理活动。</w:t>
      </w:r>
    </w:p>
    <w:p>
      <w:pPr>
        <w:spacing w:line="560" w:lineRule="exact"/>
        <w:ind w:right="-78" w:rightChars="-39" w:firstLine="709"/>
        <w:rPr>
          <w:rFonts w:ascii="仿宋_GB2312" w:hAnsi="Times New Roman" w:eastAsia="仿宋_GB2312"/>
          <w:sz w:val="32"/>
          <w:szCs w:val="32"/>
        </w:rPr>
      </w:pPr>
      <w:r>
        <w:rPr>
          <w:rFonts w:hint="eastAsia" w:ascii="仿宋_GB2312" w:hAnsi="Times New Roman" w:eastAsia="仿宋_GB2312"/>
          <w:sz w:val="32"/>
          <w:szCs w:val="32"/>
        </w:rPr>
        <w:t>本细则所称物业服务企业，是指依法设立、在新区范围内从事物业服务活动的企业</w:t>
      </w:r>
      <w:r>
        <w:rPr>
          <w:rFonts w:hint="eastAsia" w:ascii="仿宋_GB2312" w:hAnsi="宋体" w:eastAsia="仿宋_GB2312"/>
          <w:sz w:val="32"/>
          <w:szCs w:val="32"/>
        </w:rPr>
        <w:t>及其分支机构</w:t>
      </w:r>
      <w:r>
        <w:rPr>
          <w:rFonts w:hint="eastAsia" w:ascii="仿宋_GB2312" w:hAnsi="Times New Roman" w:eastAsia="仿宋_GB2312"/>
          <w:sz w:val="32"/>
          <w:szCs w:val="32"/>
        </w:rPr>
        <w:t>。</w:t>
      </w:r>
    </w:p>
    <w:p>
      <w:pPr>
        <w:spacing w:line="560" w:lineRule="exact"/>
        <w:ind w:right="-78" w:rightChars="-39" w:firstLine="709"/>
        <w:rPr>
          <w:rFonts w:ascii="仿宋_GB2312" w:hAnsi="Times New Roman" w:eastAsia="仿宋_GB2312"/>
          <w:sz w:val="32"/>
          <w:szCs w:val="32"/>
        </w:rPr>
      </w:pPr>
      <w:r>
        <w:rPr>
          <w:rFonts w:hint="eastAsia" w:ascii="仿宋_GB2312" w:hAnsi="Times New Roman" w:eastAsia="仿宋_GB2312"/>
          <w:sz w:val="32"/>
          <w:szCs w:val="32"/>
        </w:rPr>
        <w:t>本细则所称</w:t>
      </w:r>
      <w:r>
        <w:rPr>
          <w:rFonts w:hint="eastAsia" w:ascii="仿宋_GB2312" w:hAnsi="仿宋" w:eastAsia="仿宋_GB2312" w:cs="仿宋"/>
          <w:sz w:val="32"/>
          <w:szCs w:val="32"/>
        </w:rPr>
        <w:t>项目负责人</w:t>
      </w:r>
      <w:r>
        <w:rPr>
          <w:rFonts w:hint="eastAsia" w:ascii="仿宋_GB2312" w:hAnsi="Times New Roman" w:eastAsia="仿宋_GB2312"/>
          <w:sz w:val="32"/>
          <w:szCs w:val="32"/>
        </w:rPr>
        <w:t>，是指物业服务企业任命或者指派负责物业项目管理服务活动的责任人。</w:t>
      </w:r>
    </w:p>
    <w:p>
      <w:pPr>
        <w:spacing w:line="560" w:lineRule="exact"/>
        <w:ind w:firstLine="640" w:firstLineChars="200"/>
        <w:rPr>
          <w:rFonts w:ascii="仿宋_GB2312" w:hAnsi="仿宋" w:eastAsia="仿宋_GB2312" w:cs="仿宋"/>
          <w:sz w:val="32"/>
          <w:szCs w:val="32"/>
        </w:rPr>
      </w:pPr>
      <w:r>
        <w:rPr>
          <w:rFonts w:hint="eastAsia" w:ascii="黑体" w:hAnsi="仿宋" w:eastAsia="黑体" w:cs="仿宋"/>
          <w:bCs/>
          <w:sz w:val="32"/>
          <w:szCs w:val="32"/>
        </w:rPr>
        <w:t>第三条</w:t>
      </w:r>
      <w:r>
        <w:rPr>
          <w:rFonts w:hint="eastAsia" w:ascii="仿宋_GB2312" w:hAnsi="仿宋" w:eastAsia="仿宋_GB2312" w:cs="仿宋"/>
          <w:sz w:val="32"/>
          <w:szCs w:val="32"/>
        </w:rPr>
        <w:t>本细则所称的物业服务企业信用信息，是指反映和评价物业服务企业及项目负责人的基础信息，遵守法律、法规、规章，履行物业服务合同、经营管理、守信信息、失信信息等相关信息。</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本细则所称信用评价，是指对物业服务企业及项目负责人在物业管理活动中执行政策法规、强制性标准等规定，履行物业服务合同及相关约定，遵守物业管理行业自律准则等行为进行评价的活动。</w:t>
      </w:r>
    </w:p>
    <w:p>
      <w:pPr>
        <w:spacing w:line="560" w:lineRule="exact"/>
        <w:ind w:firstLine="640" w:firstLineChars="200"/>
        <w:rPr>
          <w:rFonts w:ascii="仿宋_GB2312" w:hAnsi="仿宋" w:eastAsia="仿宋_GB2312" w:cs="仿宋"/>
          <w:sz w:val="32"/>
          <w:szCs w:val="32"/>
        </w:rPr>
      </w:pPr>
      <w:r>
        <w:rPr>
          <w:rFonts w:hint="eastAsia" w:ascii="黑体" w:hAnsi="仿宋" w:eastAsia="黑体" w:cs="仿宋"/>
          <w:bCs/>
          <w:sz w:val="32"/>
          <w:szCs w:val="32"/>
        </w:rPr>
        <w:t>第四条</w:t>
      </w:r>
      <w:r>
        <w:rPr>
          <w:rFonts w:hint="eastAsia" w:ascii="仿宋_GB2312" w:hAnsi="仿宋" w:eastAsia="仿宋_GB2312" w:cs="仿宋"/>
          <w:sz w:val="32"/>
          <w:szCs w:val="32"/>
        </w:rPr>
        <w:t>物业服务企业信用信息管理应当遵循依法、公开、公平、公正、审慎和安全的原则，实行政府主导、统一标准、权威发布、信息共享的模式。</w:t>
      </w:r>
    </w:p>
    <w:p>
      <w:pPr>
        <w:spacing w:line="560" w:lineRule="exact"/>
        <w:ind w:firstLine="646" w:firstLineChars="202"/>
        <w:rPr>
          <w:rFonts w:ascii="仿宋_GB2312" w:hAnsi="仿宋" w:eastAsia="仿宋_GB2312" w:cs="仿宋"/>
          <w:sz w:val="32"/>
          <w:szCs w:val="32"/>
        </w:rPr>
      </w:pPr>
      <w:r>
        <w:rPr>
          <w:rFonts w:hint="eastAsia" w:ascii="黑体" w:hAnsi="仿宋" w:eastAsia="黑体" w:cs="仿宋"/>
          <w:bCs/>
          <w:sz w:val="32"/>
          <w:szCs w:val="32"/>
        </w:rPr>
        <w:t xml:space="preserve">第五条 </w:t>
      </w:r>
      <w:r>
        <w:rPr>
          <w:rFonts w:hint="eastAsia" w:ascii="仿宋_GB2312" w:hAnsi="仿宋" w:eastAsia="仿宋_GB2312" w:cs="仿宋"/>
          <w:sz w:val="32"/>
          <w:szCs w:val="32"/>
        </w:rPr>
        <w:t>新区物业管理行政主管部门负责全区物业服务企业信用信息监督管理；制定信用信息评价标准，建立“西咸新区物业服务企业信用管理平台”；发布企业信用等级，上报企业诚信经营情况。</w:t>
      </w:r>
    </w:p>
    <w:p>
      <w:pPr>
        <w:spacing w:line="56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新城物业管理行政主管部门负责物业服务企业信用信息档案管理；负责对本辖区物业服务企业及其项目负责人的违法违规行为进行检查、处理、记分，并将结果记入信用信息档案；负责监督指导物业日常投诉处理；负责辖区物业服务企业及项目负责人首次信息的录入、审核工作；负责辖区物业服务企业及项目负责人信用信息评定、使用等工作。</w:t>
      </w:r>
    </w:p>
    <w:p>
      <w:pPr>
        <w:spacing w:line="56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街道办事处（乡、镇人民政府）负责辖区内物业服务企业及项目负责人信用信息的认定、维护、使用等工作；负责协调处理物业疑难问题。</w:t>
      </w:r>
    </w:p>
    <w:p>
      <w:pPr>
        <w:spacing w:line="56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社区居（村）民委员会负责辖区内物业服务企业及项目负责人信用信息的采集、维护、使用等工作；负责监督物业服务企业日常投诉处理工作。</w:t>
      </w:r>
    </w:p>
    <w:p>
      <w:pPr>
        <w:spacing w:line="56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新区物业协会负责行业自律性评价，加强物业企业培训，协助开展信用信息采集、审核及认定等工作。</w:t>
      </w:r>
    </w:p>
    <w:p>
      <w:pPr>
        <w:spacing w:line="560" w:lineRule="exact"/>
        <w:ind w:firstLine="646" w:firstLineChars="202"/>
        <w:rPr>
          <w:rFonts w:ascii="仿宋_GB2312" w:hAnsi="仿宋" w:eastAsia="仿宋_GB2312" w:cs="仿宋"/>
          <w:sz w:val="32"/>
          <w:szCs w:val="32"/>
        </w:rPr>
      </w:pPr>
      <w:r>
        <w:rPr>
          <w:rFonts w:hint="eastAsia" w:ascii="仿宋_GB2312" w:hAnsi="仿宋" w:eastAsia="仿宋_GB2312" w:cs="仿宋"/>
          <w:sz w:val="32"/>
          <w:szCs w:val="32"/>
        </w:rPr>
        <w:t>物业服务企业负责处理日常投诉问题，业主反馈一般问题1天回复并解决，相对复杂问题3天内回复；主动向社会做出信用、自律承诺。</w:t>
      </w:r>
    </w:p>
    <w:p>
      <w:pPr>
        <w:spacing w:line="560" w:lineRule="exact"/>
        <w:ind w:firstLine="640" w:firstLineChars="200"/>
        <w:rPr>
          <w:rFonts w:ascii="仿宋_GB2312" w:hAnsi="宋体" w:eastAsia="仿宋_GB2312"/>
          <w:spacing w:val="-4"/>
          <w:sz w:val="32"/>
          <w:szCs w:val="32"/>
        </w:rPr>
      </w:pPr>
      <w:r>
        <w:rPr>
          <w:rFonts w:hint="eastAsia" w:ascii="黑体" w:hAnsi="仿宋" w:eastAsia="黑体" w:cs="仿宋"/>
          <w:bCs/>
          <w:sz w:val="32"/>
          <w:szCs w:val="32"/>
        </w:rPr>
        <w:t>第六条</w:t>
      </w:r>
      <w:r>
        <w:rPr>
          <w:rFonts w:hint="eastAsia" w:ascii="仿宋_GB2312" w:hAnsi="宋体" w:eastAsia="仿宋_GB2312"/>
          <w:spacing w:val="-4"/>
          <w:sz w:val="32"/>
          <w:szCs w:val="32"/>
        </w:rPr>
        <w:t>市场监管、公安、消防、城管交通（综合执法、园林）、环境保护、教育卫体、农业农村（水务）、应急管理、人社民政、税务等部门应当按照法定职责对物业服务企业进行监督管理，结合各自职责协调处理相关问题，依法处理物业服务企业的违法行为，协助相关部门对物业服务企业的信用进行管理。</w:t>
      </w:r>
    </w:p>
    <w:p>
      <w:pPr>
        <w:spacing w:line="560" w:lineRule="exact"/>
        <w:jc w:val="center"/>
        <w:rPr>
          <w:rFonts w:ascii="黑体" w:hAnsi="黑体" w:eastAsia="黑体"/>
          <w:sz w:val="32"/>
          <w:szCs w:val="32"/>
        </w:rPr>
      </w:pPr>
      <w:r>
        <w:rPr>
          <w:rFonts w:hint="eastAsia" w:ascii="黑体" w:hAnsi="黑体" w:eastAsia="黑体"/>
          <w:sz w:val="32"/>
          <w:szCs w:val="32"/>
        </w:rPr>
        <w:t>第二章信息采集、认定和评分</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sz w:val="32"/>
          <w:szCs w:val="32"/>
        </w:rPr>
        <w:t>第七条</w:t>
      </w:r>
      <w:r>
        <w:rPr>
          <w:rFonts w:hint="eastAsia" w:ascii="仿宋_GB2312" w:hAnsi="黑体" w:eastAsia="仿宋_GB2312"/>
          <w:sz w:val="32"/>
          <w:szCs w:val="32"/>
        </w:rPr>
        <w:t>物业服务企业和项目负责人</w:t>
      </w:r>
      <w:r>
        <w:rPr>
          <w:rFonts w:hint="eastAsia" w:ascii="宋体" w:hAnsi="宋体" w:eastAsia="仿宋_GB2312" w:cs="宋体"/>
          <w:sz w:val="32"/>
          <w:szCs w:val="21"/>
        </w:rPr>
        <w:t>（以下简称：被征信人）信用信息仅限于在新区范围内从事物业服务活动时产生。主要包括：</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（一）基础信息：反映物业服务企业基本状况的企业注册信息、从业人员信息、经营业绩信息以及信用承诺、自律承诺等。</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（二）良好信息：被征信人诚信经营、创新管理手段、提升服务质量，获得各级党委、政府以及其他国家机关、群团组织的表彰奖励等信息。</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（三）不良信息：被征信人在从事物业服务活动中违反法律法规、规章和其他规范性文件、不履行合同约定的行为记录，及对其信用状况构成负面影响的信息。分为一般不良信用信息和严重失信信息。</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sz w:val="32"/>
          <w:szCs w:val="32"/>
        </w:rPr>
        <w:t xml:space="preserve">第八条 </w:t>
      </w:r>
      <w:r>
        <w:rPr>
          <w:rFonts w:hint="eastAsia" w:ascii="宋体" w:hAnsi="宋体" w:eastAsia="仿宋_GB2312" w:cs="宋体"/>
          <w:sz w:val="32"/>
          <w:szCs w:val="21"/>
        </w:rPr>
        <w:t>基础信息和良好信息由被征信人自行如实申报。</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本细则实施之日起3</w:t>
      </w:r>
      <w:r>
        <w:rPr>
          <w:rFonts w:ascii="宋体" w:hAnsi="宋体" w:eastAsia="仿宋_GB2312" w:cs="宋体"/>
          <w:sz w:val="32"/>
          <w:szCs w:val="21"/>
        </w:rPr>
        <w:t>0</w:t>
      </w:r>
      <w:r>
        <w:rPr>
          <w:rFonts w:hint="eastAsia" w:ascii="宋体" w:hAnsi="宋体" w:eastAsia="仿宋_GB2312" w:cs="宋体"/>
          <w:sz w:val="32"/>
          <w:szCs w:val="21"/>
        </w:rPr>
        <w:t>日内，被征信人应当将基础信息录入信用系统。本细则实施后，新注册的企业自注册之日起</w:t>
      </w:r>
      <w:r>
        <w:rPr>
          <w:rFonts w:ascii="宋体" w:hAnsi="宋体" w:eastAsia="仿宋_GB2312" w:cs="宋体"/>
          <w:sz w:val="32"/>
          <w:szCs w:val="21"/>
        </w:rPr>
        <w:t>15</w:t>
      </w:r>
      <w:r>
        <w:rPr>
          <w:rFonts w:hint="eastAsia" w:ascii="宋体" w:hAnsi="宋体" w:eastAsia="仿宋_GB2312" w:cs="宋体"/>
          <w:sz w:val="32"/>
          <w:szCs w:val="21"/>
        </w:rPr>
        <w:t>日内到企业注册地的物业管理行政主管部门（新城）登记，并应当在首份物业服务合同备案之日起</w:t>
      </w:r>
      <w:r>
        <w:rPr>
          <w:rFonts w:ascii="宋体" w:hAnsi="宋体" w:eastAsia="仿宋_GB2312" w:cs="宋体"/>
          <w:sz w:val="32"/>
          <w:szCs w:val="21"/>
        </w:rPr>
        <w:t>15</w:t>
      </w:r>
      <w:r>
        <w:rPr>
          <w:rFonts w:hint="eastAsia" w:ascii="宋体" w:hAnsi="宋体" w:eastAsia="仿宋_GB2312" w:cs="宋体"/>
          <w:sz w:val="32"/>
          <w:szCs w:val="21"/>
        </w:rPr>
        <w:t>日内，将基础信息录入信用系统。</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良好信息应当自产生之日起申报，每年1月15日前未申报的，不计入前一年度的良好信息评分。</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企业注册地变更的，应当自变更之日起</w:t>
      </w:r>
      <w:r>
        <w:rPr>
          <w:rFonts w:ascii="宋体" w:hAnsi="宋体" w:eastAsia="仿宋_GB2312" w:cs="宋体"/>
          <w:sz w:val="32"/>
          <w:szCs w:val="21"/>
        </w:rPr>
        <w:t>7</w:t>
      </w:r>
      <w:r>
        <w:rPr>
          <w:rFonts w:hint="eastAsia" w:ascii="宋体" w:hAnsi="宋体" w:eastAsia="仿宋_GB2312" w:cs="宋体"/>
          <w:sz w:val="32"/>
          <w:szCs w:val="21"/>
        </w:rPr>
        <w:t>日内到新注册地的物业管理行政主管部门（新城）变更登记。基础信息有变化的，应当自信息变化之日起</w:t>
      </w:r>
      <w:r>
        <w:rPr>
          <w:rFonts w:ascii="宋体" w:hAnsi="宋体" w:eastAsia="仿宋_GB2312" w:cs="宋体"/>
          <w:sz w:val="32"/>
          <w:szCs w:val="21"/>
        </w:rPr>
        <w:t>7</w:t>
      </w:r>
      <w:r>
        <w:rPr>
          <w:rFonts w:hint="eastAsia" w:ascii="宋体" w:hAnsi="宋体" w:eastAsia="仿宋_GB2312" w:cs="宋体"/>
          <w:sz w:val="32"/>
          <w:szCs w:val="21"/>
        </w:rPr>
        <w:t>日内在信用系统内完成信息变更。</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cs="宋体"/>
          <w:sz w:val="32"/>
          <w:szCs w:val="21"/>
        </w:rPr>
        <w:t>第九条</w:t>
      </w:r>
      <w:r>
        <w:rPr>
          <w:rFonts w:hint="eastAsia" w:ascii="宋体" w:hAnsi="宋体" w:eastAsia="仿宋_GB2312" w:cs="宋体"/>
          <w:sz w:val="32"/>
          <w:szCs w:val="21"/>
        </w:rPr>
        <w:t>不良信息由新区、新城物业管理行政主管部门和</w:t>
      </w:r>
      <w:r>
        <w:rPr>
          <w:rFonts w:hint="eastAsia" w:ascii="仿宋_GB2312" w:hAnsi="仿宋" w:eastAsia="仿宋_GB2312" w:cs="仿宋"/>
          <w:sz w:val="32"/>
          <w:szCs w:val="32"/>
        </w:rPr>
        <w:t>街道办事处（乡、镇人民政府）、社区居（村）民委员会</w:t>
      </w:r>
      <w:r>
        <w:rPr>
          <w:rFonts w:hint="eastAsia" w:ascii="宋体" w:hAnsi="宋体" w:eastAsia="仿宋_GB2312" w:cs="宋体"/>
          <w:sz w:val="32"/>
          <w:szCs w:val="21"/>
        </w:rPr>
        <w:t>（以下简称：征信人）采集。主要采集渠道：</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（一）国家、省、市相关信用平台；</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（二）属地政府和相关职能部门监督管理；</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（三）物业管理项目服务达标考核；</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（四）有效投诉；</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（五）其他合法渠道。</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前款除（一）、（二）项外，征信人应当向被征信人出具不良信息采集告知书和相关查证材料，并听取其陈述申辩，若认为该信息仍然构成不良信息，则应告知被征信人。</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sz w:val="32"/>
          <w:szCs w:val="32"/>
        </w:rPr>
        <w:t>第十条</w:t>
      </w:r>
      <w:r>
        <w:rPr>
          <w:rFonts w:hint="eastAsia" w:ascii="宋体" w:hAnsi="宋体" w:eastAsia="仿宋_GB2312" w:cs="宋体"/>
          <w:sz w:val="32"/>
          <w:szCs w:val="21"/>
        </w:rPr>
        <w:t>基础信息由新城物业管理行政主管部门审核、认定。</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良好信息由新城物业管理行政主管部门审核；</w:t>
      </w:r>
      <w:r>
        <w:rPr>
          <w:rFonts w:hint="eastAsia" w:ascii="仿宋_GB2312" w:hAnsi="仿宋" w:eastAsia="仿宋_GB2312" w:cs="仿宋"/>
          <w:sz w:val="32"/>
          <w:szCs w:val="32"/>
        </w:rPr>
        <w:t>街道办事处（乡、镇人民政府）</w:t>
      </w:r>
      <w:r>
        <w:rPr>
          <w:rFonts w:hint="eastAsia" w:ascii="宋体" w:hAnsi="宋体" w:eastAsia="仿宋_GB2312" w:cs="宋体"/>
          <w:sz w:val="32"/>
          <w:szCs w:val="21"/>
        </w:rPr>
        <w:t>认定。</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不良信息由新城物业管理行政主管部门认定；认定严重失信信息，应当制作决定书，由新城物业管理行政主管部门负责人签发。</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sz w:val="32"/>
          <w:szCs w:val="32"/>
        </w:rPr>
        <w:t>第十一条</w:t>
      </w:r>
      <w:r>
        <w:rPr>
          <w:rFonts w:hint="eastAsia" w:ascii="仿宋_GB2312" w:hAnsi="黑体" w:eastAsia="仿宋_GB2312"/>
          <w:sz w:val="32"/>
          <w:szCs w:val="32"/>
        </w:rPr>
        <w:t>良好信息不成立的，</w:t>
      </w:r>
      <w:r>
        <w:rPr>
          <w:rFonts w:hint="eastAsia" w:ascii="仿宋_GB2312" w:hAnsi="仿宋" w:eastAsia="仿宋_GB2312" w:cs="仿宋"/>
          <w:sz w:val="32"/>
          <w:szCs w:val="32"/>
        </w:rPr>
        <w:t>街道办事处（乡、镇人民政府）</w:t>
      </w:r>
      <w:r>
        <w:rPr>
          <w:rFonts w:hint="eastAsia" w:ascii="宋体" w:hAnsi="宋体" w:eastAsia="仿宋_GB2312" w:cs="宋体"/>
          <w:sz w:val="32"/>
          <w:szCs w:val="21"/>
        </w:rPr>
        <w:t>应当及时向被征信人反馈审核结果；被征信人对审核结果有异议的，应当自收到反馈之日起</w:t>
      </w:r>
      <w:r>
        <w:rPr>
          <w:rFonts w:ascii="宋体" w:hAnsi="宋体" w:eastAsia="仿宋_GB2312" w:cs="宋体"/>
          <w:sz w:val="32"/>
          <w:szCs w:val="21"/>
        </w:rPr>
        <w:t>7</w:t>
      </w:r>
      <w:r>
        <w:rPr>
          <w:rFonts w:hint="eastAsia" w:ascii="宋体" w:hAnsi="宋体" w:eastAsia="仿宋_GB2312" w:cs="宋体"/>
          <w:sz w:val="32"/>
          <w:szCs w:val="21"/>
        </w:rPr>
        <w:t>日内向新城物业管理行政主管部门申请复核；新城物业管理行政主管部门应当自收到申请之日起7个工作日内完成复核并进行告知。</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被征信人对不良信息采集有异议的，应当自收到不良信息采集告知书之日起</w:t>
      </w:r>
      <w:r>
        <w:rPr>
          <w:rFonts w:ascii="宋体" w:hAnsi="宋体" w:eastAsia="仿宋_GB2312" w:cs="宋体"/>
          <w:sz w:val="32"/>
          <w:szCs w:val="21"/>
        </w:rPr>
        <w:t>7</w:t>
      </w:r>
      <w:r>
        <w:rPr>
          <w:rFonts w:hint="eastAsia" w:ascii="宋体" w:hAnsi="宋体" w:eastAsia="仿宋_GB2312" w:cs="宋体"/>
          <w:sz w:val="32"/>
          <w:szCs w:val="21"/>
        </w:rPr>
        <w:t>日内，向征信人提出书面申诉，并提供相应证据；征信人应当自收到申诉之日起</w:t>
      </w:r>
      <w:r>
        <w:rPr>
          <w:rFonts w:ascii="宋体" w:hAnsi="宋体" w:eastAsia="仿宋_GB2312" w:cs="宋体"/>
          <w:sz w:val="32"/>
          <w:szCs w:val="21"/>
        </w:rPr>
        <w:t>7</w:t>
      </w:r>
      <w:r>
        <w:rPr>
          <w:rFonts w:hint="eastAsia" w:ascii="宋体" w:hAnsi="宋体" w:eastAsia="仿宋_GB2312" w:cs="宋体"/>
          <w:sz w:val="32"/>
          <w:szCs w:val="21"/>
        </w:rPr>
        <w:t>个工作日内组织复核并反馈。</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被征信人对不良信息复核结果或者信用信息认定结果有异议的，应当自收到不良信息复核反馈或者信用信息认定之日起</w:t>
      </w:r>
      <w:r>
        <w:rPr>
          <w:rFonts w:ascii="宋体" w:hAnsi="宋体" w:eastAsia="仿宋_GB2312" w:cs="宋体"/>
          <w:sz w:val="32"/>
          <w:szCs w:val="21"/>
        </w:rPr>
        <w:t>7</w:t>
      </w:r>
      <w:r>
        <w:rPr>
          <w:rFonts w:hint="eastAsia" w:ascii="宋体" w:hAnsi="宋体" w:eastAsia="仿宋_GB2312" w:cs="宋体"/>
          <w:sz w:val="32"/>
          <w:szCs w:val="21"/>
        </w:rPr>
        <w:t>日内，向新城物业管理行政主管部门申请复查，并提供相应证据；新城物业管理行政主管部门应当自收到复查申请之日起</w:t>
      </w:r>
      <w:r>
        <w:rPr>
          <w:rFonts w:ascii="宋体" w:hAnsi="宋体" w:eastAsia="仿宋_GB2312" w:cs="宋体"/>
          <w:sz w:val="32"/>
          <w:szCs w:val="21"/>
        </w:rPr>
        <w:t>10</w:t>
      </w:r>
      <w:r>
        <w:rPr>
          <w:rFonts w:hint="eastAsia" w:ascii="宋体" w:hAnsi="宋体" w:eastAsia="仿宋_GB2312" w:cs="宋体"/>
          <w:sz w:val="32"/>
          <w:szCs w:val="21"/>
        </w:rPr>
        <w:t>个工作日内完成复查。</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被征信人逾期未提出申诉或者复核、复查申请的，视为认可不良征信信息。</w:t>
      </w:r>
    </w:p>
    <w:p>
      <w:pPr>
        <w:spacing w:line="560" w:lineRule="exact"/>
        <w:ind w:right="-78" w:rightChars="-39" w:firstLine="707" w:firstLineChars="221"/>
        <w:rPr>
          <w:rFonts w:ascii="仿宋_GB2312" w:hAnsi="Times New Roman" w:eastAsia="仿宋_GB2312"/>
          <w:sz w:val="32"/>
          <w:szCs w:val="32"/>
        </w:rPr>
      </w:pPr>
      <w:r>
        <w:rPr>
          <w:rFonts w:hint="eastAsia" w:ascii="黑体" w:hAnsi="黑体" w:eastAsia="黑体" w:cs="宋体"/>
          <w:sz w:val="32"/>
          <w:szCs w:val="21"/>
        </w:rPr>
        <w:t>第十二条</w:t>
      </w:r>
      <w:r>
        <w:rPr>
          <w:rFonts w:hint="eastAsia" w:ascii="仿宋_GB2312" w:hAnsi="黑体" w:eastAsia="仿宋_GB2312"/>
          <w:sz w:val="32"/>
          <w:szCs w:val="32"/>
        </w:rPr>
        <w:t>征信人应当按照标准（附件2、3、4、5、6）</w:t>
      </w:r>
      <w:r>
        <w:rPr>
          <w:rFonts w:hint="eastAsia" w:ascii="仿宋_GB2312" w:hAnsi="Times New Roman" w:eastAsia="仿宋_GB2312"/>
          <w:sz w:val="32"/>
          <w:szCs w:val="32"/>
        </w:rPr>
        <w:t>对信用信息认定和评分，并自认定之日起15日内将信用信息录入信用系统。</w:t>
      </w:r>
    </w:p>
    <w:p>
      <w:pPr>
        <w:spacing w:line="560" w:lineRule="exact"/>
        <w:ind w:right="-78" w:rightChars="-39" w:firstLine="707" w:firstLineChars="221"/>
        <w:rPr>
          <w:rFonts w:ascii="仿宋_GB2312" w:hAnsi="Times New Roman" w:eastAsia="仿宋_GB2312"/>
          <w:sz w:val="32"/>
          <w:szCs w:val="32"/>
        </w:rPr>
      </w:pPr>
      <w:r>
        <w:rPr>
          <w:rFonts w:hint="eastAsia" w:ascii="仿宋_GB2312" w:hAnsi="黑体" w:eastAsia="仿宋_GB2312" w:cs="宋体"/>
          <w:sz w:val="32"/>
          <w:szCs w:val="21"/>
        </w:rPr>
        <w:t>信用信息的</w:t>
      </w:r>
      <w:r>
        <w:rPr>
          <w:rFonts w:hint="eastAsia" w:ascii="仿宋_GB2312" w:hAnsi="Times New Roman" w:eastAsia="仿宋_GB2312"/>
          <w:sz w:val="32"/>
          <w:szCs w:val="32"/>
        </w:rPr>
        <w:t>计分周期按照标准（附件2、3、4、5）执行，</w:t>
      </w:r>
      <w:r>
        <w:rPr>
          <w:rFonts w:hint="eastAsia" w:ascii="宋体" w:hAnsi="宋体" w:eastAsia="仿宋_GB2312" w:cs="宋体"/>
          <w:sz w:val="32"/>
          <w:szCs w:val="21"/>
        </w:rPr>
        <w:t>自信息录入之日起计算至每年</w:t>
      </w:r>
      <w:r>
        <w:rPr>
          <w:rFonts w:ascii="宋体" w:hAnsi="宋体" w:eastAsia="仿宋_GB2312" w:cs="宋体"/>
          <w:sz w:val="32"/>
          <w:szCs w:val="21"/>
        </w:rPr>
        <w:t>12</w:t>
      </w:r>
      <w:r>
        <w:rPr>
          <w:rFonts w:hint="eastAsia" w:ascii="宋体" w:hAnsi="宋体" w:eastAsia="仿宋_GB2312" w:cs="宋体"/>
          <w:sz w:val="32"/>
          <w:szCs w:val="21"/>
        </w:rPr>
        <w:t>月</w:t>
      </w:r>
      <w:r>
        <w:rPr>
          <w:rFonts w:ascii="宋体" w:hAnsi="宋体" w:eastAsia="仿宋_GB2312" w:cs="宋体"/>
          <w:sz w:val="32"/>
          <w:szCs w:val="21"/>
        </w:rPr>
        <w:t>31</w:t>
      </w:r>
      <w:r>
        <w:rPr>
          <w:rFonts w:hint="eastAsia" w:ascii="宋体" w:hAnsi="宋体" w:eastAsia="仿宋_GB2312" w:cs="宋体"/>
          <w:sz w:val="32"/>
          <w:szCs w:val="21"/>
        </w:rPr>
        <w:t>日止，次年重新计分。</w:t>
      </w:r>
    </w:p>
    <w:p>
      <w:pPr>
        <w:spacing w:line="560" w:lineRule="exact"/>
        <w:ind w:right="-78" w:rightChars="-39" w:firstLine="707" w:firstLineChars="221"/>
        <w:rPr>
          <w:rFonts w:ascii="仿宋_GB2312" w:hAnsi="Times New Roman" w:eastAsia="仿宋_GB2312"/>
          <w:sz w:val="32"/>
          <w:szCs w:val="32"/>
        </w:rPr>
      </w:pPr>
      <w:r>
        <w:rPr>
          <w:rFonts w:hint="eastAsia" w:ascii="宋体" w:hAnsi="宋体" w:eastAsia="仿宋_GB2312" w:cs="宋体"/>
          <w:sz w:val="32"/>
          <w:szCs w:val="21"/>
        </w:rPr>
        <w:t>本地企业在新区范围内的分支机构，信用评分计入总公司。外地企业在新区范围内设立</w:t>
      </w:r>
      <w:r>
        <w:rPr>
          <w:rFonts w:ascii="宋体" w:hAnsi="宋体" w:eastAsia="仿宋_GB2312" w:cs="宋体"/>
          <w:sz w:val="32"/>
          <w:szCs w:val="21"/>
        </w:rPr>
        <w:t>2</w:t>
      </w:r>
      <w:r>
        <w:rPr>
          <w:rFonts w:hint="eastAsia" w:ascii="宋体" w:hAnsi="宋体" w:eastAsia="仿宋_GB2312" w:cs="宋体"/>
          <w:sz w:val="32"/>
          <w:szCs w:val="21"/>
        </w:rPr>
        <w:t>个以上分支机构的，应当明确一个分支机构作为信用信息管理主体，实施统一管理。</w:t>
      </w:r>
    </w:p>
    <w:p>
      <w:pPr>
        <w:spacing w:line="560" w:lineRule="exact"/>
        <w:ind w:right="-78" w:rightChars="-39"/>
        <w:jc w:val="center"/>
        <w:rPr>
          <w:rFonts w:ascii="黑体" w:hAnsi="黑体" w:eastAsia="黑体" w:cs="宋体"/>
          <w:sz w:val="32"/>
          <w:szCs w:val="21"/>
        </w:rPr>
      </w:pPr>
    </w:p>
    <w:p>
      <w:pPr>
        <w:spacing w:line="560" w:lineRule="exact"/>
        <w:jc w:val="center"/>
        <w:rPr>
          <w:rFonts w:ascii="黑体" w:hAnsi="黑体" w:eastAsia="黑体"/>
          <w:sz w:val="32"/>
          <w:szCs w:val="32"/>
        </w:rPr>
      </w:pPr>
      <w:r>
        <w:rPr>
          <w:rFonts w:hint="eastAsia" w:ascii="黑体" w:hAnsi="黑体" w:eastAsia="黑体"/>
          <w:sz w:val="32"/>
          <w:szCs w:val="32"/>
        </w:rPr>
        <w:t>第三章信用等级评定、披露和信用修复</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cs="宋体"/>
          <w:sz w:val="32"/>
          <w:szCs w:val="21"/>
        </w:rPr>
        <w:t>第十三条</w:t>
      </w:r>
      <w:r>
        <w:rPr>
          <w:rFonts w:hint="eastAsia" w:ascii="仿宋_GB2312" w:hAnsi="黑体" w:eastAsia="仿宋_GB2312" w:cs="宋体"/>
          <w:sz w:val="32"/>
          <w:szCs w:val="21"/>
        </w:rPr>
        <w:t>物业服务企业</w:t>
      </w:r>
      <w:r>
        <w:rPr>
          <w:rFonts w:hint="eastAsia" w:ascii="宋体" w:hAnsi="宋体" w:eastAsia="仿宋_GB2312" w:cs="宋体"/>
          <w:sz w:val="32"/>
          <w:szCs w:val="21"/>
        </w:rPr>
        <w:t>信用等级评定</w:t>
      </w:r>
      <w:r>
        <w:rPr>
          <w:rFonts w:hint="eastAsia" w:ascii="仿宋_GB2312" w:hAnsi="仿宋" w:eastAsia="仿宋_GB2312" w:cs="仿宋_GB2312"/>
          <w:sz w:val="32"/>
          <w:szCs w:val="32"/>
        </w:rPr>
        <w:t>以上一年度（自</w:t>
      </w:r>
      <w:r>
        <w:rPr>
          <w:rFonts w:ascii="仿宋_GB2312" w:hAnsi="仿宋" w:eastAsia="仿宋_GB2312" w:cs="仿宋_GB2312"/>
          <w:sz w:val="32"/>
          <w:szCs w:val="32"/>
        </w:rPr>
        <w:t>1</w:t>
      </w:r>
      <w:r>
        <w:rPr>
          <w:rFonts w:hint="eastAsia" w:ascii="仿宋_GB2312" w:hAnsi="仿宋" w:eastAsia="仿宋_GB2312" w:cs="仿宋_GB2312"/>
          <w:sz w:val="32"/>
          <w:szCs w:val="32"/>
        </w:rPr>
        <w:t>月</w:t>
      </w:r>
      <w:r>
        <w:rPr>
          <w:rFonts w:ascii="仿宋_GB2312" w:hAnsi="仿宋" w:eastAsia="仿宋_GB2312" w:cs="仿宋_GB2312"/>
          <w:sz w:val="32"/>
          <w:szCs w:val="32"/>
        </w:rPr>
        <w:t>1</w:t>
      </w:r>
      <w:r>
        <w:rPr>
          <w:rFonts w:hint="eastAsia" w:ascii="仿宋_GB2312" w:hAnsi="仿宋" w:eastAsia="仿宋_GB2312" w:cs="仿宋_GB2312"/>
          <w:sz w:val="32"/>
          <w:szCs w:val="32"/>
        </w:rPr>
        <w:t>日起至</w:t>
      </w:r>
      <w:r>
        <w:rPr>
          <w:rFonts w:ascii="仿宋_GB2312" w:hAnsi="仿宋" w:eastAsia="仿宋_GB2312" w:cs="仿宋_GB2312"/>
          <w:sz w:val="32"/>
          <w:szCs w:val="32"/>
        </w:rPr>
        <w:t>12</w:t>
      </w:r>
      <w:r>
        <w:rPr>
          <w:rFonts w:hint="eastAsia" w:ascii="仿宋_GB2312" w:hAnsi="仿宋" w:eastAsia="仿宋_GB2312" w:cs="仿宋_GB2312"/>
          <w:sz w:val="32"/>
          <w:szCs w:val="32"/>
        </w:rPr>
        <w:t>月</w:t>
      </w:r>
      <w:r>
        <w:rPr>
          <w:rFonts w:ascii="仿宋_GB2312" w:hAnsi="仿宋" w:eastAsia="仿宋_GB2312" w:cs="仿宋_GB2312"/>
          <w:sz w:val="32"/>
          <w:szCs w:val="32"/>
        </w:rPr>
        <w:t>31</w:t>
      </w:r>
      <w:r>
        <w:rPr>
          <w:rFonts w:hint="eastAsia" w:ascii="仿宋_GB2312" w:hAnsi="仿宋" w:eastAsia="仿宋_GB2312" w:cs="仿宋_GB2312"/>
          <w:sz w:val="32"/>
          <w:szCs w:val="32"/>
        </w:rPr>
        <w:t>日止）认定的信用信息作为评定依据，于</w:t>
      </w:r>
      <w:r>
        <w:rPr>
          <w:rFonts w:hint="eastAsia" w:ascii="宋体" w:hAnsi="宋体" w:eastAsia="仿宋_GB2312" w:cs="宋体"/>
          <w:sz w:val="32"/>
          <w:szCs w:val="21"/>
        </w:rPr>
        <w:t>每年</w:t>
      </w:r>
      <w:r>
        <w:rPr>
          <w:rFonts w:ascii="宋体" w:hAnsi="宋体" w:eastAsia="仿宋_GB2312" w:cs="宋体"/>
          <w:sz w:val="32"/>
          <w:szCs w:val="21"/>
        </w:rPr>
        <w:t>2</w:t>
      </w:r>
      <w:r>
        <w:rPr>
          <w:rFonts w:hint="eastAsia" w:ascii="宋体" w:hAnsi="宋体" w:eastAsia="仿宋_GB2312" w:cs="宋体"/>
          <w:sz w:val="32"/>
          <w:szCs w:val="21"/>
        </w:rPr>
        <w:t>月底前完成。</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物业服务企业前一年度未从事物业服务的，不作信用等级评定。前一年度新设立的物业服务企业，自首份物业服务合同签定之日起至前一年度</w:t>
      </w:r>
      <w:r>
        <w:rPr>
          <w:rFonts w:ascii="宋体" w:hAnsi="宋体" w:eastAsia="仿宋_GB2312" w:cs="宋体"/>
          <w:sz w:val="32"/>
          <w:szCs w:val="21"/>
        </w:rPr>
        <w:t>12</w:t>
      </w:r>
      <w:r>
        <w:rPr>
          <w:rFonts w:hint="eastAsia" w:ascii="宋体" w:hAnsi="宋体" w:eastAsia="仿宋_GB2312" w:cs="宋体"/>
          <w:sz w:val="32"/>
          <w:szCs w:val="21"/>
        </w:rPr>
        <w:t>月</w:t>
      </w:r>
      <w:r>
        <w:rPr>
          <w:rFonts w:ascii="宋体" w:hAnsi="宋体" w:eastAsia="仿宋_GB2312" w:cs="宋体"/>
          <w:sz w:val="32"/>
          <w:szCs w:val="21"/>
        </w:rPr>
        <w:t>31</w:t>
      </w:r>
      <w:r>
        <w:rPr>
          <w:rFonts w:hint="eastAsia" w:ascii="宋体" w:hAnsi="宋体" w:eastAsia="仿宋_GB2312" w:cs="宋体"/>
          <w:sz w:val="32"/>
          <w:szCs w:val="21"/>
        </w:rPr>
        <w:t>日不足</w:t>
      </w:r>
      <w:r>
        <w:rPr>
          <w:rFonts w:ascii="宋体" w:hAnsi="宋体" w:eastAsia="仿宋_GB2312" w:cs="宋体"/>
          <w:sz w:val="32"/>
          <w:szCs w:val="21"/>
        </w:rPr>
        <w:t>6</w:t>
      </w:r>
      <w:r>
        <w:rPr>
          <w:rFonts w:hint="eastAsia" w:ascii="宋体" w:hAnsi="宋体" w:eastAsia="仿宋_GB2312" w:cs="宋体"/>
          <w:sz w:val="32"/>
          <w:szCs w:val="21"/>
        </w:rPr>
        <w:t>个月的，不作信用等级评定，前一年度认定的信用信息一并作为次年信用等级评定的依据。</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cs="宋体"/>
          <w:sz w:val="32"/>
          <w:szCs w:val="21"/>
        </w:rPr>
        <w:t>第十四条</w:t>
      </w:r>
      <w:r>
        <w:rPr>
          <w:rFonts w:hint="eastAsia" w:ascii="宋体" w:hAnsi="宋体" w:eastAsia="仿宋_GB2312" w:cs="宋体"/>
          <w:sz w:val="32"/>
          <w:szCs w:val="21"/>
        </w:rPr>
        <w:t>物业服务企业信用等级评定实行量化评分，评分规则：物业服务企业信用综合得分</w:t>
      </w:r>
      <w:r>
        <w:rPr>
          <w:rFonts w:ascii="宋体" w:hAnsi="宋体" w:eastAsia="仿宋_GB2312" w:cs="宋体"/>
          <w:sz w:val="32"/>
          <w:szCs w:val="21"/>
        </w:rPr>
        <w:t>=</w:t>
      </w:r>
      <w:r>
        <w:rPr>
          <w:rFonts w:hint="eastAsia" w:ascii="宋体" w:hAnsi="宋体" w:eastAsia="仿宋_GB2312" w:cs="宋体"/>
          <w:sz w:val="32"/>
          <w:szCs w:val="21"/>
        </w:rPr>
        <w:t>基础信息分值</w:t>
      </w:r>
      <w:r>
        <w:rPr>
          <w:rFonts w:ascii="宋体" w:hAnsi="宋体" w:eastAsia="仿宋_GB2312" w:cs="宋体"/>
          <w:sz w:val="32"/>
          <w:szCs w:val="21"/>
        </w:rPr>
        <w:t>+</w:t>
      </w:r>
      <w:r>
        <w:rPr>
          <w:rFonts w:hint="eastAsia" w:ascii="宋体" w:hAnsi="宋体" w:eastAsia="仿宋_GB2312" w:cs="宋体"/>
          <w:sz w:val="32"/>
          <w:szCs w:val="21"/>
        </w:rPr>
        <w:t>良好信息分值</w:t>
      </w:r>
      <w:r>
        <w:rPr>
          <w:rFonts w:ascii="宋体" w:hAnsi="宋体" w:eastAsia="仿宋_GB2312" w:cs="宋体"/>
          <w:sz w:val="32"/>
          <w:szCs w:val="21"/>
        </w:rPr>
        <w:t>-</w:t>
      </w:r>
      <w:r>
        <w:rPr>
          <w:rFonts w:hint="eastAsia" w:ascii="宋体" w:hAnsi="宋体" w:eastAsia="仿宋_GB2312" w:cs="宋体"/>
          <w:sz w:val="32"/>
          <w:szCs w:val="21"/>
        </w:rPr>
        <w:t>不良信息分值。</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项目负责人信用分值计入物业服务企业信用综合得分。</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cs="宋体"/>
          <w:sz w:val="32"/>
          <w:szCs w:val="21"/>
        </w:rPr>
        <w:t>第十五条</w:t>
      </w:r>
      <w:r>
        <w:rPr>
          <w:rFonts w:hint="eastAsia" w:ascii="仿宋_GB2312" w:hAnsi="黑体" w:eastAsia="仿宋_GB2312" w:cs="宋体"/>
          <w:sz w:val="32"/>
          <w:szCs w:val="21"/>
        </w:rPr>
        <w:t>物业服务企业</w:t>
      </w:r>
      <w:r>
        <w:rPr>
          <w:rFonts w:hint="eastAsia" w:ascii="宋体" w:hAnsi="宋体" w:eastAsia="仿宋_GB2312" w:cs="宋体"/>
          <w:sz w:val="32"/>
          <w:szCs w:val="21"/>
        </w:rPr>
        <w:t>信用等级</w:t>
      </w:r>
      <w:r>
        <w:rPr>
          <w:rFonts w:hint="eastAsia" w:ascii="仿宋_GB2312" w:hAnsi="仿宋" w:eastAsia="仿宋_GB2312" w:cs="仿宋_GB2312"/>
          <w:sz w:val="32"/>
          <w:szCs w:val="32"/>
        </w:rPr>
        <w:t>按照信用综合得分由高到低依次排名，评定为</w:t>
      </w:r>
      <w:r>
        <w:rPr>
          <w:rFonts w:ascii="宋体" w:hAnsi="宋体" w:eastAsia="仿宋_GB2312" w:cs="宋体"/>
          <w:sz w:val="32"/>
          <w:szCs w:val="21"/>
        </w:rPr>
        <w:t>AAA</w:t>
      </w:r>
      <w:r>
        <w:rPr>
          <w:rFonts w:hint="eastAsia" w:ascii="宋体" w:hAnsi="宋体" w:eastAsia="仿宋_GB2312" w:cs="宋体"/>
          <w:sz w:val="32"/>
          <w:szCs w:val="21"/>
        </w:rPr>
        <w:t>、</w:t>
      </w:r>
      <w:r>
        <w:rPr>
          <w:rFonts w:ascii="宋体" w:hAnsi="宋体" w:eastAsia="仿宋_GB2312" w:cs="宋体"/>
          <w:sz w:val="32"/>
          <w:szCs w:val="21"/>
        </w:rPr>
        <w:t>AA</w:t>
      </w:r>
      <w:r>
        <w:rPr>
          <w:rFonts w:hint="eastAsia" w:ascii="宋体" w:hAnsi="宋体" w:eastAsia="仿宋_GB2312" w:cs="宋体"/>
          <w:sz w:val="32"/>
          <w:szCs w:val="21"/>
        </w:rPr>
        <w:t>、</w:t>
      </w:r>
      <w:r>
        <w:rPr>
          <w:rFonts w:ascii="宋体" w:hAnsi="宋体" w:eastAsia="仿宋_GB2312" w:cs="宋体"/>
          <w:sz w:val="32"/>
          <w:szCs w:val="21"/>
        </w:rPr>
        <w:t>A</w:t>
      </w:r>
      <w:r>
        <w:rPr>
          <w:rFonts w:hint="eastAsia" w:ascii="宋体" w:hAnsi="宋体" w:eastAsia="仿宋_GB2312" w:cs="宋体"/>
          <w:sz w:val="32"/>
          <w:szCs w:val="21"/>
        </w:rPr>
        <w:t>、</w:t>
      </w:r>
      <w:r>
        <w:rPr>
          <w:rFonts w:ascii="宋体" w:hAnsi="宋体" w:eastAsia="仿宋_GB2312" w:cs="宋体"/>
          <w:sz w:val="32"/>
          <w:szCs w:val="21"/>
        </w:rPr>
        <w:t>B</w:t>
      </w:r>
      <w:r>
        <w:rPr>
          <w:rFonts w:hint="eastAsia" w:ascii="宋体" w:hAnsi="宋体" w:eastAsia="仿宋_GB2312" w:cs="宋体"/>
          <w:sz w:val="32"/>
          <w:szCs w:val="21"/>
        </w:rPr>
        <w:t>、</w:t>
      </w:r>
      <w:r>
        <w:rPr>
          <w:rFonts w:ascii="宋体" w:hAnsi="宋体" w:eastAsia="仿宋_GB2312" w:cs="宋体"/>
          <w:sz w:val="32"/>
          <w:szCs w:val="21"/>
        </w:rPr>
        <w:t>C</w:t>
      </w:r>
      <w:r>
        <w:rPr>
          <w:rFonts w:hint="eastAsia" w:ascii="宋体" w:hAnsi="宋体" w:eastAsia="仿宋_GB2312" w:cs="宋体"/>
          <w:sz w:val="32"/>
          <w:szCs w:val="21"/>
        </w:rPr>
        <w:t>级五个等级（附件7）。</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物业服务企业有严重失信信息的，降低一级评定；不参加信用信息管理的，由新城物业管理行政主管部门督促限期整改，逾期不整改的，暂定为</w:t>
      </w:r>
      <w:r>
        <w:rPr>
          <w:rFonts w:ascii="宋体" w:hAnsi="宋体" w:eastAsia="仿宋_GB2312" w:cs="宋体"/>
          <w:sz w:val="32"/>
          <w:szCs w:val="21"/>
        </w:rPr>
        <w:t>C</w:t>
      </w:r>
      <w:r>
        <w:rPr>
          <w:rFonts w:hint="eastAsia" w:ascii="宋体" w:hAnsi="宋体" w:eastAsia="仿宋_GB2312" w:cs="宋体"/>
          <w:sz w:val="32"/>
          <w:szCs w:val="21"/>
        </w:rPr>
        <w:t>级。</w:t>
      </w:r>
    </w:p>
    <w:p>
      <w:pPr>
        <w:spacing w:line="560" w:lineRule="exact"/>
        <w:ind w:firstLine="640" w:firstLineChars="200"/>
        <w:rPr>
          <w:rFonts w:ascii="仿宋_GB2312" w:hAnsi="仿宋" w:eastAsia="仿宋_GB2312" w:cs="仿宋"/>
          <w:sz w:val="32"/>
          <w:szCs w:val="32"/>
        </w:rPr>
      </w:pPr>
      <w:r>
        <w:rPr>
          <w:rFonts w:hint="eastAsia" w:ascii="黑体" w:hAnsi="仿宋" w:eastAsia="黑体" w:cs="仿宋"/>
          <w:bCs/>
          <w:sz w:val="32"/>
          <w:szCs w:val="32"/>
        </w:rPr>
        <w:t>第十六条</w:t>
      </w:r>
      <w:r>
        <w:rPr>
          <w:rFonts w:hint="eastAsia" w:ascii="仿宋_GB2312" w:hAnsi="仿宋" w:eastAsia="仿宋_GB2312" w:cs="仿宋"/>
          <w:sz w:val="32"/>
          <w:szCs w:val="32"/>
        </w:rPr>
        <w:t>物业服务企业有下列情形之一并经查实的，直接评为C</w:t>
      </w:r>
      <w:r>
        <w:rPr>
          <w:rFonts w:hint="eastAsia" w:ascii="宋体" w:hAnsi="宋体" w:eastAsia="仿宋_GB2312" w:cs="宋体"/>
          <w:sz w:val="32"/>
          <w:szCs w:val="21"/>
        </w:rPr>
        <w:t>级</w:t>
      </w:r>
      <w:r>
        <w:rPr>
          <w:rFonts w:hint="eastAsia" w:ascii="仿宋_GB2312" w:hAnsi="仿宋" w:eastAsia="仿宋_GB2312" w:cs="仿宋"/>
          <w:sz w:val="32"/>
          <w:szCs w:val="32"/>
        </w:rPr>
        <w:t>，同时列入黑名单：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宋体" w:hAnsi="宋体" w:eastAsia="仿宋_GB2312" w:cs="宋体"/>
          <w:sz w:val="32"/>
          <w:szCs w:val="21"/>
        </w:rPr>
        <w:t>物业管理行政主管部门</w:t>
      </w:r>
      <w:r>
        <w:rPr>
          <w:rFonts w:hint="eastAsia" w:ascii="仿宋_GB2312" w:hAnsi="仿宋" w:eastAsia="仿宋_GB2312" w:cs="仿宋"/>
          <w:sz w:val="32"/>
          <w:szCs w:val="32"/>
        </w:rPr>
        <w:t>做出行政处罚决定生效后，拒不执行、整改的；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（二）一年内被处以各类行政处罚3次以上的；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（三）在物业服务合同有效期内擅自退出管理项目，造成严重后果的；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（四）挪用、骗取、侵占、套用住宅专项维修资金的；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（五）经司法机关或行政机关确认，对重大安全生产事故承担全部责任或主要责任的；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（六）因物业服务企业责任引发重大群体性事件，影响社会稳定和正常社会秩序，造成恶劣影响的；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（七）在开展物业服务过程中存在违法行为受到刑事处罚的；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（八）对不合格企业存在的问题责令限期整改，拒不整改或者整改不合格的；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（九）经</w:t>
      </w:r>
      <w:r>
        <w:rPr>
          <w:rFonts w:hint="eastAsia" w:ascii="宋体" w:hAnsi="宋体" w:eastAsia="仿宋_GB2312" w:cs="宋体"/>
          <w:sz w:val="32"/>
          <w:szCs w:val="21"/>
        </w:rPr>
        <w:t>物业管理行政主管部门</w:t>
      </w:r>
      <w:r>
        <w:rPr>
          <w:rFonts w:hint="eastAsia" w:ascii="仿宋_GB2312" w:hAnsi="仿宋" w:eastAsia="仿宋_GB2312" w:cs="仿宋"/>
          <w:sz w:val="32"/>
          <w:szCs w:val="32"/>
        </w:rPr>
        <w:t>认定的其他严重违法违规行为。</w:t>
      </w:r>
    </w:p>
    <w:p>
      <w:pPr>
        <w:spacing w:line="560" w:lineRule="exact"/>
        <w:ind w:right="-78" w:rightChars="-39" w:firstLine="707" w:firstLineChars="221"/>
        <w:rPr>
          <w:rFonts w:ascii="宋体" w:hAnsi="宋体" w:eastAsia="仿宋_GB2312" w:cs="宋体"/>
          <w:sz w:val="32"/>
          <w:szCs w:val="21"/>
        </w:rPr>
      </w:pPr>
      <w:r>
        <w:rPr>
          <w:rFonts w:hint="eastAsia" w:ascii="黑体" w:hAnsi="黑体" w:eastAsia="黑体"/>
          <w:sz w:val="32"/>
          <w:szCs w:val="32"/>
        </w:rPr>
        <w:t>第十七条</w:t>
      </w:r>
      <w:r>
        <w:rPr>
          <w:rFonts w:hint="eastAsia" w:ascii="宋体" w:hAnsi="宋体" w:eastAsia="仿宋_GB2312" w:cs="宋体"/>
          <w:sz w:val="32"/>
          <w:szCs w:val="21"/>
        </w:rPr>
        <w:t>新区物业管理行政主管部门</w:t>
      </w:r>
      <w:r>
        <w:rPr>
          <w:rFonts w:hint="eastAsia" w:ascii="仿宋_GB2312" w:hAnsi="黑体" w:eastAsia="仿宋_GB2312"/>
          <w:sz w:val="32"/>
          <w:szCs w:val="32"/>
        </w:rPr>
        <w:t>每年</w:t>
      </w:r>
      <w:r>
        <w:rPr>
          <w:rFonts w:ascii="宋体" w:hAnsi="宋体" w:eastAsia="仿宋_GB2312" w:cs="宋体"/>
          <w:sz w:val="32"/>
          <w:szCs w:val="21"/>
        </w:rPr>
        <w:t>3</w:t>
      </w:r>
      <w:r>
        <w:rPr>
          <w:rFonts w:hint="eastAsia" w:ascii="宋体" w:hAnsi="宋体" w:eastAsia="仿宋_GB2312" w:cs="宋体"/>
          <w:sz w:val="32"/>
          <w:szCs w:val="21"/>
        </w:rPr>
        <w:t>月底前，通过发文、网站公示等方式向社会公开物业服务企业前一年度的信用等级及相关信息，并推送至省级物业信用信息平台。</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项目负责人的信用信息综合得分作为项目负责人个人参评各类先进的重要依据，可以提供开发建设单位、业主、业主委员会或者物业服务企业查询，查询人应当提供有效证明。</w:t>
      </w:r>
    </w:p>
    <w:p>
      <w:pPr>
        <w:spacing w:line="560" w:lineRule="exact"/>
        <w:ind w:right="-78" w:rightChars="-39" w:firstLine="707" w:firstLineChars="221"/>
        <w:rPr>
          <w:rFonts w:ascii="黑体" w:hAnsi="黑体" w:eastAsia="黑体" w:cs="宋体"/>
          <w:sz w:val="32"/>
          <w:szCs w:val="21"/>
        </w:rPr>
      </w:pPr>
      <w:r>
        <w:rPr>
          <w:rFonts w:hint="eastAsia" w:ascii="黑体" w:hAnsi="黑体" w:eastAsia="黑体" w:cs="宋体"/>
          <w:sz w:val="32"/>
          <w:szCs w:val="21"/>
        </w:rPr>
        <w:t xml:space="preserve">第十八条 </w:t>
      </w:r>
      <w:r>
        <w:rPr>
          <w:rFonts w:hint="eastAsia" w:ascii="宋体" w:hAnsi="宋体" w:eastAsia="仿宋_GB2312" w:cs="宋体"/>
          <w:sz w:val="32"/>
          <w:szCs w:val="21"/>
        </w:rPr>
        <w:t>不良信息的保存和披露期限为三年，自不良信息认定之日起计算；物业服务企业被列入严重失信名单的，其严重失信信息保存和披露期延至被移出严重失信名单之日。</w:t>
      </w:r>
    </w:p>
    <w:p>
      <w:pPr>
        <w:spacing w:line="560" w:lineRule="exact"/>
        <w:ind w:right="-78" w:rightChars="-39" w:firstLine="707" w:firstLineChars="221"/>
        <w:rPr>
          <w:rFonts w:ascii="宋体" w:hAnsi="宋体" w:eastAsia="仿宋_GB2312" w:cs="宋体"/>
          <w:sz w:val="32"/>
          <w:szCs w:val="21"/>
        </w:rPr>
      </w:pPr>
      <w:r>
        <w:rPr>
          <w:rFonts w:hint="eastAsia" w:ascii="宋体" w:hAnsi="宋体" w:eastAsia="仿宋_GB2312" w:cs="宋体"/>
          <w:sz w:val="32"/>
          <w:szCs w:val="21"/>
        </w:rPr>
        <w:t>不良信息被行政机关撤销或者被复议机关决定撤销、人民法院判决撤销的，新城物业管理行政主管部门应当自收到被征信人书面告知之日起2个工作日内，删除已录入信用系统的该不良信息。</w:t>
      </w:r>
    </w:p>
    <w:p>
      <w:pPr>
        <w:spacing w:line="560" w:lineRule="exact"/>
        <w:ind w:right="-78" w:rightChars="-39" w:firstLine="707" w:firstLineChars="221"/>
        <w:rPr>
          <w:rFonts w:ascii="仿宋_GB2312" w:hAnsi="仿宋" w:eastAsia="仿宋_GB2312" w:cs="仿宋"/>
          <w:sz w:val="32"/>
          <w:szCs w:val="32"/>
        </w:rPr>
      </w:pPr>
      <w:r>
        <w:rPr>
          <w:rFonts w:hint="eastAsia" w:ascii="黑体" w:hAnsi="黑体" w:eastAsia="黑体" w:cs="宋体"/>
          <w:sz w:val="32"/>
          <w:szCs w:val="21"/>
        </w:rPr>
        <w:t>第十九条</w:t>
      </w:r>
      <w:r>
        <w:rPr>
          <w:rFonts w:hint="eastAsia" w:ascii="仿宋_GB2312" w:hAnsi="仿宋" w:eastAsia="仿宋_GB2312" w:cs="仿宋"/>
          <w:sz w:val="32"/>
          <w:szCs w:val="32"/>
        </w:rPr>
        <w:t>物业服务企业能够主动纠正其失信行为，积极整改、效果良好，或已履行义务，消除不良社会影响,有效修复不良信用记录的，</w:t>
      </w:r>
      <w:r>
        <w:rPr>
          <w:rFonts w:hint="eastAsia" w:ascii="宋体" w:hAnsi="宋体" w:eastAsia="仿宋_GB2312" w:cs="宋体"/>
          <w:sz w:val="32"/>
          <w:szCs w:val="21"/>
        </w:rPr>
        <w:t>新城物业管理行政主管部门</w:t>
      </w:r>
      <w:r>
        <w:rPr>
          <w:rFonts w:hint="eastAsia" w:ascii="仿宋_GB2312" w:hAnsi="仿宋" w:eastAsia="仿宋_GB2312" w:cs="仿宋"/>
          <w:sz w:val="32"/>
          <w:szCs w:val="32"/>
        </w:rPr>
        <w:t>可根据各相关部门书面意见予以减半扣分、移出黑名单等方式修复信用信息。</w:t>
      </w:r>
    </w:p>
    <w:p>
      <w:pPr>
        <w:spacing w:line="560" w:lineRule="exact"/>
        <w:ind w:right="-78" w:rightChars="-39" w:firstLine="707" w:firstLineChars="221"/>
        <w:rPr>
          <w:rFonts w:ascii="宋体" w:hAnsi="宋体" w:eastAsia="仿宋_GB2312" w:cs="宋体"/>
          <w:sz w:val="32"/>
          <w:szCs w:val="21"/>
        </w:rPr>
      </w:pPr>
    </w:p>
    <w:p>
      <w:pPr>
        <w:spacing w:line="560" w:lineRule="exact"/>
        <w:jc w:val="center"/>
        <w:rPr>
          <w:rFonts w:ascii="黑体" w:hAnsi="黑体" w:eastAsia="黑体"/>
          <w:sz w:val="32"/>
          <w:szCs w:val="32"/>
        </w:rPr>
      </w:pPr>
      <w:r>
        <w:rPr>
          <w:rFonts w:hint="eastAsia" w:ascii="黑体" w:hAnsi="黑体" w:eastAsia="黑体"/>
          <w:sz w:val="32"/>
          <w:szCs w:val="32"/>
        </w:rPr>
        <w:t>第四章信用等级应用</w:t>
      </w:r>
    </w:p>
    <w:p>
      <w:pPr>
        <w:spacing w:line="560" w:lineRule="exact"/>
        <w:ind w:firstLine="707" w:firstLineChars="221"/>
        <w:rPr>
          <w:rFonts w:ascii="黑体" w:hAnsi="黑体" w:eastAsia="黑体"/>
          <w:sz w:val="32"/>
          <w:szCs w:val="32"/>
        </w:rPr>
      </w:pPr>
      <w:r>
        <w:rPr>
          <w:rFonts w:hint="eastAsia" w:ascii="黑体" w:hAnsi="黑体" w:eastAsia="黑体"/>
          <w:sz w:val="32"/>
          <w:szCs w:val="32"/>
        </w:rPr>
        <w:t>第二十条</w:t>
      </w:r>
      <w:r>
        <w:rPr>
          <w:rFonts w:hint="eastAsia" w:ascii="仿宋_GB2312" w:hAnsi="仿宋" w:eastAsia="仿宋_GB2312" w:cs="仿宋_GB2312"/>
          <w:sz w:val="32"/>
          <w:szCs w:val="32"/>
        </w:rPr>
        <w:t>按照信用等级为</w:t>
      </w:r>
      <w:r>
        <w:rPr>
          <w:rFonts w:ascii="仿宋_GB2312" w:hAnsi="仿宋" w:eastAsia="仿宋_GB2312" w:cs="仿宋_GB2312"/>
          <w:sz w:val="32"/>
          <w:szCs w:val="32"/>
        </w:rPr>
        <w:t>A</w:t>
      </w:r>
      <w:r>
        <w:rPr>
          <w:rFonts w:hint="eastAsia" w:ascii="仿宋_GB2312" w:hAnsi="仿宋" w:eastAsia="仿宋_GB2312" w:cs="仿宋_GB2312"/>
          <w:sz w:val="32"/>
          <w:szCs w:val="32"/>
        </w:rPr>
        <w:t>级（含）以上为标准，建立新区物业服务企业库，</w:t>
      </w:r>
      <w:r>
        <w:rPr>
          <w:rFonts w:hint="eastAsia" w:ascii="仿宋_GB2312" w:hAnsi="仿宋" w:eastAsia="仿宋_GB2312" w:cs="仿宋"/>
          <w:sz w:val="32"/>
          <w:szCs w:val="32"/>
        </w:rPr>
        <w:t>新区所有项目前期物业管理必须从</w:t>
      </w:r>
      <w:r>
        <w:rPr>
          <w:rFonts w:hint="eastAsia" w:ascii="仿宋_GB2312" w:hAnsi="仿宋" w:eastAsia="仿宋_GB2312" w:cs="仿宋_GB2312"/>
          <w:sz w:val="32"/>
          <w:szCs w:val="32"/>
        </w:rPr>
        <w:t>新区物业服务企业库中进行</w:t>
      </w:r>
      <w:r>
        <w:rPr>
          <w:rFonts w:hint="eastAsia" w:ascii="仿宋_GB2312" w:hAnsi="仿宋" w:eastAsia="仿宋_GB2312" w:cs="仿宋"/>
          <w:sz w:val="32"/>
          <w:szCs w:val="32"/>
        </w:rPr>
        <w:t>招标选择。</w:t>
      </w:r>
    </w:p>
    <w:p>
      <w:pPr>
        <w:spacing w:line="560" w:lineRule="exact"/>
        <w:ind w:firstLine="707" w:firstLineChars="221"/>
        <w:rPr>
          <w:rFonts w:ascii="仿宋_GB2312" w:hAnsi="仿宋" w:eastAsia="仿宋_GB2312" w:cs="仿宋_GB2312"/>
          <w:sz w:val="32"/>
          <w:szCs w:val="32"/>
        </w:rPr>
      </w:pPr>
      <w:r>
        <w:rPr>
          <w:rFonts w:hint="eastAsia" w:ascii="黑体" w:hAnsi="黑体" w:eastAsia="黑体"/>
          <w:sz w:val="32"/>
          <w:szCs w:val="32"/>
        </w:rPr>
        <w:t>第二十一条</w:t>
      </w:r>
      <w:r>
        <w:rPr>
          <w:rFonts w:hint="eastAsia" w:ascii="仿宋_GB2312" w:hAnsi="仿宋" w:eastAsia="仿宋_GB2312" w:cs="仿宋_GB2312"/>
          <w:sz w:val="32"/>
          <w:szCs w:val="32"/>
        </w:rPr>
        <w:t>物业服务企业信用信息和信用等级可以作为物业管理行政主管部门实施分类监管以及业主选聘物业服务企业、前期物业管理项目招标投标、物业管理示范项目考评等活动的重要依据，实行守信联合激励、失信联合惩戒。</w:t>
      </w:r>
    </w:p>
    <w:p>
      <w:pPr>
        <w:spacing w:line="560" w:lineRule="exact"/>
        <w:ind w:firstLine="707" w:firstLineChars="221"/>
        <w:rPr>
          <w:rFonts w:ascii="仿宋_GB2312" w:hAnsi="仿宋" w:eastAsia="仿宋_GB2312" w:cs="仿宋_GB2312"/>
          <w:sz w:val="32"/>
          <w:szCs w:val="32"/>
        </w:rPr>
      </w:pPr>
      <w:r>
        <w:rPr>
          <w:rFonts w:hint="eastAsia" w:ascii="黑体" w:hAnsi="黑体" w:eastAsia="黑体"/>
          <w:sz w:val="32"/>
          <w:szCs w:val="32"/>
        </w:rPr>
        <w:t>第二十二条</w:t>
      </w:r>
      <w:r>
        <w:rPr>
          <w:rFonts w:hint="eastAsia" w:ascii="仿宋_GB2312" w:hAnsi="仿宋" w:eastAsia="仿宋_GB2312" w:cs="仿宋_GB2312"/>
          <w:sz w:val="32"/>
          <w:szCs w:val="32"/>
        </w:rPr>
        <w:t>对于信用等级为</w:t>
      </w:r>
      <w:r>
        <w:rPr>
          <w:rFonts w:ascii="仿宋_GB2312" w:hAnsi="仿宋" w:eastAsia="仿宋_GB2312" w:cs="仿宋_GB2312"/>
          <w:sz w:val="32"/>
          <w:szCs w:val="32"/>
        </w:rPr>
        <w:t>AA</w:t>
      </w:r>
      <w:r>
        <w:rPr>
          <w:rFonts w:hint="eastAsia" w:ascii="仿宋_GB2312" w:hAnsi="仿宋" w:eastAsia="仿宋_GB2312" w:cs="仿宋_GB2312"/>
          <w:sz w:val="32"/>
          <w:szCs w:val="32"/>
        </w:rPr>
        <w:t>级以上的物业服务企业，自信用等级公布之日起一年内可以采取以下激励措施：</w:t>
      </w:r>
    </w:p>
    <w:p>
      <w:pPr>
        <w:spacing w:line="560" w:lineRule="exact"/>
        <w:ind w:firstLine="707" w:firstLineChars="221"/>
        <w:rPr>
          <w:rFonts w:ascii="仿宋_GB2312" w:hAnsi="仿宋" w:eastAsia="仿宋_GB2312" w:cs="仿宋_GB2312"/>
          <w:sz w:val="32"/>
          <w:szCs w:val="32"/>
        </w:rPr>
      </w:pPr>
      <w:r>
        <w:rPr>
          <w:rFonts w:hint="eastAsia" w:ascii="仿宋_GB2312" w:hAnsi="仿宋" w:eastAsia="仿宋_GB2312" w:cs="仿宋_GB2312"/>
          <w:sz w:val="32"/>
          <w:szCs w:val="32"/>
        </w:rPr>
        <w:t>（一）物业管理行政主管部门减少日常检查、专项检查频次；</w:t>
      </w:r>
    </w:p>
    <w:p>
      <w:pPr>
        <w:spacing w:line="560" w:lineRule="exact"/>
        <w:ind w:firstLine="707" w:firstLineChars="221"/>
        <w:rPr>
          <w:rFonts w:ascii="仿宋_GB2312" w:hAnsi="仿宋" w:eastAsia="仿宋_GB2312" w:cs="仿宋_GB2312"/>
          <w:sz w:val="32"/>
          <w:szCs w:val="32"/>
        </w:rPr>
      </w:pPr>
      <w:r>
        <w:rPr>
          <w:rFonts w:hint="eastAsia" w:ascii="仿宋_GB2312" w:hAnsi="仿宋" w:eastAsia="仿宋_GB2312" w:cs="仿宋_GB2312"/>
          <w:sz w:val="32"/>
          <w:szCs w:val="32"/>
        </w:rPr>
        <w:t>（二）前期物业管理项目招标给予信誉加分；</w:t>
      </w:r>
    </w:p>
    <w:p>
      <w:pPr>
        <w:spacing w:line="560" w:lineRule="exact"/>
        <w:ind w:firstLine="707" w:firstLineChars="221"/>
        <w:rPr>
          <w:rFonts w:ascii="仿宋_GB2312" w:hAnsi="仿宋" w:eastAsia="仿宋_GB2312" w:cs="仿宋_GB2312"/>
          <w:sz w:val="32"/>
          <w:szCs w:val="32"/>
        </w:rPr>
      </w:pPr>
      <w:r>
        <w:rPr>
          <w:rFonts w:hint="eastAsia" w:ascii="仿宋_GB2312" w:hAnsi="仿宋" w:eastAsia="仿宋_GB2312" w:cs="仿宋_GB2312"/>
          <w:sz w:val="32"/>
          <w:szCs w:val="32"/>
        </w:rPr>
        <w:t>（三）鼓励业主选聘物业服务企业时优先考虑；</w:t>
      </w:r>
    </w:p>
    <w:p>
      <w:pPr>
        <w:spacing w:line="560" w:lineRule="exact"/>
        <w:ind w:firstLine="707" w:firstLineChars="221"/>
        <w:rPr>
          <w:rFonts w:ascii="仿宋_GB2312" w:hAnsi="仿宋" w:eastAsia="仿宋_GB2312" w:cs="仿宋_GB2312"/>
          <w:sz w:val="32"/>
          <w:szCs w:val="32"/>
        </w:rPr>
      </w:pPr>
      <w:r>
        <w:rPr>
          <w:rFonts w:hint="eastAsia" w:ascii="仿宋_GB2312" w:hAnsi="仿宋" w:eastAsia="仿宋_GB2312" w:cs="仿宋_GB2312"/>
          <w:sz w:val="32"/>
          <w:szCs w:val="32"/>
        </w:rPr>
        <w:t>（四）开展各类表彰奖励、物业服务项目创优、媒体推介等活动时优先考虑或者推荐；</w:t>
      </w:r>
    </w:p>
    <w:p>
      <w:pPr>
        <w:spacing w:line="560" w:lineRule="exact"/>
        <w:ind w:firstLine="707" w:firstLineChars="221"/>
        <w:rPr>
          <w:rFonts w:ascii="仿宋_GB2312" w:hAnsi="仿宋" w:eastAsia="仿宋_GB2312" w:cs="仿宋_GB2312"/>
          <w:sz w:val="32"/>
          <w:szCs w:val="32"/>
        </w:rPr>
      </w:pPr>
      <w:r>
        <w:rPr>
          <w:rFonts w:hint="eastAsia" w:ascii="仿宋_GB2312" w:hAnsi="仿宋" w:eastAsia="仿宋_GB2312" w:cs="仿宋_GB2312"/>
          <w:sz w:val="32"/>
          <w:szCs w:val="32"/>
        </w:rPr>
        <w:t>（五）政府部门组织实施有关财政资金补助等政策扶持时优先考虑或者推荐；</w:t>
      </w:r>
    </w:p>
    <w:p>
      <w:pPr>
        <w:spacing w:line="560" w:lineRule="exact"/>
        <w:ind w:firstLine="707" w:firstLineChars="221"/>
        <w:rPr>
          <w:rFonts w:ascii="仿宋_GB2312" w:hAnsi="仿宋" w:eastAsia="仿宋_GB2312" w:cs="仿宋_GB2312"/>
          <w:sz w:val="32"/>
          <w:szCs w:val="32"/>
        </w:rPr>
      </w:pPr>
      <w:r>
        <w:rPr>
          <w:rFonts w:hint="eastAsia" w:ascii="仿宋_GB2312" w:hAnsi="仿宋" w:eastAsia="仿宋_GB2312" w:cs="仿宋_GB2312"/>
          <w:sz w:val="32"/>
          <w:szCs w:val="32"/>
        </w:rPr>
        <w:t>（六）在政府网站等有关平台公开推介；</w:t>
      </w:r>
    </w:p>
    <w:p>
      <w:pPr>
        <w:spacing w:line="560" w:lineRule="exact"/>
        <w:ind w:firstLine="707" w:firstLineChars="221"/>
        <w:rPr>
          <w:rFonts w:ascii="仿宋_GB2312" w:hAnsi="仿宋" w:eastAsia="仿宋_GB2312" w:cs="仿宋_GB2312"/>
          <w:sz w:val="32"/>
          <w:szCs w:val="32"/>
        </w:rPr>
      </w:pPr>
      <w:r>
        <w:rPr>
          <w:rFonts w:hint="eastAsia" w:ascii="仿宋_GB2312" w:hAnsi="仿宋" w:eastAsia="仿宋_GB2312" w:cs="仿宋_GB2312"/>
          <w:sz w:val="32"/>
          <w:szCs w:val="32"/>
        </w:rPr>
        <w:t>（七）依法可以采取的其他激励措施。</w:t>
      </w:r>
    </w:p>
    <w:p>
      <w:pPr>
        <w:spacing w:line="560" w:lineRule="exact"/>
        <w:ind w:firstLine="707" w:firstLineChars="221"/>
        <w:rPr>
          <w:rFonts w:ascii="宋体" w:hAnsi="宋体" w:eastAsia="仿宋_GB2312" w:cs="宋体"/>
          <w:sz w:val="32"/>
          <w:szCs w:val="21"/>
        </w:rPr>
      </w:pPr>
      <w:r>
        <w:rPr>
          <w:rFonts w:hint="eastAsia" w:ascii="黑体" w:hAnsi="黑体" w:eastAsia="黑体"/>
          <w:sz w:val="32"/>
          <w:szCs w:val="32"/>
        </w:rPr>
        <w:t>第二十三条</w:t>
      </w:r>
      <w:r>
        <w:rPr>
          <w:rFonts w:hint="eastAsia" w:ascii="宋体" w:hAnsi="宋体" w:eastAsia="仿宋_GB2312" w:cs="宋体"/>
          <w:sz w:val="32"/>
          <w:szCs w:val="21"/>
        </w:rPr>
        <w:t>对于</w:t>
      </w:r>
      <w:r>
        <w:rPr>
          <w:rFonts w:hint="eastAsia" w:ascii="仿宋_GB2312" w:hAnsi="黑体" w:eastAsia="仿宋_GB2312"/>
          <w:sz w:val="32"/>
          <w:szCs w:val="32"/>
        </w:rPr>
        <w:t>信用等级为</w:t>
      </w:r>
      <w:r>
        <w:rPr>
          <w:rFonts w:ascii="宋体" w:hAnsi="宋体" w:eastAsia="仿宋_GB2312" w:cs="宋体"/>
          <w:sz w:val="32"/>
          <w:szCs w:val="21"/>
        </w:rPr>
        <w:t>B</w:t>
      </w:r>
      <w:r>
        <w:rPr>
          <w:rFonts w:hint="eastAsia" w:ascii="宋体" w:hAnsi="宋体" w:eastAsia="仿宋_GB2312" w:cs="宋体"/>
          <w:sz w:val="32"/>
          <w:szCs w:val="21"/>
        </w:rPr>
        <w:t>级以下的物业服务企业，自信用等级公布之日起一年内，注册地物业管理行政主管部门不出具该企业诚信证明、不得参加各类表彰奖励和媒体推介及服务项目创优；企业有不良信息的，应责令限期整改，约谈企业法定代表人。</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对于信用等级为</w:t>
      </w:r>
      <w:r>
        <w:rPr>
          <w:rFonts w:ascii="宋体" w:hAnsi="宋体" w:eastAsia="仿宋_GB2312" w:cs="宋体"/>
          <w:sz w:val="32"/>
          <w:szCs w:val="21"/>
        </w:rPr>
        <w:t>C</w:t>
      </w:r>
      <w:r>
        <w:rPr>
          <w:rFonts w:hint="eastAsia" w:ascii="宋体" w:hAnsi="宋体" w:eastAsia="仿宋_GB2312" w:cs="宋体"/>
          <w:sz w:val="32"/>
          <w:szCs w:val="21"/>
        </w:rPr>
        <w:t>级的物业服务企业，除采取前款的措施外，还可以自信用等级公布之日起一年内采取以下措施：</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（一）在日常监管中列为重点监管对象，增加现场检查、核查频次；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（二）未参加信用管理和不合格企业在参与新区前期物业管理招投标时按不低于5-10分予以扣分，列入黑名单的企业取消其参与新区前期物业管理投标资格；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（三）告知新区公共资源交易机构和相应财政管理部门,依法取消或限制其参与新区项目投标资格;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（四）企业及项目负责人不得参与物业管理专家、先进工作者等评选，并载入个人信用信息档案；</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（五）要求其法定代表人或者主要负责人限期接受</w:t>
      </w:r>
      <w:r>
        <w:rPr>
          <w:rFonts w:hint="eastAsia" w:ascii="宋体" w:hAnsi="宋体" w:eastAsia="仿宋_GB2312" w:cs="宋体"/>
          <w:sz w:val="32"/>
          <w:szCs w:val="21"/>
        </w:rPr>
        <w:t>新城物业管理行政主管部门</w:t>
      </w:r>
      <w:r>
        <w:rPr>
          <w:rFonts w:hint="eastAsia" w:ascii="仿宋_GB2312" w:hAnsi="仿宋" w:eastAsia="仿宋_GB2312" w:cs="仿宋"/>
          <w:sz w:val="32"/>
          <w:szCs w:val="32"/>
        </w:rPr>
        <w:t>组织的信用合规培训并通过考试，督促其提升守法意识、职业操守和执业能力；</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（六）按照规定可以采取的其他惩戒措施。</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对于信用等级为</w:t>
      </w:r>
      <w:r>
        <w:rPr>
          <w:rFonts w:ascii="宋体" w:hAnsi="宋体" w:eastAsia="仿宋_GB2312" w:cs="宋体"/>
          <w:sz w:val="32"/>
          <w:szCs w:val="21"/>
        </w:rPr>
        <w:t>C</w:t>
      </w:r>
      <w:r>
        <w:rPr>
          <w:rFonts w:hint="eastAsia" w:ascii="宋体" w:hAnsi="宋体" w:eastAsia="仿宋_GB2312" w:cs="宋体"/>
          <w:sz w:val="32"/>
          <w:szCs w:val="21"/>
        </w:rPr>
        <w:t>级的外地物业服务企业，应当将其信用等级及有关信用信息通报企业工商注册地的物业管理行政主管部门。</w:t>
      </w:r>
    </w:p>
    <w:p>
      <w:pPr>
        <w:spacing w:line="560" w:lineRule="exact"/>
        <w:ind w:firstLine="707" w:firstLineChars="221"/>
        <w:rPr>
          <w:rFonts w:ascii="宋体" w:hAnsi="宋体" w:eastAsia="仿宋_GB2312" w:cs="宋体"/>
          <w:sz w:val="32"/>
          <w:szCs w:val="21"/>
        </w:rPr>
      </w:pPr>
      <w:r>
        <w:rPr>
          <w:rFonts w:hint="eastAsia" w:ascii="黑体" w:hAnsi="黑体" w:eastAsia="黑体" w:cs="宋体"/>
          <w:sz w:val="32"/>
          <w:szCs w:val="21"/>
        </w:rPr>
        <w:t>第二十四条</w:t>
      </w:r>
      <w:r>
        <w:rPr>
          <w:rFonts w:hint="eastAsia" w:ascii="宋体" w:hAnsi="宋体" w:eastAsia="仿宋_GB2312" w:cs="宋体"/>
          <w:sz w:val="32"/>
          <w:szCs w:val="21"/>
        </w:rPr>
        <w:t>物业服务企业有严重失信信息的，自信息认定之日起两年内，除采取第二十二条的措施外，还可以采取下列措施：</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（一）在政府、部门或行业网站等有关平台公示；</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（二）不得参加物业管理行政主管部门组织的各类表彰奖励活动；</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（三）不得享受财政资金补助等政策扶持；</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（四）抄告新区公共资源交易服务管理机构，不得参加新区前期物业管理项目招标活动；</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（五）撤销相关荣誉称号；</w:t>
      </w:r>
    </w:p>
    <w:p>
      <w:pPr>
        <w:spacing w:line="560" w:lineRule="exact"/>
        <w:ind w:firstLine="707" w:firstLineChars="221"/>
        <w:rPr>
          <w:rFonts w:ascii="宋体" w:hAnsi="宋体" w:eastAsia="仿宋_GB2312" w:cs="宋体"/>
          <w:sz w:val="32"/>
          <w:szCs w:val="21"/>
        </w:rPr>
      </w:pPr>
      <w:r>
        <w:rPr>
          <w:rFonts w:hint="eastAsia" w:ascii="宋体" w:hAnsi="宋体" w:eastAsia="仿宋_GB2312" w:cs="宋体"/>
          <w:sz w:val="32"/>
          <w:szCs w:val="21"/>
        </w:rPr>
        <w:t>（六）依法、依规可以采取的其他措施。</w:t>
      </w:r>
    </w:p>
    <w:p>
      <w:pPr>
        <w:spacing w:line="560" w:lineRule="exact"/>
        <w:rPr>
          <w:rFonts w:ascii="黑体" w:hAnsi="黑体" w:eastAsia="黑体"/>
          <w:sz w:val="32"/>
          <w:szCs w:val="32"/>
        </w:rPr>
      </w:pPr>
      <w:r>
        <w:rPr>
          <w:rFonts w:hint="eastAsia" w:ascii="仿宋_GB2312" w:hAnsi="仿宋" w:eastAsia="仿宋_GB2312" w:cs="仿宋"/>
          <w:sz w:val="32"/>
          <w:szCs w:val="32"/>
        </w:rPr>
        <w:t xml:space="preserve">    物业服务企业存在严重违法行为、涉黑涉恶等情形，对其企业及相关项目负责人，5年内禁止在新区从事物业管理相关工作；情节严重，造成严重后果的，终身禁止在新区从事物业管理相关工作，并向相关主管部门推送失信信息。</w:t>
      </w:r>
    </w:p>
    <w:p>
      <w:pPr>
        <w:spacing w:line="560" w:lineRule="exact"/>
        <w:jc w:val="center"/>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第五章附则</w:t>
      </w:r>
    </w:p>
    <w:p>
      <w:pPr>
        <w:spacing w:line="560" w:lineRule="exact"/>
        <w:rPr>
          <w:rFonts w:ascii="微软雅黑" w:hAnsi="微软雅黑" w:eastAsia="微软雅黑"/>
          <w:color w:val="000000"/>
          <w:sz w:val="27"/>
          <w:szCs w:val="27"/>
          <w:highlight w:val="yellow"/>
        </w:rPr>
      </w:pPr>
      <w:r>
        <w:rPr>
          <w:rFonts w:hint="eastAsia" w:ascii="黑体" w:hAnsi="黑体" w:eastAsia="黑体"/>
          <w:sz w:val="32"/>
          <w:szCs w:val="32"/>
        </w:rPr>
        <w:t xml:space="preserve">    第二十五条 </w:t>
      </w:r>
      <w:r>
        <w:rPr>
          <w:rFonts w:hint="eastAsia" w:ascii="仿宋_GB2312" w:hAnsi="黑体" w:eastAsia="仿宋_GB2312"/>
          <w:sz w:val="32"/>
          <w:szCs w:val="32"/>
        </w:rPr>
        <w:t>相关部门工作人员在物业服务企业信用信息管理工作中玩忽职守、滥用职权、徇私舞弊的，由有权机关责令改正，对其主管人员和直接责任人员依法给予行政处分。</w:t>
      </w:r>
    </w:p>
    <w:p>
      <w:pPr>
        <w:spacing w:line="560" w:lineRule="exact"/>
        <w:ind w:firstLine="707" w:firstLineChars="221"/>
        <w:rPr>
          <w:rFonts w:ascii="仿宋_GB2312" w:hAnsi="黑体" w:eastAsia="仿宋_GB2312"/>
          <w:sz w:val="32"/>
          <w:szCs w:val="32"/>
        </w:rPr>
      </w:pPr>
      <w:r>
        <w:rPr>
          <w:rFonts w:hint="eastAsia" w:ascii="黑体" w:hAnsi="黑体" w:eastAsia="黑体"/>
          <w:sz w:val="32"/>
          <w:szCs w:val="32"/>
        </w:rPr>
        <w:t xml:space="preserve">第二十六条 </w:t>
      </w:r>
      <w:r>
        <w:rPr>
          <w:rFonts w:hint="eastAsia" w:ascii="仿宋_GB2312" w:hAnsi="黑体" w:eastAsia="仿宋_GB2312"/>
          <w:sz w:val="32"/>
          <w:szCs w:val="32"/>
        </w:rPr>
        <w:t>新区物业管理行政主管部门应当结合实际，适时调整信用信息评分标准和信用等级评定标准。</w:t>
      </w:r>
    </w:p>
    <w:p>
      <w:pPr>
        <w:spacing w:line="560" w:lineRule="exact"/>
        <w:ind w:firstLine="707" w:firstLineChars="221"/>
        <w:rPr>
          <w:rFonts w:ascii="黑体" w:hAnsi="黑体" w:eastAsia="黑体"/>
          <w:sz w:val="32"/>
          <w:szCs w:val="32"/>
        </w:rPr>
      </w:pPr>
      <w:r>
        <w:rPr>
          <w:rFonts w:hint="eastAsia" w:ascii="黑体" w:hAnsi="黑体" w:eastAsia="黑体"/>
          <w:sz w:val="32"/>
          <w:szCs w:val="32"/>
        </w:rPr>
        <w:t xml:space="preserve">第二十七条 </w:t>
      </w:r>
      <w:r>
        <w:rPr>
          <w:rFonts w:hint="eastAsia" w:ascii="仿宋_GB2312" w:hAnsi="宋体" w:eastAsia="仿宋_GB2312" w:cs="宋体"/>
          <w:sz w:val="32"/>
          <w:szCs w:val="21"/>
        </w:rPr>
        <w:t>本细则自印发之日起施行,有效期2年。</w:t>
      </w:r>
    </w:p>
    <w:p>
      <w:pPr>
        <w:spacing w:line="560" w:lineRule="exact"/>
      </w:pPr>
    </w:p>
    <w:p>
      <w:pPr>
        <w:spacing w:line="620" w:lineRule="exact"/>
      </w:pPr>
    </w:p>
    <w:p>
      <w:pPr>
        <w:spacing w:line="620" w:lineRule="exact"/>
      </w:pPr>
    </w:p>
    <w:p>
      <w:pPr>
        <w:spacing w:line="620" w:lineRule="exact"/>
      </w:pPr>
    </w:p>
    <w:p>
      <w:pPr>
        <w:spacing w:line="620" w:lineRule="exact"/>
        <w:rPr>
          <w:rFonts w:eastAsiaTheme="minorEastAsia"/>
        </w:rPr>
      </w:pPr>
    </w:p>
    <w:p>
      <w:pPr>
        <w:spacing w:line="620" w:lineRule="exact"/>
        <w:rPr>
          <w:rFonts w:eastAsiaTheme="minorEastAsia"/>
        </w:rPr>
      </w:pPr>
    </w:p>
    <w:p>
      <w:pPr>
        <w:spacing w:line="620" w:lineRule="exact"/>
        <w:rPr>
          <w:rFonts w:eastAsiaTheme="minorEastAsia"/>
        </w:rPr>
      </w:pPr>
    </w:p>
    <w:tbl>
      <w:tblPr>
        <w:tblStyle w:val="10"/>
        <w:tblW w:w="8500" w:type="dxa"/>
        <w:tblInd w:w="100" w:type="dxa"/>
        <w:tblLayout w:type="autofit"/>
        <w:tblCellMar>
          <w:top w:w="0" w:type="dxa"/>
          <w:left w:w="108" w:type="dxa"/>
          <w:bottom w:w="0" w:type="dxa"/>
          <w:right w:w="108" w:type="dxa"/>
        </w:tblCellMar>
      </w:tblPr>
      <w:tblGrid>
        <w:gridCol w:w="1780"/>
        <w:gridCol w:w="2900"/>
        <w:gridCol w:w="3820"/>
      </w:tblGrid>
      <w:tr>
        <w:tblPrEx>
          <w:tblCellMar>
            <w:top w:w="0" w:type="dxa"/>
            <w:left w:w="108" w:type="dxa"/>
            <w:bottom w:w="0" w:type="dxa"/>
            <w:right w:w="108" w:type="dxa"/>
          </w:tblCellMar>
        </w:tblPrEx>
        <w:trPr>
          <w:trHeight w:val="1035" w:hRule="atLeast"/>
        </w:trPr>
        <w:tc>
          <w:tcPr>
            <w:tcW w:w="8500" w:type="dxa"/>
            <w:gridSpan w:val="3"/>
            <w:tcBorders>
              <w:top w:val="nil"/>
              <w:left w:val="nil"/>
              <w:bottom w:val="single" w:color="auto" w:sz="4" w:space="0"/>
              <w:right w:val="nil"/>
            </w:tcBorders>
            <w:shd w:val="clear" w:color="auto" w:fill="auto"/>
            <w:noWrap/>
            <w:vAlign w:val="center"/>
          </w:tcPr>
          <w:p>
            <w:pPr>
              <w:rPr>
                <w:rFonts w:ascii="宋体" w:hAnsi="宋体" w:eastAsia="宋体" w:cs="宋体"/>
                <w:b/>
                <w:bCs/>
                <w:sz w:val="32"/>
                <w:szCs w:val="32"/>
              </w:rPr>
            </w:pPr>
            <w:r>
              <w:rPr>
                <w:rFonts w:hint="eastAsia" w:ascii="宋体" w:hAnsi="宋体" w:eastAsia="宋体" w:cs="宋体"/>
                <w:b/>
                <w:bCs/>
                <w:sz w:val="32"/>
                <w:szCs w:val="32"/>
              </w:rPr>
              <w:t>附件1</w:t>
            </w:r>
          </w:p>
          <w:p>
            <w:pPr>
              <w:jc w:val="center"/>
              <w:rPr>
                <w:rFonts w:ascii="宋体" w:hAnsi="宋体" w:eastAsia="宋体" w:cs="宋体"/>
                <w:b/>
                <w:bCs/>
                <w:sz w:val="40"/>
                <w:szCs w:val="40"/>
              </w:rPr>
            </w:pPr>
            <w:r>
              <w:rPr>
                <w:rFonts w:hint="eastAsia" w:ascii="宋体" w:hAnsi="宋体" w:eastAsia="宋体" w:cs="宋体"/>
                <w:b/>
                <w:bCs/>
                <w:sz w:val="40"/>
                <w:szCs w:val="40"/>
              </w:rPr>
              <w:t>西咸新区物业服务企业基础信息表</w:t>
            </w:r>
          </w:p>
          <w:p>
            <w:pPr>
              <w:jc w:val="center"/>
              <w:rPr>
                <w:rFonts w:ascii="宋体" w:hAnsi="宋体" w:eastAsia="宋体" w:cs="宋体"/>
                <w:b/>
                <w:bCs/>
                <w:sz w:val="40"/>
                <w:szCs w:val="40"/>
              </w:rPr>
            </w:pPr>
          </w:p>
        </w:tc>
      </w:tr>
      <w:tr>
        <w:tblPrEx>
          <w:tblCellMar>
            <w:top w:w="0" w:type="dxa"/>
            <w:left w:w="108" w:type="dxa"/>
            <w:bottom w:w="0" w:type="dxa"/>
            <w:right w:w="108" w:type="dxa"/>
          </w:tblCellMar>
        </w:tblPrEx>
        <w:trPr>
          <w:trHeight w:val="600"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信息分类</w:t>
            </w: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信息项目</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信息内容</w:t>
            </w:r>
          </w:p>
        </w:tc>
      </w:tr>
      <w:tr>
        <w:tblPrEx>
          <w:tblCellMar>
            <w:top w:w="0" w:type="dxa"/>
            <w:left w:w="108" w:type="dxa"/>
            <w:bottom w:w="0" w:type="dxa"/>
            <w:right w:w="108" w:type="dxa"/>
          </w:tblCellMar>
        </w:tblPrEx>
        <w:trPr>
          <w:trHeight w:val="402" w:hRule="atLeast"/>
        </w:trPr>
        <w:tc>
          <w:tcPr>
            <w:tcW w:w="17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一、企业相关信息（20分）</w:t>
            </w: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企业名称</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企业住所</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统一社会信用代码</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法定代表人</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注册资本</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成立日期</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营业期限</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登记机关</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企业业绩</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联系方式</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二、项目接管信息（20分）</w:t>
            </w: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项目1名称</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项目地址</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办公地点</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占地面积</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建筑面积</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容积率</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物业类型</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小区户数</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开发单位</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委托单位</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委托期限</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项目负责人</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合同期限</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收费标准</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项目2名称</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项目3名称</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三、企业人员信息（20分）</w:t>
            </w:r>
          </w:p>
        </w:tc>
        <w:tc>
          <w:tcPr>
            <w:tcW w:w="2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1.法定代表人姓名</w:t>
            </w:r>
          </w:p>
        </w:tc>
        <w:tc>
          <w:tcPr>
            <w:tcW w:w="38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身份证</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联系电话</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2.企业总经理姓名</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身份证</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联系电话</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3.项目总经理1姓名</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身份证</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联系电话</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项目负责人2姓名</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项目负责人3姓名</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4.企业其他高管人员</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（1）职务</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姓名</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身份证</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联系电话</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（2）职务</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（3）职务</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四、备案相关信息（20分）</w:t>
            </w: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申报日期</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年   月   日</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申报人员</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02"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联系电话</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1020"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企业法定代表人、分公司负责人确认备案信息情况</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825" w:hRule="atLeast"/>
        </w:trPr>
        <w:tc>
          <w:tcPr>
            <w:tcW w:w="178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项目负责人到新城主管部门确认备案信息情况</w:t>
            </w:r>
          </w:p>
        </w:tc>
        <w:tc>
          <w:tcPr>
            <w:tcW w:w="382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　</w:t>
            </w:r>
          </w:p>
        </w:tc>
      </w:tr>
      <w:tr>
        <w:tblPrEx>
          <w:tblCellMar>
            <w:top w:w="0" w:type="dxa"/>
            <w:left w:w="108" w:type="dxa"/>
            <w:bottom w:w="0" w:type="dxa"/>
            <w:right w:w="108" w:type="dxa"/>
          </w:tblCellMar>
        </w:tblPrEx>
        <w:trPr>
          <w:trHeight w:val="480" w:hRule="atLeast"/>
        </w:trPr>
        <w:tc>
          <w:tcPr>
            <w:tcW w:w="17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五、其他相关信息（20分）</w:t>
            </w: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主动向社会书面作出企业信用承诺</w:t>
            </w:r>
          </w:p>
        </w:tc>
        <w:tc>
          <w:tcPr>
            <w:tcW w:w="382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480" w:hRule="atLeast"/>
        </w:trPr>
        <w:tc>
          <w:tcPr>
            <w:tcW w:w="178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rPr>
            </w:pPr>
          </w:p>
        </w:tc>
        <w:tc>
          <w:tcPr>
            <w:tcW w:w="29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rPr>
            </w:pPr>
            <w:r>
              <w:rPr>
                <w:rFonts w:hint="eastAsia" w:ascii="宋体" w:hAnsi="宋体" w:eastAsia="宋体" w:cs="宋体"/>
              </w:rPr>
              <w:t>主动向行业书面作出行业自律承诺</w:t>
            </w:r>
          </w:p>
        </w:tc>
        <w:tc>
          <w:tcPr>
            <w:tcW w:w="3820" w:type="dxa"/>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ascii="宋体" w:hAnsi="宋体" w:eastAsia="宋体" w:cs="宋体"/>
                <w:sz w:val="24"/>
                <w:szCs w:val="24"/>
              </w:rPr>
              <w:t>　</w:t>
            </w:r>
          </w:p>
        </w:tc>
      </w:tr>
    </w:tbl>
    <w:p/>
    <w:p>
      <w:pPr>
        <w:sectPr>
          <w:footerReference r:id="rId3" w:type="default"/>
          <w:pgSz w:w="11906" w:h="16838"/>
          <w:pgMar w:top="1440" w:right="1800" w:bottom="1440" w:left="1800" w:header="851" w:footer="992" w:gutter="0"/>
          <w:cols w:space="425" w:num="1"/>
          <w:docGrid w:type="lines" w:linePitch="312" w:charSpace="0"/>
        </w:sectPr>
      </w:pPr>
    </w:p>
    <w:p>
      <w:pPr>
        <w:spacing w:line="400" w:lineRule="exact"/>
        <w:rPr>
          <w:rFonts w:ascii="黑体" w:hAnsi="黑体" w:eastAsia="黑体"/>
          <w:sz w:val="32"/>
          <w:szCs w:val="32"/>
        </w:rPr>
      </w:pPr>
      <w:r>
        <w:rPr>
          <w:rFonts w:hint="eastAsia" w:ascii="黑体" w:hAnsi="黑体" w:eastAsia="黑体"/>
          <w:sz w:val="32"/>
          <w:szCs w:val="32"/>
        </w:rPr>
        <w:t>附件2</w:t>
      </w:r>
    </w:p>
    <w:p>
      <w:pPr>
        <w:spacing w:line="400" w:lineRule="exact"/>
        <w:rPr>
          <w:rFonts w:ascii="黑体" w:hAnsi="黑体" w:eastAsia="黑体"/>
          <w:sz w:val="32"/>
          <w:szCs w:val="32"/>
        </w:rPr>
      </w:pPr>
    </w:p>
    <w:p>
      <w:pPr>
        <w:spacing w:line="420" w:lineRule="atLeast"/>
        <w:jc w:val="center"/>
        <w:rPr>
          <w:rFonts w:ascii="方正小标宋简体" w:hAnsi="黑体" w:eastAsia="方正小标宋简体"/>
          <w:sz w:val="36"/>
          <w:szCs w:val="36"/>
        </w:rPr>
      </w:pPr>
      <w:r>
        <w:rPr>
          <w:rFonts w:hint="eastAsia" w:ascii="方正小标宋简体" w:hAnsi="黑体" w:eastAsia="方正小标宋简体"/>
          <w:sz w:val="36"/>
          <w:szCs w:val="36"/>
        </w:rPr>
        <w:t>西咸新区物业服务企业信用评分标准（基础信息）</w:t>
      </w:r>
    </w:p>
    <w:p>
      <w:pPr>
        <w:spacing w:line="420" w:lineRule="atLeast"/>
        <w:rPr>
          <w:rFonts w:ascii="Times New Roman" w:hAnsi="Times New Roman" w:eastAsia="宋体"/>
          <w:szCs w:val="24"/>
        </w:rPr>
      </w:pPr>
    </w:p>
    <w:tbl>
      <w:tblPr>
        <w:tblStyle w:val="10"/>
        <w:tblW w:w="14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3118"/>
        <w:gridCol w:w="4394"/>
        <w:gridCol w:w="3119"/>
        <w:gridCol w:w="1134"/>
        <w:gridCol w:w="127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71" w:type="dxa"/>
            <w:shd w:val="clear" w:color="auto" w:fill="FFFFFF"/>
            <w:vAlign w:val="center"/>
          </w:tcPr>
          <w:p>
            <w:pPr>
              <w:jc w:val="center"/>
              <w:rPr>
                <w:rFonts w:ascii="黑体" w:hAnsi="黑体" w:eastAsia="黑体"/>
                <w:szCs w:val="24"/>
              </w:rPr>
            </w:pPr>
            <w:r>
              <w:rPr>
                <w:rFonts w:hint="eastAsia" w:ascii="黑体" w:hAnsi="黑体" w:eastAsia="黑体"/>
                <w:szCs w:val="24"/>
              </w:rPr>
              <w:t>序号</w:t>
            </w:r>
          </w:p>
        </w:tc>
        <w:tc>
          <w:tcPr>
            <w:tcW w:w="3118" w:type="dxa"/>
            <w:shd w:val="clear" w:color="auto" w:fill="FFFFFF"/>
            <w:vAlign w:val="center"/>
          </w:tcPr>
          <w:p>
            <w:pPr>
              <w:jc w:val="center"/>
              <w:rPr>
                <w:rFonts w:ascii="黑体" w:hAnsi="黑体" w:eastAsia="黑体"/>
                <w:szCs w:val="24"/>
              </w:rPr>
            </w:pPr>
            <w:r>
              <w:rPr>
                <w:rFonts w:hint="eastAsia" w:ascii="黑体" w:hAnsi="黑体" w:eastAsia="黑体"/>
                <w:szCs w:val="24"/>
              </w:rPr>
              <w:t>基础信息</w:t>
            </w:r>
          </w:p>
        </w:tc>
        <w:tc>
          <w:tcPr>
            <w:tcW w:w="4394" w:type="dxa"/>
            <w:shd w:val="clear" w:color="auto" w:fill="FFFFFF"/>
            <w:vAlign w:val="center"/>
          </w:tcPr>
          <w:p>
            <w:pPr>
              <w:jc w:val="center"/>
              <w:rPr>
                <w:rFonts w:ascii="黑体" w:hAnsi="黑体" w:eastAsia="黑体"/>
                <w:szCs w:val="24"/>
              </w:rPr>
            </w:pPr>
            <w:r>
              <w:rPr>
                <w:rFonts w:hint="eastAsia" w:ascii="黑体" w:hAnsi="黑体" w:eastAsia="黑体"/>
                <w:szCs w:val="24"/>
              </w:rPr>
              <w:t>计分内容</w:t>
            </w:r>
          </w:p>
        </w:tc>
        <w:tc>
          <w:tcPr>
            <w:tcW w:w="3119" w:type="dxa"/>
            <w:shd w:val="clear" w:color="auto" w:fill="FFFFFF"/>
            <w:vAlign w:val="center"/>
          </w:tcPr>
          <w:p>
            <w:pPr>
              <w:jc w:val="center"/>
              <w:rPr>
                <w:rFonts w:ascii="黑体" w:hAnsi="黑体" w:eastAsia="黑体"/>
                <w:szCs w:val="24"/>
              </w:rPr>
            </w:pPr>
            <w:r>
              <w:rPr>
                <w:rFonts w:hint="eastAsia" w:ascii="黑体" w:hAnsi="黑体" w:eastAsia="黑体"/>
                <w:szCs w:val="24"/>
              </w:rPr>
              <w:t>计分值</w:t>
            </w:r>
          </w:p>
        </w:tc>
        <w:tc>
          <w:tcPr>
            <w:tcW w:w="1134" w:type="dxa"/>
            <w:shd w:val="clear" w:color="auto" w:fill="FFFFFF"/>
            <w:vAlign w:val="center"/>
          </w:tcPr>
          <w:p>
            <w:pPr>
              <w:jc w:val="center"/>
              <w:rPr>
                <w:rFonts w:ascii="黑体" w:hAnsi="黑体" w:eastAsia="黑体"/>
                <w:szCs w:val="24"/>
              </w:rPr>
            </w:pPr>
            <w:r>
              <w:rPr>
                <w:rFonts w:hint="eastAsia" w:ascii="黑体" w:hAnsi="黑体" w:eastAsia="黑体"/>
                <w:szCs w:val="24"/>
              </w:rPr>
              <w:t>计分</w:t>
            </w:r>
          </w:p>
          <w:p>
            <w:pPr>
              <w:jc w:val="center"/>
              <w:rPr>
                <w:rFonts w:ascii="黑体" w:hAnsi="黑体" w:eastAsia="黑体"/>
                <w:szCs w:val="24"/>
              </w:rPr>
            </w:pPr>
            <w:r>
              <w:rPr>
                <w:rFonts w:hint="eastAsia" w:ascii="黑体" w:hAnsi="黑体" w:eastAsia="黑体"/>
                <w:szCs w:val="24"/>
              </w:rPr>
              <w:t>周期</w:t>
            </w:r>
          </w:p>
        </w:tc>
        <w:tc>
          <w:tcPr>
            <w:tcW w:w="1276" w:type="dxa"/>
            <w:shd w:val="clear" w:color="auto" w:fill="FFFFFF"/>
            <w:vAlign w:val="center"/>
          </w:tcPr>
          <w:p>
            <w:pPr>
              <w:jc w:val="center"/>
              <w:rPr>
                <w:rFonts w:ascii="黑体" w:hAnsi="黑体" w:eastAsia="黑体"/>
                <w:szCs w:val="24"/>
              </w:rPr>
            </w:pPr>
            <w:r>
              <w:rPr>
                <w:rFonts w:hint="eastAsia" w:ascii="黑体" w:hAnsi="黑体" w:eastAsia="黑体"/>
                <w:szCs w:val="24"/>
              </w:rPr>
              <w:t>征信渠道（依据）</w:t>
            </w:r>
          </w:p>
        </w:tc>
        <w:tc>
          <w:tcPr>
            <w:tcW w:w="636" w:type="dxa"/>
            <w:shd w:val="clear" w:color="auto" w:fill="FFFFFF"/>
            <w:vAlign w:val="center"/>
          </w:tcPr>
          <w:p>
            <w:pPr>
              <w:jc w:val="center"/>
              <w:rPr>
                <w:rFonts w:ascii="黑体" w:hAnsi="黑体" w:eastAsia="黑体"/>
                <w:szCs w:val="24"/>
              </w:rPr>
            </w:pPr>
            <w:r>
              <w:rPr>
                <w:rFonts w:hint="eastAsia" w:ascii="黑体" w:hAnsi="黑体" w:eastAsia="黑体"/>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71" w:type="dxa"/>
            <w:vMerge w:val="restart"/>
            <w:shd w:val="clear" w:color="auto" w:fill="FFFFFF"/>
            <w:vAlign w:val="center"/>
          </w:tcPr>
          <w:p>
            <w:pPr>
              <w:jc w:val="center"/>
              <w:rPr>
                <w:rFonts w:ascii="Times New Roman" w:hAnsi="Times New Roman" w:eastAsia="宋体"/>
                <w:szCs w:val="24"/>
              </w:rPr>
            </w:pPr>
            <w:r>
              <w:rPr>
                <w:rFonts w:ascii="Times New Roman" w:hAnsi="Times New Roman" w:eastAsia="宋体"/>
                <w:szCs w:val="24"/>
              </w:rPr>
              <w:t>1</w:t>
            </w:r>
          </w:p>
        </w:tc>
        <w:tc>
          <w:tcPr>
            <w:tcW w:w="3118" w:type="dxa"/>
            <w:vMerge w:val="restart"/>
            <w:shd w:val="clear" w:color="auto" w:fill="FFFFFF"/>
            <w:vAlign w:val="center"/>
          </w:tcPr>
          <w:p>
            <w:pPr>
              <w:rPr>
                <w:rFonts w:ascii="Times New Roman" w:hAnsi="Times New Roman" w:eastAsia="宋体"/>
                <w:szCs w:val="24"/>
              </w:rPr>
            </w:pPr>
            <w:r>
              <w:rPr>
                <w:rFonts w:hint="eastAsia" w:ascii="Times New Roman" w:hAnsi="Times New Roman" w:eastAsia="宋体"/>
                <w:szCs w:val="24"/>
              </w:rPr>
              <w:t>企业注册信息、从业人员信息和经营业绩等信息填写完整、准确（100分）</w:t>
            </w:r>
          </w:p>
        </w:tc>
        <w:tc>
          <w:tcPr>
            <w:tcW w:w="4394" w:type="dxa"/>
            <w:shd w:val="clear" w:color="auto" w:fill="FFFFFF"/>
            <w:vAlign w:val="center"/>
          </w:tcPr>
          <w:p>
            <w:pPr>
              <w:rPr>
                <w:rFonts w:ascii="Times New Roman" w:hAnsi="Times New Roman" w:eastAsia="宋体"/>
                <w:szCs w:val="24"/>
              </w:rPr>
            </w:pPr>
            <w:r>
              <w:rPr>
                <w:rFonts w:hint="eastAsia" w:ascii="Times New Roman" w:hAnsi="Times New Roman" w:eastAsia="宋体"/>
                <w:szCs w:val="24"/>
              </w:rPr>
              <w:t>虚报基础信息的，由新城住建主管部门督促限期改正，逾期不改正的，按条减分</w:t>
            </w:r>
          </w:p>
        </w:tc>
        <w:tc>
          <w:tcPr>
            <w:tcW w:w="3119"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1</w:t>
            </w:r>
          </w:p>
        </w:tc>
        <w:tc>
          <w:tcPr>
            <w:tcW w:w="1134" w:type="dxa"/>
            <w:vMerge w:val="restart"/>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当期</w:t>
            </w:r>
          </w:p>
        </w:tc>
        <w:tc>
          <w:tcPr>
            <w:tcW w:w="1276" w:type="dxa"/>
            <w:vMerge w:val="restart"/>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信用信息系统检查、主管部门监督检查</w:t>
            </w:r>
          </w:p>
        </w:tc>
        <w:tc>
          <w:tcPr>
            <w:tcW w:w="636" w:type="dxa"/>
            <w:vMerge w:val="restart"/>
            <w:shd w:val="clear" w:color="auto" w:fill="FFFFFF"/>
            <w:vAlign w:val="center"/>
          </w:tcPr>
          <w:p>
            <w:pPr>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71" w:type="dxa"/>
            <w:vMerge w:val="continue"/>
            <w:shd w:val="clear" w:color="auto" w:fill="FFFFFF"/>
            <w:vAlign w:val="center"/>
          </w:tcPr>
          <w:p>
            <w:pPr>
              <w:jc w:val="center"/>
              <w:rPr>
                <w:rFonts w:ascii="Times New Roman" w:hAnsi="Times New Roman" w:eastAsia="宋体"/>
                <w:szCs w:val="24"/>
              </w:rPr>
            </w:pPr>
          </w:p>
        </w:tc>
        <w:tc>
          <w:tcPr>
            <w:tcW w:w="3118" w:type="dxa"/>
            <w:vMerge w:val="continue"/>
            <w:shd w:val="clear" w:color="auto" w:fill="FFFFFF"/>
            <w:vAlign w:val="center"/>
          </w:tcPr>
          <w:p>
            <w:pPr>
              <w:jc w:val="center"/>
              <w:rPr>
                <w:rFonts w:ascii="Times New Roman" w:hAnsi="Times New Roman" w:eastAsia="宋体"/>
                <w:szCs w:val="24"/>
              </w:rPr>
            </w:pPr>
          </w:p>
        </w:tc>
        <w:tc>
          <w:tcPr>
            <w:tcW w:w="4394" w:type="dxa"/>
            <w:shd w:val="clear" w:color="auto" w:fill="FFFFFF"/>
            <w:vAlign w:val="center"/>
          </w:tcPr>
          <w:p>
            <w:pPr>
              <w:rPr>
                <w:rFonts w:ascii="Times New Roman" w:hAnsi="Times New Roman" w:eastAsia="宋体"/>
                <w:szCs w:val="24"/>
              </w:rPr>
            </w:pPr>
            <w:r>
              <w:rPr>
                <w:rFonts w:hint="eastAsia" w:ascii="Times New Roman" w:hAnsi="Times New Roman" w:eastAsia="宋体"/>
                <w:szCs w:val="24"/>
              </w:rPr>
              <w:t>漏填管理项目的，由新城住建主管部门督促限期改正，逾期不改正的，对比企业在管项目总数，按比例减分</w:t>
            </w:r>
          </w:p>
        </w:tc>
        <w:tc>
          <w:tcPr>
            <w:tcW w:w="3119"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漏填数</w:t>
            </w:r>
            <w:r>
              <w:rPr>
                <w:rFonts w:hint="eastAsia" w:ascii="仿宋_GB2312" w:hAnsi="Times New Roman" w:eastAsia="仿宋_GB2312"/>
                <w:szCs w:val="24"/>
              </w:rPr>
              <w:t>÷</w:t>
            </w:r>
            <w:r>
              <w:rPr>
                <w:rFonts w:hint="eastAsia" w:ascii="Times New Roman" w:hAnsi="Times New Roman" w:eastAsia="宋体"/>
                <w:szCs w:val="24"/>
              </w:rPr>
              <w:t>在管项目总数</w:t>
            </w:r>
            <w:r>
              <w:rPr>
                <w:rFonts w:hint="eastAsia" w:ascii="仿宋_GB2312" w:hAnsi="Times New Roman" w:eastAsia="仿宋_GB2312"/>
                <w:szCs w:val="24"/>
              </w:rPr>
              <w:t>×</w:t>
            </w:r>
            <w:r>
              <w:rPr>
                <w:rFonts w:hint="eastAsia" w:ascii="Times New Roman" w:hAnsi="Times New Roman" w:eastAsia="宋体"/>
                <w:szCs w:val="24"/>
              </w:rPr>
              <w:t>100</w:t>
            </w:r>
          </w:p>
          <w:p>
            <w:pPr>
              <w:jc w:val="center"/>
              <w:rPr>
                <w:rFonts w:ascii="Times New Roman" w:hAnsi="Times New Roman" w:eastAsia="宋体"/>
                <w:szCs w:val="24"/>
              </w:rPr>
            </w:pPr>
            <w:r>
              <w:rPr>
                <w:rFonts w:hint="eastAsia" w:ascii="Times New Roman" w:hAnsi="Times New Roman" w:eastAsia="宋体"/>
                <w:szCs w:val="24"/>
              </w:rPr>
              <w:t>(分值四舍五入)</w:t>
            </w:r>
          </w:p>
        </w:tc>
        <w:tc>
          <w:tcPr>
            <w:tcW w:w="1134" w:type="dxa"/>
            <w:vMerge w:val="continue"/>
            <w:shd w:val="clear" w:color="auto" w:fill="FFFFFF"/>
            <w:vAlign w:val="center"/>
          </w:tcPr>
          <w:p>
            <w:pPr>
              <w:jc w:val="center"/>
              <w:rPr>
                <w:rFonts w:ascii="Times New Roman" w:hAnsi="Times New Roman" w:eastAsia="宋体"/>
                <w:szCs w:val="24"/>
              </w:rPr>
            </w:pPr>
          </w:p>
        </w:tc>
        <w:tc>
          <w:tcPr>
            <w:tcW w:w="1276" w:type="dxa"/>
            <w:vMerge w:val="continue"/>
            <w:shd w:val="clear" w:color="auto" w:fill="FFFFFF"/>
            <w:vAlign w:val="center"/>
          </w:tcPr>
          <w:p>
            <w:pPr>
              <w:jc w:val="center"/>
              <w:rPr>
                <w:rFonts w:ascii="Times New Roman" w:hAnsi="Times New Roman" w:eastAsia="宋体"/>
                <w:szCs w:val="24"/>
              </w:rPr>
            </w:pPr>
          </w:p>
        </w:tc>
        <w:tc>
          <w:tcPr>
            <w:tcW w:w="636" w:type="dxa"/>
            <w:vMerge w:val="continue"/>
            <w:shd w:val="clear" w:color="auto" w:fill="FFFFFF"/>
            <w:vAlign w:val="center"/>
          </w:tcPr>
          <w:p>
            <w:pPr>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571" w:type="dxa"/>
            <w:shd w:val="clear" w:color="auto" w:fill="FFFFFF"/>
            <w:vAlign w:val="center"/>
          </w:tcPr>
          <w:p>
            <w:pPr>
              <w:jc w:val="center"/>
              <w:rPr>
                <w:rFonts w:ascii="Times New Roman" w:hAnsi="Times New Roman" w:eastAsia="宋体"/>
                <w:szCs w:val="24"/>
              </w:rPr>
            </w:pPr>
            <w:r>
              <w:rPr>
                <w:rFonts w:ascii="Times New Roman" w:hAnsi="Times New Roman" w:eastAsia="宋体"/>
                <w:szCs w:val="24"/>
              </w:rPr>
              <w:t>2</w:t>
            </w:r>
          </w:p>
        </w:tc>
        <w:tc>
          <w:tcPr>
            <w:tcW w:w="3118" w:type="dxa"/>
            <w:shd w:val="clear" w:color="auto" w:fill="FFFFFF"/>
            <w:vAlign w:val="center"/>
          </w:tcPr>
          <w:p>
            <w:pPr>
              <w:rPr>
                <w:rFonts w:ascii="Times New Roman" w:hAnsi="Times New Roman" w:eastAsia="宋体"/>
                <w:szCs w:val="24"/>
              </w:rPr>
            </w:pPr>
            <w:r>
              <w:rPr>
                <w:rFonts w:hint="eastAsia" w:ascii="Times New Roman" w:hAnsi="Times New Roman" w:eastAsia="宋体"/>
                <w:szCs w:val="24"/>
              </w:rPr>
              <w:t>主动向社会书面作出企业信用承诺（10分）</w:t>
            </w:r>
          </w:p>
        </w:tc>
        <w:tc>
          <w:tcPr>
            <w:tcW w:w="4394"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作出书面承诺的加分</w:t>
            </w:r>
          </w:p>
        </w:tc>
        <w:tc>
          <w:tcPr>
            <w:tcW w:w="3119"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10</w:t>
            </w:r>
          </w:p>
        </w:tc>
        <w:tc>
          <w:tcPr>
            <w:tcW w:w="1134"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公示期内</w:t>
            </w:r>
          </w:p>
        </w:tc>
        <w:tc>
          <w:tcPr>
            <w:tcW w:w="1276"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查验承诺书</w:t>
            </w:r>
          </w:p>
        </w:tc>
        <w:tc>
          <w:tcPr>
            <w:tcW w:w="636" w:type="dxa"/>
            <w:shd w:val="clear" w:color="auto" w:fill="FFFFFF"/>
            <w:vAlign w:val="center"/>
          </w:tcPr>
          <w:p>
            <w:pPr>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71" w:type="dxa"/>
            <w:shd w:val="clear" w:color="auto" w:fill="FFFFFF"/>
            <w:vAlign w:val="center"/>
          </w:tcPr>
          <w:p>
            <w:pPr>
              <w:jc w:val="center"/>
              <w:rPr>
                <w:rFonts w:ascii="Times New Roman" w:hAnsi="Times New Roman" w:eastAsia="宋体"/>
                <w:szCs w:val="24"/>
              </w:rPr>
            </w:pPr>
            <w:r>
              <w:rPr>
                <w:rFonts w:ascii="Times New Roman" w:hAnsi="Times New Roman" w:eastAsia="宋体"/>
                <w:szCs w:val="24"/>
              </w:rPr>
              <w:t>3</w:t>
            </w:r>
          </w:p>
        </w:tc>
        <w:tc>
          <w:tcPr>
            <w:tcW w:w="3118" w:type="dxa"/>
            <w:shd w:val="clear" w:color="auto" w:fill="FFFFFF"/>
            <w:vAlign w:val="center"/>
          </w:tcPr>
          <w:p>
            <w:pPr>
              <w:rPr>
                <w:rFonts w:ascii="Times New Roman" w:hAnsi="Times New Roman" w:eastAsia="宋体"/>
                <w:szCs w:val="24"/>
              </w:rPr>
            </w:pPr>
            <w:r>
              <w:rPr>
                <w:rFonts w:hint="eastAsia" w:ascii="Times New Roman" w:hAnsi="Times New Roman" w:eastAsia="宋体"/>
                <w:szCs w:val="24"/>
              </w:rPr>
              <w:t>主动向行业书面作出行业自律承诺（10分）</w:t>
            </w:r>
          </w:p>
        </w:tc>
        <w:tc>
          <w:tcPr>
            <w:tcW w:w="4394"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作出书面承诺的加分</w:t>
            </w:r>
          </w:p>
        </w:tc>
        <w:tc>
          <w:tcPr>
            <w:tcW w:w="3119"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10</w:t>
            </w:r>
          </w:p>
        </w:tc>
        <w:tc>
          <w:tcPr>
            <w:tcW w:w="1134"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公示期内</w:t>
            </w:r>
          </w:p>
        </w:tc>
        <w:tc>
          <w:tcPr>
            <w:tcW w:w="1276"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查验承诺书</w:t>
            </w:r>
          </w:p>
        </w:tc>
        <w:tc>
          <w:tcPr>
            <w:tcW w:w="636" w:type="dxa"/>
            <w:shd w:val="clear" w:color="auto" w:fill="FFFFFF"/>
            <w:vAlign w:val="center"/>
          </w:tcPr>
          <w:p>
            <w:pPr>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336" w:type="dxa"/>
            <w:gridSpan w:val="5"/>
            <w:shd w:val="clear" w:color="auto" w:fill="FFFFFF"/>
            <w:vAlign w:val="center"/>
          </w:tcPr>
          <w:p>
            <w:pPr>
              <w:rPr>
                <w:rFonts w:ascii="Times New Roman" w:hAnsi="Times New Roman" w:eastAsia="宋体"/>
                <w:szCs w:val="24"/>
              </w:rPr>
            </w:pPr>
            <w:r>
              <w:rPr>
                <w:rFonts w:hint="eastAsia" w:ascii="Times New Roman" w:hAnsi="Times New Roman" w:eastAsia="宋体"/>
                <w:szCs w:val="24"/>
              </w:rPr>
              <w:t>说明：序号1的信息由物业服务企业在信用系统自行填报；序号2、3的承诺书由企业提供给新城住建主管部门，在信用系统的网站上公示。</w:t>
            </w:r>
          </w:p>
        </w:tc>
        <w:tc>
          <w:tcPr>
            <w:tcW w:w="1276" w:type="dxa"/>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总得分</w:t>
            </w:r>
          </w:p>
        </w:tc>
        <w:tc>
          <w:tcPr>
            <w:tcW w:w="636" w:type="dxa"/>
            <w:shd w:val="clear" w:color="auto" w:fill="FFFFFF"/>
            <w:vAlign w:val="center"/>
          </w:tcPr>
          <w:p>
            <w:pPr>
              <w:jc w:val="center"/>
              <w:rPr>
                <w:rFonts w:ascii="Times New Roman" w:hAnsi="Times New Roman" w:eastAsia="宋体"/>
                <w:szCs w:val="24"/>
              </w:rPr>
            </w:pPr>
          </w:p>
        </w:tc>
      </w:tr>
    </w:tbl>
    <w:p>
      <w:pPr>
        <w:spacing w:line="420" w:lineRule="atLeast"/>
        <w:rPr>
          <w:rFonts w:ascii="Times New Roman" w:hAnsi="Times New Roman" w:eastAsia="宋体"/>
          <w:szCs w:val="24"/>
        </w:rPr>
      </w:pPr>
    </w:p>
    <w:p>
      <w:pPr>
        <w:spacing w:line="420" w:lineRule="atLeast"/>
        <w:rPr>
          <w:rFonts w:ascii="Times New Roman" w:hAnsi="Times New Roman" w:eastAsia="宋体"/>
          <w:szCs w:val="24"/>
        </w:rPr>
        <w:sectPr>
          <w:pgSz w:w="16838" w:h="11906" w:orient="landscape"/>
          <w:pgMar w:top="1797" w:right="1440" w:bottom="1797" w:left="1440" w:header="851" w:footer="992" w:gutter="0"/>
          <w:cols w:space="425" w:num="1"/>
          <w:docGrid w:linePitch="312" w:charSpace="0"/>
        </w:sectPr>
      </w:pPr>
    </w:p>
    <w:p>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企业信用承诺书</w:t>
      </w:r>
    </w:p>
    <w:p>
      <w:pPr>
        <w:spacing w:line="600" w:lineRule="exact"/>
        <w:rPr>
          <w:rFonts w:ascii="仿宋_GB2312" w:hAnsi="Times New Roman" w:eastAsia="仿宋_GB2312"/>
          <w:sz w:val="32"/>
          <w:szCs w:val="32"/>
        </w:rPr>
      </w:pP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为树立守法依规、诚信经营的良好形象，本公司郑重承诺：</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一、严格执行物业管理相关法律法规，坚决做到不违法、不违规。</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二、严格履行物业服务合同约定，为业主提供质价相符的物业管理服务。</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三、严格遵守省、市物业管理条例及西咸新区相关规定，及时劝阻、制止违反法律法规规定和管理规约约定的行为。</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四、严格管理公司员工，做到心系业主、热情服务，不断提高物业管理服务质量。</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五、严格按照《西咸新区物业服务企业信用信息评价管理实施细则》要求，积极配合信用等级评定工作，依法合理提出诉求，坚决接受依法依规作出的信用评价。</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六、同意向社会公开《企业信用承诺书》，接受全社会和广大业主的监督。</w:t>
      </w:r>
    </w:p>
    <w:p>
      <w:pPr>
        <w:spacing w:line="600" w:lineRule="exact"/>
        <w:ind w:firstLine="566" w:firstLineChars="177"/>
        <w:rPr>
          <w:rFonts w:ascii="仿宋_GB2312" w:hAnsi="Times New Roman" w:eastAsia="仿宋_GB2312"/>
          <w:sz w:val="32"/>
          <w:szCs w:val="32"/>
        </w:rPr>
      </w:pPr>
    </w:p>
    <w:p>
      <w:pPr>
        <w:spacing w:line="600" w:lineRule="exact"/>
        <w:ind w:firstLine="1846" w:firstLineChars="577"/>
        <w:rPr>
          <w:rFonts w:ascii="仿宋_GB2312" w:hAnsi="Times New Roman" w:eastAsia="仿宋_GB2312"/>
          <w:sz w:val="32"/>
          <w:szCs w:val="32"/>
          <w:u w:val="single"/>
        </w:rPr>
      </w:pPr>
      <w:r>
        <w:rPr>
          <w:rFonts w:hint="eastAsia" w:ascii="仿宋_GB2312" w:hAnsi="Times New Roman" w:eastAsia="仿宋_GB2312"/>
          <w:sz w:val="32"/>
          <w:szCs w:val="32"/>
        </w:rPr>
        <w:t>承 诺 人：</w:t>
      </w:r>
      <w:r>
        <w:rPr>
          <w:rFonts w:hint="eastAsia" w:ascii="仿宋_GB2312" w:hAnsi="Times New Roman" w:eastAsia="仿宋_GB2312"/>
          <w:sz w:val="32"/>
          <w:szCs w:val="32"/>
          <w:u w:val="single"/>
        </w:rPr>
        <w:t xml:space="preserve">                  （盖章）</w:t>
      </w:r>
    </w:p>
    <w:p>
      <w:pPr>
        <w:spacing w:line="600" w:lineRule="exact"/>
        <w:ind w:firstLine="566" w:firstLineChars="177"/>
        <w:rPr>
          <w:rFonts w:ascii="仿宋_GB2312" w:hAnsi="Times New Roman" w:eastAsia="仿宋_GB2312"/>
          <w:sz w:val="32"/>
          <w:szCs w:val="32"/>
        </w:rPr>
      </w:pPr>
    </w:p>
    <w:p>
      <w:pPr>
        <w:spacing w:line="600" w:lineRule="exact"/>
        <w:ind w:firstLine="1846" w:firstLineChars="577"/>
        <w:rPr>
          <w:rFonts w:ascii="仿宋_GB2312" w:hAnsi="Times New Roman" w:eastAsia="仿宋_GB2312"/>
          <w:sz w:val="32"/>
          <w:szCs w:val="32"/>
        </w:rPr>
      </w:pPr>
      <w:r>
        <w:rPr>
          <w:rFonts w:hint="eastAsia" w:ascii="仿宋_GB2312" w:hAnsi="Times New Roman" w:eastAsia="仿宋_GB2312"/>
          <w:sz w:val="32"/>
          <w:szCs w:val="32"/>
        </w:rPr>
        <w:t>法人代表：</w:t>
      </w:r>
      <w:r>
        <w:rPr>
          <w:rFonts w:hint="eastAsia" w:ascii="仿宋_GB2312" w:hAnsi="Times New Roman" w:eastAsia="仿宋_GB2312"/>
          <w:sz w:val="32"/>
          <w:szCs w:val="32"/>
          <w:u w:val="single"/>
        </w:rPr>
        <w:t xml:space="preserve">                  （签章）</w:t>
      </w:r>
    </w:p>
    <w:p>
      <w:pPr>
        <w:spacing w:line="600" w:lineRule="exact"/>
        <w:ind w:firstLine="566" w:firstLineChars="177"/>
        <w:rPr>
          <w:rFonts w:ascii="仿宋_GB2312" w:hAnsi="Times New Roman" w:eastAsia="仿宋_GB2312"/>
          <w:sz w:val="32"/>
          <w:szCs w:val="32"/>
        </w:rPr>
      </w:pP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行业自律承诺书</w:t>
      </w:r>
    </w:p>
    <w:p>
      <w:pPr>
        <w:spacing w:line="600" w:lineRule="exact"/>
        <w:ind w:firstLine="566" w:firstLineChars="177"/>
        <w:rPr>
          <w:rFonts w:ascii="仿宋_GB2312" w:hAnsi="Times New Roman" w:eastAsia="仿宋_GB2312"/>
          <w:sz w:val="32"/>
          <w:szCs w:val="32"/>
        </w:rPr>
      </w:pP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为营造公平竞争、规范有序的市场环境，本公司郑重承诺：</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一、 严格执行法律法规，坚决抵制不正当竞争行为。</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二、自觉践行行业自律性规范，决不损害同行的合法权益。</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三、遵守合同约定，与业主、业主委员会保持合法、理性的合作关系，不搞利益输送。</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四、遵循市场规律，合法、合理收取物业服务费及相关费用，不向业主、业主委员会作出违背常理的承诺和不切实际的许诺。</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五、积极配合行业自律性评价，坚决接受依照自律性规范作出的相关约束。</w:t>
      </w: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六、同意向社会公开《行业自律承诺书》，接受同行的监督。</w:t>
      </w:r>
    </w:p>
    <w:p>
      <w:pPr>
        <w:spacing w:line="600" w:lineRule="exact"/>
        <w:ind w:firstLine="566" w:firstLineChars="177"/>
        <w:rPr>
          <w:rFonts w:ascii="仿宋_GB2312" w:hAnsi="Times New Roman" w:eastAsia="仿宋_GB2312"/>
          <w:sz w:val="32"/>
          <w:szCs w:val="32"/>
        </w:rPr>
      </w:pPr>
    </w:p>
    <w:p>
      <w:pPr>
        <w:spacing w:line="600" w:lineRule="exact"/>
        <w:ind w:firstLine="566" w:firstLineChars="177"/>
        <w:rPr>
          <w:rFonts w:ascii="仿宋_GB2312" w:hAnsi="Times New Roman" w:eastAsia="仿宋_GB2312"/>
          <w:sz w:val="32"/>
          <w:szCs w:val="32"/>
        </w:rPr>
      </w:pPr>
    </w:p>
    <w:p>
      <w:pPr>
        <w:spacing w:line="600" w:lineRule="exact"/>
        <w:ind w:firstLine="1686" w:firstLineChars="527"/>
        <w:rPr>
          <w:rFonts w:ascii="仿宋_GB2312" w:hAnsi="Times New Roman" w:eastAsia="仿宋_GB2312"/>
          <w:sz w:val="32"/>
          <w:szCs w:val="32"/>
          <w:u w:val="single"/>
        </w:rPr>
      </w:pPr>
      <w:r>
        <w:rPr>
          <w:rFonts w:hint="eastAsia" w:ascii="仿宋_GB2312" w:hAnsi="Times New Roman" w:eastAsia="仿宋_GB2312"/>
          <w:sz w:val="32"/>
          <w:szCs w:val="32"/>
        </w:rPr>
        <w:t>承 诺 人：</w:t>
      </w:r>
      <w:r>
        <w:rPr>
          <w:rFonts w:hint="eastAsia" w:ascii="仿宋_GB2312" w:hAnsi="Times New Roman" w:eastAsia="仿宋_GB2312"/>
          <w:sz w:val="32"/>
          <w:szCs w:val="32"/>
          <w:u w:val="single"/>
        </w:rPr>
        <w:t xml:space="preserve">                （盖章）</w:t>
      </w:r>
    </w:p>
    <w:p>
      <w:pPr>
        <w:spacing w:line="600" w:lineRule="exact"/>
        <w:ind w:firstLine="566" w:firstLineChars="177"/>
        <w:rPr>
          <w:rFonts w:ascii="仿宋_GB2312" w:hAnsi="Times New Roman" w:eastAsia="仿宋_GB2312"/>
          <w:sz w:val="32"/>
          <w:szCs w:val="32"/>
        </w:rPr>
      </w:pPr>
    </w:p>
    <w:p>
      <w:pPr>
        <w:spacing w:line="600" w:lineRule="exact"/>
        <w:ind w:firstLine="1686" w:firstLineChars="527"/>
        <w:rPr>
          <w:rFonts w:ascii="仿宋_GB2312" w:hAnsi="Times New Roman" w:eastAsia="仿宋_GB2312"/>
          <w:sz w:val="32"/>
          <w:szCs w:val="32"/>
        </w:rPr>
      </w:pPr>
      <w:r>
        <w:rPr>
          <w:rFonts w:hint="eastAsia" w:ascii="仿宋_GB2312" w:hAnsi="Times New Roman" w:eastAsia="仿宋_GB2312"/>
          <w:sz w:val="32"/>
          <w:szCs w:val="32"/>
        </w:rPr>
        <w:t>法人代表：</w:t>
      </w:r>
      <w:r>
        <w:rPr>
          <w:rFonts w:hint="eastAsia" w:ascii="仿宋_GB2312" w:hAnsi="Times New Roman" w:eastAsia="仿宋_GB2312"/>
          <w:sz w:val="32"/>
          <w:szCs w:val="32"/>
          <w:u w:val="single"/>
        </w:rPr>
        <w:t xml:space="preserve">                （签章）</w:t>
      </w:r>
    </w:p>
    <w:p>
      <w:pPr>
        <w:spacing w:line="600" w:lineRule="exact"/>
        <w:ind w:firstLine="566" w:firstLineChars="177"/>
        <w:rPr>
          <w:rFonts w:ascii="仿宋_GB2312" w:hAnsi="Times New Roman" w:eastAsia="仿宋_GB2312"/>
          <w:sz w:val="32"/>
          <w:szCs w:val="32"/>
        </w:rPr>
      </w:pPr>
    </w:p>
    <w:p>
      <w:pPr>
        <w:spacing w:line="600" w:lineRule="exact"/>
        <w:ind w:firstLine="566" w:firstLineChars="177"/>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pacing w:line="600" w:lineRule="exact"/>
        <w:ind w:firstLine="354" w:firstLineChars="177"/>
        <w:rPr>
          <w:rFonts w:ascii="Times New Roman" w:hAnsi="Times New Roman" w:eastAsia="宋体"/>
          <w:szCs w:val="24"/>
        </w:rPr>
        <w:sectPr>
          <w:pgSz w:w="11906" w:h="16838"/>
          <w:pgMar w:top="1440" w:right="1797" w:bottom="1440" w:left="1797" w:header="851" w:footer="992" w:gutter="0"/>
          <w:cols w:space="425" w:num="1"/>
          <w:docGrid w:linePitch="312" w:charSpace="0"/>
        </w:sectPr>
      </w:pPr>
    </w:p>
    <w:p>
      <w:pPr>
        <w:spacing w:line="400" w:lineRule="exact"/>
        <w:rPr>
          <w:rFonts w:ascii="黑体" w:hAnsi="黑体" w:eastAsia="黑体"/>
          <w:sz w:val="32"/>
          <w:szCs w:val="32"/>
        </w:rPr>
      </w:pPr>
      <w:r>
        <w:rPr>
          <w:rFonts w:hint="eastAsia" w:ascii="黑体" w:hAnsi="黑体" w:eastAsia="黑体"/>
          <w:sz w:val="32"/>
          <w:szCs w:val="32"/>
        </w:rPr>
        <w:t>附件3</w:t>
      </w:r>
    </w:p>
    <w:p>
      <w:pPr>
        <w:spacing w:line="400" w:lineRule="exact"/>
        <w:rPr>
          <w:rFonts w:ascii="Times New Roman" w:hAnsi="Times New Roman" w:eastAsia="宋体"/>
          <w:sz w:val="28"/>
          <w:szCs w:val="28"/>
        </w:rPr>
      </w:pPr>
    </w:p>
    <w:p>
      <w:pPr>
        <w:spacing w:line="420" w:lineRule="atLeast"/>
        <w:jc w:val="center"/>
        <w:rPr>
          <w:rFonts w:ascii="方正小标宋简体" w:hAnsi="黑体" w:eastAsia="方正小标宋简体"/>
          <w:sz w:val="36"/>
          <w:szCs w:val="36"/>
        </w:rPr>
      </w:pPr>
      <w:r>
        <w:rPr>
          <w:rFonts w:hint="eastAsia" w:ascii="方正小标宋简体" w:hAnsi="黑体" w:eastAsia="方正小标宋简体"/>
          <w:sz w:val="36"/>
          <w:szCs w:val="36"/>
        </w:rPr>
        <w:t>西咸新区物业服务企业信用评分标准（良好信息）</w:t>
      </w:r>
    </w:p>
    <w:p>
      <w:pPr>
        <w:rPr>
          <w:rFonts w:ascii="宋体" w:hAnsi="Times New Roman" w:eastAsia="宋体" w:cs="宋体"/>
          <w:sz w:val="24"/>
          <w:szCs w:val="24"/>
        </w:rPr>
      </w:pPr>
    </w:p>
    <w:tbl>
      <w:tblPr>
        <w:tblStyle w:val="10"/>
        <w:tblW w:w="14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8505"/>
        <w:gridCol w:w="37"/>
        <w:gridCol w:w="1047"/>
        <w:gridCol w:w="615"/>
        <w:gridCol w:w="783"/>
        <w:gridCol w:w="636"/>
        <w:gridCol w:w="1729"/>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29" w:type="dxa"/>
            <w:vMerge w:val="restart"/>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序号</w:t>
            </w:r>
          </w:p>
        </w:tc>
        <w:tc>
          <w:tcPr>
            <w:tcW w:w="9589" w:type="dxa"/>
            <w:gridSpan w:val="3"/>
            <w:vMerge w:val="restart"/>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良好信息</w:t>
            </w:r>
          </w:p>
        </w:tc>
        <w:tc>
          <w:tcPr>
            <w:tcW w:w="1398" w:type="dxa"/>
            <w:gridSpan w:val="2"/>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加分值</w:t>
            </w:r>
          </w:p>
        </w:tc>
        <w:tc>
          <w:tcPr>
            <w:tcW w:w="636" w:type="dxa"/>
            <w:vMerge w:val="restart"/>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计分</w:t>
            </w:r>
          </w:p>
          <w:p>
            <w:pPr>
              <w:spacing w:line="300" w:lineRule="exact"/>
              <w:jc w:val="center"/>
              <w:rPr>
                <w:rFonts w:ascii="黑体" w:hAnsi="黑体" w:eastAsia="黑体"/>
                <w:szCs w:val="24"/>
              </w:rPr>
            </w:pPr>
            <w:r>
              <w:rPr>
                <w:rFonts w:hint="eastAsia" w:ascii="黑体" w:hAnsi="黑体" w:eastAsia="黑体"/>
                <w:szCs w:val="24"/>
              </w:rPr>
              <w:t>周期</w:t>
            </w:r>
          </w:p>
        </w:tc>
        <w:tc>
          <w:tcPr>
            <w:tcW w:w="1729" w:type="dxa"/>
            <w:vMerge w:val="restart"/>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征信渠道（依据）</w:t>
            </w:r>
          </w:p>
        </w:tc>
        <w:tc>
          <w:tcPr>
            <w:tcW w:w="467" w:type="dxa"/>
            <w:vMerge w:val="restart"/>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9" w:type="dxa"/>
            <w:vMerge w:val="continue"/>
            <w:vAlign w:val="center"/>
          </w:tcPr>
          <w:p>
            <w:pPr>
              <w:spacing w:line="300" w:lineRule="exact"/>
              <w:jc w:val="center"/>
              <w:rPr>
                <w:rFonts w:ascii="Times New Roman" w:hAnsi="Times New Roman" w:eastAsia="宋体"/>
                <w:szCs w:val="24"/>
              </w:rPr>
            </w:pPr>
          </w:p>
        </w:tc>
        <w:tc>
          <w:tcPr>
            <w:tcW w:w="9589" w:type="dxa"/>
            <w:gridSpan w:val="3"/>
            <w:vMerge w:val="continue"/>
            <w:vAlign w:val="center"/>
          </w:tcPr>
          <w:p>
            <w:pPr>
              <w:spacing w:line="300" w:lineRule="exact"/>
              <w:rPr>
                <w:rFonts w:ascii="Times New Roman" w:hAnsi="Times New Roman" w:eastAsia="宋体"/>
                <w:szCs w:val="24"/>
              </w:rPr>
            </w:pPr>
          </w:p>
        </w:tc>
        <w:tc>
          <w:tcPr>
            <w:tcW w:w="615" w:type="dxa"/>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企业</w:t>
            </w:r>
          </w:p>
        </w:tc>
        <w:tc>
          <w:tcPr>
            <w:tcW w:w="783" w:type="dxa"/>
            <w:shd w:val="clear" w:color="auto" w:fill="FFFFFF"/>
            <w:vAlign w:val="center"/>
          </w:tcPr>
          <w:p>
            <w:pPr>
              <w:spacing w:line="300" w:lineRule="exact"/>
              <w:jc w:val="center"/>
              <w:rPr>
                <w:rFonts w:ascii="黑体" w:hAnsi="黑体" w:eastAsia="黑体"/>
                <w:szCs w:val="24"/>
              </w:rPr>
            </w:pPr>
            <w:r>
              <w:rPr>
                <w:rFonts w:hint="eastAsia" w:ascii="黑体" w:hAnsi="黑体" w:eastAsia="黑体"/>
                <w:szCs w:val="24"/>
              </w:rPr>
              <w:t>项目</w:t>
            </w:r>
          </w:p>
          <w:p>
            <w:pPr>
              <w:spacing w:line="300" w:lineRule="exact"/>
              <w:jc w:val="center"/>
              <w:rPr>
                <w:rFonts w:ascii="黑体" w:hAnsi="黑体" w:eastAsia="黑体"/>
                <w:szCs w:val="24"/>
              </w:rPr>
            </w:pPr>
            <w:r>
              <w:rPr>
                <w:rFonts w:hint="eastAsia" w:ascii="黑体" w:hAnsi="黑体" w:eastAsia="黑体"/>
                <w:szCs w:val="24"/>
              </w:rPr>
              <w:t>经理</w:t>
            </w:r>
          </w:p>
        </w:tc>
        <w:tc>
          <w:tcPr>
            <w:tcW w:w="636" w:type="dxa"/>
            <w:vMerge w:val="continue"/>
            <w:vAlign w:val="center"/>
          </w:tcPr>
          <w:p>
            <w:pPr>
              <w:spacing w:line="300" w:lineRule="exact"/>
              <w:rPr>
                <w:rFonts w:ascii="Times New Roman" w:hAnsi="Times New Roman" w:eastAsia="宋体"/>
                <w:szCs w:val="24"/>
              </w:rPr>
            </w:pPr>
          </w:p>
        </w:tc>
        <w:tc>
          <w:tcPr>
            <w:tcW w:w="1729" w:type="dxa"/>
            <w:vMerge w:val="continue"/>
            <w:vAlign w:val="center"/>
          </w:tcPr>
          <w:p>
            <w:pPr>
              <w:spacing w:line="300" w:lineRule="exact"/>
              <w:rPr>
                <w:rFonts w:ascii="Times New Roman" w:hAnsi="Times New Roman" w:eastAsia="宋体"/>
                <w:szCs w:val="24"/>
              </w:rPr>
            </w:pPr>
          </w:p>
        </w:tc>
        <w:tc>
          <w:tcPr>
            <w:tcW w:w="467" w:type="dxa"/>
            <w:vMerge w:val="continue"/>
          </w:tcPr>
          <w:p>
            <w:pPr>
              <w:spacing w:line="300" w:lineRule="exact"/>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1</w:t>
            </w:r>
          </w:p>
        </w:tc>
        <w:tc>
          <w:tcPr>
            <w:tcW w:w="9589" w:type="dxa"/>
            <w:gridSpan w:val="3"/>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项目参加日常达标考核不少于在管项目总数的20%，考核全部达标的（考核标准见附件6），</w:t>
            </w:r>
          </w:p>
        </w:tc>
        <w:tc>
          <w:tcPr>
            <w:tcW w:w="615"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5</w:t>
            </w:r>
          </w:p>
        </w:tc>
        <w:tc>
          <w:tcPr>
            <w:tcW w:w="783"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2</w:t>
            </w:r>
          </w:p>
        </w:tc>
        <w:tc>
          <w:tcPr>
            <w:tcW w:w="636"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当年</w:t>
            </w:r>
          </w:p>
        </w:tc>
        <w:tc>
          <w:tcPr>
            <w:tcW w:w="17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检查结果</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2</w:t>
            </w:r>
          </w:p>
        </w:tc>
        <w:tc>
          <w:tcPr>
            <w:tcW w:w="9589" w:type="dxa"/>
            <w:gridSpan w:val="3"/>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列入纳税信用</w:t>
            </w:r>
            <w:r>
              <w:rPr>
                <w:rFonts w:ascii="Times New Roman" w:hAnsi="Times New Roman" w:eastAsia="宋体"/>
                <w:szCs w:val="24"/>
              </w:rPr>
              <w:t>A</w:t>
            </w:r>
            <w:r>
              <w:rPr>
                <w:rFonts w:hint="eastAsia" w:ascii="Times New Roman" w:hAnsi="Times New Roman" w:eastAsia="宋体"/>
                <w:szCs w:val="24"/>
              </w:rPr>
              <w:t>级纳税人名单的</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当期</w:t>
            </w:r>
          </w:p>
        </w:tc>
        <w:tc>
          <w:tcPr>
            <w:tcW w:w="17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税务网站的公示信息</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3</w:t>
            </w:r>
          </w:p>
        </w:tc>
        <w:tc>
          <w:tcPr>
            <w:tcW w:w="8505"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“守合同重信用”企业</w:t>
            </w: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AAA</w:t>
            </w:r>
            <w:r>
              <w:rPr>
                <w:rFonts w:hint="eastAsia" w:ascii="Times New Roman" w:hAnsi="Times New Roman" w:eastAsia="宋体"/>
                <w:szCs w:val="24"/>
              </w:rPr>
              <w:t>级</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公示期内</w:t>
            </w:r>
          </w:p>
        </w:tc>
        <w:tc>
          <w:tcPr>
            <w:tcW w:w="17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正式文件、证书</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AA</w:t>
            </w:r>
            <w:r>
              <w:rPr>
                <w:rFonts w:hint="eastAsia" w:ascii="Times New Roman" w:hAnsi="Times New Roman" w:eastAsia="宋体"/>
                <w:szCs w:val="24"/>
              </w:rPr>
              <w:t>级</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A</w:t>
            </w:r>
            <w:r>
              <w:rPr>
                <w:rFonts w:hint="eastAsia" w:ascii="Times New Roman" w:hAnsi="Times New Roman" w:eastAsia="宋体"/>
                <w:szCs w:val="24"/>
              </w:rPr>
              <w:t>级</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4</w:t>
            </w:r>
          </w:p>
        </w:tc>
        <w:tc>
          <w:tcPr>
            <w:tcW w:w="9589" w:type="dxa"/>
            <w:gridSpan w:val="3"/>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免收政府优待、优抚的低保户、烈属、伤残荣誉军人等物业服务费的（每户）</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0.2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当年</w:t>
            </w:r>
          </w:p>
        </w:tc>
        <w:tc>
          <w:tcPr>
            <w:tcW w:w="17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法定的相关证件、受惠对象出具的免费证明</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5</w:t>
            </w:r>
          </w:p>
        </w:tc>
        <w:tc>
          <w:tcPr>
            <w:tcW w:w="9589" w:type="dxa"/>
            <w:gridSpan w:val="3"/>
            <w:shd w:val="clear" w:color="auto" w:fill="FFFFFF"/>
            <w:vAlign w:val="center"/>
          </w:tcPr>
          <w:p>
            <w:pPr>
              <w:spacing w:line="300" w:lineRule="exact"/>
              <w:rPr>
                <w:rFonts w:ascii="Times New Roman" w:hAnsi="Times New Roman" w:eastAsia="宋体"/>
                <w:szCs w:val="24"/>
              </w:rPr>
            </w:pPr>
            <w:r>
              <w:rPr>
                <w:rFonts w:hint="eastAsia" w:ascii="Times New Roman" w:hAnsi="Times New Roman" w:eastAsia="宋体"/>
                <w:szCs w:val="24"/>
              </w:rPr>
              <w:t>在管老旧住宅小区（</w:t>
            </w:r>
            <w:r>
              <w:rPr>
                <w:rFonts w:ascii="Times New Roman" w:hAnsi="Times New Roman" w:eastAsia="宋体"/>
                <w:szCs w:val="24"/>
              </w:rPr>
              <w:t>2000</w:t>
            </w:r>
            <w:r>
              <w:rPr>
                <w:rFonts w:hint="eastAsia" w:ascii="Times New Roman" w:hAnsi="Times New Roman" w:eastAsia="宋体"/>
                <w:szCs w:val="24"/>
              </w:rPr>
              <w:t>年以前竣工）、保障房小区的，每</w:t>
            </w:r>
            <w:r>
              <w:rPr>
                <w:rFonts w:ascii="Times New Roman" w:hAnsi="Times New Roman" w:eastAsia="宋体"/>
                <w:szCs w:val="24"/>
              </w:rPr>
              <w:t>5</w:t>
            </w:r>
            <w:r>
              <w:rPr>
                <w:rFonts w:hint="eastAsia" w:ascii="Times New Roman" w:hAnsi="Times New Roman" w:eastAsia="宋体"/>
                <w:szCs w:val="24"/>
              </w:rPr>
              <w:t>万平方米加</w:t>
            </w:r>
            <w:r>
              <w:rPr>
                <w:rFonts w:ascii="Times New Roman" w:hAnsi="Times New Roman" w:eastAsia="宋体"/>
                <w:szCs w:val="24"/>
              </w:rPr>
              <w:t>1</w:t>
            </w:r>
            <w:r>
              <w:rPr>
                <w:rFonts w:hint="eastAsia" w:ascii="Times New Roman" w:hAnsi="Times New Roman" w:eastAsia="宋体"/>
                <w:szCs w:val="24"/>
              </w:rPr>
              <w:t>分。最高不超过</w:t>
            </w:r>
            <w:r>
              <w:rPr>
                <w:rFonts w:ascii="Times New Roman" w:hAnsi="Times New Roman" w:eastAsia="宋体"/>
                <w:szCs w:val="24"/>
              </w:rPr>
              <w:t>5</w:t>
            </w:r>
            <w:r>
              <w:rPr>
                <w:rFonts w:hint="eastAsia" w:ascii="Times New Roman" w:hAnsi="Times New Roman" w:eastAsia="宋体"/>
                <w:szCs w:val="24"/>
              </w:rPr>
              <w:t>分。以物业合同中建筑面积为准。</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合同期内</w:t>
            </w:r>
          </w:p>
        </w:tc>
        <w:tc>
          <w:tcPr>
            <w:tcW w:w="17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物业服务合同、竣工验收报告</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6</w:t>
            </w:r>
          </w:p>
        </w:tc>
        <w:tc>
          <w:tcPr>
            <w:tcW w:w="8505"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企业获得各级党委、政府以及其他国家机关、群团组织表彰的（单次）</w:t>
            </w: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国家</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5</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当期</w:t>
            </w:r>
          </w:p>
        </w:tc>
        <w:tc>
          <w:tcPr>
            <w:tcW w:w="17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正式文件</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省</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4</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市、新区</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新城</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7</w:t>
            </w:r>
          </w:p>
        </w:tc>
        <w:tc>
          <w:tcPr>
            <w:tcW w:w="8505"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企业员工获各级党委、政府以及其他国家机关、群团组织表彰的（单次）</w:t>
            </w: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国家</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当期</w:t>
            </w:r>
          </w:p>
        </w:tc>
        <w:tc>
          <w:tcPr>
            <w:tcW w:w="17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正式文件</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省</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市、新区</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新城</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0.5</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8</w:t>
            </w:r>
          </w:p>
        </w:tc>
        <w:tc>
          <w:tcPr>
            <w:tcW w:w="8505"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在管项目获评物业管理示范项目的（单个）</w:t>
            </w: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国家</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4</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636"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当期</w:t>
            </w:r>
          </w:p>
        </w:tc>
        <w:tc>
          <w:tcPr>
            <w:tcW w:w="17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正式文件</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省</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29" w:type="dxa"/>
            <w:vMerge w:val="continue"/>
            <w:vAlign w:val="center"/>
          </w:tcPr>
          <w:p>
            <w:pPr>
              <w:spacing w:line="300" w:lineRule="exact"/>
              <w:jc w:val="center"/>
              <w:rPr>
                <w:rFonts w:ascii="Times New Roman" w:hAnsi="Times New Roman" w:eastAsia="宋体"/>
                <w:szCs w:val="24"/>
              </w:rPr>
            </w:pPr>
          </w:p>
        </w:tc>
        <w:tc>
          <w:tcPr>
            <w:tcW w:w="8505" w:type="dxa"/>
            <w:vMerge w:val="continue"/>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市、新区</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636" w:type="dxa"/>
            <w:vMerge w:val="continue"/>
            <w:vAlign w:val="center"/>
          </w:tcPr>
          <w:p>
            <w:pPr>
              <w:spacing w:line="300" w:lineRule="exact"/>
              <w:jc w:val="center"/>
              <w:rPr>
                <w:rFonts w:ascii="Times New Roman" w:hAnsi="Times New Roman" w:eastAsia="宋体"/>
                <w:szCs w:val="24"/>
              </w:rPr>
            </w:pPr>
          </w:p>
        </w:tc>
        <w:tc>
          <w:tcPr>
            <w:tcW w:w="1729" w:type="dxa"/>
            <w:vMerge w:val="continue"/>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9</w:t>
            </w:r>
          </w:p>
        </w:tc>
        <w:tc>
          <w:tcPr>
            <w:tcW w:w="8505" w:type="dxa"/>
            <w:vMerge w:val="restart"/>
            <w:shd w:val="clear" w:color="auto" w:fill="FFFFFF"/>
            <w:vAlign w:val="center"/>
          </w:tcPr>
          <w:p>
            <w:pPr>
              <w:spacing w:line="300" w:lineRule="exact"/>
              <w:rPr>
                <w:rFonts w:ascii="Times New Roman" w:hAnsi="Times New Roman" w:eastAsia="宋体"/>
                <w:szCs w:val="24"/>
              </w:rPr>
            </w:pPr>
            <w:r>
              <w:rPr>
                <w:rFonts w:hint="eastAsia" w:ascii="Times New Roman" w:hAnsi="Times New Roman" w:eastAsia="宋体"/>
                <w:szCs w:val="24"/>
              </w:rPr>
              <w:t>全部在管项目依法履行消防年检、电梯年检、流动人口信息报送、居住出租房信息报送等职责的</w:t>
            </w:r>
            <w:r>
              <w:rPr>
                <w:rFonts w:hint="eastAsia" w:ascii="Times New Roman" w:hAnsi="Times New Roman" w:eastAsia="宋体"/>
                <w:b/>
                <w:szCs w:val="24"/>
              </w:rPr>
              <w:t>各加</w:t>
            </w:r>
            <w:r>
              <w:rPr>
                <w:rFonts w:ascii="Times New Roman" w:hAnsi="Times New Roman" w:eastAsia="宋体"/>
                <w:szCs w:val="24"/>
              </w:rPr>
              <w:t>1</w:t>
            </w:r>
            <w:r>
              <w:rPr>
                <w:rFonts w:hint="eastAsia" w:ascii="Times New Roman" w:hAnsi="Times New Roman" w:eastAsia="宋体"/>
                <w:szCs w:val="24"/>
              </w:rPr>
              <w:t>分。获得相关职能部门专项表彰的（单次），另计算加分值。</w:t>
            </w: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国家</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4</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636"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当年</w:t>
            </w:r>
          </w:p>
        </w:tc>
        <w:tc>
          <w:tcPr>
            <w:tcW w:w="1729" w:type="dxa"/>
            <w:vMerge w:val="restart"/>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年检报告</w:t>
            </w:r>
          </w:p>
          <w:p>
            <w:pPr>
              <w:spacing w:line="300" w:lineRule="exact"/>
              <w:jc w:val="center"/>
              <w:rPr>
                <w:rFonts w:ascii="Times New Roman" w:hAnsi="Times New Roman" w:eastAsia="宋体"/>
                <w:szCs w:val="24"/>
              </w:rPr>
            </w:pPr>
            <w:r>
              <w:rPr>
                <w:rFonts w:hint="eastAsia" w:ascii="Times New Roman" w:hAnsi="Times New Roman" w:eastAsia="宋体"/>
                <w:szCs w:val="24"/>
              </w:rPr>
              <w:t>信息报送的台账</w:t>
            </w:r>
          </w:p>
          <w:p>
            <w:pPr>
              <w:spacing w:line="300" w:lineRule="exact"/>
              <w:jc w:val="center"/>
              <w:rPr>
                <w:rFonts w:ascii="Times New Roman" w:hAnsi="Times New Roman" w:eastAsia="宋体"/>
                <w:szCs w:val="24"/>
              </w:rPr>
            </w:pPr>
            <w:r>
              <w:rPr>
                <w:rFonts w:hint="eastAsia" w:ascii="Times New Roman" w:hAnsi="Times New Roman" w:eastAsia="宋体"/>
                <w:szCs w:val="24"/>
              </w:rPr>
              <w:t>表彰的正式文件</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省</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市、新区</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29" w:type="dxa"/>
            <w:vMerge w:val="continue"/>
            <w:shd w:val="clear" w:color="auto" w:fill="FFFFFF"/>
            <w:vAlign w:val="center"/>
          </w:tcPr>
          <w:p>
            <w:pPr>
              <w:spacing w:line="300" w:lineRule="exact"/>
              <w:jc w:val="center"/>
              <w:rPr>
                <w:rFonts w:ascii="Times New Roman" w:hAnsi="Times New Roman" w:eastAsia="宋体"/>
                <w:szCs w:val="24"/>
              </w:rPr>
            </w:pPr>
          </w:p>
        </w:tc>
        <w:tc>
          <w:tcPr>
            <w:tcW w:w="8505" w:type="dxa"/>
            <w:vMerge w:val="continue"/>
            <w:shd w:val="clear" w:color="auto" w:fill="FFFFFF"/>
            <w:vAlign w:val="center"/>
          </w:tcPr>
          <w:p>
            <w:pPr>
              <w:spacing w:line="300" w:lineRule="exact"/>
              <w:jc w:val="center"/>
              <w:rPr>
                <w:rFonts w:ascii="Times New Roman" w:hAnsi="Times New Roman" w:eastAsia="宋体"/>
                <w:szCs w:val="24"/>
              </w:rPr>
            </w:pPr>
          </w:p>
        </w:tc>
        <w:tc>
          <w:tcPr>
            <w:tcW w:w="1084" w:type="dxa"/>
            <w:gridSpan w:val="2"/>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新城</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0.5</w:t>
            </w:r>
          </w:p>
        </w:tc>
        <w:tc>
          <w:tcPr>
            <w:tcW w:w="636" w:type="dxa"/>
            <w:vMerge w:val="continue"/>
            <w:shd w:val="clear" w:color="auto" w:fill="FFFFFF"/>
            <w:vAlign w:val="center"/>
          </w:tcPr>
          <w:p>
            <w:pPr>
              <w:spacing w:line="300" w:lineRule="exact"/>
              <w:jc w:val="center"/>
              <w:rPr>
                <w:rFonts w:ascii="Times New Roman" w:hAnsi="Times New Roman" w:eastAsia="宋体"/>
                <w:szCs w:val="24"/>
              </w:rPr>
            </w:pPr>
          </w:p>
        </w:tc>
        <w:tc>
          <w:tcPr>
            <w:tcW w:w="1729" w:type="dxa"/>
            <w:vMerge w:val="continue"/>
            <w:shd w:val="clear" w:color="auto" w:fill="FFFFFF"/>
            <w:vAlign w:val="center"/>
          </w:tcPr>
          <w:p>
            <w:pPr>
              <w:spacing w:line="300" w:lineRule="exact"/>
              <w:jc w:val="center"/>
              <w:rPr>
                <w:rFonts w:ascii="Times New Roman" w:hAnsi="Times New Roman" w:eastAsia="宋体"/>
                <w:szCs w:val="24"/>
              </w:rPr>
            </w:pP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9" w:type="dxa"/>
            <w:vMerge w:val="restart"/>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10</w:t>
            </w:r>
          </w:p>
        </w:tc>
        <w:tc>
          <w:tcPr>
            <w:tcW w:w="8505" w:type="dxa"/>
            <w:vMerge w:val="restart"/>
            <w:vAlign w:val="center"/>
          </w:tcPr>
          <w:p>
            <w:pPr>
              <w:spacing w:line="300" w:lineRule="exact"/>
              <w:rPr>
                <w:rFonts w:ascii="Times New Roman" w:hAnsi="Times New Roman" w:eastAsia="宋体"/>
                <w:szCs w:val="24"/>
              </w:rPr>
            </w:pPr>
            <w:r>
              <w:rPr>
                <w:rFonts w:hint="eastAsia" w:ascii="Times New Roman" w:hAnsi="Times New Roman" w:eastAsia="宋体"/>
                <w:szCs w:val="24"/>
              </w:rPr>
              <w:t>企业为主体编制物业服务相关标准的（除住宅、大厦外），个人为主体的减半得分（单个）</w:t>
            </w:r>
          </w:p>
        </w:tc>
        <w:tc>
          <w:tcPr>
            <w:tcW w:w="1084" w:type="dxa"/>
            <w:gridSpan w:val="2"/>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国家</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1.5</w:t>
            </w:r>
          </w:p>
        </w:tc>
        <w:tc>
          <w:tcPr>
            <w:tcW w:w="636" w:type="dxa"/>
            <w:vMerge w:val="restart"/>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标准废止或修订前</w:t>
            </w:r>
          </w:p>
        </w:tc>
        <w:tc>
          <w:tcPr>
            <w:tcW w:w="1729" w:type="dxa"/>
            <w:vMerge w:val="restart"/>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标准认定文件</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29" w:type="dxa"/>
            <w:vMerge w:val="continue"/>
            <w:vAlign w:val="center"/>
          </w:tcPr>
          <w:p>
            <w:pPr>
              <w:spacing w:line="300" w:lineRule="exact"/>
              <w:jc w:val="center"/>
              <w:rPr>
                <w:rFonts w:ascii="Times New Roman" w:hAnsi="Times New Roman" w:eastAsia="宋体"/>
                <w:szCs w:val="24"/>
              </w:rPr>
            </w:pPr>
          </w:p>
        </w:tc>
        <w:tc>
          <w:tcPr>
            <w:tcW w:w="8505" w:type="dxa"/>
            <w:vMerge w:val="continue"/>
            <w:vAlign w:val="center"/>
          </w:tcPr>
          <w:p>
            <w:pPr>
              <w:spacing w:line="300" w:lineRule="exact"/>
              <w:jc w:val="center"/>
              <w:rPr>
                <w:rFonts w:ascii="Times New Roman" w:hAnsi="Times New Roman" w:eastAsia="宋体"/>
                <w:szCs w:val="24"/>
              </w:rPr>
            </w:pPr>
          </w:p>
        </w:tc>
        <w:tc>
          <w:tcPr>
            <w:tcW w:w="1084" w:type="dxa"/>
            <w:gridSpan w:val="2"/>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地方</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636" w:type="dxa"/>
            <w:vMerge w:val="continue"/>
            <w:vAlign w:val="center"/>
          </w:tcPr>
          <w:p>
            <w:pPr>
              <w:spacing w:line="300" w:lineRule="exact"/>
              <w:jc w:val="center"/>
              <w:rPr>
                <w:rFonts w:ascii="Times New Roman" w:hAnsi="Times New Roman" w:eastAsia="宋体"/>
                <w:szCs w:val="24"/>
              </w:rPr>
            </w:pPr>
          </w:p>
        </w:tc>
        <w:tc>
          <w:tcPr>
            <w:tcW w:w="1729" w:type="dxa"/>
            <w:vMerge w:val="continue"/>
            <w:vAlign w:val="center"/>
          </w:tcPr>
          <w:p>
            <w:pPr>
              <w:spacing w:line="300" w:lineRule="exact"/>
              <w:jc w:val="center"/>
              <w:rPr>
                <w:rFonts w:ascii="Times New Roman" w:hAnsi="Times New Roman" w:eastAsia="宋体"/>
                <w:szCs w:val="24"/>
              </w:rPr>
            </w:pP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29" w:type="dxa"/>
            <w:vMerge w:val="continue"/>
            <w:vAlign w:val="center"/>
          </w:tcPr>
          <w:p>
            <w:pPr>
              <w:spacing w:line="300" w:lineRule="exact"/>
              <w:jc w:val="center"/>
              <w:rPr>
                <w:rFonts w:ascii="Times New Roman" w:hAnsi="Times New Roman" w:eastAsia="宋体"/>
                <w:szCs w:val="24"/>
              </w:rPr>
            </w:pPr>
          </w:p>
        </w:tc>
        <w:tc>
          <w:tcPr>
            <w:tcW w:w="8505" w:type="dxa"/>
            <w:vMerge w:val="continue"/>
            <w:vAlign w:val="center"/>
          </w:tcPr>
          <w:p>
            <w:pPr>
              <w:spacing w:line="300" w:lineRule="exact"/>
              <w:jc w:val="center"/>
              <w:rPr>
                <w:rFonts w:ascii="Times New Roman" w:hAnsi="Times New Roman" w:eastAsia="宋体"/>
                <w:szCs w:val="24"/>
              </w:rPr>
            </w:pPr>
          </w:p>
        </w:tc>
        <w:tc>
          <w:tcPr>
            <w:tcW w:w="1084" w:type="dxa"/>
            <w:gridSpan w:val="2"/>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行业</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0.5</w:t>
            </w:r>
          </w:p>
        </w:tc>
        <w:tc>
          <w:tcPr>
            <w:tcW w:w="636" w:type="dxa"/>
            <w:vMerge w:val="continue"/>
            <w:vAlign w:val="center"/>
          </w:tcPr>
          <w:p>
            <w:pPr>
              <w:spacing w:line="300" w:lineRule="exact"/>
              <w:jc w:val="center"/>
              <w:rPr>
                <w:rFonts w:ascii="Times New Roman" w:hAnsi="Times New Roman" w:eastAsia="宋体"/>
                <w:szCs w:val="24"/>
              </w:rPr>
            </w:pPr>
          </w:p>
        </w:tc>
        <w:tc>
          <w:tcPr>
            <w:tcW w:w="1729" w:type="dxa"/>
            <w:vMerge w:val="continue"/>
            <w:vAlign w:val="center"/>
          </w:tcPr>
          <w:p>
            <w:pPr>
              <w:spacing w:line="300" w:lineRule="exact"/>
              <w:jc w:val="center"/>
              <w:rPr>
                <w:rFonts w:ascii="Times New Roman" w:hAnsi="Times New Roman" w:eastAsia="宋体"/>
                <w:szCs w:val="24"/>
              </w:rPr>
            </w:pP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11</w:t>
            </w:r>
          </w:p>
        </w:tc>
        <w:tc>
          <w:tcPr>
            <w:tcW w:w="9589" w:type="dxa"/>
            <w:gridSpan w:val="3"/>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创新物业服务内容得到相关职能部门推广的（单个）</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636" w:type="dxa"/>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r>
              <w:rPr>
                <w:rFonts w:hint="eastAsia" w:ascii="Times New Roman" w:hAnsi="Times New Roman" w:eastAsia="宋体"/>
                <w:szCs w:val="24"/>
              </w:rPr>
              <w:t>年</w:t>
            </w:r>
          </w:p>
        </w:tc>
        <w:tc>
          <w:tcPr>
            <w:tcW w:w="17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创新推广文件</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12</w:t>
            </w:r>
          </w:p>
        </w:tc>
        <w:tc>
          <w:tcPr>
            <w:tcW w:w="9589" w:type="dxa"/>
            <w:gridSpan w:val="3"/>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参与物业管理工作示范试点的（单次）</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636" w:type="dxa"/>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r>
              <w:rPr>
                <w:rFonts w:hint="eastAsia" w:ascii="Times New Roman" w:hAnsi="Times New Roman" w:eastAsia="宋体"/>
                <w:szCs w:val="24"/>
              </w:rPr>
              <w:t>年</w:t>
            </w:r>
          </w:p>
        </w:tc>
        <w:tc>
          <w:tcPr>
            <w:tcW w:w="17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试点活动成果</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13</w:t>
            </w:r>
          </w:p>
        </w:tc>
        <w:tc>
          <w:tcPr>
            <w:tcW w:w="9589" w:type="dxa"/>
            <w:gridSpan w:val="3"/>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建立党组织、正常运转，同时，纳入社区党支部管理</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w:t>
            </w:r>
          </w:p>
        </w:tc>
        <w:tc>
          <w:tcPr>
            <w:tcW w:w="636"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长期</w:t>
            </w:r>
          </w:p>
        </w:tc>
        <w:tc>
          <w:tcPr>
            <w:tcW w:w="17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批准文件、党组织活动台账</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14</w:t>
            </w:r>
          </w:p>
        </w:tc>
        <w:tc>
          <w:tcPr>
            <w:tcW w:w="9589" w:type="dxa"/>
            <w:gridSpan w:val="3"/>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物业管理项目建立拓展性党支部（党小组），纳入社区党支部管理、业主、物业公司员工党员实行“双向进入、交叉任职”的（单个）</w:t>
            </w:r>
          </w:p>
        </w:tc>
        <w:tc>
          <w:tcPr>
            <w:tcW w:w="615"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p>
        </w:tc>
        <w:tc>
          <w:tcPr>
            <w:tcW w:w="636"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当期</w:t>
            </w:r>
          </w:p>
        </w:tc>
        <w:tc>
          <w:tcPr>
            <w:tcW w:w="17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批准文件、任命文件</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vAlign w:val="center"/>
          </w:tcPr>
          <w:p>
            <w:pPr>
              <w:spacing w:line="300" w:lineRule="exact"/>
              <w:jc w:val="center"/>
              <w:rPr>
                <w:rFonts w:ascii="Times New Roman" w:hAnsi="Times New Roman" w:eastAsia="宋体"/>
                <w:szCs w:val="24"/>
              </w:rPr>
            </w:pPr>
            <w:r>
              <w:rPr>
                <w:rFonts w:ascii="Times New Roman" w:hAnsi="Times New Roman" w:eastAsia="宋体"/>
                <w:szCs w:val="24"/>
              </w:rPr>
              <w:t>15</w:t>
            </w:r>
          </w:p>
        </w:tc>
        <w:tc>
          <w:tcPr>
            <w:tcW w:w="9589" w:type="dxa"/>
            <w:gridSpan w:val="3"/>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微型消防站通过考评且运行规范的（单个）</w:t>
            </w:r>
          </w:p>
        </w:tc>
        <w:tc>
          <w:tcPr>
            <w:tcW w:w="615"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0.5</w:t>
            </w:r>
          </w:p>
        </w:tc>
        <w:tc>
          <w:tcPr>
            <w:tcW w:w="783" w:type="dxa"/>
            <w:shd w:val="clear" w:color="auto" w:fill="FFFFFF"/>
            <w:vAlign w:val="center"/>
          </w:tcPr>
          <w:p>
            <w:pPr>
              <w:spacing w:line="300" w:lineRule="exact"/>
              <w:jc w:val="center"/>
              <w:rPr>
                <w:rFonts w:ascii="Times New Roman" w:hAnsi="Times New Roman" w:eastAsia="宋体"/>
                <w:szCs w:val="24"/>
              </w:rPr>
            </w:pPr>
          </w:p>
        </w:tc>
        <w:tc>
          <w:tcPr>
            <w:tcW w:w="636"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当期</w:t>
            </w:r>
          </w:p>
        </w:tc>
        <w:tc>
          <w:tcPr>
            <w:tcW w:w="17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检查结果、正式文件（授牌）</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vAlign w:val="center"/>
          </w:tcPr>
          <w:p>
            <w:pPr>
              <w:spacing w:line="300" w:lineRule="exact"/>
              <w:jc w:val="center"/>
              <w:rPr>
                <w:rFonts w:ascii="Times New Roman" w:hAnsi="Times New Roman" w:eastAsia="宋体"/>
                <w:szCs w:val="24"/>
              </w:rPr>
            </w:pPr>
            <w:r>
              <w:rPr>
                <w:rFonts w:ascii="Times New Roman" w:hAnsi="Times New Roman" w:eastAsia="宋体"/>
                <w:szCs w:val="24"/>
              </w:rPr>
              <w:t>16</w:t>
            </w:r>
          </w:p>
        </w:tc>
        <w:tc>
          <w:tcPr>
            <w:tcW w:w="9589" w:type="dxa"/>
            <w:gridSpan w:val="3"/>
            <w:vAlign w:val="center"/>
          </w:tcPr>
          <w:p>
            <w:pPr>
              <w:spacing w:line="300" w:lineRule="exact"/>
              <w:rPr>
                <w:rFonts w:ascii="Times New Roman" w:hAnsi="Times New Roman" w:eastAsia="宋体"/>
                <w:szCs w:val="24"/>
              </w:rPr>
            </w:pPr>
            <w:r>
              <w:rPr>
                <w:rFonts w:hint="eastAsia" w:ascii="Times New Roman" w:hAnsi="Times New Roman" w:eastAsia="宋体"/>
                <w:szCs w:val="24"/>
              </w:rPr>
              <w:t>在管住宅项目全部按要求和技术标准建设电动自行车集中停放场所、充电设施且使用管理规范的，按</w:t>
            </w:r>
            <w:r>
              <w:rPr>
                <w:rFonts w:ascii="Times New Roman" w:hAnsi="Times New Roman" w:eastAsia="宋体"/>
                <w:szCs w:val="24"/>
              </w:rPr>
              <w:t>1-5</w:t>
            </w:r>
            <w:r>
              <w:rPr>
                <w:rFonts w:hint="eastAsia" w:ascii="Times New Roman" w:hAnsi="Times New Roman" w:eastAsia="宋体"/>
                <w:szCs w:val="24"/>
              </w:rPr>
              <w:t>个项目计算</w:t>
            </w:r>
            <w:r>
              <w:rPr>
                <w:rFonts w:ascii="Times New Roman" w:hAnsi="Times New Roman" w:eastAsia="宋体"/>
                <w:szCs w:val="24"/>
              </w:rPr>
              <w:t>1</w:t>
            </w:r>
            <w:r>
              <w:rPr>
                <w:rFonts w:hint="eastAsia" w:ascii="Times New Roman" w:hAnsi="Times New Roman" w:eastAsia="宋体"/>
                <w:szCs w:val="24"/>
              </w:rPr>
              <w:t>次加分、</w:t>
            </w:r>
            <w:r>
              <w:rPr>
                <w:rFonts w:ascii="Times New Roman" w:hAnsi="Times New Roman" w:eastAsia="宋体"/>
                <w:szCs w:val="24"/>
              </w:rPr>
              <w:t>6-10</w:t>
            </w:r>
            <w:r>
              <w:rPr>
                <w:rFonts w:hint="eastAsia" w:ascii="Times New Roman" w:hAnsi="Times New Roman" w:eastAsia="宋体"/>
                <w:szCs w:val="24"/>
              </w:rPr>
              <w:t>个计算</w:t>
            </w:r>
            <w:r>
              <w:rPr>
                <w:rFonts w:ascii="Times New Roman" w:hAnsi="Times New Roman" w:eastAsia="宋体"/>
                <w:szCs w:val="24"/>
              </w:rPr>
              <w:t>2</w:t>
            </w:r>
            <w:r>
              <w:rPr>
                <w:rFonts w:hint="eastAsia" w:ascii="Times New Roman" w:hAnsi="Times New Roman" w:eastAsia="宋体"/>
                <w:szCs w:val="24"/>
              </w:rPr>
              <w:t>次加分、</w:t>
            </w:r>
            <w:r>
              <w:rPr>
                <w:rFonts w:ascii="Times New Roman" w:hAnsi="Times New Roman" w:eastAsia="宋体"/>
                <w:szCs w:val="24"/>
              </w:rPr>
              <w:t>11-20</w:t>
            </w:r>
            <w:r>
              <w:rPr>
                <w:rFonts w:hint="eastAsia" w:ascii="Times New Roman" w:hAnsi="Times New Roman" w:eastAsia="宋体"/>
                <w:szCs w:val="24"/>
              </w:rPr>
              <w:t>个计算</w:t>
            </w:r>
            <w:r>
              <w:rPr>
                <w:rFonts w:ascii="Times New Roman" w:hAnsi="Times New Roman" w:eastAsia="宋体"/>
                <w:szCs w:val="24"/>
              </w:rPr>
              <w:t>3</w:t>
            </w:r>
            <w:r>
              <w:rPr>
                <w:rFonts w:hint="eastAsia" w:ascii="Times New Roman" w:hAnsi="Times New Roman" w:eastAsia="宋体"/>
                <w:szCs w:val="24"/>
              </w:rPr>
              <w:t>次加分、</w:t>
            </w:r>
            <w:r>
              <w:rPr>
                <w:rFonts w:ascii="Times New Roman" w:hAnsi="Times New Roman" w:eastAsia="宋体"/>
                <w:szCs w:val="24"/>
              </w:rPr>
              <w:t>21-30</w:t>
            </w:r>
            <w:r>
              <w:rPr>
                <w:rFonts w:hint="eastAsia" w:ascii="Times New Roman" w:hAnsi="Times New Roman" w:eastAsia="宋体"/>
                <w:szCs w:val="24"/>
              </w:rPr>
              <w:t>计算</w:t>
            </w:r>
            <w:r>
              <w:rPr>
                <w:rFonts w:ascii="Times New Roman" w:hAnsi="Times New Roman" w:eastAsia="宋体"/>
                <w:szCs w:val="24"/>
              </w:rPr>
              <w:t>4</w:t>
            </w:r>
            <w:r>
              <w:rPr>
                <w:rFonts w:hint="eastAsia" w:ascii="Times New Roman" w:hAnsi="Times New Roman" w:eastAsia="宋体"/>
                <w:szCs w:val="24"/>
              </w:rPr>
              <w:t>次加分，最高计算</w:t>
            </w:r>
            <w:r>
              <w:rPr>
                <w:rFonts w:ascii="Times New Roman" w:hAnsi="Times New Roman" w:eastAsia="宋体"/>
                <w:szCs w:val="24"/>
              </w:rPr>
              <w:t>5</w:t>
            </w:r>
            <w:r>
              <w:rPr>
                <w:rFonts w:hint="eastAsia" w:ascii="Times New Roman" w:hAnsi="Times New Roman" w:eastAsia="宋体"/>
                <w:szCs w:val="24"/>
              </w:rPr>
              <w:t>次加分。</w:t>
            </w:r>
          </w:p>
        </w:tc>
        <w:tc>
          <w:tcPr>
            <w:tcW w:w="615"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0.5</w:t>
            </w:r>
          </w:p>
        </w:tc>
        <w:tc>
          <w:tcPr>
            <w:tcW w:w="783"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0.5</w:t>
            </w:r>
          </w:p>
        </w:tc>
        <w:tc>
          <w:tcPr>
            <w:tcW w:w="636" w:type="dxa"/>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r>
              <w:rPr>
                <w:rFonts w:hint="eastAsia" w:ascii="Times New Roman" w:hAnsi="Times New Roman" w:eastAsia="宋体"/>
                <w:szCs w:val="24"/>
              </w:rPr>
              <w:t>年</w:t>
            </w:r>
          </w:p>
        </w:tc>
        <w:tc>
          <w:tcPr>
            <w:tcW w:w="1729"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检查结果</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29" w:type="dxa"/>
            <w:vMerge w:val="restart"/>
            <w:vAlign w:val="center"/>
          </w:tcPr>
          <w:p>
            <w:pPr>
              <w:spacing w:line="300" w:lineRule="exact"/>
              <w:jc w:val="center"/>
              <w:rPr>
                <w:rFonts w:ascii="Times New Roman" w:hAnsi="Times New Roman" w:eastAsia="宋体"/>
                <w:szCs w:val="24"/>
              </w:rPr>
            </w:pPr>
            <w:r>
              <w:rPr>
                <w:rFonts w:ascii="Times New Roman" w:hAnsi="Times New Roman" w:eastAsia="宋体"/>
                <w:szCs w:val="24"/>
              </w:rPr>
              <w:t>17</w:t>
            </w:r>
          </w:p>
        </w:tc>
        <w:tc>
          <w:tcPr>
            <w:tcW w:w="8542" w:type="dxa"/>
            <w:gridSpan w:val="2"/>
            <w:vMerge w:val="restart"/>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在管项目全部实行垃圾分类的加2分。获评垃圾分类示范小区的（单个），另计算加分值。</w:t>
            </w:r>
          </w:p>
        </w:tc>
        <w:tc>
          <w:tcPr>
            <w:tcW w:w="1047"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国家</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4</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636" w:type="dxa"/>
            <w:vMerge w:val="restart"/>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当期</w:t>
            </w:r>
          </w:p>
        </w:tc>
        <w:tc>
          <w:tcPr>
            <w:tcW w:w="1729" w:type="dxa"/>
            <w:vMerge w:val="restart"/>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正式文件</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9" w:type="dxa"/>
            <w:vMerge w:val="continue"/>
            <w:vAlign w:val="center"/>
          </w:tcPr>
          <w:p>
            <w:pPr>
              <w:spacing w:line="300" w:lineRule="exact"/>
              <w:jc w:val="center"/>
              <w:rPr>
                <w:rFonts w:ascii="Times New Roman" w:hAnsi="Times New Roman" w:eastAsia="宋体"/>
                <w:szCs w:val="24"/>
              </w:rPr>
            </w:pPr>
          </w:p>
        </w:tc>
        <w:tc>
          <w:tcPr>
            <w:tcW w:w="8542" w:type="dxa"/>
            <w:gridSpan w:val="2"/>
            <w:vMerge w:val="continue"/>
            <w:vAlign w:val="center"/>
          </w:tcPr>
          <w:p>
            <w:pPr>
              <w:spacing w:line="300" w:lineRule="exact"/>
              <w:jc w:val="center"/>
              <w:rPr>
                <w:rFonts w:ascii="Times New Roman" w:hAnsi="Times New Roman" w:eastAsia="宋体"/>
                <w:szCs w:val="24"/>
              </w:rPr>
            </w:pPr>
          </w:p>
        </w:tc>
        <w:tc>
          <w:tcPr>
            <w:tcW w:w="1047"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省</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3</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636" w:type="dxa"/>
            <w:vMerge w:val="continue"/>
            <w:vAlign w:val="center"/>
          </w:tcPr>
          <w:p>
            <w:pPr>
              <w:spacing w:line="300" w:lineRule="exact"/>
              <w:jc w:val="center"/>
              <w:rPr>
                <w:rFonts w:ascii="Times New Roman" w:hAnsi="Times New Roman" w:eastAsia="宋体"/>
                <w:szCs w:val="24"/>
              </w:rPr>
            </w:pPr>
          </w:p>
        </w:tc>
        <w:tc>
          <w:tcPr>
            <w:tcW w:w="1729" w:type="dxa"/>
            <w:vMerge w:val="continue"/>
            <w:vAlign w:val="center"/>
          </w:tcPr>
          <w:p>
            <w:pPr>
              <w:spacing w:line="300" w:lineRule="exact"/>
              <w:jc w:val="center"/>
              <w:rPr>
                <w:rFonts w:ascii="Times New Roman" w:hAnsi="Times New Roman" w:eastAsia="宋体"/>
                <w:szCs w:val="24"/>
              </w:rPr>
            </w:pP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29" w:type="dxa"/>
            <w:vMerge w:val="continue"/>
            <w:vAlign w:val="center"/>
          </w:tcPr>
          <w:p>
            <w:pPr>
              <w:spacing w:line="300" w:lineRule="exact"/>
              <w:jc w:val="center"/>
              <w:rPr>
                <w:rFonts w:ascii="Times New Roman" w:hAnsi="Times New Roman" w:eastAsia="宋体"/>
                <w:szCs w:val="24"/>
              </w:rPr>
            </w:pPr>
          </w:p>
        </w:tc>
        <w:tc>
          <w:tcPr>
            <w:tcW w:w="8542" w:type="dxa"/>
            <w:gridSpan w:val="2"/>
            <w:vMerge w:val="continue"/>
            <w:vAlign w:val="center"/>
          </w:tcPr>
          <w:p>
            <w:pPr>
              <w:spacing w:line="300" w:lineRule="exact"/>
              <w:jc w:val="center"/>
              <w:rPr>
                <w:rFonts w:ascii="Times New Roman" w:hAnsi="Times New Roman" w:eastAsia="宋体"/>
                <w:szCs w:val="24"/>
              </w:rPr>
            </w:pPr>
          </w:p>
        </w:tc>
        <w:tc>
          <w:tcPr>
            <w:tcW w:w="1047"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市、新区</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636" w:type="dxa"/>
            <w:vMerge w:val="continue"/>
            <w:vAlign w:val="center"/>
          </w:tcPr>
          <w:p>
            <w:pPr>
              <w:spacing w:line="300" w:lineRule="exact"/>
              <w:jc w:val="center"/>
              <w:rPr>
                <w:rFonts w:ascii="Times New Roman" w:hAnsi="Times New Roman" w:eastAsia="宋体"/>
                <w:szCs w:val="24"/>
              </w:rPr>
            </w:pPr>
          </w:p>
        </w:tc>
        <w:tc>
          <w:tcPr>
            <w:tcW w:w="1729" w:type="dxa"/>
            <w:vMerge w:val="continue"/>
            <w:vAlign w:val="center"/>
          </w:tcPr>
          <w:p>
            <w:pPr>
              <w:spacing w:line="300" w:lineRule="exact"/>
              <w:jc w:val="center"/>
              <w:rPr>
                <w:rFonts w:ascii="Times New Roman" w:hAnsi="Times New Roman" w:eastAsia="宋体"/>
                <w:szCs w:val="24"/>
              </w:rPr>
            </w:pP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9" w:type="dxa"/>
            <w:vMerge w:val="continue"/>
            <w:vAlign w:val="center"/>
          </w:tcPr>
          <w:p>
            <w:pPr>
              <w:spacing w:line="300" w:lineRule="exact"/>
              <w:jc w:val="center"/>
              <w:rPr>
                <w:rFonts w:ascii="Times New Roman" w:hAnsi="Times New Roman" w:eastAsia="宋体"/>
                <w:szCs w:val="24"/>
              </w:rPr>
            </w:pPr>
          </w:p>
        </w:tc>
        <w:tc>
          <w:tcPr>
            <w:tcW w:w="8542" w:type="dxa"/>
            <w:gridSpan w:val="2"/>
            <w:vMerge w:val="continue"/>
            <w:vAlign w:val="center"/>
          </w:tcPr>
          <w:p>
            <w:pPr>
              <w:spacing w:line="300" w:lineRule="exact"/>
              <w:jc w:val="center"/>
              <w:rPr>
                <w:rFonts w:ascii="Times New Roman" w:hAnsi="Times New Roman" w:eastAsia="宋体"/>
                <w:szCs w:val="24"/>
              </w:rPr>
            </w:pPr>
          </w:p>
        </w:tc>
        <w:tc>
          <w:tcPr>
            <w:tcW w:w="1047"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新城</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783"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0.5</w:t>
            </w:r>
          </w:p>
        </w:tc>
        <w:tc>
          <w:tcPr>
            <w:tcW w:w="636" w:type="dxa"/>
            <w:vMerge w:val="continue"/>
            <w:vAlign w:val="center"/>
          </w:tcPr>
          <w:p>
            <w:pPr>
              <w:spacing w:line="300" w:lineRule="exact"/>
              <w:jc w:val="center"/>
              <w:rPr>
                <w:rFonts w:ascii="Times New Roman" w:hAnsi="Times New Roman" w:eastAsia="宋体"/>
                <w:szCs w:val="24"/>
              </w:rPr>
            </w:pPr>
          </w:p>
        </w:tc>
        <w:tc>
          <w:tcPr>
            <w:tcW w:w="1729" w:type="dxa"/>
            <w:vMerge w:val="continue"/>
            <w:vAlign w:val="center"/>
          </w:tcPr>
          <w:p>
            <w:pPr>
              <w:spacing w:line="300" w:lineRule="exact"/>
              <w:jc w:val="center"/>
              <w:rPr>
                <w:rFonts w:ascii="Times New Roman" w:hAnsi="Times New Roman" w:eastAsia="宋体"/>
                <w:szCs w:val="24"/>
              </w:rPr>
            </w:pP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vAlign w:val="center"/>
          </w:tcPr>
          <w:p>
            <w:pPr>
              <w:spacing w:line="300" w:lineRule="exact"/>
              <w:jc w:val="center"/>
              <w:rPr>
                <w:rFonts w:ascii="Times New Roman" w:hAnsi="Times New Roman" w:eastAsia="宋体"/>
                <w:szCs w:val="24"/>
              </w:rPr>
            </w:pPr>
            <w:r>
              <w:rPr>
                <w:rFonts w:ascii="Times New Roman" w:hAnsi="Times New Roman" w:eastAsia="宋体"/>
                <w:szCs w:val="24"/>
              </w:rPr>
              <w:t>18</w:t>
            </w:r>
          </w:p>
        </w:tc>
        <w:tc>
          <w:tcPr>
            <w:tcW w:w="9589" w:type="dxa"/>
            <w:gridSpan w:val="3"/>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按规定退出项目管理并移交相关资料的（单个）</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w:t>
            </w:r>
          </w:p>
        </w:tc>
        <w:tc>
          <w:tcPr>
            <w:tcW w:w="783" w:type="dxa"/>
            <w:shd w:val="clear" w:color="auto" w:fill="FFFFFF"/>
            <w:vAlign w:val="center"/>
          </w:tcPr>
          <w:p>
            <w:pPr>
              <w:spacing w:line="300" w:lineRule="exact"/>
              <w:jc w:val="center"/>
              <w:rPr>
                <w:rFonts w:ascii="Times New Roman" w:hAnsi="Times New Roman" w:eastAsia="宋体"/>
                <w:szCs w:val="24"/>
              </w:rPr>
            </w:pPr>
          </w:p>
        </w:tc>
        <w:tc>
          <w:tcPr>
            <w:tcW w:w="636" w:type="dxa"/>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当年</w:t>
            </w:r>
          </w:p>
        </w:tc>
        <w:tc>
          <w:tcPr>
            <w:tcW w:w="1729" w:type="dxa"/>
            <w:vAlign w:val="center"/>
          </w:tcPr>
          <w:p>
            <w:pPr>
              <w:spacing w:line="300" w:lineRule="exact"/>
              <w:rPr>
                <w:rFonts w:ascii="Times New Roman" w:hAnsi="Times New Roman" w:eastAsia="宋体"/>
                <w:szCs w:val="24"/>
              </w:rPr>
            </w:pPr>
            <w:r>
              <w:rPr>
                <w:rFonts w:hint="eastAsia" w:ascii="Times New Roman" w:hAnsi="Times New Roman" w:eastAsia="宋体"/>
                <w:szCs w:val="24"/>
              </w:rPr>
              <w:t>备案材料、移交协议</w:t>
            </w:r>
          </w:p>
        </w:tc>
        <w:tc>
          <w:tcPr>
            <w:tcW w:w="467" w:type="dxa"/>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19</w:t>
            </w:r>
          </w:p>
        </w:tc>
        <w:tc>
          <w:tcPr>
            <w:tcW w:w="9589" w:type="dxa"/>
            <w:gridSpan w:val="3"/>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物业管理行为被责令限期改正，按时改正且通过政府及相关职能部门验收的（单一事件）</w:t>
            </w:r>
          </w:p>
        </w:tc>
        <w:tc>
          <w:tcPr>
            <w:tcW w:w="615"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0.5</w:t>
            </w:r>
          </w:p>
        </w:tc>
        <w:tc>
          <w:tcPr>
            <w:tcW w:w="783" w:type="dxa"/>
            <w:shd w:val="clear" w:color="auto" w:fill="FFFFFF"/>
            <w:vAlign w:val="center"/>
          </w:tcPr>
          <w:p>
            <w:pPr>
              <w:spacing w:line="300" w:lineRule="exact"/>
              <w:jc w:val="center"/>
              <w:rPr>
                <w:rFonts w:ascii="Times New Roman" w:hAnsi="Times New Roman" w:eastAsia="宋体"/>
                <w:szCs w:val="24"/>
              </w:rPr>
            </w:pPr>
          </w:p>
        </w:tc>
        <w:tc>
          <w:tcPr>
            <w:tcW w:w="636"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当年</w:t>
            </w:r>
          </w:p>
        </w:tc>
        <w:tc>
          <w:tcPr>
            <w:tcW w:w="17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检查结果</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shd w:val="clear" w:color="auto" w:fill="FFFFFF"/>
            <w:vAlign w:val="center"/>
          </w:tcPr>
          <w:p>
            <w:pPr>
              <w:spacing w:line="300" w:lineRule="exact"/>
              <w:jc w:val="center"/>
              <w:rPr>
                <w:rFonts w:ascii="Times New Roman" w:hAnsi="Times New Roman" w:eastAsia="宋体"/>
                <w:szCs w:val="24"/>
              </w:rPr>
            </w:pPr>
            <w:r>
              <w:rPr>
                <w:rFonts w:ascii="Times New Roman" w:hAnsi="Times New Roman" w:eastAsia="宋体"/>
                <w:szCs w:val="24"/>
              </w:rPr>
              <w:t>20</w:t>
            </w:r>
          </w:p>
        </w:tc>
        <w:tc>
          <w:tcPr>
            <w:tcW w:w="9589" w:type="dxa"/>
            <w:gridSpan w:val="3"/>
            <w:shd w:val="clear" w:color="auto" w:fill="FFFFFF"/>
            <w:vAlign w:val="center"/>
          </w:tcPr>
          <w:p>
            <w:pPr>
              <w:spacing w:line="300" w:lineRule="exact"/>
              <w:rPr>
                <w:rFonts w:ascii="Times New Roman" w:hAnsi="Times New Roman" w:eastAsia="宋体"/>
                <w:szCs w:val="24"/>
              </w:rPr>
            </w:pPr>
            <w:r>
              <w:rPr>
                <w:rFonts w:hint="eastAsia" w:ascii="Times New Roman" w:hAnsi="Times New Roman" w:eastAsia="宋体"/>
                <w:szCs w:val="24"/>
              </w:rPr>
              <w:t>社区、业主对物业服务满意的（结合日常达标考核，被考项目上年度服务满意率全部达到</w:t>
            </w:r>
            <w:r>
              <w:rPr>
                <w:rFonts w:ascii="Times New Roman" w:hAnsi="Times New Roman" w:eastAsia="宋体"/>
                <w:szCs w:val="24"/>
              </w:rPr>
              <w:t>85%</w:t>
            </w:r>
            <w:r>
              <w:rPr>
                <w:rFonts w:hint="eastAsia" w:ascii="Times New Roman" w:hAnsi="Times New Roman" w:eastAsia="宋体"/>
                <w:szCs w:val="24"/>
              </w:rPr>
              <w:t>之上）</w:t>
            </w:r>
          </w:p>
        </w:tc>
        <w:tc>
          <w:tcPr>
            <w:tcW w:w="615"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2</w:t>
            </w:r>
          </w:p>
        </w:tc>
        <w:tc>
          <w:tcPr>
            <w:tcW w:w="783" w:type="dxa"/>
            <w:shd w:val="clear" w:color="auto" w:fill="FFFFFF"/>
            <w:vAlign w:val="center"/>
          </w:tcPr>
          <w:p>
            <w:pPr>
              <w:spacing w:line="300" w:lineRule="exact"/>
              <w:jc w:val="center"/>
              <w:rPr>
                <w:rFonts w:ascii="Times New Roman" w:hAnsi="Times New Roman" w:eastAsia="宋体"/>
                <w:szCs w:val="24"/>
              </w:rPr>
            </w:pPr>
          </w:p>
        </w:tc>
        <w:tc>
          <w:tcPr>
            <w:tcW w:w="636"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当年</w:t>
            </w:r>
          </w:p>
        </w:tc>
        <w:tc>
          <w:tcPr>
            <w:tcW w:w="17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社区评价、业主满意度调查结果</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29" w:type="dxa"/>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21</w:t>
            </w:r>
          </w:p>
        </w:tc>
        <w:tc>
          <w:tcPr>
            <w:tcW w:w="9589" w:type="dxa"/>
            <w:gridSpan w:val="3"/>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法律法规另有规定的</w:t>
            </w:r>
          </w:p>
        </w:tc>
        <w:tc>
          <w:tcPr>
            <w:tcW w:w="3763" w:type="dxa"/>
            <w:gridSpan w:val="4"/>
            <w:shd w:val="clear" w:color="auto" w:fill="FFFFFF"/>
            <w:vAlign w:val="center"/>
          </w:tcPr>
          <w:p>
            <w:pPr>
              <w:spacing w:line="300" w:lineRule="exact"/>
              <w:jc w:val="center"/>
              <w:rPr>
                <w:rFonts w:ascii="Times New Roman" w:hAnsi="Times New Roman" w:eastAsia="宋体"/>
                <w:szCs w:val="24"/>
              </w:rPr>
            </w:pPr>
            <w:r>
              <w:rPr>
                <w:rFonts w:hint="eastAsia" w:ascii="Times New Roman" w:hAnsi="Times New Roman" w:eastAsia="宋体"/>
                <w:szCs w:val="24"/>
              </w:rPr>
              <w:t>参照上述标准</w:t>
            </w:r>
          </w:p>
        </w:tc>
        <w:tc>
          <w:tcPr>
            <w:tcW w:w="467" w:type="dxa"/>
            <w:shd w:val="clear" w:color="auto" w:fill="FFFFFF"/>
          </w:tcPr>
          <w:p>
            <w:pPr>
              <w:spacing w:line="300" w:lineRule="exact"/>
              <w:jc w:val="center"/>
              <w:rPr>
                <w:rFonts w:ascii="Times New Roman" w:hAnsi="Times New Roman"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52" w:type="dxa"/>
            <w:gridSpan w:val="7"/>
            <w:shd w:val="clear" w:color="auto" w:fill="FFFFFF"/>
            <w:vAlign w:val="center"/>
          </w:tcPr>
          <w:p>
            <w:pPr>
              <w:spacing w:line="300" w:lineRule="exact"/>
              <w:rPr>
                <w:rFonts w:ascii="Times New Roman" w:hAnsi="Times New Roman" w:eastAsia="宋体"/>
                <w:szCs w:val="24"/>
              </w:rPr>
            </w:pPr>
            <w:r>
              <w:rPr>
                <w:rFonts w:hint="eastAsia" w:ascii="Times New Roman" w:hAnsi="Times New Roman" w:eastAsia="宋体"/>
                <w:szCs w:val="24"/>
              </w:rPr>
              <w:t>说明：同一良好信息，按最高加分值计算一次，不累积计分。</w:t>
            </w:r>
          </w:p>
        </w:tc>
        <w:tc>
          <w:tcPr>
            <w:tcW w:w="2196" w:type="dxa"/>
            <w:gridSpan w:val="2"/>
            <w:shd w:val="clear" w:color="auto" w:fill="FFFFFF"/>
            <w:vAlign w:val="center"/>
          </w:tcPr>
          <w:p>
            <w:pPr>
              <w:spacing w:line="300" w:lineRule="exact"/>
              <w:rPr>
                <w:rFonts w:ascii="Times New Roman" w:hAnsi="Times New Roman" w:eastAsia="宋体"/>
                <w:szCs w:val="24"/>
              </w:rPr>
            </w:pPr>
            <w:r>
              <w:rPr>
                <w:rFonts w:hint="eastAsia" w:ascii="Times New Roman" w:hAnsi="Times New Roman" w:eastAsia="宋体"/>
                <w:szCs w:val="24"/>
              </w:rPr>
              <w:t>总得分：</w:t>
            </w:r>
          </w:p>
        </w:tc>
      </w:tr>
    </w:tbl>
    <w:p>
      <w:pPr>
        <w:spacing w:line="420" w:lineRule="atLeast"/>
        <w:rPr>
          <w:rFonts w:ascii="方正小标宋简体" w:hAnsi="黑体" w:eastAsia="方正小标宋简体"/>
          <w:sz w:val="36"/>
          <w:szCs w:val="36"/>
        </w:rPr>
      </w:pPr>
    </w:p>
    <w:p>
      <w:pPr>
        <w:spacing w:line="420" w:lineRule="atLeast"/>
        <w:rPr>
          <w:rFonts w:ascii="方正小标宋简体" w:hAnsi="黑体" w:eastAsia="方正小标宋简体"/>
          <w:sz w:val="36"/>
          <w:szCs w:val="36"/>
        </w:rPr>
      </w:pPr>
    </w:p>
    <w:p>
      <w:pPr>
        <w:spacing w:line="420" w:lineRule="atLeast"/>
        <w:rPr>
          <w:rFonts w:ascii="方正小标宋简体" w:hAnsi="黑体" w:eastAsia="方正小标宋简体"/>
          <w:sz w:val="36"/>
          <w:szCs w:val="36"/>
        </w:rPr>
      </w:pPr>
    </w:p>
    <w:p>
      <w:pPr>
        <w:spacing w:line="420" w:lineRule="atLeast"/>
        <w:rPr>
          <w:rFonts w:ascii="方正小标宋简体" w:hAnsi="黑体" w:eastAsia="方正小标宋简体"/>
          <w:sz w:val="36"/>
          <w:szCs w:val="36"/>
        </w:rPr>
      </w:pPr>
    </w:p>
    <w:p>
      <w:pPr>
        <w:spacing w:line="420" w:lineRule="atLeast"/>
        <w:rPr>
          <w:rFonts w:ascii="方正小标宋简体" w:hAnsi="黑体" w:eastAsia="方正小标宋简体"/>
          <w:sz w:val="36"/>
          <w:szCs w:val="36"/>
        </w:rPr>
      </w:pPr>
    </w:p>
    <w:p>
      <w:pPr>
        <w:spacing w:line="420" w:lineRule="atLeast"/>
        <w:rPr>
          <w:rFonts w:ascii="方正小标宋简体" w:hAnsi="黑体" w:eastAsia="方正小标宋简体"/>
          <w:sz w:val="36"/>
          <w:szCs w:val="36"/>
        </w:rPr>
      </w:pPr>
    </w:p>
    <w:p>
      <w:pPr>
        <w:spacing w:line="420" w:lineRule="atLeast"/>
        <w:rPr>
          <w:rFonts w:ascii="方正小标宋简体" w:hAnsi="黑体" w:eastAsia="方正小标宋简体"/>
          <w:sz w:val="36"/>
          <w:szCs w:val="36"/>
        </w:rPr>
      </w:pPr>
    </w:p>
    <w:p>
      <w:pPr>
        <w:spacing w:line="420" w:lineRule="atLeast"/>
        <w:rPr>
          <w:rFonts w:ascii="黑体" w:hAnsi="黑体" w:eastAsia="黑体"/>
          <w:sz w:val="32"/>
          <w:szCs w:val="32"/>
        </w:rPr>
      </w:pPr>
      <w:r>
        <w:rPr>
          <w:rFonts w:hint="eastAsia" w:ascii="黑体" w:hAnsi="黑体" w:eastAsia="黑体"/>
          <w:sz w:val="32"/>
          <w:szCs w:val="32"/>
        </w:rPr>
        <w:t>附件4</w:t>
      </w:r>
    </w:p>
    <w:p>
      <w:pPr>
        <w:spacing w:line="420" w:lineRule="atLeast"/>
        <w:jc w:val="center"/>
        <w:rPr>
          <w:rFonts w:ascii="方正小标宋简体" w:hAnsi="黑体" w:eastAsia="方正小标宋简体"/>
          <w:sz w:val="36"/>
          <w:szCs w:val="36"/>
        </w:rPr>
      </w:pPr>
      <w:r>
        <w:rPr>
          <w:rFonts w:hint="eastAsia" w:ascii="方正小标宋简体" w:hAnsi="黑体" w:eastAsia="方正小标宋简体"/>
          <w:sz w:val="36"/>
          <w:szCs w:val="36"/>
        </w:rPr>
        <w:t>西咸新区物业服务企业信用评分标准</w:t>
      </w:r>
      <w:r>
        <w:rPr>
          <w:rFonts w:ascii="方正小标宋简体" w:hAnsi="黑体" w:eastAsia="方正小标宋简体"/>
          <w:sz w:val="36"/>
          <w:szCs w:val="36"/>
        </w:rPr>
        <w:t>(</w:t>
      </w:r>
      <w:r>
        <w:rPr>
          <w:rFonts w:hint="eastAsia" w:ascii="方正小标宋简体" w:hAnsi="黑体" w:eastAsia="方正小标宋简体"/>
          <w:sz w:val="36"/>
          <w:szCs w:val="36"/>
        </w:rPr>
        <w:t>不良信息）</w:t>
      </w:r>
    </w:p>
    <w:p>
      <w:pPr>
        <w:rPr>
          <w:rFonts w:ascii="宋体" w:hAnsi="Times New Roman" w:eastAsia="宋体" w:cs="宋体"/>
          <w:szCs w:val="21"/>
        </w:rPr>
      </w:pPr>
    </w:p>
    <w:tbl>
      <w:tblPr>
        <w:tblStyle w:val="10"/>
        <w:tblW w:w="14283" w:type="dxa"/>
        <w:tblInd w:w="0" w:type="dxa"/>
        <w:tblLayout w:type="fixed"/>
        <w:tblCellMar>
          <w:top w:w="0" w:type="dxa"/>
          <w:left w:w="108" w:type="dxa"/>
          <w:bottom w:w="0" w:type="dxa"/>
          <w:right w:w="108" w:type="dxa"/>
        </w:tblCellMar>
      </w:tblPr>
      <w:tblGrid>
        <w:gridCol w:w="466"/>
        <w:gridCol w:w="4037"/>
        <w:gridCol w:w="850"/>
        <w:gridCol w:w="709"/>
        <w:gridCol w:w="1134"/>
        <w:gridCol w:w="1417"/>
        <w:gridCol w:w="3828"/>
        <w:gridCol w:w="1134"/>
        <w:gridCol w:w="708"/>
      </w:tblGrid>
      <w:tr>
        <w:tblPrEx>
          <w:tblCellMar>
            <w:top w:w="0" w:type="dxa"/>
            <w:left w:w="108" w:type="dxa"/>
            <w:bottom w:w="0" w:type="dxa"/>
            <w:right w:w="108" w:type="dxa"/>
          </w:tblCellMar>
        </w:tblPrEx>
        <w:trPr>
          <w:trHeight w:val="623" w:hRule="atLeast"/>
        </w:trPr>
        <w:tc>
          <w:tcPr>
            <w:tcW w:w="466"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序号</w:t>
            </w:r>
          </w:p>
        </w:tc>
        <w:tc>
          <w:tcPr>
            <w:tcW w:w="4037"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评价信息</w:t>
            </w:r>
          </w:p>
        </w:tc>
        <w:tc>
          <w:tcPr>
            <w:tcW w:w="1559" w:type="dxa"/>
            <w:gridSpan w:val="2"/>
            <w:tcBorders>
              <w:top w:val="single" w:color="auto" w:sz="4" w:space="0"/>
              <w:left w:val="nil"/>
              <w:bottom w:val="single" w:color="auto" w:sz="4" w:space="0"/>
              <w:right w:val="single" w:color="000000"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减分值</w:t>
            </w:r>
          </w:p>
          <w:p>
            <w:pPr>
              <w:spacing w:line="240" w:lineRule="exact"/>
              <w:jc w:val="center"/>
              <w:rPr>
                <w:rFonts w:ascii="黑体" w:hAnsi="宋体" w:eastAsia="黑体" w:cs="宋体"/>
                <w:szCs w:val="21"/>
              </w:rPr>
            </w:pPr>
            <w:r>
              <w:rPr>
                <w:rFonts w:hint="eastAsia" w:ascii="黑体" w:hAnsi="宋体" w:eastAsia="黑体" w:cs="宋体"/>
                <w:szCs w:val="21"/>
              </w:rPr>
              <w:t>（单次）</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计分周期</w:t>
            </w:r>
          </w:p>
        </w:tc>
        <w:tc>
          <w:tcPr>
            <w:tcW w:w="1417"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信息来源</w:t>
            </w:r>
          </w:p>
        </w:tc>
        <w:tc>
          <w:tcPr>
            <w:tcW w:w="4962" w:type="dxa"/>
            <w:gridSpan w:val="2"/>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征信依据</w:t>
            </w:r>
          </w:p>
        </w:tc>
        <w:tc>
          <w:tcPr>
            <w:tcW w:w="708" w:type="dxa"/>
            <w:vMerge w:val="restart"/>
            <w:tcBorders>
              <w:top w:val="single" w:color="auto" w:sz="4" w:space="0"/>
              <w:left w:val="single" w:color="auto" w:sz="4" w:space="0"/>
              <w:right w:val="single" w:color="auto"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评分</w:t>
            </w:r>
          </w:p>
        </w:tc>
      </w:tr>
      <w:tr>
        <w:tblPrEx>
          <w:tblCellMar>
            <w:top w:w="0" w:type="dxa"/>
            <w:left w:w="108" w:type="dxa"/>
            <w:bottom w:w="0" w:type="dxa"/>
            <w:right w:w="108" w:type="dxa"/>
          </w:tblCellMar>
        </w:tblPrEx>
        <w:trPr>
          <w:trHeight w:val="561" w:hRule="atLeast"/>
        </w:trPr>
        <w:tc>
          <w:tcPr>
            <w:tcW w:w="466"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exact"/>
              <w:jc w:val="center"/>
              <w:rPr>
                <w:rFonts w:ascii="黑体" w:hAnsi="宋体" w:eastAsia="黑体" w:cs="宋体"/>
                <w:szCs w:val="21"/>
              </w:rPr>
            </w:pPr>
          </w:p>
        </w:tc>
        <w:tc>
          <w:tcPr>
            <w:tcW w:w="4037"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exact"/>
              <w:rPr>
                <w:rFonts w:ascii="黑体" w:hAnsi="宋体" w:eastAsia="黑体" w:cs="宋体"/>
                <w:szCs w:val="21"/>
              </w:rPr>
            </w:pP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企业</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黑体" w:hAnsi="宋体" w:eastAsia="黑体" w:cs="宋体"/>
                <w:szCs w:val="21"/>
              </w:rPr>
            </w:pPr>
            <w:r>
              <w:rPr>
                <w:rFonts w:hint="eastAsia" w:ascii="黑体" w:hAnsi="宋体" w:eastAsia="黑体" w:cs="宋体"/>
                <w:szCs w:val="21"/>
              </w:rPr>
              <w:t>项目负责人</w:t>
            </w: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exact"/>
              <w:rPr>
                <w:rFonts w:ascii="黑体" w:hAnsi="宋体" w:eastAsia="黑体" w:cs="宋体"/>
                <w:szCs w:val="21"/>
              </w:rPr>
            </w:pPr>
          </w:p>
        </w:tc>
        <w:tc>
          <w:tcPr>
            <w:tcW w:w="1417"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exact"/>
              <w:rPr>
                <w:rFonts w:ascii="黑体" w:hAnsi="宋体" w:eastAsia="黑体" w:cs="宋体"/>
                <w:szCs w:val="21"/>
              </w:rPr>
            </w:pPr>
          </w:p>
        </w:tc>
        <w:tc>
          <w:tcPr>
            <w:tcW w:w="4962" w:type="dxa"/>
            <w:gridSpan w:val="2"/>
            <w:vMerge w:val="continue"/>
            <w:tcBorders>
              <w:top w:val="single" w:color="auto" w:sz="4" w:space="0"/>
              <w:left w:val="single" w:color="auto" w:sz="4" w:space="0"/>
              <w:bottom w:val="single" w:color="000000" w:sz="4" w:space="0"/>
              <w:right w:val="single" w:color="auto" w:sz="4" w:space="0"/>
            </w:tcBorders>
            <w:vAlign w:val="center"/>
          </w:tcPr>
          <w:p>
            <w:pPr>
              <w:spacing w:line="240" w:lineRule="exact"/>
              <w:rPr>
                <w:rFonts w:ascii="黑体" w:hAnsi="宋体" w:eastAsia="黑体" w:cs="宋体"/>
                <w:szCs w:val="21"/>
              </w:rPr>
            </w:pPr>
          </w:p>
        </w:tc>
        <w:tc>
          <w:tcPr>
            <w:tcW w:w="708" w:type="dxa"/>
            <w:vMerge w:val="continue"/>
            <w:tcBorders>
              <w:left w:val="single" w:color="auto" w:sz="4" w:space="0"/>
              <w:bottom w:val="single" w:color="000000" w:sz="4" w:space="0"/>
              <w:right w:val="single" w:color="auto" w:sz="4" w:space="0"/>
            </w:tcBorders>
          </w:tcPr>
          <w:p>
            <w:pPr>
              <w:spacing w:line="240" w:lineRule="exact"/>
              <w:rPr>
                <w:rFonts w:ascii="黑体" w:hAnsi="宋体" w:eastAsia="黑体" w:cs="宋体"/>
                <w:szCs w:val="21"/>
              </w:rPr>
            </w:pPr>
          </w:p>
        </w:tc>
      </w:tr>
      <w:tr>
        <w:tblPrEx>
          <w:tblCellMar>
            <w:top w:w="0" w:type="dxa"/>
            <w:left w:w="108" w:type="dxa"/>
            <w:bottom w:w="0" w:type="dxa"/>
            <w:right w:w="108" w:type="dxa"/>
          </w:tblCellMar>
        </w:tblPrEx>
        <w:trPr>
          <w:trHeight w:val="488"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w:t>
            </w:r>
          </w:p>
        </w:tc>
        <w:tc>
          <w:tcPr>
            <w:tcW w:w="403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以欺骗、贿赂等不正当手段取得物业服务领域有关政府补贴、行政奖励的</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5</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134"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当年</w:t>
            </w: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物业主管部门</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监管检查结果</w:t>
            </w:r>
          </w:p>
        </w:tc>
        <w:tc>
          <w:tcPr>
            <w:tcW w:w="708" w:type="dxa"/>
            <w:tcBorders>
              <w:top w:val="nil"/>
              <w:left w:val="nil"/>
              <w:bottom w:val="single" w:color="auto" w:sz="4" w:space="0"/>
              <w:right w:val="single" w:color="auto" w:sz="4" w:space="0"/>
            </w:tcBorders>
            <w:shd w:val="clear" w:color="auto" w:fill="FFFFFF"/>
          </w:tcPr>
          <w:p>
            <w:pPr>
              <w:spacing w:line="240" w:lineRule="exact"/>
              <w:rPr>
                <w:rFonts w:ascii="宋体" w:hAnsi="Times New Roman" w:eastAsia="宋体" w:cs="宋体"/>
                <w:szCs w:val="21"/>
              </w:rPr>
            </w:pPr>
          </w:p>
        </w:tc>
      </w:tr>
      <w:tr>
        <w:tblPrEx>
          <w:tblCellMar>
            <w:top w:w="0" w:type="dxa"/>
            <w:left w:w="108" w:type="dxa"/>
            <w:bottom w:w="0" w:type="dxa"/>
            <w:right w:w="108" w:type="dxa"/>
          </w:tblCellMar>
        </w:tblPrEx>
        <w:trPr>
          <w:trHeight w:val="1261"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2</w:t>
            </w:r>
          </w:p>
        </w:tc>
        <w:tc>
          <w:tcPr>
            <w:tcW w:w="403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在法定期限内未提起行政复议、行政诉讼，或者经行政复议、行政诉讼最终维持原决定的物业主管部门作出的行政处罚信息，但适用简易程序作出的除外</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5</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134" w:type="dxa"/>
            <w:vMerge w:val="restart"/>
            <w:tcBorders>
              <w:top w:val="nil"/>
              <w:left w:val="nil"/>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披露期内</w:t>
            </w: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相关信用平台、监管部门</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网站公示信息、行政处罚决定书</w:t>
            </w:r>
          </w:p>
        </w:tc>
        <w:tc>
          <w:tcPr>
            <w:tcW w:w="708" w:type="dxa"/>
            <w:tcBorders>
              <w:top w:val="nil"/>
              <w:left w:val="nil"/>
              <w:bottom w:val="single" w:color="auto" w:sz="4" w:space="0"/>
              <w:right w:val="single" w:color="auto" w:sz="4" w:space="0"/>
            </w:tcBorders>
            <w:shd w:val="clear" w:color="auto" w:fill="FFFFFF"/>
          </w:tcPr>
          <w:p>
            <w:pPr>
              <w:spacing w:line="240" w:lineRule="exact"/>
              <w:rPr>
                <w:rFonts w:ascii="宋体" w:hAnsi="Times New Roman" w:eastAsia="宋体" w:cs="宋体"/>
                <w:szCs w:val="21"/>
              </w:rPr>
            </w:pPr>
          </w:p>
        </w:tc>
      </w:tr>
      <w:tr>
        <w:tblPrEx>
          <w:tblCellMar>
            <w:top w:w="0" w:type="dxa"/>
            <w:left w:w="108" w:type="dxa"/>
            <w:bottom w:w="0" w:type="dxa"/>
            <w:right w:w="108" w:type="dxa"/>
          </w:tblCellMar>
        </w:tblPrEx>
        <w:trPr>
          <w:trHeight w:val="612"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3</w:t>
            </w:r>
          </w:p>
        </w:tc>
        <w:tc>
          <w:tcPr>
            <w:tcW w:w="403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经司法生效判决认定构成犯罪的信息</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10</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134" w:type="dxa"/>
            <w:vMerge w:val="continue"/>
            <w:tcBorders>
              <w:left w:val="nil"/>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人民法院</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司法文书</w:t>
            </w:r>
          </w:p>
        </w:tc>
        <w:tc>
          <w:tcPr>
            <w:tcW w:w="708" w:type="dxa"/>
            <w:tcBorders>
              <w:top w:val="nil"/>
              <w:left w:val="nil"/>
              <w:bottom w:val="single" w:color="auto" w:sz="4" w:space="0"/>
              <w:right w:val="single" w:color="auto" w:sz="4" w:space="0"/>
            </w:tcBorders>
            <w:shd w:val="clear" w:color="auto" w:fill="FFFFFF"/>
          </w:tcPr>
          <w:p>
            <w:pPr>
              <w:spacing w:line="240" w:lineRule="exact"/>
              <w:rPr>
                <w:rFonts w:ascii="宋体" w:hAnsi="Times New Roman" w:eastAsia="宋体" w:cs="宋体"/>
                <w:szCs w:val="21"/>
              </w:rPr>
            </w:pPr>
          </w:p>
        </w:tc>
      </w:tr>
      <w:tr>
        <w:tblPrEx>
          <w:tblCellMar>
            <w:top w:w="0" w:type="dxa"/>
            <w:left w:w="108" w:type="dxa"/>
            <w:bottom w:w="0" w:type="dxa"/>
            <w:right w:w="108" w:type="dxa"/>
          </w:tblCellMar>
        </w:tblPrEx>
        <w:trPr>
          <w:trHeight w:val="803"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4</w:t>
            </w:r>
          </w:p>
        </w:tc>
        <w:tc>
          <w:tcPr>
            <w:tcW w:w="403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不履行物业管理行政主管部门行政决定而被依法行政强制执行的</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5</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134" w:type="dxa"/>
            <w:vMerge w:val="continue"/>
            <w:tcBorders>
              <w:left w:val="nil"/>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物业主管部门</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行政决定文书</w:t>
            </w:r>
          </w:p>
        </w:tc>
        <w:tc>
          <w:tcPr>
            <w:tcW w:w="708" w:type="dxa"/>
            <w:tcBorders>
              <w:top w:val="nil"/>
              <w:left w:val="nil"/>
              <w:bottom w:val="single" w:color="auto" w:sz="4" w:space="0"/>
              <w:right w:val="single" w:color="auto" w:sz="4" w:space="0"/>
            </w:tcBorders>
            <w:shd w:val="clear" w:color="auto" w:fill="FFFFFF"/>
          </w:tcPr>
          <w:p>
            <w:pPr>
              <w:spacing w:line="240" w:lineRule="exact"/>
              <w:rPr>
                <w:rFonts w:ascii="宋体" w:hAnsi="Times New Roman" w:eastAsia="宋体" w:cs="宋体"/>
                <w:szCs w:val="21"/>
              </w:rPr>
            </w:pPr>
          </w:p>
        </w:tc>
      </w:tr>
      <w:tr>
        <w:tblPrEx>
          <w:tblCellMar>
            <w:top w:w="0" w:type="dxa"/>
            <w:left w:w="108" w:type="dxa"/>
            <w:bottom w:w="0" w:type="dxa"/>
            <w:right w:w="108" w:type="dxa"/>
          </w:tblCellMar>
        </w:tblPrEx>
        <w:trPr>
          <w:trHeight w:val="714"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5</w:t>
            </w:r>
          </w:p>
        </w:tc>
        <w:tc>
          <w:tcPr>
            <w:tcW w:w="403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不履行判决、裁定等生效法律文书的</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5</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134" w:type="dxa"/>
            <w:vMerge w:val="continue"/>
            <w:tcBorders>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人民法院</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判决、裁定文书</w:t>
            </w:r>
          </w:p>
        </w:tc>
        <w:tc>
          <w:tcPr>
            <w:tcW w:w="708" w:type="dxa"/>
            <w:tcBorders>
              <w:top w:val="nil"/>
              <w:left w:val="nil"/>
              <w:bottom w:val="single" w:color="auto" w:sz="4" w:space="0"/>
              <w:right w:val="single" w:color="auto" w:sz="4" w:space="0"/>
            </w:tcBorders>
            <w:shd w:val="clear" w:color="auto" w:fill="FFFFFF"/>
          </w:tcPr>
          <w:p>
            <w:pPr>
              <w:spacing w:line="240" w:lineRule="exact"/>
              <w:rPr>
                <w:rFonts w:ascii="宋体" w:hAnsi="Times New Roman" w:eastAsia="宋体" w:cs="宋体"/>
                <w:szCs w:val="21"/>
              </w:rPr>
            </w:pPr>
          </w:p>
        </w:tc>
      </w:tr>
      <w:tr>
        <w:tblPrEx>
          <w:tblCellMar>
            <w:top w:w="0" w:type="dxa"/>
            <w:left w:w="108" w:type="dxa"/>
            <w:bottom w:w="0" w:type="dxa"/>
            <w:right w:w="108" w:type="dxa"/>
          </w:tblCellMar>
        </w:tblPrEx>
        <w:trPr>
          <w:trHeight w:val="841" w:hRule="atLeast"/>
        </w:trPr>
        <w:tc>
          <w:tcPr>
            <w:tcW w:w="46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6</w:t>
            </w:r>
          </w:p>
        </w:tc>
        <w:tc>
          <w:tcPr>
            <w:tcW w:w="403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经相关职能部门依法认定的违反法律、法规和规章的其他信息（如责令改正决定书等行政决定载明的违法行为信息等）</w:t>
            </w:r>
          </w:p>
        </w:tc>
        <w:tc>
          <w:tcPr>
            <w:tcW w:w="850"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3</w:t>
            </w:r>
          </w:p>
        </w:tc>
        <w:tc>
          <w:tcPr>
            <w:tcW w:w="709"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1</w:t>
            </w:r>
          </w:p>
        </w:tc>
        <w:tc>
          <w:tcPr>
            <w:tcW w:w="1134"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2年</w:t>
            </w:r>
          </w:p>
        </w:tc>
        <w:tc>
          <w:tcPr>
            <w:tcW w:w="141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相关信用平台、监管部门</w:t>
            </w:r>
          </w:p>
        </w:tc>
        <w:tc>
          <w:tcPr>
            <w:tcW w:w="4962" w:type="dxa"/>
            <w:gridSpan w:val="2"/>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bCs/>
                <w:szCs w:val="21"/>
              </w:rPr>
              <w:t>法律法规依据</w:t>
            </w:r>
          </w:p>
        </w:tc>
        <w:tc>
          <w:tcPr>
            <w:tcW w:w="708" w:type="dxa"/>
            <w:tcBorders>
              <w:top w:val="single" w:color="auto" w:sz="4" w:space="0"/>
              <w:left w:val="nil"/>
              <w:bottom w:val="single" w:color="auto" w:sz="4" w:space="0"/>
              <w:right w:val="single" w:color="auto" w:sz="4" w:space="0"/>
            </w:tcBorders>
            <w:shd w:val="clear" w:color="auto" w:fill="FFFFFF"/>
          </w:tcPr>
          <w:p>
            <w:pPr>
              <w:spacing w:line="240" w:lineRule="exact"/>
              <w:rPr>
                <w:rFonts w:ascii="宋体" w:hAnsi="Times New Roman" w:eastAsia="宋体" w:cs="宋体"/>
                <w:szCs w:val="21"/>
              </w:rPr>
            </w:pPr>
          </w:p>
        </w:tc>
      </w:tr>
      <w:tr>
        <w:tblPrEx>
          <w:tblCellMar>
            <w:top w:w="0" w:type="dxa"/>
            <w:left w:w="108" w:type="dxa"/>
            <w:bottom w:w="0" w:type="dxa"/>
            <w:right w:w="108" w:type="dxa"/>
          </w:tblCellMar>
        </w:tblPrEx>
        <w:trPr>
          <w:trHeight w:val="1106" w:hRule="atLeast"/>
        </w:trPr>
        <w:tc>
          <w:tcPr>
            <w:tcW w:w="46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7</w:t>
            </w:r>
          </w:p>
        </w:tc>
        <w:tc>
          <w:tcPr>
            <w:tcW w:w="403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发生物业管理法律法规规定的禁止性行为的</w:t>
            </w:r>
          </w:p>
        </w:tc>
        <w:tc>
          <w:tcPr>
            <w:tcW w:w="850"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2</w:t>
            </w:r>
          </w:p>
        </w:tc>
        <w:tc>
          <w:tcPr>
            <w:tcW w:w="709"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w:t>
            </w:r>
          </w:p>
        </w:tc>
        <w:tc>
          <w:tcPr>
            <w:tcW w:w="1134"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当年</w:t>
            </w:r>
          </w:p>
        </w:tc>
        <w:tc>
          <w:tcPr>
            <w:tcW w:w="141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监督管理、备案审查、各类投诉等</w:t>
            </w:r>
          </w:p>
        </w:tc>
        <w:tc>
          <w:tcPr>
            <w:tcW w:w="4962" w:type="dxa"/>
            <w:gridSpan w:val="2"/>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bCs/>
                <w:szCs w:val="21"/>
              </w:rPr>
              <w:t>法律法规依据</w:t>
            </w:r>
          </w:p>
        </w:tc>
        <w:tc>
          <w:tcPr>
            <w:tcW w:w="708" w:type="dxa"/>
            <w:tcBorders>
              <w:top w:val="single" w:color="auto" w:sz="4" w:space="0"/>
              <w:left w:val="nil"/>
              <w:bottom w:val="single" w:color="auto" w:sz="4" w:space="0"/>
              <w:right w:val="single" w:color="auto" w:sz="4" w:space="0"/>
            </w:tcBorders>
            <w:shd w:val="clear" w:color="auto" w:fill="FFFFFF"/>
          </w:tcPr>
          <w:p>
            <w:pPr>
              <w:spacing w:line="240" w:lineRule="exact"/>
              <w:rPr>
                <w:rFonts w:ascii="宋体" w:hAnsi="Times New Roman" w:eastAsia="宋体" w:cs="宋体"/>
                <w:szCs w:val="21"/>
              </w:rPr>
            </w:pPr>
          </w:p>
        </w:tc>
      </w:tr>
      <w:tr>
        <w:tblPrEx>
          <w:tblCellMar>
            <w:top w:w="0" w:type="dxa"/>
            <w:left w:w="108" w:type="dxa"/>
            <w:bottom w:w="0" w:type="dxa"/>
            <w:right w:w="108" w:type="dxa"/>
          </w:tblCellMar>
        </w:tblPrEx>
        <w:trPr>
          <w:trHeight w:val="595" w:hRule="atLeast"/>
        </w:trPr>
        <w:tc>
          <w:tcPr>
            <w:tcW w:w="46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8</w:t>
            </w:r>
          </w:p>
        </w:tc>
        <w:tc>
          <w:tcPr>
            <w:tcW w:w="40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未有效劝阻、制止法律、法规和规章规定的物业管理禁止性行为且未及时报告有关部门的</w:t>
            </w:r>
          </w:p>
        </w:tc>
        <w:tc>
          <w:tcPr>
            <w:tcW w:w="850"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2</w:t>
            </w:r>
          </w:p>
        </w:tc>
        <w:tc>
          <w:tcPr>
            <w:tcW w:w="709"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w:t>
            </w:r>
          </w:p>
        </w:tc>
        <w:tc>
          <w:tcPr>
            <w:tcW w:w="1134"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当年</w:t>
            </w:r>
          </w:p>
        </w:tc>
        <w:tc>
          <w:tcPr>
            <w:tcW w:w="141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监督管理、业主投诉、现场查看、检查台账</w:t>
            </w:r>
          </w:p>
        </w:tc>
        <w:tc>
          <w:tcPr>
            <w:tcW w:w="4962" w:type="dxa"/>
            <w:gridSpan w:val="2"/>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bCs/>
                <w:szCs w:val="21"/>
              </w:rPr>
              <w:t>法律法规依据</w:t>
            </w:r>
          </w:p>
        </w:tc>
        <w:tc>
          <w:tcPr>
            <w:tcW w:w="708" w:type="dxa"/>
            <w:tcBorders>
              <w:top w:val="nil"/>
              <w:left w:val="nil"/>
              <w:bottom w:val="single" w:color="auto" w:sz="4" w:space="0"/>
              <w:right w:val="single" w:color="auto" w:sz="4" w:space="0"/>
            </w:tcBorders>
            <w:shd w:val="clear" w:color="auto" w:fill="FFFFFF"/>
          </w:tcPr>
          <w:p>
            <w:pPr>
              <w:spacing w:line="240" w:lineRule="exact"/>
              <w:jc w:val="center"/>
              <w:rPr>
                <w:rFonts w:ascii="宋体" w:hAnsi="Times New Roman" w:eastAsia="宋体" w:cs="宋体"/>
                <w:szCs w:val="21"/>
              </w:rPr>
            </w:pPr>
          </w:p>
        </w:tc>
      </w:tr>
      <w:tr>
        <w:tblPrEx>
          <w:tblCellMar>
            <w:top w:w="0" w:type="dxa"/>
            <w:left w:w="108" w:type="dxa"/>
            <w:bottom w:w="0" w:type="dxa"/>
            <w:right w:w="108" w:type="dxa"/>
          </w:tblCellMar>
        </w:tblPrEx>
        <w:trPr>
          <w:trHeight w:val="735"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9</w:t>
            </w:r>
          </w:p>
        </w:tc>
        <w:tc>
          <w:tcPr>
            <w:tcW w:w="4037"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擅自更换中标时承诺或者确定的前期物业服务项目负责人的</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2</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1</w:t>
            </w:r>
          </w:p>
        </w:tc>
        <w:tc>
          <w:tcPr>
            <w:tcW w:w="1134"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当期</w:t>
            </w: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监督管理、业主投诉</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中标结果、前期物业服务合同</w:t>
            </w:r>
          </w:p>
        </w:tc>
        <w:tc>
          <w:tcPr>
            <w:tcW w:w="708" w:type="dxa"/>
            <w:tcBorders>
              <w:top w:val="nil"/>
              <w:left w:val="nil"/>
              <w:bottom w:val="single" w:color="auto" w:sz="4" w:space="0"/>
              <w:right w:val="single" w:color="auto" w:sz="4" w:space="0"/>
            </w:tcBorders>
            <w:shd w:val="clear" w:color="auto" w:fill="FFFFFF"/>
          </w:tcPr>
          <w:p>
            <w:pPr>
              <w:spacing w:line="240" w:lineRule="exact"/>
              <w:jc w:val="center"/>
              <w:rPr>
                <w:rFonts w:ascii="宋体" w:hAnsi="Times New Roman" w:eastAsia="宋体" w:cs="宋体"/>
                <w:szCs w:val="21"/>
              </w:rPr>
            </w:pPr>
          </w:p>
        </w:tc>
      </w:tr>
      <w:tr>
        <w:tblPrEx>
          <w:tblCellMar>
            <w:top w:w="0" w:type="dxa"/>
            <w:left w:w="108" w:type="dxa"/>
            <w:bottom w:w="0" w:type="dxa"/>
            <w:right w:w="108" w:type="dxa"/>
          </w:tblCellMar>
        </w:tblPrEx>
        <w:trPr>
          <w:trHeight w:val="844"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10</w:t>
            </w:r>
          </w:p>
        </w:tc>
        <w:tc>
          <w:tcPr>
            <w:tcW w:w="4037"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物业管理区域日常检查不达标的（单个项目）</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2</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1</w:t>
            </w:r>
          </w:p>
        </w:tc>
        <w:tc>
          <w:tcPr>
            <w:tcW w:w="1134"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当年</w:t>
            </w: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附件6达标考核</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达标考核结果</w:t>
            </w:r>
          </w:p>
        </w:tc>
        <w:tc>
          <w:tcPr>
            <w:tcW w:w="708" w:type="dxa"/>
            <w:tcBorders>
              <w:top w:val="nil"/>
              <w:left w:val="nil"/>
              <w:bottom w:val="single" w:color="auto" w:sz="4" w:space="0"/>
              <w:right w:val="single" w:color="auto" w:sz="4" w:space="0"/>
            </w:tcBorders>
            <w:shd w:val="clear" w:color="auto" w:fill="FFFFFF"/>
          </w:tcPr>
          <w:p>
            <w:pPr>
              <w:spacing w:line="240" w:lineRule="exact"/>
              <w:jc w:val="center"/>
              <w:rPr>
                <w:rFonts w:ascii="宋体" w:hAnsi="Times New Roman" w:eastAsia="宋体" w:cs="宋体"/>
                <w:szCs w:val="21"/>
              </w:rPr>
            </w:pPr>
          </w:p>
        </w:tc>
      </w:tr>
      <w:tr>
        <w:tblPrEx>
          <w:tblCellMar>
            <w:top w:w="0" w:type="dxa"/>
            <w:left w:w="108" w:type="dxa"/>
            <w:bottom w:w="0" w:type="dxa"/>
            <w:right w:w="108" w:type="dxa"/>
          </w:tblCellMar>
        </w:tblPrEx>
        <w:trPr>
          <w:trHeight w:val="701" w:hRule="atLeast"/>
        </w:trPr>
        <w:tc>
          <w:tcPr>
            <w:tcW w:w="46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11</w:t>
            </w:r>
          </w:p>
        </w:tc>
        <w:tc>
          <w:tcPr>
            <w:tcW w:w="40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违反物业管理行业自律性规范</w:t>
            </w:r>
          </w:p>
        </w:tc>
        <w:tc>
          <w:tcPr>
            <w:tcW w:w="850"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5</w:t>
            </w:r>
          </w:p>
        </w:tc>
        <w:tc>
          <w:tcPr>
            <w:tcW w:w="709"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Times New Roman" w:eastAsia="宋体" w:cs="宋体"/>
                <w:szCs w:val="21"/>
              </w:rPr>
              <w:t>-</w:t>
            </w:r>
          </w:p>
        </w:tc>
        <w:tc>
          <w:tcPr>
            <w:tcW w:w="1134"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2</w:t>
            </w:r>
            <w:r>
              <w:rPr>
                <w:rFonts w:hint="eastAsia" w:ascii="宋体" w:hAnsi="宋体" w:eastAsia="宋体" w:cs="宋体"/>
                <w:szCs w:val="21"/>
              </w:rPr>
              <w:t>年</w:t>
            </w:r>
          </w:p>
        </w:tc>
        <w:tc>
          <w:tcPr>
            <w:tcW w:w="1417" w:type="dxa"/>
            <w:tcBorders>
              <w:top w:val="single" w:color="auto" w:sz="4" w:space="0"/>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行业协会</w:t>
            </w:r>
          </w:p>
        </w:tc>
        <w:tc>
          <w:tcPr>
            <w:tcW w:w="4962" w:type="dxa"/>
            <w:gridSpan w:val="2"/>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新区物业协会认定结论</w:t>
            </w:r>
          </w:p>
        </w:tc>
        <w:tc>
          <w:tcPr>
            <w:tcW w:w="708" w:type="dxa"/>
            <w:tcBorders>
              <w:top w:val="single" w:color="auto" w:sz="4" w:space="0"/>
              <w:left w:val="nil"/>
              <w:bottom w:val="single" w:color="auto" w:sz="4" w:space="0"/>
              <w:right w:val="single" w:color="auto" w:sz="4" w:space="0"/>
            </w:tcBorders>
            <w:shd w:val="clear" w:color="auto" w:fill="FFFFFF"/>
          </w:tcPr>
          <w:p>
            <w:pPr>
              <w:spacing w:line="240" w:lineRule="exact"/>
              <w:jc w:val="center"/>
              <w:rPr>
                <w:rFonts w:ascii="宋体" w:hAnsi="Times New Roman" w:eastAsia="宋体" w:cs="宋体"/>
                <w:szCs w:val="21"/>
              </w:rPr>
            </w:pPr>
          </w:p>
        </w:tc>
      </w:tr>
      <w:tr>
        <w:tblPrEx>
          <w:tblCellMar>
            <w:top w:w="0" w:type="dxa"/>
            <w:left w:w="108" w:type="dxa"/>
            <w:bottom w:w="0" w:type="dxa"/>
            <w:right w:w="108" w:type="dxa"/>
          </w:tblCellMar>
        </w:tblPrEx>
        <w:trPr>
          <w:trHeight w:val="698"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12</w:t>
            </w:r>
          </w:p>
        </w:tc>
        <w:tc>
          <w:tcPr>
            <w:tcW w:w="4037"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企业党员员工在物业管理服务中有违法违纪行为，受到处分的</w:t>
            </w:r>
          </w:p>
        </w:tc>
        <w:tc>
          <w:tcPr>
            <w:tcW w:w="850"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宋体" w:eastAsia="宋体" w:cs="宋体"/>
                <w:szCs w:val="21"/>
              </w:rPr>
              <w:t>1</w:t>
            </w:r>
          </w:p>
        </w:tc>
        <w:tc>
          <w:tcPr>
            <w:tcW w:w="709"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Times New Roman" w:eastAsia="宋体" w:cs="宋体"/>
                <w:szCs w:val="21"/>
              </w:rPr>
              <w:t>-</w:t>
            </w:r>
          </w:p>
        </w:tc>
        <w:tc>
          <w:tcPr>
            <w:tcW w:w="1134"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当年</w:t>
            </w: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宋体" w:eastAsia="宋体" w:cs="宋体"/>
                <w:szCs w:val="21"/>
              </w:rPr>
              <w:t>监管部门</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宋体" w:eastAsia="宋体" w:cs="宋体"/>
                <w:szCs w:val="21"/>
              </w:rPr>
              <w:t>处分决定</w:t>
            </w:r>
          </w:p>
        </w:tc>
        <w:tc>
          <w:tcPr>
            <w:tcW w:w="708" w:type="dxa"/>
            <w:tcBorders>
              <w:top w:val="nil"/>
              <w:left w:val="nil"/>
              <w:bottom w:val="single" w:color="auto" w:sz="4" w:space="0"/>
              <w:right w:val="single" w:color="auto" w:sz="4" w:space="0"/>
            </w:tcBorders>
            <w:shd w:val="clear" w:color="auto" w:fill="FFFFFF"/>
          </w:tcPr>
          <w:p>
            <w:pPr>
              <w:spacing w:line="240" w:lineRule="exact"/>
              <w:jc w:val="center"/>
              <w:rPr>
                <w:rFonts w:ascii="宋体" w:hAnsi="Times New Roman" w:eastAsia="宋体" w:cs="宋体"/>
                <w:szCs w:val="21"/>
              </w:rPr>
            </w:pPr>
          </w:p>
        </w:tc>
      </w:tr>
      <w:tr>
        <w:tblPrEx>
          <w:tblCellMar>
            <w:top w:w="0" w:type="dxa"/>
            <w:left w:w="108" w:type="dxa"/>
            <w:bottom w:w="0" w:type="dxa"/>
            <w:right w:w="108" w:type="dxa"/>
          </w:tblCellMar>
        </w:tblPrEx>
        <w:trPr>
          <w:trHeight w:val="698" w:hRule="atLeast"/>
        </w:trPr>
        <w:tc>
          <w:tcPr>
            <w:tcW w:w="466" w:type="dxa"/>
            <w:tcBorders>
              <w:top w:val="nil"/>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Times New Roman" w:eastAsia="宋体" w:cs="宋体"/>
                <w:szCs w:val="21"/>
              </w:rPr>
              <w:t>13</w:t>
            </w:r>
          </w:p>
        </w:tc>
        <w:tc>
          <w:tcPr>
            <w:tcW w:w="4037" w:type="dxa"/>
            <w:tcBorders>
              <w:top w:val="nil"/>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越级上访,教唆引导业主上访等严重情形</w:t>
            </w:r>
          </w:p>
        </w:tc>
        <w:tc>
          <w:tcPr>
            <w:tcW w:w="850"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5</w:t>
            </w:r>
          </w:p>
        </w:tc>
        <w:tc>
          <w:tcPr>
            <w:tcW w:w="709"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eastAsia="宋体"/>
                <w:szCs w:val="24"/>
              </w:rPr>
            </w:pPr>
            <w:r>
              <w:rPr>
                <w:rFonts w:hint="eastAsia" w:ascii="Times New Roman" w:hAnsi="Times New Roman" w:eastAsia="宋体"/>
                <w:szCs w:val="24"/>
              </w:rPr>
              <w:t>2</w:t>
            </w:r>
          </w:p>
        </w:tc>
        <w:tc>
          <w:tcPr>
            <w:tcW w:w="1134" w:type="dxa"/>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Times New Roman" w:eastAsia="宋体" w:cs="宋体"/>
                <w:szCs w:val="21"/>
              </w:rPr>
              <w:t>当年</w:t>
            </w:r>
          </w:p>
        </w:tc>
        <w:tc>
          <w:tcPr>
            <w:tcW w:w="1417" w:type="dxa"/>
            <w:tcBorders>
              <w:top w:val="nil"/>
              <w:left w:val="nil"/>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Times New Roman" w:eastAsia="宋体" w:cs="宋体"/>
                <w:szCs w:val="21"/>
              </w:rPr>
              <w:t>监管部门</w:t>
            </w:r>
          </w:p>
        </w:tc>
        <w:tc>
          <w:tcPr>
            <w:tcW w:w="4962" w:type="dxa"/>
            <w:gridSpan w:val="2"/>
            <w:tcBorders>
              <w:top w:val="nil"/>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Times New Roman" w:eastAsia="宋体" w:cs="宋体"/>
                <w:szCs w:val="21"/>
              </w:rPr>
              <w:t>监管部门核查结果</w:t>
            </w:r>
          </w:p>
        </w:tc>
        <w:tc>
          <w:tcPr>
            <w:tcW w:w="708" w:type="dxa"/>
            <w:tcBorders>
              <w:top w:val="nil"/>
              <w:left w:val="nil"/>
              <w:bottom w:val="single" w:color="auto" w:sz="4" w:space="0"/>
              <w:right w:val="single" w:color="auto" w:sz="4" w:space="0"/>
            </w:tcBorders>
            <w:shd w:val="clear" w:color="auto" w:fill="FFFFFF"/>
          </w:tcPr>
          <w:p>
            <w:pPr>
              <w:spacing w:line="240" w:lineRule="exact"/>
              <w:jc w:val="center"/>
              <w:rPr>
                <w:rFonts w:ascii="宋体" w:hAnsi="Times New Roman" w:eastAsia="宋体" w:cs="宋体"/>
                <w:szCs w:val="21"/>
              </w:rPr>
            </w:pPr>
          </w:p>
        </w:tc>
      </w:tr>
      <w:tr>
        <w:tblPrEx>
          <w:tblCellMar>
            <w:top w:w="0" w:type="dxa"/>
            <w:left w:w="108" w:type="dxa"/>
            <w:bottom w:w="0" w:type="dxa"/>
            <w:right w:w="108" w:type="dxa"/>
          </w:tblCellMar>
        </w:tblPrEx>
        <w:trPr>
          <w:trHeight w:val="708" w:hRule="atLeast"/>
        </w:trPr>
        <w:tc>
          <w:tcPr>
            <w:tcW w:w="46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ascii="宋体" w:hAnsi="Times New Roman" w:eastAsia="宋体" w:cs="宋体"/>
                <w:szCs w:val="21"/>
              </w:rPr>
              <w:t>1</w:t>
            </w:r>
            <w:r>
              <w:rPr>
                <w:rFonts w:hint="eastAsia" w:ascii="宋体" w:hAnsi="Times New Roman" w:eastAsia="宋体" w:cs="宋体"/>
                <w:szCs w:val="21"/>
              </w:rPr>
              <w:t>4</w:t>
            </w:r>
          </w:p>
        </w:tc>
        <w:tc>
          <w:tcPr>
            <w:tcW w:w="40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szCs w:val="21"/>
              </w:rPr>
            </w:pPr>
            <w:r>
              <w:rPr>
                <w:rFonts w:hint="eastAsia" w:ascii="宋体" w:hAnsi="宋体" w:eastAsia="宋体"/>
                <w:szCs w:val="21"/>
              </w:rPr>
              <w:t>违反其他法律法规和合同约定的</w:t>
            </w:r>
          </w:p>
        </w:tc>
        <w:tc>
          <w:tcPr>
            <w:tcW w:w="9072" w:type="dxa"/>
            <w:gridSpan w:val="6"/>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ascii="宋体" w:hAnsi="Times New Roman" w:eastAsia="宋体" w:cs="宋体"/>
                <w:szCs w:val="21"/>
              </w:rPr>
            </w:pPr>
            <w:r>
              <w:rPr>
                <w:rFonts w:hint="eastAsia" w:ascii="宋体" w:hAnsi="Times New Roman" w:eastAsia="宋体" w:cs="宋体"/>
                <w:szCs w:val="21"/>
              </w:rPr>
              <w:t>参照上述标准</w:t>
            </w:r>
          </w:p>
        </w:tc>
        <w:tc>
          <w:tcPr>
            <w:tcW w:w="708" w:type="dxa"/>
            <w:tcBorders>
              <w:top w:val="single" w:color="auto" w:sz="4" w:space="0"/>
              <w:left w:val="nil"/>
              <w:bottom w:val="single" w:color="auto" w:sz="4" w:space="0"/>
              <w:right w:val="single" w:color="auto" w:sz="4" w:space="0"/>
            </w:tcBorders>
            <w:shd w:val="clear" w:color="auto" w:fill="FFFFFF"/>
          </w:tcPr>
          <w:p>
            <w:pPr>
              <w:spacing w:line="240" w:lineRule="exact"/>
              <w:jc w:val="center"/>
              <w:rPr>
                <w:rFonts w:ascii="宋体" w:hAnsi="Times New Roman" w:eastAsia="宋体" w:cs="宋体"/>
                <w:szCs w:val="21"/>
              </w:rPr>
            </w:pPr>
          </w:p>
        </w:tc>
      </w:tr>
      <w:tr>
        <w:tblPrEx>
          <w:tblCellMar>
            <w:top w:w="0" w:type="dxa"/>
            <w:left w:w="108" w:type="dxa"/>
            <w:bottom w:w="0" w:type="dxa"/>
            <w:right w:w="108" w:type="dxa"/>
          </w:tblCellMar>
        </w:tblPrEx>
        <w:trPr>
          <w:trHeight w:val="708" w:hRule="atLeast"/>
        </w:trPr>
        <w:tc>
          <w:tcPr>
            <w:tcW w:w="1244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Times New Roman" w:eastAsia="宋体" w:cs="宋体"/>
                <w:szCs w:val="21"/>
              </w:rPr>
              <w:t>说明：同一不良信息，按最高减分值计算一次，不累积计分。</w:t>
            </w:r>
          </w:p>
        </w:tc>
        <w:tc>
          <w:tcPr>
            <w:tcW w:w="184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rFonts w:ascii="宋体" w:hAnsi="Times New Roman" w:eastAsia="宋体" w:cs="宋体"/>
                <w:szCs w:val="21"/>
              </w:rPr>
            </w:pPr>
            <w:r>
              <w:rPr>
                <w:rFonts w:hint="eastAsia" w:ascii="宋体" w:hAnsi="Times New Roman" w:eastAsia="宋体" w:cs="宋体"/>
                <w:szCs w:val="21"/>
              </w:rPr>
              <w:t>总得分：</w:t>
            </w:r>
          </w:p>
        </w:tc>
      </w:tr>
    </w:tbl>
    <w:p>
      <w:pPr>
        <w:spacing w:line="400" w:lineRule="exact"/>
        <w:rPr>
          <w:rFonts w:ascii="Times New Roman" w:hAnsi="Times New Roman" w:eastAsia="宋体"/>
          <w:sz w:val="28"/>
          <w:szCs w:val="28"/>
        </w:rPr>
        <w:sectPr>
          <w:headerReference r:id="rId6" w:type="first"/>
          <w:footerReference r:id="rId9" w:type="first"/>
          <w:headerReference r:id="rId4" w:type="default"/>
          <w:footerReference r:id="rId7" w:type="default"/>
          <w:headerReference r:id="rId5" w:type="even"/>
          <w:footerReference r:id="rId8" w:type="even"/>
          <w:pgSz w:w="16838" w:h="11906" w:orient="landscape"/>
          <w:pgMar w:top="1797" w:right="1440" w:bottom="1797" w:left="1440" w:header="851" w:footer="992" w:gutter="0"/>
          <w:cols w:space="720" w:num="1"/>
          <w:docGrid w:linePitch="312" w:charSpace="0"/>
        </w:sectPr>
      </w:pPr>
    </w:p>
    <w:p>
      <w:pPr>
        <w:spacing w:line="420" w:lineRule="atLeast"/>
        <w:rPr>
          <w:rFonts w:ascii="黑体" w:hAnsi="黑体" w:eastAsia="黑体"/>
          <w:sz w:val="32"/>
          <w:szCs w:val="32"/>
        </w:rPr>
      </w:pPr>
      <w:r>
        <w:rPr>
          <w:rFonts w:hint="eastAsia" w:ascii="黑体" w:hAnsi="黑体" w:eastAsia="黑体"/>
          <w:sz w:val="32"/>
          <w:szCs w:val="32"/>
        </w:rPr>
        <w:t>附件5</w:t>
      </w:r>
    </w:p>
    <w:p>
      <w:pPr>
        <w:spacing w:line="420" w:lineRule="atLeast"/>
        <w:jc w:val="center"/>
        <w:rPr>
          <w:rFonts w:ascii="方正小标宋简体" w:hAnsi="黑体" w:eastAsia="方正小标宋简体"/>
          <w:sz w:val="36"/>
          <w:szCs w:val="36"/>
        </w:rPr>
      </w:pPr>
      <w:r>
        <w:rPr>
          <w:rFonts w:hint="eastAsia" w:ascii="方正小标宋简体" w:hAnsi="黑体" w:eastAsia="方正小标宋简体"/>
          <w:sz w:val="36"/>
          <w:szCs w:val="36"/>
        </w:rPr>
        <w:t>西咸新区物业服务企业信用评分标准</w:t>
      </w:r>
      <w:r>
        <w:rPr>
          <w:rFonts w:ascii="方正小标宋简体" w:hAnsi="黑体" w:eastAsia="方正小标宋简体"/>
          <w:sz w:val="36"/>
          <w:szCs w:val="36"/>
        </w:rPr>
        <w:t>(</w:t>
      </w:r>
      <w:r>
        <w:rPr>
          <w:rFonts w:hint="eastAsia" w:ascii="方正小标宋简体" w:hAnsi="黑体" w:eastAsia="方正小标宋简体"/>
          <w:sz w:val="36"/>
          <w:szCs w:val="36"/>
        </w:rPr>
        <w:t>严重失信信息）</w:t>
      </w:r>
    </w:p>
    <w:p>
      <w:pPr>
        <w:rPr>
          <w:rFonts w:ascii="宋体" w:hAnsi="Times New Roman" w:eastAsia="宋体" w:cs="宋体"/>
          <w:szCs w:val="21"/>
        </w:rPr>
      </w:pPr>
    </w:p>
    <w:tbl>
      <w:tblPr>
        <w:tblStyle w:val="10"/>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164"/>
        <w:gridCol w:w="882"/>
        <w:gridCol w:w="900"/>
        <w:gridCol w:w="899"/>
        <w:gridCol w:w="1326"/>
        <w:gridCol w:w="1411"/>
        <w:gridCol w:w="1067"/>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6" w:type="dxa"/>
            <w:vMerge w:val="restart"/>
            <w:shd w:val="clear" w:color="auto" w:fill="FFFFFF"/>
            <w:vAlign w:val="center"/>
          </w:tcPr>
          <w:p>
            <w:pPr>
              <w:jc w:val="center"/>
              <w:rPr>
                <w:rFonts w:ascii="黑体" w:hAnsi="黑体" w:eastAsia="黑体" w:cs="宋体"/>
                <w:szCs w:val="21"/>
              </w:rPr>
            </w:pPr>
            <w:r>
              <w:rPr>
                <w:rFonts w:hint="eastAsia" w:ascii="黑体" w:hAnsi="黑体" w:eastAsia="黑体" w:cs="宋体"/>
                <w:szCs w:val="21"/>
              </w:rPr>
              <w:t>序号</w:t>
            </w:r>
          </w:p>
        </w:tc>
        <w:tc>
          <w:tcPr>
            <w:tcW w:w="6164" w:type="dxa"/>
            <w:vMerge w:val="restart"/>
            <w:shd w:val="clear" w:color="auto" w:fill="FFFFFF"/>
            <w:vAlign w:val="center"/>
          </w:tcPr>
          <w:p>
            <w:pPr>
              <w:jc w:val="center"/>
              <w:rPr>
                <w:rFonts w:ascii="黑体" w:hAnsi="黑体" w:eastAsia="黑体" w:cs="宋体"/>
                <w:szCs w:val="21"/>
              </w:rPr>
            </w:pPr>
            <w:r>
              <w:rPr>
                <w:rFonts w:hint="eastAsia" w:ascii="黑体" w:hAnsi="黑体" w:eastAsia="黑体" w:cs="宋体"/>
                <w:szCs w:val="21"/>
              </w:rPr>
              <w:t>评价信息</w:t>
            </w:r>
          </w:p>
        </w:tc>
        <w:tc>
          <w:tcPr>
            <w:tcW w:w="1782" w:type="dxa"/>
            <w:gridSpan w:val="2"/>
            <w:shd w:val="clear" w:color="auto" w:fill="FFFFFF"/>
            <w:vAlign w:val="center"/>
          </w:tcPr>
          <w:p>
            <w:pPr>
              <w:jc w:val="center"/>
              <w:rPr>
                <w:rFonts w:ascii="黑体" w:hAnsi="黑体" w:eastAsia="黑体" w:cs="宋体"/>
                <w:szCs w:val="21"/>
              </w:rPr>
            </w:pPr>
            <w:r>
              <w:rPr>
                <w:rFonts w:hint="eastAsia" w:ascii="黑体" w:hAnsi="黑体" w:eastAsia="黑体" w:cs="宋体"/>
                <w:szCs w:val="21"/>
              </w:rPr>
              <w:t>减分值</w:t>
            </w:r>
          </w:p>
          <w:p>
            <w:pPr>
              <w:jc w:val="center"/>
              <w:rPr>
                <w:rFonts w:ascii="黑体" w:hAnsi="黑体" w:eastAsia="黑体" w:cs="宋体"/>
                <w:szCs w:val="21"/>
              </w:rPr>
            </w:pPr>
            <w:r>
              <w:rPr>
                <w:rFonts w:hint="eastAsia" w:ascii="黑体" w:hAnsi="黑体" w:eastAsia="黑体" w:cs="宋体"/>
                <w:szCs w:val="21"/>
              </w:rPr>
              <w:t>（单次）</w:t>
            </w:r>
          </w:p>
        </w:tc>
        <w:tc>
          <w:tcPr>
            <w:tcW w:w="899" w:type="dxa"/>
            <w:vMerge w:val="restart"/>
            <w:shd w:val="clear" w:color="auto" w:fill="FFFFFF"/>
            <w:vAlign w:val="center"/>
          </w:tcPr>
          <w:p>
            <w:pPr>
              <w:jc w:val="center"/>
              <w:rPr>
                <w:rFonts w:ascii="黑体" w:hAnsi="黑体" w:eastAsia="黑体" w:cs="宋体"/>
                <w:szCs w:val="21"/>
              </w:rPr>
            </w:pPr>
            <w:r>
              <w:rPr>
                <w:rFonts w:hint="eastAsia" w:ascii="黑体" w:hAnsi="黑体" w:eastAsia="黑体" w:cs="宋体"/>
                <w:szCs w:val="21"/>
              </w:rPr>
              <w:t>计分</w:t>
            </w:r>
          </w:p>
          <w:p>
            <w:pPr>
              <w:jc w:val="center"/>
              <w:rPr>
                <w:rFonts w:ascii="黑体" w:hAnsi="黑体" w:eastAsia="黑体" w:cs="宋体"/>
                <w:szCs w:val="21"/>
              </w:rPr>
            </w:pPr>
            <w:r>
              <w:rPr>
                <w:rFonts w:hint="eastAsia" w:ascii="黑体" w:hAnsi="黑体" w:eastAsia="黑体" w:cs="宋体"/>
                <w:szCs w:val="21"/>
              </w:rPr>
              <w:t>周期</w:t>
            </w:r>
          </w:p>
        </w:tc>
        <w:tc>
          <w:tcPr>
            <w:tcW w:w="1326" w:type="dxa"/>
            <w:vMerge w:val="restart"/>
            <w:shd w:val="clear" w:color="auto" w:fill="FFFFFF"/>
            <w:vAlign w:val="center"/>
          </w:tcPr>
          <w:p>
            <w:pPr>
              <w:jc w:val="center"/>
              <w:rPr>
                <w:rFonts w:ascii="黑体" w:hAnsi="黑体" w:eastAsia="黑体" w:cs="宋体"/>
                <w:szCs w:val="21"/>
              </w:rPr>
            </w:pPr>
            <w:r>
              <w:rPr>
                <w:rFonts w:hint="eastAsia" w:ascii="黑体" w:hAnsi="黑体" w:eastAsia="黑体" w:cs="宋体"/>
                <w:szCs w:val="21"/>
              </w:rPr>
              <w:t>信息来源</w:t>
            </w:r>
          </w:p>
        </w:tc>
        <w:tc>
          <w:tcPr>
            <w:tcW w:w="2478" w:type="dxa"/>
            <w:gridSpan w:val="2"/>
            <w:vMerge w:val="restart"/>
            <w:shd w:val="clear" w:color="auto" w:fill="FFFFFF"/>
            <w:vAlign w:val="center"/>
          </w:tcPr>
          <w:p>
            <w:pPr>
              <w:jc w:val="center"/>
              <w:rPr>
                <w:rFonts w:ascii="黑体" w:hAnsi="黑体" w:eastAsia="黑体" w:cs="宋体"/>
                <w:szCs w:val="21"/>
              </w:rPr>
            </w:pPr>
            <w:r>
              <w:rPr>
                <w:rFonts w:hint="eastAsia" w:ascii="黑体" w:hAnsi="黑体" w:eastAsia="黑体" w:cs="宋体"/>
                <w:szCs w:val="21"/>
              </w:rPr>
              <w:t>征信依据</w:t>
            </w:r>
          </w:p>
        </w:tc>
        <w:tc>
          <w:tcPr>
            <w:tcW w:w="666" w:type="dxa"/>
            <w:vMerge w:val="restart"/>
            <w:shd w:val="clear" w:color="auto" w:fill="FFFFFF"/>
            <w:vAlign w:val="center"/>
          </w:tcPr>
          <w:p>
            <w:pPr>
              <w:jc w:val="center"/>
              <w:rPr>
                <w:rFonts w:ascii="黑体" w:hAnsi="黑体" w:eastAsia="黑体" w:cs="宋体"/>
                <w:szCs w:val="21"/>
              </w:rPr>
            </w:pPr>
            <w:r>
              <w:rPr>
                <w:rFonts w:hint="eastAsia" w:ascii="黑体" w:hAnsi="黑体" w:eastAsia="黑体" w:cs="宋体"/>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6" w:type="dxa"/>
            <w:vMerge w:val="continue"/>
            <w:vAlign w:val="center"/>
          </w:tcPr>
          <w:p>
            <w:pPr>
              <w:rPr>
                <w:rFonts w:ascii="宋体" w:hAnsi="Times New Roman" w:eastAsia="宋体" w:cs="宋体"/>
                <w:szCs w:val="21"/>
              </w:rPr>
            </w:pPr>
          </w:p>
        </w:tc>
        <w:tc>
          <w:tcPr>
            <w:tcW w:w="6164" w:type="dxa"/>
            <w:vMerge w:val="continue"/>
            <w:vAlign w:val="center"/>
          </w:tcPr>
          <w:p>
            <w:pPr>
              <w:rPr>
                <w:rFonts w:ascii="宋体" w:hAnsi="Times New Roman" w:eastAsia="宋体" w:cs="宋体"/>
                <w:szCs w:val="21"/>
              </w:rPr>
            </w:pPr>
          </w:p>
        </w:tc>
        <w:tc>
          <w:tcPr>
            <w:tcW w:w="882" w:type="dxa"/>
            <w:shd w:val="clear" w:color="auto" w:fill="FFFFFF"/>
            <w:vAlign w:val="center"/>
          </w:tcPr>
          <w:p>
            <w:pPr>
              <w:jc w:val="center"/>
              <w:rPr>
                <w:rFonts w:ascii="黑体" w:hAnsi="黑体" w:eastAsia="黑体" w:cs="宋体"/>
                <w:szCs w:val="21"/>
              </w:rPr>
            </w:pPr>
            <w:r>
              <w:rPr>
                <w:rFonts w:hint="eastAsia" w:ascii="黑体" w:hAnsi="黑体" w:eastAsia="黑体" w:cs="宋体"/>
                <w:szCs w:val="21"/>
              </w:rPr>
              <w:t>企业</w:t>
            </w:r>
          </w:p>
        </w:tc>
        <w:tc>
          <w:tcPr>
            <w:tcW w:w="900" w:type="dxa"/>
            <w:shd w:val="clear" w:color="auto" w:fill="FFFFFF"/>
            <w:vAlign w:val="center"/>
          </w:tcPr>
          <w:p>
            <w:pPr>
              <w:jc w:val="center"/>
              <w:rPr>
                <w:rFonts w:ascii="黑体" w:hAnsi="黑体" w:eastAsia="黑体" w:cs="宋体"/>
                <w:szCs w:val="21"/>
              </w:rPr>
            </w:pPr>
            <w:r>
              <w:rPr>
                <w:rFonts w:hint="eastAsia" w:ascii="黑体" w:hAnsi="黑体" w:eastAsia="黑体" w:cs="宋体"/>
                <w:szCs w:val="21"/>
              </w:rPr>
              <w:t>项目负责人</w:t>
            </w:r>
          </w:p>
        </w:tc>
        <w:tc>
          <w:tcPr>
            <w:tcW w:w="899" w:type="dxa"/>
            <w:vMerge w:val="continue"/>
            <w:vAlign w:val="center"/>
          </w:tcPr>
          <w:p>
            <w:pPr>
              <w:rPr>
                <w:rFonts w:ascii="宋体" w:hAnsi="Times New Roman" w:eastAsia="宋体" w:cs="宋体"/>
                <w:szCs w:val="21"/>
              </w:rPr>
            </w:pPr>
          </w:p>
        </w:tc>
        <w:tc>
          <w:tcPr>
            <w:tcW w:w="1326" w:type="dxa"/>
            <w:vMerge w:val="continue"/>
            <w:vAlign w:val="center"/>
          </w:tcPr>
          <w:p>
            <w:pPr>
              <w:rPr>
                <w:rFonts w:ascii="宋体" w:hAnsi="Times New Roman" w:eastAsia="宋体" w:cs="宋体"/>
                <w:szCs w:val="21"/>
              </w:rPr>
            </w:pPr>
          </w:p>
        </w:tc>
        <w:tc>
          <w:tcPr>
            <w:tcW w:w="2478" w:type="dxa"/>
            <w:gridSpan w:val="2"/>
            <w:vMerge w:val="continue"/>
            <w:vAlign w:val="center"/>
          </w:tcPr>
          <w:p>
            <w:pPr>
              <w:rPr>
                <w:rFonts w:ascii="宋体" w:hAnsi="Times New Roman" w:eastAsia="宋体" w:cs="宋体"/>
                <w:szCs w:val="21"/>
              </w:rPr>
            </w:pPr>
          </w:p>
        </w:tc>
        <w:tc>
          <w:tcPr>
            <w:tcW w:w="666" w:type="dxa"/>
            <w:vMerge w:val="continue"/>
          </w:tcPr>
          <w:p>
            <w:pPr>
              <w:jc w:val="center"/>
              <w:rPr>
                <w:rFonts w:ascii="宋体"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66" w:type="dxa"/>
            <w:shd w:val="clear" w:color="auto" w:fill="FFFFFF"/>
            <w:vAlign w:val="center"/>
          </w:tcPr>
          <w:p>
            <w:pPr>
              <w:jc w:val="center"/>
              <w:rPr>
                <w:rFonts w:ascii="宋体" w:hAnsi="宋体" w:eastAsia="宋体" w:cs="宋体"/>
                <w:szCs w:val="21"/>
              </w:rPr>
            </w:pPr>
            <w:r>
              <w:rPr>
                <w:rFonts w:ascii="宋体" w:hAnsi="宋体" w:eastAsia="宋体" w:cs="宋体"/>
                <w:szCs w:val="21"/>
              </w:rPr>
              <w:t>1</w:t>
            </w:r>
          </w:p>
        </w:tc>
        <w:tc>
          <w:tcPr>
            <w:tcW w:w="6164" w:type="dxa"/>
            <w:shd w:val="clear" w:color="auto" w:fill="FFFFFF"/>
            <w:vAlign w:val="center"/>
          </w:tcPr>
          <w:p>
            <w:pPr>
              <w:rPr>
                <w:rFonts w:ascii="宋体" w:hAnsi="Times New Roman" w:eastAsia="宋体" w:cs="宋体"/>
                <w:szCs w:val="21"/>
              </w:rPr>
            </w:pPr>
            <w:r>
              <w:rPr>
                <w:rFonts w:hint="eastAsia" w:ascii="宋体" w:hAnsi="宋体" w:eastAsia="宋体" w:cs="宋体"/>
                <w:szCs w:val="21"/>
              </w:rPr>
              <w:t>发生安全生产责任事故被行政处罚或者构成犯罪的信息</w:t>
            </w:r>
          </w:p>
        </w:tc>
        <w:tc>
          <w:tcPr>
            <w:tcW w:w="882" w:type="dxa"/>
            <w:shd w:val="clear" w:color="auto" w:fill="FFFFFF"/>
            <w:vAlign w:val="center"/>
          </w:tcPr>
          <w:p>
            <w:pPr>
              <w:jc w:val="center"/>
              <w:rPr>
                <w:rFonts w:ascii="宋体" w:hAnsi="Times New Roman" w:eastAsia="宋体" w:cs="宋体"/>
                <w:szCs w:val="21"/>
              </w:rPr>
            </w:pPr>
            <w:r>
              <w:rPr>
                <w:rFonts w:ascii="宋体" w:hAnsi="宋体" w:eastAsia="宋体" w:cs="宋体"/>
                <w:szCs w:val="21"/>
              </w:rPr>
              <w:t>3</w:t>
            </w:r>
            <w:r>
              <w:rPr>
                <w:rFonts w:ascii="宋体" w:hAnsi="Times New Roman" w:eastAsia="宋体" w:cs="宋体"/>
                <w:szCs w:val="21"/>
              </w:rPr>
              <w:t>0</w:t>
            </w:r>
          </w:p>
        </w:tc>
        <w:tc>
          <w:tcPr>
            <w:tcW w:w="900" w:type="dxa"/>
            <w:shd w:val="clear" w:color="auto" w:fill="FFFFFF"/>
            <w:vAlign w:val="center"/>
          </w:tcPr>
          <w:p>
            <w:pPr>
              <w:jc w:val="center"/>
              <w:rPr>
                <w:rFonts w:ascii="宋体" w:hAnsi="Times New Roman" w:eastAsia="宋体" w:cs="宋体"/>
                <w:szCs w:val="21"/>
              </w:rPr>
            </w:pPr>
            <w:r>
              <w:rPr>
                <w:rFonts w:ascii="宋体" w:hAnsi="Times New Roman" w:eastAsia="宋体" w:cs="宋体"/>
                <w:szCs w:val="21"/>
              </w:rPr>
              <w:t>15</w:t>
            </w:r>
          </w:p>
        </w:tc>
        <w:tc>
          <w:tcPr>
            <w:tcW w:w="899" w:type="dxa"/>
            <w:shd w:val="clear" w:color="auto" w:fill="FFFFFF"/>
            <w:vAlign w:val="center"/>
          </w:tcPr>
          <w:p>
            <w:pPr>
              <w:jc w:val="center"/>
              <w:rPr>
                <w:rFonts w:ascii="宋体" w:hAnsi="Times New Roman" w:eastAsia="宋体" w:cs="宋体"/>
                <w:szCs w:val="21"/>
              </w:rPr>
            </w:pPr>
            <w:r>
              <w:rPr>
                <w:rFonts w:hint="eastAsia" w:ascii="宋体" w:hAnsi="Times New Roman" w:eastAsia="宋体" w:cs="宋体"/>
                <w:szCs w:val="21"/>
              </w:rPr>
              <w:t>披露期内</w:t>
            </w:r>
          </w:p>
        </w:tc>
        <w:tc>
          <w:tcPr>
            <w:tcW w:w="1326" w:type="dxa"/>
            <w:shd w:val="clear" w:color="auto" w:fill="FFFFFF"/>
            <w:vAlign w:val="center"/>
          </w:tcPr>
          <w:p>
            <w:pPr>
              <w:rPr>
                <w:rFonts w:ascii="宋体" w:hAnsi="Times New Roman" w:eastAsia="宋体" w:cs="宋体"/>
                <w:szCs w:val="21"/>
              </w:rPr>
            </w:pPr>
            <w:r>
              <w:rPr>
                <w:rFonts w:hint="eastAsia" w:ascii="宋体" w:hAnsi="宋体" w:eastAsia="宋体" w:cs="宋体"/>
                <w:szCs w:val="21"/>
              </w:rPr>
              <w:t>有关行政机关、人民法院</w:t>
            </w:r>
          </w:p>
        </w:tc>
        <w:tc>
          <w:tcPr>
            <w:tcW w:w="2478" w:type="dxa"/>
            <w:gridSpan w:val="2"/>
            <w:shd w:val="clear" w:color="auto" w:fill="FFFFFF"/>
            <w:vAlign w:val="center"/>
          </w:tcPr>
          <w:p>
            <w:pPr>
              <w:rPr>
                <w:rFonts w:ascii="宋体" w:hAnsi="Times New Roman" w:eastAsia="宋体" w:cs="宋体"/>
                <w:szCs w:val="21"/>
              </w:rPr>
            </w:pPr>
            <w:r>
              <w:rPr>
                <w:rFonts w:hint="eastAsia" w:ascii="宋体" w:hAnsi="宋体" w:eastAsia="宋体" w:cs="宋体"/>
                <w:szCs w:val="21"/>
              </w:rPr>
              <w:t>生效的法律文书、行政处罚决定书等</w:t>
            </w:r>
          </w:p>
        </w:tc>
        <w:tc>
          <w:tcPr>
            <w:tcW w:w="666" w:type="dxa"/>
            <w:shd w:val="clear" w:color="auto" w:fill="FFFFFF"/>
          </w:tcPr>
          <w:p>
            <w:pPr>
              <w:jc w:val="center"/>
              <w:rPr>
                <w:rFonts w:ascii="宋体"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66" w:type="dxa"/>
            <w:shd w:val="clear" w:color="auto" w:fill="FFFFFF"/>
            <w:vAlign w:val="center"/>
          </w:tcPr>
          <w:p>
            <w:pPr>
              <w:jc w:val="center"/>
              <w:rPr>
                <w:rFonts w:ascii="宋体" w:hAnsi="宋体" w:eastAsia="宋体" w:cs="宋体"/>
                <w:szCs w:val="21"/>
              </w:rPr>
            </w:pPr>
            <w:r>
              <w:rPr>
                <w:rFonts w:ascii="宋体" w:hAnsi="宋体" w:eastAsia="宋体" w:cs="宋体"/>
                <w:szCs w:val="21"/>
              </w:rPr>
              <w:t>2</w:t>
            </w:r>
          </w:p>
        </w:tc>
        <w:tc>
          <w:tcPr>
            <w:tcW w:w="6164" w:type="dxa"/>
            <w:shd w:val="clear" w:color="auto" w:fill="FFFFFF"/>
            <w:vAlign w:val="center"/>
          </w:tcPr>
          <w:p>
            <w:pPr>
              <w:rPr>
                <w:rFonts w:ascii="宋体" w:hAnsi="Times New Roman" w:eastAsia="宋体" w:cs="宋体"/>
                <w:szCs w:val="21"/>
              </w:rPr>
            </w:pPr>
            <w:r>
              <w:rPr>
                <w:rFonts w:hint="eastAsia" w:ascii="宋体" w:hAnsi="宋体" w:eastAsia="宋体" w:cs="宋体"/>
                <w:szCs w:val="21"/>
              </w:rPr>
              <w:t>因挪用或者侵占物业专项维修资金、挪用或者侵占物业共用部位或者共用设施设备经营收入、商业贿赂、逃税骗税、恶意欠薪、非法集资、合同诈骗、未依法订立物业服务合同进入项目管理、无证照经营、围标串标、违规收费、泄露业主信息、以暴力或者胁迫方式阻挠业主组织成立等严重破坏市场经济秩序和社会管理秩序的行为被行政处罚或者构成犯罪的信息</w:t>
            </w:r>
          </w:p>
        </w:tc>
        <w:tc>
          <w:tcPr>
            <w:tcW w:w="882" w:type="dxa"/>
            <w:shd w:val="clear" w:color="auto" w:fill="FFFFFF"/>
            <w:vAlign w:val="center"/>
          </w:tcPr>
          <w:p>
            <w:pPr>
              <w:jc w:val="center"/>
              <w:rPr>
                <w:rFonts w:ascii="宋体" w:hAnsi="Times New Roman" w:eastAsia="宋体" w:cs="宋体"/>
                <w:szCs w:val="21"/>
              </w:rPr>
            </w:pPr>
            <w:r>
              <w:rPr>
                <w:rFonts w:ascii="宋体" w:hAnsi="宋体" w:eastAsia="宋体" w:cs="宋体"/>
                <w:szCs w:val="21"/>
              </w:rPr>
              <w:t>3</w:t>
            </w:r>
            <w:r>
              <w:rPr>
                <w:rFonts w:ascii="宋体" w:hAnsi="Times New Roman" w:eastAsia="宋体" w:cs="宋体"/>
                <w:szCs w:val="21"/>
              </w:rPr>
              <w:t>0</w:t>
            </w:r>
          </w:p>
        </w:tc>
        <w:tc>
          <w:tcPr>
            <w:tcW w:w="900" w:type="dxa"/>
            <w:shd w:val="clear" w:color="auto" w:fill="FFFFFF"/>
            <w:vAlign w:val="center"/>
          </w:tcPr>
          <w:p>
            <w:pPr>
              <w:jc w:val="center"/>
              <w:rPr>
                <w:rFonts w:ascii="宋体" w:hAnsi="Times New Roman" w:eastAsia="宋体" w:cs="宋体"/>
                <w:szCs w:val="21"/>
              </w:rPr>
            </w:pPr>
            <w:r>
              <w:rPr>
                <w:rFonts w:ascii="宋体" w:hAnsi="宋体" w:eastAsia="宋体" w:cs="宋体"/>
                <w:szCs w:val="21"/>
              </w:rPr>
              <w:t>15</w:t>
            </w:r>
          </w:p>
        </w:tc>
        <w:tc>
          <w:tcPr>
            <w:tcW w:w="899" w:type="dxa"/>
            <w:shd w:val="clear" w:color="auto" w:fill="FFFFFF"/>
            <w:vAlign w:val="center"/>
          </w:tcPr>
          <w:p>
            <w:pPr>
              <w:jc w:val="center"/>
              <w:rPr>
                <w:rFonts w:ascii="宋体" w:hAnsi="Times New Roman" w:eastAsia="宋体" w:cs="宋体"/>
                <w:szCs w:val="21"/>
              </w:rPr>
            </w:pPr>
            <w:r>
              <w:rPr>
                <w:rFonts w:hint="eastAsia" w:ascii="宋体" w:hAnsi="宋体" w:eastAsia="宋体" w:cs="宋体"/>
                <w:szCs w:val="21"/>
              </w:rPr>
              <w:t>披露期内</w:t>
            </w:r>
          </w:p>
        </w:tc>
        <w:tc>
          <w:tcPr>
            <w:tcW w:w="1326" w:type="dxa"/>
            <w:shd w:val="clear" w:color="auto" w:fill="FFFFFF"/>
            <w:vAlign w:val="center"/>
          </w:tcPr>
          <w:p>
            <w:pPr>
              <w:rPr>
                <w:rFonts w:ascii="宋体" w:hAnsi="Times New Roman" w:eastAsia="宋体" w:cs="宋体"/>
                <w:szCs w:val="21"/>
              </w:rPr>
            </w:pPr>
            <w:r>
              <w:rPr>
                <w:rFonts w:hint="eastAsia" w:ascii="宋体" w:hAnsi="宋体" w:eastAsia="宋体" w:cs="宋体"/>
                <w:szCs w:val="21"/>
              </w:rPr>
              <w:t>有关行政机关、人民法院</w:t>
            </w:r>
          </w:p>
        </w:tc>
        <w:tc>
          <w:tcPr>
            <w:tcW w:w="2478" w:type="dxa"/>
            <w:gridSpan w:val="2"/>
            <w:shd w:val="clear" w:color="auto" w:fill="FFFFFF"/>
            <w:vAlign w:val="center"/>
          </w:tcPr>
          <w:p>
            <w:pPr>
              <w:rPr>
                <w:rFonts w:ascii="宋体" w:hAnsi="Times New Roman" w:eastAsia="宋体" w:cs="宋体"/>
                <w:szCs w:val="21"/>
              </w:rPr>
            </w:pPr>
            <w:r>
              <w:rPr>
                <w:rFonts w:hint="eastAsia" w:ascii="宋体" w:hAnsi="宋体" w:eastAsia="宋体" w:cs="宋体"/>
                <w:szCs w:val="21"/>
              </w:rPr>
              <w:t>生效的法律文书、行政处罚决定书等</w:t>
            </w:r>
          </w:p>
        </w:tc>
        <w:tc>
          <w:tcPr>
            <w:tcW w:w="666" w:type="dxa"/>
            <w:shd w:val="clear" w:color="auto" w:fill="FFFFFF"/>
          </w:tcPr>
          <w:p>
            <w:pPr>
              <w:jc w:val="center"/>
              <w:rPr>
                <w:rFonts w:ascii="宋体"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66" w:type="dxa"/>
            <w:shd w:val="clear" w:color="auto" w:fill="FFFFFF"/>
            <w:vAlign w:val="center"/>
          </w:tcPr>
          <w:p>
            <w:pPr>
              <w:jc w:val="center"/>
              <w:rPr>
                <w:rFonts w:ascii="宋体" w:hAnsi="宋体" w:eastAsia="宋体" w:cs="宋体"/>
                <w:szCs w:val="21"/>
              </w:rPr>
            </w:pPr>
            <w:r>
              <w:rPr>
                <w:rFonts w:ascii="宋体" w:hAnsi="宋体" w:eastAsia="宋体" w:cs="宋体"/>
                <w:szCs w:val="21"/>
              </w:rPr>
              <w:t>3</w:t>
            </w:r>
          </w:p>
        </w:tc>
        <w:tc>
          <w:tcPr>
            <w:tcW w:w="6164" w:type="dxa"/>
            <w:shd w:val="clear" w:color="auto" w:fill="FFFFFF"/>
            <w:vAlign w:val="center"/>
          </w:tcPr>
          <w:p>
            <w:pPr>
              <w:rPr>
                <w:rFonts w:ascii="宋体" w:hAnsi="Times New Roman" w:eastAsia="宋体" w:cs="宋体"/>
                <w:szCs w:val="21"/>
              </w:rPr>
            </w:pPr>
            <w:r>
              <w:rPr>
                <w:rFonts w:hint="eastAsia" w:ascii="宋体" w:hAnsi="宋体" w:eastAsia="宋体" w:cs="宋体"/>
                <w:szCs w:val="21"/>
              </w:rPr>
              <w:t>有履行能力而拒不履行判决、裁定等生效法律文书的信息</w:t>
            </w:r>
          </w:p>
        </w:tc>
        <w:tc>
          <w:tcPr>
            <w:tcW w:w="882" w:type="dxa"/>
            <w:shd w:val="clear" w:color="auto" w:fill="FFFFFF"/>
            <w:vAlign w:val="center"/>
          </w:tcPr>
          <w:p>
            <w:pPr>
              <w:jc w:val="center"/>
              <w:rPr>
                <w:rFonts w:ascii="宋体" w:hAnsi="Times New Roman" w:eastAsia="宋体" w:cs="宋体"/>
                <w:szCs w:val="21"/>
              </w:rPr>
            </w:pPr>
            <w:r>
              <w:rPr>
                <w:rFonts w:ascii="宋体" w:hAnsi="宋体" w:eastAsia="宋体" w:cs="宋体"/>
                <w:szCs w:val="21"/>
              </w:rPr>
              <w:t>3</w:t>
            </w:r>
            <w:r>
              <w:rPr>
                <w:rFonts w:ascii="宋体" w:hAnsi="Times New Roman" w:eastAsia="宋体" w:cs="宋体"/>
                <w:szCs w:val="21"/>
              </w:rPr>
              <w:t>0</w:t>
            </w:r>
          </w:p>
        </w:tc>
        <w:tc>
          <w:tcPr>
            <w:tcW w:w="900" w:type="dxa"/>
            <w:shd w:val="clear" w:color="auto" w:fill="FFFFFF"/>
            <w:vAlign w:val="center"/>
          </w:tcPr>
          <w:p>
            <w:pPr>
              <w:jc w:val="center"/>
              <w:rPr>
                <w:rFonts w:ascii="宋体" w:hAnsi="Times New Roman" w:eastAsia="宋体" w:cs="宋体"/>
                <w:szCs w:val="21"/>
              </w:rPr>
            </w:pPr>
            <w:r>
              <w:rPr>
                <w:rFonts w:ascii="宋体" w:hAnsi="Times New Roman" w:eastAsia="宋体" w:cs="宋体"/>
                <w:szCs w:val="21"/>
              </w:rPr>
              <w:t>-</w:t>
            </w:r>
          </w:p>
        </w:tc>
        <w:tc>
          <w:tcPr>
            <w:tcW w:w="899" w:type="dxa"/>
            <w:shd w:val="clear" w:color="auto" w:fill="FFFFFF"/>
            <w:vAlign w:val="center"/>
          </w:tcPr>
          <w:p>
            <w:pPr>
              <w:jc w:val="center"/>
              <w:rPr>
                <w:rFonts w:ascii="宋体" w:hAnsi="Times New Roman" w:eastAsia="宋体" w:cs="宋体"/>
                <w:szCs w:val="21"/>
              </w:rPr>
            </w:pPr>
            <w:r>
              <w:rPr>
                <w:rFonts w:hint="eastAsia" w:ascii="宋体" w:hAnsi="宋体" w:eastAsia="宋体" w:cs="宋体"/>
                <w:szCs w:val="21"/>
              </w:rPr>
              <w:t>披露期内</w:t>
            </w:r>
          </w:p>
        </w:tc>
        <w:tc>
          <w:tcPr>
            <w:tcW w:w="1326" w:type="dxa"/>
            <w:shd w:val="clear" w:color="auto" w:fill="FFFFFF"/>
            <w:vAlign w:val="center"/>
          </w:tcPr>
          <w:p>
            <w:pPr>
              <w:rPr>
                <w:rFonts w:ascii="宋体" w:hAnsi="Times New Roman" w:eastAsia="宋体" w:cs="宋体"/>
                <w:szCs w:val="21"/>
              </w:rPr>
            </w:pPr>
            <w:r>
              <w:rPr>
                <w:rFonts w:hint="eastAsia" w:ascii="宋体" w:hAnsi="宋体" w:eastAsia="宋体" w:cs="宋体"/>
                <w:szCs w:val="21"/>
              </w:rPr>
              <w:t>人民法院</w:t>
            </w:r>
          </w:p>
        </w:tc>
        <w:tc>
          <w:tcPr>
            <w:tcW w:w="2478" w:type="dxa"/>
            <w:gridSpan w:val="2"/>
            <w:shd w:val="clear" w:color="auto" w:fill="FFFFFF"/>
            <w:vAlign w:val="center"/>
          </w:tcPr>
          <w:p>
            <w:pPr>
              <w:rPr>
                <w:rFonts w:ascii="宋体" w:hAnsi="Times New Roman" w:eastAsia="宋体" w:cs="宋体"/>
                <w:szCs w:val="21"/>
              </w:rPr>
            </w:pPr>
            <w:r>
              <w:rPr>
                <w:rFonts w:hint="eastAsia" w:ascii="宋体" w:hAnsi="宋体" w:eastAsia="宋体" w:cs="宋体"/>
                <w:szCs w:val="21"/>
              </w:rPr>
              <w:t>生效的法律文书</w:t>
            </w:r>
          </w:p>
        </w:tc>
        <w:tc>
          <w:tcPr>
            <w:tcW w:w="666" w:type="dxa"/>
            <w:shd w:val="clear" w:color="auto" w:fill="FFFFFF"/>
          </w:tcPr>
          <w:p>
            <w:pPr>
              <w:jc w:val="center"/>
              <w:rPr>
                <w:rFonts w:ascii="宋体"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66" w:type="dxa"/>
            <w:shd w:val="clear" w:color="auto" w:fill="FFFFFF"/>
            <w:vAlign w:val="center"/>
          </w:tcPr>
          <w:p>
            <w:pPr>
              <w:jc w:val="center"/>
              <w:rPr>
                <w:rFonts w:ascii="宋体" w:hAnsi="Times New Roman" w:eastAsia="宋体" w:cs="宋体"/>
                <w:szCs w:val="21"/>
              </w:rPr>
            </w:pPr>
            <w:r>
              <w:rPr>
                <w:rFonts w:ascii="宋体" w:hAnsi="宋体" w:eastAsia="宋体" w:cs="宋体"/>
                <w:szCs w:val="21"/>
              </w:rPr>
              <w:t>4</w:t>
            </w:r>
          </w:p>
        </w:tc>
        <w:tc>
          <w:tcPr>
            <w:tcW w:w="6164" w:type="dxa"/>
            <w:shd w:val="clear" w:color="auto" w:fill="FFFFFF"/>
            <w:vAlign w:val="center"/>
          </w:tcPr>
          <w:p>
            <w:pPr>
              <w:rPr>
                <w:rFonts w:ascii="宋体" w:hAnsi="Times New Roman" w:eastAsia="宋体" w:cs="宋体"/>
                <w:szCs w:val="21"/>
              </w:rPr>
            </w:pPr>
            <w:r>
              <w:rPr>
                <w:rFonts w:hint="eastAsia" w:ascii="宋体" w:hAnsi="宋体" w:eastAsia="宋体" w:cs="宋体"/>
                <w:szCs w:val="21"/>
              </w:rPr>
              <w:t>法律、法规规定的其他应当列入严重失信名单的相关信息</w:t>
            </w:r>
          </w:p>
        </w:tc>
        <w:tc>
          <w:tcPr>
            <w:tcW w:w="7151" w:type="dxa"/>
            <w:gridSpan w:val="7"/>
            <w:shd w:val="clear" w:color="auto" w:fill="FFFFFF"/>
            <w:vAlign w:val="center"/>
          </w:tcPr>
          <w:p>
            <w:pPr>
              <w:jc w:val="center"/>
              <w:rPr>
                <w:rFonts w:ascii="宋体" w:hAnsi="Times New Roman" w:eastAsia="宋体" w:cs="宋体"/>
                <w:szCs w:val="21"/>
              </w:rPr>
            </w:pPr>
            <w:r>
              <w:rPr>
                <w:rFonts w:hint="eastAsia" w:ascii="宋体" w:hAnsi="宋体" w:eastAsia="宋体" w:cs="宋体"/>
                <w:szCs w:val="21"/>
              </w:rPr>
              <w:t>参照上述标准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348" w:type="dxa"/>
            <w:gridSpan w:val="7"/>
            <w:shd w:val="clear" w:color="auto" w:fill="FFFFFF"/>
            <w:vAlign w:val="center"/>
          </w:tcPr>
          <w:p>
            <w:pPr>
              <w:spacing w:line="360" w:lineRule="exact"/>
              <w:ind w:right="-78" w:rightChars="-39"/>
              <w:rPr>
                <w:rFonts w:ascii="宋体" w:hAnsi="Times New Roman" w:eastAsia="宋体" w:cs="宋体"/>
                <w:szCs w:val="21"/>
              </w:rPr>
            </w:pPr>
            <w:r>
              <w:rPr>
                <w:rFonts w:hint="eastAsia" w:ascii="宋体" w:hAnsi="宋体" w:eastAsia="宋体" w:cs="宋体"/>
                <w:szCs w:val="21"/>
              </w:rPr>
              <w:t>说明：</w:t>
            </w:r>
            <w:r>
              <w:rPr>
                <w:rFonts w:ascii="宋体" w:hAnsi="宋体" w:eastAsia="宋体" w:cs="宋体"/>
                <w:szCs w:val="21"/>
              </w:rPr>
              <w:t>1</w:t>
            </w:r>
            <w:r>
              <w:rPr>
                <w:rFonts w:hint="eastAsia" w:ascii="宋体" w:hAnsi="宋体" w:eastAsia="宋体" w:cs="宋体"/>
                <w:szCs w:val="21"/>
              </w:rPr>
              <w:t>、认定严重失信信息，应当制作决定书，由新城物业管理行政主管部门负责人签发。</w:t>
            </w:r>
          </w:p>
          <w:p>
            <w:pPr>
              <w:spacing w:line="360" w:lineRule="exact"/>
              <w:ind w:right="-78" w:rightChars="-39" w:firstLine="600" w:firstLineChars="300"/>
              <w:rPr>
                <w:rFonts w:ascii="宋体" w:hAnsi="Times New Roman" w:eastAsia="宋体" w:cs="宋体"/>
                <w:szCs w:val="21"/>
              </w:rPr>
            </w:pPr>
            <w:r>
              <w:rPr>
                <w:rFonts w:ascii="宋体" w:hAnsi="宋体" w:eastAsia="宋体" w:cs="宋体"/>
                <w:szCs w:val="21"/>
              </w:rPr>
              <w:t>2</w:t>
            </w:r>
            <w:r>
              <w:rPr>
                <w:rFonts w:hint="eastAsia" w:ascii="宋体" w:hAnsi="宋体" w:eastAsia="宋体" w:cs="宋体"/>
                <w:szCs w:val="21"/>
              </w:rPr>
              <w:t>、严重失信信息不涉及项目负责人责任的，对项目负责人不予以计分。</w:t>
            </w:r>
          </w:p>
        </w:tc>
        <w:tc>
          <w:tcPr>
            <w:tcW w:w="1733" w:type="dxa"/>
            <w:gridSpan w:val="2"/>
            <w:shd w:val="clear" w:color="auto" w:fill="FFFFFF"/>
            <w:vAlign w:val="center"/>
          </w:tcPr>
          <w:p>
            <w:pPr>
              <w:spacing w:line="360" w:lineRule="exact"/>
              <w:ind w:right="-78" w:rightChars="-39"/>
              <w:rPr>
                <w:rFonts w:ascii="宋体" w:hAnsi="Times New Roman" w:eastAsia="宋体" w:cs="宋体"/>
                <w:szCs w:val="21"/>
              </w:rPr>
            </w:pPr>
            <w:r>
              <w:rPr>
                <w:rFonts w:hint="eastAsia" w:ascii="宋体" w:hAnsi="宋体" w:eastAsia="宋体" w:cs="宋体"/>
                <w:szCs w:val="21"/>
              </w:rPr>
              <w:t>总得分：</w:t>
            </w:r>
          </w:p>
        </w:tc>
      </w:tr>
    </w:tbl>
    <w:p>
      <w:pPr>
        <w:spacing w:line="420" w:lineRule="atLeast"/>
        <w:rPr>
          <w:rFonts w:ascii="Times New Roman" w:hAnsi="Times New Roman" w:eastAsia="宋体"/>
          <w:szCs w:val="24"/>
        </w:rPr>
      </w:pPr>
    </w:p>
    <w:p>
      <w:pPr>
        <w:spacing w:line="400" w:lineRule="exact"/>
        <w:rPr>
          <w:rFonts w:ascii="黑体" w:hAnsi="黑体" w:eastAsia="黑体"/>
          <w:sz w:val="32"/>
          <w:szCs w:val="32"/>
        </w:rPr>
      </w:pPr>
    </w:p>
    <w:p>
      <w:pPr>
        <w:spacing w:line="400" w:lineRule="exact"/>
        <w:rPr>
          <w:rFonts w:ascii="黑体" w:hAnsi="黑体" w:eastAsia="黑体"/>
          <w:sz w:val="32"/>
          <w:szCs w:val="32"/>
        </w:rPr>
      </w:pPr>
    </w:p>
    <w:p>
      <w:pPr>
        <w:spacing w:line="400" w:lineRule="exact"/>
        <w:rPr>
          <w:rFonts w:ascii="黑体" w:hAnsi="黑体" w:eastAsia="黑体"/>
          <w:sz w:val="32"/>
          <w:szCs w:val="32"/>
        </w:rPr>
      </w:pPr>
      <w:r>
        <w:rPr>
          <w:rFonts w:hint="eastAsia" w:ascii="黑体" w:hAnsi="黑体" w:eastAsia="黑体"/>
          <w:sz w:val="32"/>
          <w:szCs w:val="32"/>
        </w:rPr>
        <w:t>附件6</w:t>
      </w:r>
    </w:p>
    <w:p>
      <w:pPr>
        <w:spacing w:line="600" w:lineRule="exact"/>
        <w:jc w:val="center"/>
        <w:rPr>
          <w:rFonts w:ascii="宋体" w:hAnsi="Times New Roman" w:eastAsia="宋体" w:cs="宋体"/>
          <w:bCs/>
          <w:sz w:val="24"/>
          <w:szCs w:val="24"/>
        </w:rPr>
      </w:pPr>
      <w:r>
        <w:rPr>
          <w:rFonts w:hint="eastAsia" w:ascii="方正小标宋简体" w:hAnsi="Times New Roman" w:eastAsia="方正小标宋简体"/>
          <w:sz w:val="36"/>
          <w:szCs w:val="36"/>
        </w:rPr>
        <w:t>西咸新区物业管理项目服务达标考核评分标准(社区专用)</w:t>
      </w:r>
    </w:p>
    <w:p>
      <w:pPr>
        <w:rPr>
          <w:rFonts w:ascii="宋体" w:hAnsi="Times New Roman" w:eastAsia="宋体" w:cs="宋体"/>
          <w:bCs/>
          <w:sz w:val="24"/>
          <w:szCs w:val="24"/>
        </w:rPr>
      </w:pPr>
    </w:p>
    <w:p>
      <w:pPr>
        <w:rPr>
          <w:rFonts w:ascii="Times New Roman" w:hAnsi="Times New Roman" w:eastAsia="宋体"/>
          <w:szCs w:val="24"/>
        </w:rPr>
      </w:pPr>
      <w:r>
        <w:rPr>
          <w:rFonts w:hint="eastAsia" w:ascii="宋体" w:hAnsi="宋体" w:eastAsia="宋体" w:cs="宋体"/>
          <w:bCs/>
          <w:sz w:val="24"/>
          <w:szCs w:val="24"/>
        </w:rPr>
        <w:t>考核单位：项目名称：收费标准：元</w:t>
      </w:r>
      <w:r>
        <w:rPr>
          <w:rFonts w:ascii="宋体" w:hAnsi="宋体" w:eastAsia="宋体" w:cs="宋体"/>
          <w:bCs/>
          <w:sz w:val="24"/>
          <w:szCs w:val="24"/>
        </w:rPr>
        <w:t>/</w:t>
      </w:r>
      <w:r>
        <w:rPr>
          <w:rFonts w:hint="eastAsia" w:ascii="宋体" w:hAnsi="宋体" w:eastAsia="宋体" w:cs="宋体"/>
          <w:bCs/>
          <w:sz w:val="24"/>
          <w:szCs w:val="24"/>
        </w:rPr>
        <w:t>㎡</w:t>
      </w:r>
    </w:p>
    <w:tbl>
      <w:tblPr>
        <w:tblStyle w:val="10"/>
        <w:tblW w:w="14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89"/>
        <w:gridCol w:w="6951"/>
        <w:gridCol w:w="575"/>
        <w:gridCol w:w="4991"/>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32" w:type="dxa"/>
            <w:vAlign w:val="center"/>
          </w:tcPr>
          <w:p>
            <w:pPr>
              <w:spacing w:line="340" w:lineRule="exact"/>
              <w:jc w:val="center"/>
              <w:rPr>
                <w:rFonts w:ascii="黑体" w:hAnsi="黑体" w:eastAsia="黑体"/>
                <w:szCs w:val="21"/>
              </w:rPr>
            </w:pPr>
            <w:r>
              <w:rPr>
                <w:rFonts w:hint="eastAsia" w:ascii="黑体" w:hAnsi="黑体" w:eastAsia="黑体"/>
                <w:szCs w:val="21"/>
              </w:rPr>
              <w:t>序号</w:t>
            </w:r>
          </w:p>
        </w:tc>
        <w:tc>
          <w:tcPr>
            <w:tcW w:w="989" w:type="dxa"/>
            <w:vAlign w:val="center"/>
          </w:tcPr>
          <w:p>
            <w:pPr>
              <w:spacing w:line="340" w:lineRule="exact"/>
              <w:jc w:val="center"/>
              <w:rPr>
                <w:rFonts w:ascii="黑体" w:hAnsi="黑体" w:eastAsia="黑体"/>
                <w:szCs w:val="21"/>
              </w:rPr>
            </w:pPr>
            <w:r>
              <w:rPr>
                <w:rFonts w:hint="eastAsia" w:ascii="黑体" w:hAnsi="黑体" w:eastAsia="黑体"/>
                <w:szCs w:val="21"/>
              </w:rPr>
              <w:t>基本</w:t>
            </w:r>
          </w:p>
          <w:p>
            <w:pPr>
              <w:spacing w:line="340" w:lineRule="exact"/>
              <w:jc w:val="center"/>
              <w:rPr>
                <w:rFonts w:ascii="黑体" w:hAnsi="黑体" w:eastAsia="黑体"/>
                <w:szCs w:val="21"/>
              </w:rPr>
            </w:pPr>
            <w:r>
              <w:rPr>
                <w:rFonts w:hint="eastAsia" w:ascii="黑体" w:hAnsi="黑体" w:eastAsia="黑体"/>
                <w:szCs w:val="21"/>
              </w:rPr>
              <w:t>项目</w:t>
            </w:r>
          </w:p>
        </w:tc>
        <w:tc>
          <w:tcPr>
            <w:tcW w:w="6951" w:type="dxa"/>
            <w:vAlign w:val="center"/>
          </w:tcPr>
          <w:p>
            <w:pPr>
              <w:spacing w:line="340" w:lineRule="exact"/>
              <w:jc w:val="center"/>
              <w:rPr>
                <w:rFonts w:ascii="黑体" w:hAnsi="黑体" w:eastAsia="黑体"/>
                <w:szCs w:val="21"/>
              </w:rPr>
            </w:pPr>
            <w:r>
              <w:rPr>
                <w:rFonts w:hint="eastAsia" w:ascii="黑体" w:hAnsi="黑体" w:eastAsia="黑体"/>
                <w:szCs w:val="21"/>
              </w:rPr>
              <w:t>考核内容</w:t>
            </w:r>
          </w:p>
        </w:tc>
        <w:tc>
          <w:tcPr>
            <w:tcW w:w="575" w:type="dxa"/>
            <w:vAlign w:val="center"/>
          </w:tcPr>
          <w:p>
            <w:pPr>
              <w:spacing w:line="340" w:lineRule="exact"/>
              <w:jc w:val="center"/>
              <w:rPr>
                <w:rFonts w:ascii="黑体" w:hAnsi="黑体" w:eastAsia="黑体"/>
                <w:szCs w:val="21"/>
              </w:rPr>
            </w:pPr>
            <w:r>
              <w:rPr>
                <w:rFonts w:hint="eastAsia" w:ascii="黑体" w:hAnsi="黑体" w:eastAsia="黑体"/>
                <w:szCs w:val="21"/>
              </w:rPr>
              <w:t>分值</w:t>
            </w:r>
          </w:p>
        </w:tc>
        <w:tc>
          <w:tcPr>
            <w:tcW w:w="4991" w:type="dxa"/>
            <w:vAlign w:val="center"/>
          </w:tcPr>
          <w:p>
            <w:pPr>
              <w:spacing w:line="340" w:lineRule="exact"/>
              <w:jc w:val="center"/>
              <w:rPr>
                <w:rFonts w:ascii="黑体" w:hAnsi="黑体" w:eastAsia="黑体"/>
                <w:szCs w:val="21"/>
              </w:rPr>
            </w:pPr>
            <w:r>
              <w:rPr>
                <w:rFonts w:hint="eastAsia" w:ascii="黑体" w:hAnsi="黑体" w:eastAsia="黑体"/>
                <w:szCs w:val="21"/>
              </w:rPr>
              <w:t>分项达标评分细则</w:t>
            </w:r>
          </w:p>
        </w:tc>
        <w:tc>
          <w:tcPr>
            <w:tcW w:w="642" w:type="dxa"/>
            <w:vAlign w:val="center"/>
          </w:tcPr>
          <w:p>
            <w:pPr>
              <w:spacing w:line="340" w:lineRule="exact"/>
              <w:jc w:val="center"/>
              <w:rPr>
                <w:rFonts w:ascii="黑体" w:hAnsi="黑体" w:eastAsia="黑体"/>
                <w:szCs w:val="21"/>
              </w:rPr>
            </w:pPr>
            <w:r>
              <w:rPr>
                <w:rFonts w:hint="eastAsia" w:ascii="黑体" w:hAnsi="黑体" w:eastAsia="黑体"/>
                <w:szCs w:val="21"/>
              </w:rPr>
              <w:t>扣分记录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w:t>
            </w:r>
          </w:p>
        </w:tc>
        <w:tc>
          <w:tcPr>
            <w:tcW w:w="989" w:type="dxa"/>
            <w:vMerge w:val="restart"/>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基础</w:t>
            </w:r>
          </w:p>
          <w:p>
            <w:pPr>
              <w:spacing w:line="340" w:lineRule="exact"/>
              <w:jc w:val="center"/>
              <w:rPr>
                <w:rFonts w:ascii="Times New Roman" w:hAnsi="Times New Roman" w:eastAsia="宋体"/>
                <w:szCs w:val="21"/>
              </w:rPr>
            </w:pPr>
            <w:r>
              <w:rPr>
                <w:rFonts w:hint="eastAsia" w:ascii="Times New Roman" w:hAnsi="Times New Roman" w:eastAsia="宋体"/>
                <w:szCs w:val="21"/>
              </w:rPr>
              <w:t>资料</w:t>
            </w: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依法签订物业服务合同。</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业主大会未决定解聘或续聘的，按原合同约定提供服务的不扣分；</w:t>
            </w:r>
            <w:r>
              <w:rPr>
                <w:rFonts w:ascii="Times New Roman" w:hAnsi="Times New Roman" w:eastAsia="宋体"/>
                <w:szCs w:val="21"/>
              </w:rPr>
              <w:t>2.</w:t>
            </w:r>
            <w:r>
              <w:rPr>
                <w:rFonts w:hint="eastAsia" w:ascii="Times New Roman" w:hAnsi="Times New Roman" w:eastAsia="宋体"/>
                <w:szCs w:val="21"/>
              </w:rPr>
              <w:t>未依法签订合同进入项目管理的，按严重不良行为另行处置。</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按照规定进行物业接管验收</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未签订查验协议或者移交书的不得分。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建立业主档案</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不齐全的扣</w:t>
            </w:r>
            <w:r>
              <w:rPr>
                <w:rFonts w:ascii="Times New Roman" w:hAnsi="Times New Roman" w:eastAsia="宋体"/>
                <w:szCs w:val="21"/>
              </w:rPr>
              <w:t>1</w:t>
            </w:r>
            <w:r>
              <w:rPr>
                <w:rFonts w:hint="eastAsia" w:ascii="Times New Roman" w:hAnsi="Times New Roman" w:eastAsia="宋体"/>
                <w:szCs w:val="21"/>
              </w:rPr>
              <w:t>分，未建立的扣</w:t>
            </w:r>
            <w:r>
              <w:rPr>
                <w:rFonts w:ascii="Times New Roman" w:hAnsi="Times New Roman" w:eastAsia="宋体"/>
                <w:szCs w:val="21"/>
              </w:rPr>
              <w:t>2</w:t>
            </w:r>
            <w:r>
              <w:rPr>
                <w:rFonts w:hint="eastAsia" w:ascii="Times New Roman" w:hAnsi="Times New Roman" w:eastAsia="宋体"/>
                <w:szCs w:val="21"/>
              </w:rPr>
              <w:t>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4</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建立房屋及公共设施设备档案：包括小区总平面规划图（竣工图），地下管网竣工图，房屋数量、种类、用途分类成册，房屋及共用设施设备的大中修记录，共用设施设备的设计、安装图纸资料和台帐。</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每发现一项不齐全或不完善的扣</w:t>
            </w:r>
            <w:r>
              <w:rPr>
                <w:rFonts w:ascii="Times New Roman" w:hAnsi="Times New Roman" w:eastAsia="宋体"/>
                <w:szCs w:val="21"/>
              </w:rPr>
              <w:t>0.1</w:t>
            </w:r>
            <w:r>
              <w:rPr>
                <w:rFonts w:hint="eastAsia" w:ascii="Times New Roman" w:hAnsi="Times New Roman" w:eastAsia="宋体"/>
                <w:szCs w:val="21"/>
              </w:rPr>
              <w:t>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5</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建立健全各项管理制度、操作规程和工作标准。主要包括：值班、设施设备、装饰装修、安保、停车、绿化、环境卫生、财务等管理制度；电梯、发电机、高（低）压配电、中央空调等操作规程。</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每缺少一项扣</w:t>
            </w:r>
            <w:r>
              <w:rPr>
                <w:rFonts w:ascii="Times New Roman" w:hAnsi="Times New Roman" w:eastAsia="宋体"/>
                <w:szCs w:val="21"/>
              </w:rPr>
              <w:t>0.2</w:t>
            </w:r>
            <w:r>
              <w:rPr>
                <w:rFonts w:hint="eastAsia" w:ascii="Times New Roman" w:hAnsi="Times New Roman" w:eastAsia="宋体"/>
                <w:szCs w:val="21"/>
              </w:rPr>
              <w:t>分；</w:t>
            </w:r>
            <w:r>
              <w:rPr>
                <w:rFonts w:ascii="Times New Roman" w:hAnsi="Times New Roman" w:eastAsia="宋体"/>
                <w:szCs w:val="21"/>
              </w:rPr>
              <w:t>2.</w:t>
            </w:r>
            <w:r>
              <w:rPr>
                <w:rFonts w:hint="eastAsia" w:ascii="Times New Roman" w:hAnsi="Times New Roman" w:eastAsia="宋体"/>
                <w:szCs w:val="21"/>
              </w:rPr>
              <w:t>每发现一处不完整的，扣</w:t>
            </w:r>
            <w:r>
              <w:rPr>
                <w:rFonts w:ascii="Times New Roman" w:hAnsi="Times New Roman" w:eastAsia="宋体"/>
                <w:szCs w:val="21"/>
              </w:rPr>
              <w:t>0.1</w:t>
            </w:r>
            <w:r>
              <w:rPr>
                <w:rFonts w:hint="eastAsia" w:ascii="Times New Roman" w:hAnsi="Times New Roman" w:eastAsia="宋体"/>
                <w:szCs w:val="21"/>
              </w:rPr>
              <w:t>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6</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订立管理人员、保安、保洁、电工、车库管理、消控员和电梯安全员等岗位责任，并组织项目负责人继续教育及各工种员工培训，实行定期考核。</w:t>
            </w:r>
          </w:p>
        </w:tc>
        <w:tc>
          <w:tcPr>
            <w:tcW w:w="575" w:type="dxa"/>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4</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未订立、未培训的，每缺一项扣</w:t>
            </w:r>
            <w:r>
              <w:rPr>
                <w:rFonts w:ascii="Times New Roman" w:hAnsi="Times New Roman" w:eastAsia="宋体"/>
                <w:szCs w:val="21"/>
              </w:rPr>
              <w:t>0.2</w:t>
            </w:r>
            <w:r>
              <w:rPr>
                <w:rFonts w:hint="eastAsia" w:ascii="Times New Roman" w:hAnsi="Times New Roman" w:eastAsia="宋体"/>
                <w:szCs w:val="21"/>
              </w:rPr>
              <w:t>分；</w:t>
            </w:r>
            <w:r>
              <w:rPr>
                <w:rFonts w:ascii="Times New Roman" w:hAnsi="Times New Roman" w:eastAsia="宋体"/>
                <w:szCs w:val="21"/>
              </w:rPr>
              <w:t xml:space="preserve"> 3.</w:t>
            </w:r>
            <w:r>
              <w:rPr>
                <w:rFonts w:hint="eastAsia" w:ascii="Times New Roman" w:hAnsi="Times New Roman" w:eastAsia="宋体"/>
                <w:szCs w:val="21"/>
              </w:rPr>
              <w:t>未组织考核的，每项扣</w:t>
            </w:r>
            <w:r>
              <w:rPr>
                <w:rFonts w:ascii="Times New Roman" w:hAnsi="Times New Roman" w:eastAsia="宋体"/>
                <w:szCs w:val="21"/>
              </w:rPr>
              <w:t>0.1</w:t>
            </w:r>
            <w:r>
              <w:rPr>
                <w:rFonts w:hint="eastAsia" w:ascii="Times New Roman" w:hAnsi="Times New Roman" w:eastAsia="宋体"/>
                <w:szCs w:val="21"/>
              </w:rPr>
              <w:t>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7</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订立各类应急预案，并组织演练。主要包括：电梯、消防、防台防汛、断水、断电、断气、高空坠物以及重大活动和节日期间安全防范等应急预案。</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每缺少一项扣</w:t>
            </w:r>
            <w:r>
              <w:rPr>
                <w:rFonts w:ascii="Times New Roman" w:hAnsi="Times New Roman" w:eastAsia="宋体"/>
                <w:szCs w:val="21"/>
              </w:rPr>
              <w:t>0.2</w:t>
            </w:r>
            <w:r>
              <w:rPr>
                <w:rFonts w:hint="eastAsia" w:ascii="Times New Roman" w:hAnsi="Times New Roman" w:eastAsia="宋体"/>
                <w:szCs w:val="21"/>
              </w:rPr>
              <w:t>分；</w:t>
            </w:r>
            <w:r>
              <w:rPr>
                <w:rFonts w:ascii="Times New Roman" w:hAnsi="Times New Roman" w:eastAsia="宋体"/>
                <w:szCs w:val="21"/>
              </w:rPr>
              <w:t>2.</w:t>
            </w:r>
            <w:r>
              <w:rPr>
                <w:rFonts w:hint="eastAsia" w:ascii="Times New Roman" w:hAnsi="Times New Roman" w:eastAsia="宋体"/>
                <w:szCs w:val="21"/>
              </w:rPr>
              <w:t>未组织预案演练的，每项扣</w:t>
            </w:r>
            <w:r>
              <w:rPr>
                <w:rFonts w:ascii="Times New Roman" w:hAnsi="Times New Roman" w:eastAsia="宋体"/>
                <w:szCs w:val="21"/>
              </w:rPr>
              <w:t>0.</w:t>
            </w:r>
            <w:r>
              <w:rPr>
                <w:rFonts w:hint="eastAsia" w:ascii="Times New Roman" w:hAnsi="Times New Roman" w:eastAsia="宋体"/>
                <w:szCs w:val="21"/>
              </w:rPr>
              <w:t>1分。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8</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按照合同约定或者物业管理方案配齐人员。</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未按规定配齐人员的，发现一例扣</w:t>
            </w:r>
            <w:r>
              <w:rPr>
                <w:rFonts w:ascii="Times New Roman" w:hAnsi="Times New Roman" w:eastAsia="宋体"/>
                <w:szCs w:val="21"/>
              </w:rPr>
              <w:t>0.5</w:t>
            </w:r>
            <w:r>
              <w:rPr>
                <w:rFonts w:hint="eastAsia" w:ascii="Times New Roman" w:hAnsi="Times New Roman" w:eastAsia="宋体"/>
                <w:szCs w:val="21"/>
              </w:rPr>
              <w:t>分，扣完为止。</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9</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执行陕西省及西安市物业管理条例相关规定，及时公布相关信息。</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3</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每少一项扣</w:t>
            </w:r>
            <w:r>
              <w:rPr>
                <w:rFonts w:ascii="Times New Roman" w:hAnsi="Times New Roman" w:eastAsia="宋体"/>
                <w:szCs w:val="21"/>
              </w:rPr>
              <w:t>0.5</w:t>
            </w:r>
            <w:r>
              <w:rPr>
                <w:rFonts w:hint="eastAsia" w:ascii="Times New Roman" w:hAnsi="Times New Roman" w:eastAsia="宋体"/>
                <w:szCs w:val="21"/>
              </w:rPr>
              <w:t>分，扣完为止。</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10</w:t>
            </w:r>
          </w:p>
        </w:tc>
        <w:tc>
          <w:tcPr>
            <w:tcW w:w="989" w:type="dxa"/>
            <w:vMerge w:val="restart"/>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基础</w:t>
            </w:r>
          </w:p>
          <w:p>
            <w:pPr>
              <w:spacing w:line="340" w:lineRule="exact"/>
              <w:jc w:val="center"/>
              <w:rPr>
                <w:rFonts w:ascii="Times New Roman" w:hAnsi="Times New Roman" w:eastAsia="宋体"/>
                <w:szCs w:val="21"/>
              </w:rPr>
            </w:pPr>
            <w:r>
              <w:rPr>
                <w:rFonts w:hint="eastAsia" w:ascii="Times New Roman" w:hAnsi="Times New Roman" w:eastAsia="宋体"/>
                <w:szCs w:val="21"/>
              </w:rPr>
              <w:t>资料</w:t>
            </w: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持有自动消防系统操作员证、电梯安全员证、电工证、保安证和二次供水水泵房管理人员健康证等。</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3</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每发现一例扣0.5分；其中，未持自动消防系统操作员证上岗的，按一般不良信息另行处置。</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11</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设立并公示服务电话，及时处理业主的物业报修、求助、建议、问询、投诉等，有登记、处理、回访和记录。</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未公示服务电话的扣</w:t>
            </w:r>
            <w:r>
              <w:rPr>
                <w:rFonts w:ascii="Times New Roman" w:hAnsi="Times New Roman" w:eastAsia="宋体"/>
                <w:szCs w:val="21"/>
              </w:rPr>
              <w:t>0.5</w:t>
            </w:r>
            <w:r>
              <w:rPr>
                <w:rFonts w:hint="eastAsia" w:ascii="Times New Roman" w:hAnsi="Times New Roman" w:eastAsia="宋体"/>
                <w:szCs w:val="21"/>
              </w:rPr>
              <w:t>分；</w:t>
            </w:r>
            <w:r>
              <w:rPr>
                <w:rFonts w:ascii="Times New Roman" w:hAnsi="Times New Roman" w:eastAsia="宋体"/>
                <w:szCs w:val="21"/>
              </w:rPr>
              <w:t>2.</w:t>
            </w:r>
            <w:r>
              <w:rPr>
                <w:rFonts w:hint="eastAsia" w:ascii="Times New Roman" w:hAnsi="Times New Roman" w:eastAsia="宋体"/>
                <w:szCs w:val="21"/>
              </w:rPr>
              <w:t>每发现</w:t>
            </w:r>
            <w:r>
              <w:rPr>
                <w:rFonts w:ascii="Times New Roman" w:hAnsi="Times New Roman" w:eastAsia="宋体"/>
                <w:szCs w:val="21"/>
              </w:rPr>
              <w:t>1</w:t>
            </w:r>
            <w:r>
              <w:rPr>
                <w:rFonts w:hint="eastAsia" w:ascii="Times New Roman" w:hAnsi="Times New Roman" w:eastAsia="宋体"/>
                <w:szCs w:val="21"/>
              </w:rPr>
              <w:t>次未及时处理的扣</w:t>
            </w:r>
            <w:r>
              <w:rPr>
                <w:rFonts w:ascii="Times New Roman" w:hAnsi="Times New Roman" w:eastAsia="宋体"/>
                <w:szCs w:val="21"/>
              </w:rPr>
              <w:t>0.2</w:t>
            </w:r>
            <w:r>
              <w:rPr>
                <w:rFonts w:hint="eastAsia" w:ascii="Times New Roman" w:hAnsi="Times New Roman" w:eastAsia="宋体"/>
                <w:szCs w:val="21"/>
              </w:rPr>
              <w:t>分；</w:t>
            </w:r>
            <w:r>
              <w:rPr>
                <w:rFonts w:ascii="Times New Roman" w:hAnsi="Times New Roman" w:eastAsia="宋体"/>
                <w:szCs w:val="21"/>
              </w:rPr>
              <w:t>3.</w:t>
            </w:r>
            <w:r>
              <w:rPr>
                <w:rFonts w:hint="eastAsia" w:ascii="Times New Roman" w:hAnsi="Times New Roman" w:eastAsia="宋体"/>
                <w:szCs w:val="21"/>
              </w:rPr>
              <w:t>每发现</w:t>
            </w:r>
            <w:r>
              <w:rPr>
                <w:rFonts w:ascii="Times New Roman" w:hAnsi="Times New Roman" w:eastAsia="宋体"/>
                <w:szCs w:val="21"/>
              </w:rPr>
              <w:t>1</w:t>
            </w:r>
            <w:r>
              <w:rPr>
                <w:rFonts w:hint="eastAsia" w:ascii="Times New Roman" w:hAnsi="Times New Roman" w:eastAsia="宋体"/>
                <w:szCs w:val="21"/>
              </w:rPr>
              <w:t>次无回访记录的扣</w:t>
            </w:r>
            <w:r>
              <w:rPr>
                <w:rFonts w:ascii="Times New Roman" w:hAnsi="Times New Roman" w:eastAsia="宋体"/>
                <w:szCs w:val="21"/>
              </w:rPr>
              <w:t>0.1</w:t>
            </w:r>
            <w:r>
              <w:rPr>
                <w:rFonts w:hint="eastAsia" w:ascii="Times New Roman" w:hAnsi="Times New Roman" w:eastAsia="宋体"/>
                <w:szCs w:val="21"/>
              </w:rPr>
              <w:t>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12</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业主满意度测评。</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未开展的不得分；</w:t>
            </w:r>
            <w:r>
              <w:rPr>
                <w:rFonts w:ascii="Times New Roman" w:hAnsi="Times New Roman" w:eastAsia="宋体"/>
                <w:szCs w:val="21"/>
              </w:rPr>
              <w:t>2.</w:t>
            </w:r>
            <w:r>
              <w:rPr>
                <w:rFonts w:hint="eastAsia" w:ascii="Times New Roman" w:hAnsi="Times New Roman" w:eastAsia="宋体"/>
                <w:szCs w:val="21"/>
              </w:rPr>
              <w:t>对业主不满意未回访的，每发现一例未回访的，扣</w:t>
            </w:r>
            <w:r>
              <w:rPr>
                <w:rFonts w:ascii="Times New Roman" w:hAnsi="Times New Roman" w:eastAsia="宋体"/>
                <w:szCs w:val="21"/>
              </w:rPr>
              <w:t>0.1</w:t>
            </w:r>
            <w:r>
              <w:rPr>
                <w:rFonts w:hint="eastAsia" w:ascii="Times New Roman" w:hAnsi="Times New Roman" w:eastAsia="宋体"/>
                <w:szCs w:val="21"/>
              </w:rPr>
              <w:t>分。</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13</w:t>
            </w:r>
          </w:p>
        </w:tc>
        <w:tc>
          <w:tcPr>
            <w:tcW w:w="989" w:type="dxa"/>
            <w:vMerge w:val="restart"/>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基本</w:t>
            </w:r>
          </w:p>
          <w:p>
            <w:pPr>
              <w:spacing w:line="340" w:lineRule="exact"/>
              <w:jc w:val="center"/>
              <w:rPr>
                <w:rFonts w:ascii="Times New Roman" w:hAnsi="Times New Roman" w:eastAsia="宋体"/>
                <w:szCs w:val="21"/>
              </w:rPr>
            </w:pPr>
            <w:r>
              <w:rPr>
                <w:rFonts w:hint="eastAsia" w:ascii="Times New Roman" w:hAnsi="Times New Roman" w:eastAsia="宋体"/>
                <w:szCs w:val="21"/>
              </w:rPr>
              <w:t>秩序</w:t>
            </w: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统一服装，佩证上岗。</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发现一例扣</w:t>
            </w:r>
            <w:r>
              <w:rPr>
                <w:rFonts w:ascii="Times New Roman" w:hAnsi="Times New Roman" w:eastAsia="宋体"/>
                <w:szCs w:val="21"/>
              </w:rPr>
              <w:t>0.1</w:t>
            </w:r>
            <w:r>
              <w:rPr>
                <w:rFonts w:hint="eastAsia" w:ascii="Times New Roman" w:hAnsi="Times New Roman" w:eastAsia="宋体"/>
                <w:szCs w:val="21"/>
              </w:rPr>
              <w:t>分，扣完为止。</w:t>
            </w:r>
          </w:p>
        </w:tc>
        <w:tc>
          <w:tcPr>
            <w:tcW w:w="642" w:type="dxa"/>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14</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楼幢、机房、游泳池、景观水池（水体）、屋面等处标志、标识和有危及人身安全的警示标志、标识明显清晰。</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无标识的不得分；</w:t>
            </w:r>
            <w:r>
              <w:rPr>
                <w:rFonts w:ascii="Times New Roman" w:hAnsi="Times New Roman" w:eastAsia="宋体"/>
                <w:szCs w:val="21"/>
              </w:rPr>
              <w:t>2.</w:t>
            </w:r>
            <w:r>
              <w:rPr>
                <w:rFonts w:hint="eastAsia" w:ascii="Times New Roman" w:hAnsi="Times New Roman" w:eastAsia="宋体"/>
                <w:szCs w:val="21"/>
              </w:rPr>
              <w:t>每发现一处不符合的扣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15</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外立面整洁美观，阳台封闭统一有序，色调一致，设备安装位置统一。</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有破坏外立面的扣</w:t>
            </w:r>
            <w:r>
              <w:rPr>
                <w:rFonts w:ascii="Times New Roman" w:hAnsi="Times New Roman" w:eastAsia="宋体"/>
                <w:szCs w:val="21"/>
              </w:rPr>
              <w:t>1</w:t>
            </w:r>
            <w:r>
              <w:rPr>
                <w:rFonts w:hint="eastAsia" w:ascii="Times New Roman" w:hAnsi="Times New Roman" w:eastAsia="宋体"/>
                <w:szCs w:val="21"/>
              </w:rPr>
              <w:t>分；</w:t>
            </w:r>
            <w:r>
              <w:rPr>
                <w:rFonts w:ascii="Times New Roman" w:hAnsi="Times New Roman" w:eastAsia="宋体"/>
                <w:szCs w:val="21"/>
              </w:rPr>
              <w:t>2.</w:t>
            </w:r>
            <w:r>
              <w:rPr>
                <w:rFonts w:hint="eastAsia" w:ascii="Times New Roman" w:hAnsi="Times New Roman" w:eastAsia="宋体"/>
                <w:szCs w:val="21"/>
              </w:rPr>
              <w:t>阳台封闭不统一的扣</w:t>
            </w:r>
            <w:r>
              <w:rPr>
                <w:rFonts w:ascii="Times New Roman" w:hAnsi="Times New Roman" w:eastAsia="宋体"/>
                <w:szCs w:val="21"/>
              </w:rPr>
              <w:t>0.5</w:t>
            </w:r>
            <w:r>
              <w:rPr>
                <w:rFonts w:hint="eastAsia" w:ascii="Times New Roman" w:hAnsi="Times New Roman" w:eastAsia="宋体"/>
                <w:szCs w:val="21"/>
              </w:rPr>
              <w:t>分；</w:t>
            </w:r>
            <w:r>
              <w:rPr>
                <w:rFonts w:ascii="Times New Roman" w:hAnsi="Times New Roman" w:eastAsia="宋体"/>
                <w:szCs w:val="21"/>
              </w:rPr>
              <w:t>3.</w:t>
            </w:r>
            <w:r>
              <w:rPr>
                <w:rFonts w:hint="eastAsia" w:ascii="Times New Roman" w:hAnsi="Times New Roman" w:eastAsia="宋体"/>
                <w:szCs w:val="21"/>
              </w:rPr>
              <w:t>设备安装位置不统一扣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16</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对业主和使用人违法搭建建筑物、构筑物和违章装修行为及时制止、报告相关职能部门，有整改通知书、书面报告和相关公示信息。</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3</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发现一处不符合的，扣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17</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路灯、楼道灯等公共照明设备完好</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18</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道路畅通，路面平整，井盖无缺损、无丢失，不影响车辆和行人通行。</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发现一处不符合的，扣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19</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共用部位无垃圾堆积、无积水积泥、无痰迹烟蒂、无果皮纸屑、无土石杂草、无违规饲养畜禽、无乱张贴、无乱涂写；公用设施设备无蛛网、浮尘；环卫设施完好清洁，定期进行“除四害”消杀。</w:t>
            </w:r>
          </w:p>
        </w:tc>
        <w:tc>
          <w:tcPr>
            <w:tcW w:w="575" w:type="dxa"/>
            <w:vAlign w:val="center"/>
          </w:tcPr>
          <w:p>
            <w:pPr>
              <w:spacing w:line="300" w:lineRule="exact"/>
              <w:jc w:val="center"/>
              <w:rPr>
                <w:rFonts w:ascii="Times New Roman" w:hAnsi="Times New Roman" w:eastAsia="宋体"/>
                <w:szCs w:val="21"/>
              </w:rPr>
            </w:pPr>
            <w:r>
              <w:rPr>
                <w:rFonts w:hint="eastAsia" w:ascii="Times New Roman" w:hAnsi="Times New Roman" w:eastAsia="宋体"/>
                <w:szCs w:val="21"/>
              </w:rPr>
              <w:t>8</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20</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花草树木长势良好，修剪整齐，无枯死、大面积虫害与缺损；绿化带、草坪无杂物。</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4</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21</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车辆停放基本有序，外来车辆有出入登记记录。</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每发现一台车辆（含非机动车）乱停放扣</w:t>
            </w:r>
            <w:r>
              <w:rPr>
                <w:rFonts w:ascii="Times New Roman" w:hAnsi="Times New Roman" w:eastAsia="宋体"/>
                <w:szCs w:val="21"/>
              </w:rPr>
              <w:t>0.1</w:t>
            </w:r>
            <w:r>
              <w:rPr>
                <w:rFonts w:hint="eastAsia" w:ascii="Times New Roman" w:hAnsi="Times New Roman" w:eastAsia="宋体"/>
                <w:szCs w:val="21"/>
              </w:rPr>
              <w:t>分；</w:t>
            </w:r>
            <w:r>
              <w:rPr>
                <w:rFonts w:ascii="Times New Roman" w:hAnsi="Times New Roman" w:eastAsia="宋体"/>
                <w:szCs w:val="21"/>
              </w:rPr>
              <w:t>2.</w:t>
            </w:r>
            <w:r>
              <w:rPr>
                <w:rFonts w:hint="eastAsia" w:ascii="Times New Roman" w:hAnsi="Times New Roman" w:eastAsia="宋体"/>
                <w:szCs w:val="21"/>
              </w:rPr>
              <w:t>车辆出入无记录的扣</w:t>
            </w:r>
            <w:r>
              <w:rPr>
                <w:rFonts w:ascii="Times New Roman" w:hAnsi="Times New Roman" w:eastAsia="宋体"/>
                <w:szCs w:val="21"/>
              </w:rPr>
              <w:t>1.0</w:t>
            </w:r>
            <w:r>
              <w:rPr>
                <w:rFonts w:hint="eastAsia" w:ascii="Times New Roman" w:hAnsi="Times New Roman" w:eastAsia="宋体"/>
                <w:szCs w:val="21"/>
              </w:rPr>
              <w:t>分，记录不全的扣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22</w:t>
            </w:r>
          </w:p>
        </w:tc>
        <w:tc>
          <w:tcPr>
            <w:tcW w:w="989" w:type="dxa"/>
            <w:vMerge w:val="restart"/>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基本</w:t>
            </w:r>
          </w:p>
          <w:p>
            <w:pPr>
              <w:spacing w:line="340" w:lineRule="exact"/>
              <w:jc w:val="center"/>
              <w:rPr>
                <w:rFonts w:ascii="Times New Roman" w:hAnsi="Times New Roman" w:eastAsia="宋体"/>
                <w:szCs w:val="21"/>
              </w:rPr>
            </w:pPr>
            <w:r>
              <w:rPr>
                <w:rFonts w:hint="eastAsia" w:ascii="Times New Roman" w:hAnsi="Times New Roman" w:eastAsia="宋体"/>
                <w:szCs w:val="21"/>
              </w:rPr>
              <w:t>秩序</w:t>
            </w: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秩序维护队伍</w:t>
            </w:r>
            <w:r>
              <w:rPr>
                <w:rFonts w:ascii="Times New Roman" w:hAnsi="Times New Roman" w:eastAsia="宋体"/>
                <w:szCs w:val="21"/>
              </w:rPr>
              <w:t>24</w:t>
            </w:r>
            <w:r>
              <w:rPr>
                <w:rFonts w:hint="eastAsia" w:ascii="Times New Roman" w:hAnsi="Times New Roman" w:eastAsia="宋体"/>
                <w:szCs w:val="21"/>
              </w:rPr>
              <w:t>小时值班，记录完整。</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未实现</w:t>
            </w:r>
            <w:r>
              <w:rPr>
                <w:rFonts w:ascii="Times New Roman" w:hAnsi="Times New Roman" w:eastAsia="宋体"/>
                <w:szCs w:val="21"/>
              </w:rPr>
              <w:t>24</w:t>
            </w:r>
            <w:r>
              <w:rPr>
                <w:rFonts w:hint="eastAsia" w:ascii="Times New Roman" w:hAnsi="Times New Roman" w:eastAsia="宋体"/>
                <w:szCs w:val="21"/>
              </w:rPr>
              <w:t>小时值班的扣</w:t>
            </w:r>
            <w:r>
              <w:rPr>
                <w:rFonts w:ascii="Times New Roman" w:hAnsi="Times New Roman" w:eastAsia="宋体"/>
                <w:szCs w:val="21"/>
              </w:rPr>
              <w:t>2</w:t>
            </w:r>
            <w:r>
              <w:rPr>
                <w:rFonts w:hint="eastAsia" w:ascii="Times New Roman" w:hAnsi="Times New Roman" w:eastAsia="宋体"/>
                <w:szCs w:val="21"/>
              </w:rPr>
              <w:t>分；</w:t>
            </w:r>
            <w:r>
              <w:rPr>
                <w:rFonts w:ascii="Times New Roman" w:hAnsi="Times New Roman" w:eastAsia="宋体"/>
                <w:szCs w:val="21"/>
              </w:rPr>
              <w:t>2.</w:t>
            </w:r>
            <w:r>
              <w:rPr>
                <w:rFonts w:hint="eastAsia" w:ascii="Times New Roman" w:hAnsi="Times New Roman" w:eastAsia="宋体"/>
                <w:szCs w:val="21"/>
              </w:rPr>
              <w:t>值班记录不完整的扣</w:t>
            </w:r>
            <w:r>
              <w:rPr>
                <w:rFonts w:ascii="Times New Roman" w:hAnsi="Times New Roman" w:eastAsia="宋体"/>
                <w:szCs w:val="21"/>
              </w:rPr>
              <w:t>0.5</w:t>
            </w:r>
            <w:r>
              <w:rPr>
                <w:rFonts w:hint="eastAsia" w:ascii="Times New Roman" w:hAnsi="Times New Roman" w:eastAsia="宋体"/>
                <w:szCs w:val="21"/>
              </w:rPr>
              <w:t>分；</w:t>
            </w:r>
            <w:r>
              <w:rPr>
                <w:rFonts w:ascii="Times New Roman" w:hAnsi="Times New Roman" w:eastAsia="宋体"/>
                <w:szCs w:val="21"/>
              </w:rPr>
              <w:t>3.</w:t>
            </w:r>
            <w:r>
              <w:rPr>
                <w:rFonts w:hint="eastAsia" w:ascii="Times New Roman" w:hAnsi="Times New Roman" w:eastAsia="宋体"/>
                <w:szCs w:val="21"/>
              </w:rPr>
              <w:t>巡查记录不完整的扣</w:t>
            </w:r>
            <w:r>
              <w:rPr>
                <w:rFonts w:ascii="Times New Roman" w:hAnsi="Times New Roman" w:eastAsia="宋体"/>
                <w:szCs w:val="21"/>
              </w:rPr>
              <w:t>0.5</w:t>
            </w:r>
            <w:r>
              <w:rPr>
                <w:rFonts w:hint="eastAsia" w:ascii="Times New Roman" w:hAnsi="Times New Roman" w:eastAsia="宋体"/>
                <w:szCs w:val="21"/>
              </w:rPr>
              <w:t>分；</w:t>
            </w:r>
            <w:r>
              <w:rPr>
                <w:rFonts w:ascii="Times New Roman" w:hAnsi="Times New Roman" w:eastAsia="宋体"/>
                <w:szCs w:val="21"/>
              </w:rPr>
              <w:t>4.</w:t>
            </w:r>
            <w:r>
              <w:rPr>
                <w:rFonts w:hint="eastAsia" w:ascii="Times New Roman" w:hAnsi="Times New Roman" w:eastAsia="宋体"/>
                <w:szCs w:val="21"/>
              </w:rPr>
              <w:t>保安睡岗、脱岗的，每发现一次扣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23</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登记在物业服务活动中知悉或者出租人告知的出租房屋流动人口信息，并报送公安机关。</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有信息但未登记未报送的，不得分；</w:t>
            </w:r>
            <w:r>
              <w:rPr>
                <w:rFonts w:ascii="Times New Roman" w:hAnsi="Times New Roman" w:eastAsia="宋体"/>
                <w:szCs w:val="21"/>
              </w:rPr>
              <w:t>2.</w:t>
            </w:r>
            <w:r>
              <w:rPr>
                <w:rFonts w:hint="eastAsia" w:ascii="Times New Roman" w:hAnsi="Times New Roman" w:eastAsia="宋体"/>
                <w:szCs w:val="21"/>
              </w:rPr>
              <w:t>有登记未报送的，每发现一例扣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24</w:t>
            </w:r>
          </w:p>
        </w:tc>
        <w:tc>
          <w:tcPr>
            <w:tcW w:w="989" w:type="dxa"/>
            <w:vMerge w:val="restart"/>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设施</w:t>
            </w:r>
          </w:p>
          <w:p>
            <w:pPr>
              <w:spacing w:line="340" w:lineRule="exact"/>
              <w:jc w:val="center"/>
              <w:rPr>
                <w:rFonts w:ascii="Times New Roman" w:hAnsi="Times New Roman" w:eastAsia="宋体"/>
                <w:szCs w:val="21"/>
              </w:rPr>
            </w:pPr>
            <w:r>
              <w:rPr>
                <w:rFonts w:hint="eastAsia" w:ascii="Times New Roman" w:hAnsi="Times New Roman" w:eastAsia="宋体"/>
                <w:szCs w:val="21"/>
              </w:rPr>
              <w:t>设备</w:t>
            </w: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设施设备管理记录完整、准确；标志、标识完整、清晰。</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3</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每发现一处不符合的，扣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25</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自动消防系统运行正常。</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4</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整个系统不正常的不得分；</w:t>
            </w:r>
            <w:r>
              <w:rPr>
                <w:rFonts w:ascii="Times New Roman" w:hAnsi="Times New Roman" w:eastAsia="宋体"/>
                <w:szCs w:val="21"/>
              </w:rPr>
              <w:t>2.</w:t>
            </w:r>
            <w:r>
              <w:rPr>
                <w:rFonts w:hint="eastAsia" w:ascii="Times New Roman" w:hAnsi="Times New Roman" w:eastAsia="宋体"/>
                <w:szCs w:val="21"/>
              </w:rPr>
              <w:t>每发现一处不正常的扣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26</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创建“微型消防站”。</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未建立的不得分；未按标准创建“微型消防站”不符合一项扣0.2分；微型消防站通过考评的在良好信息中另行加分。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27</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消防设施有年检、有维保。</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未维保的不得分；</w:t>
            </w:r>
            <w:r>
              <w:rPr>
                <w:rFonts w:ascii="Times New Roman" w:hAnsi="Times New Roman" w:eastAsia="宋体"/>
                <w:szCs w:val="21"/>
              </w:rPr>
              <w:t>2.</w:t>
            </w:r>
            <w:r>
              <w:rPr>
                <w:rFonts w:hint="eastAsia" w:ascii="Times New Roman" w:hAnsi="Times New Roman" w:eastAsia="宋体"/>
                <w:szCs w:val="21"/>
              </w:rPr>
              <w:t>未年检的扣</w:t>
            </w:r>
            <w:r>
              <w:rPr>
                <w:rFonts w:ascii="Times New Roman" w:hAnsi="Times New Roman" w:eastAsia="宋体"/>
                <w:szCs w:val="21"/>
              </w:rPr>
              <w:t>1</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28</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消防设施无遮挡、移位和损坏；消防设备无锈蚀、无破损；消防通道畅通；消防通道出口和消防操作登高面无占用；灭火器、水带、龙头等消防器材无缺失、损坏；消防逃生指示标志无损坏，指示清晰。</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3</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每发现一处不符合的，扣</w:t>
            </w:r>
            <w:r>
              <w:rPr>
                <w:rFonts w:ascii="Times New Roman" w:hAnsi="Times New Roman" w:eastAsia="宋体"/>
                <w:szCs w:val="21"/>
              </w:rPr>
              <w:t>1</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29</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小区监控系统等安全防范设施完好，有视频记录的保密措施。</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每发现一处不符合的，扣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30</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规范设置电动自动车充电设施，无违规充电现象。</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未设置的不得分；</w:t>
            </w:r>
            <w:r>
              <w:rPr>
                <w:rFonts w:ascii="Times New Roman" w:hAnsi="Times New Roman" w:eastAsia="宋体"/>
                <w:szCs w:val="21"/>
              </w:rPr>
              <w:t>2.</w:t>
            </w:r>
            <w:r>
              <w:rPr>
                <w:rFonts w:hint="eastAsia" w:ascii="Times New Roman" w:hAnsi="Times New Roman" w:eastAsia="宋体"/>
                <w:szCs w:val="21"/>
              </w:rPr>
              <w:t>每发现一起违规充电的，扣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31</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电梯轿厢、井道整洁；电梯机房干净、通风、照明良好；电梯运行平稳；警铃、通信设备正常；各类标识齐全。</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每发现一处不符合的，扣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32</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电梯有年检、维保。</w:t>
            </w:r>
          </w:p>
        </w:tc>
        <w:tc>
          <w:tcPr>
            <w:tcW w:w="575" w:type="dxa"/>
            <w:noWrap/>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noWrap/>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未年检的不得分；</w:t>
            </w:r>
            <w:r>
              <w:rPr>
                <w:rFonts w:ascii="Times New Roman" w:hAnsi="Times New Roman" w:eastAsia="宋体"/>
                <w:szCs w:val="21"/>
              </w:rPr>
              <w:t>2.</w:t>
            </w:r>
            <w:r>
              <w:rPr>
                <w:rFonts w:hint="eastAsia" w:ascii="Times New Roman" w:hAnsi="Times New Roman" w:eastAsia="宋体"/>
                <w:szCs w:val="21"/>
              </w:rPr>
              <w:t>维保不及时的每一次扣</w:t>
            </w:r>
            <w:r>
              <w:rPr>
                <w:rFonts w:ascii="Times New Roman" w:hAnsi="Times New Roman" w:eastAsia="宋体"/>
                <w:szCs w:val="21"/>
              </w:rPr>
              <w:t>1</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33</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00" w:lineRule="exact"/>
              <w:rPr>
                <w:rFonts w:ascii="Times New Roman" w:hAnsi="Times New Roman" w:eastAsia="宋体"/>
                <w:szCs w:val="21"/>
              </w:rPr>
            </w:pPr>
            <w:r>
              <w:rPr>
                <w:rFonts w:hint="eastAsia" w:ascii="Times New Roman" w:hAnsi="Times New Roman" w:eastAsia="宋体"/>
                <w:szCs w:val="21"/>
              </w:rPr>
              <w:t>供水设备运行正常，无渗漏；二次生活用水水质符合卫生标准有保障措施。</w:t>
            </w:r>
          </w:p>
        </w:tc>
        <w:tc>
          <w:tcPr>
            <w:tcW w:w="575" w:type="dxa"/>
            <w:vAlign w:val="center"/>
          </w:tcPr>
          <w:p>
            <w:pPr>
              <w:spacing w:line="30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0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每发现一处渗漏的，扣0.2分；</w:t>
            </w:r>
            <w:r>
              <w:rPr>
                <w:rFonts w:ascii="Times New Roman" w:hAnsi="Times New Roman" w:eastAsia="宋体"/>
                <w:szCs w:val="21"/>
              </w:rPr>
              <w:t>2.</w:t>
            </w:r>
            <w:r>
              <w:rPr>
                <w:rFonts w:hint="eastAsia" w:ascii="Times New Roman" w:hAnsi="Times New Roman" w:eastAsia="宋体"/>
                <w:szCs w:val="21"/>
              </w:rPr>
              <w:t>无二次供水水质保障措施扣</w:t>
            </w:r>
            <w:r>
              <w:rPr>
                <w:rFonts w:ascii="Times New Roman" w:hAnsi="Times New Roman" w:eastAsia="宋体"/>
                <w:szCs w:val="21"/>
              </w:rPr>
              <w:t>0.5</w:t>
            </w:r>
            <w:r>
              <w:rPr>
                <w:rFonts w:hint="eastAsia" w:ascii="Times New Roman" w:hAnsi="Times New Roman" w:eastAsia="宋体"/>
                <w:szCs w:val="21"/>
              </w:rPr>
              <w:t>分；</w:t>
            </w:r>
            <w:r>
              <w:rPr>
                <w:rFonts w:ascii="Times New Roman" w:hAnsi="Times New Roman" w:eastAsia="宋体"/>
                <w:szCs w:val="21"/>
              </w:rPr>
              <w:t>3.</w:t>
            </w:r>
            <w:r>
              <w:rPr>
                <w:rFonts w:hint="eastAsia" w:ascii="Times New Roman" w:hAnsi="Times New Roman" w:eastAsia="宋体"/>
                <w:szCs w:val="21"/>
              </w:rPr>
              <w:t>二次供水水质未检测的不得分。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34</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配电房整洁、防护器具齐全。</w:t>
            </w:r>
          </w:p>
        </w:tc>
        <w:tc>
          <w:tcPr>
            <w:tcW w:w="575" w:type="dxa"/>
            <w:noWrap/>
            <w:vAlign w:val="center"/>
          </w:tcPr>
          <w:p>
            <w:pPr>
              <w:spacing w:line="34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每发现一处不符合的，扣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35</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发电机运行正常、有维保，按规定试机。</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运行不正常的不得分；</w:t>
            </w:r>
            <w:r>
              <w:rPr>
                <w:rFonts w:ascii="Times New Roman" w:hAnsi="Times New Roman" w:eastAsia="宋体"/>
                <w:szCs w:val="21"/>
              </w:rPr>
              <w:t>2.</w:t>
            </w:r>
            <w:r>
              <w:rPr>
                <w:rFonts w:hint="eastAsia" w:ascii="Times New Roman" w:hAnsi="Times New Roman" w:eastAsia="宋体"/>
                <w:szCs w:val="21"/>
              </w:rPr>
              <w:t>未维保的扣</w:t>
            </w:r>
            <w:r>
              <w:rPr>
                <w:rFonts w:ascii="Times New Roman" w:hAnsi="Times New Roman" w:eastAsia="宋体"/>
                <w:szCs w:val="21"/>
              </w:rPr>
              <w:t>1</w:t>
            </w:r>
            <w:r>
              <w:rPr>
                <w:rFonts w:hint="eastAsia" w:ascii="Times New Roman" w:hAnsi="Times New Roman" w:eastAsia="宋体"/>
                <w:szCs w:val="21"/>
              </w:rPr>
              <w:t>分；</w:t>
            </w:r>
            <w:r>
              <w:rPr>
                <w:rFonts w:ascii="Times New Roman" w:hAnsi="Times New Roman" w:eastAsia="宋体"/>
                <w:szCs w:val="21"/>
              </w:rPr>
              <w:t>3.</w:t>
            </w:r>
            <w:r>
              <w:rPr>
                <w:rFonts w:hint="eastAsia" w:ascii="Times New Roman" w:hAnsi="Times New Roman" w:eastAsia="宋体"/>
                <w:szCs w:val="21"/>
              </w:rPr>
              <w:t>不按规定试机的扣1分。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36</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风机等其他设施设备保养完好，运行正常。</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每发现一处不符合的，扣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37</w:t>
            </w:r>
          </w:p>
        </w:tc>
        <w:tc>
          <w:tcPr>
            <w:tcW w:w="989" w:type="dxa"/>
            <w:vMerge w:val="restart"/>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设施</w:t>
            </w:r>
          </w:p>
          <w:p>
            <w:pPr>
              <w:spacing w:line="340" w:lineRule="exact"/>
              <w:jc w:val="center"/>
              <w:rPr>
                <w:rFonts w:ascii="Times New Roman" w:hAnsi="Times New Roman" w:eastAsia="宋体"/>
                <w:szCs w:val="21"/>
              </w:rPr>
            </w:pPr>
            <w:r>
              <w:rPr>
                <w:rFonts w:hint="eastAsia" w:ascii="Times New Roman" w:hAnsi="Times New Roman" w:eastAsia="宋体"/>
                <w:szCs w:val="21"/>
              </w:rPr>
              <w:t>设备</w:t>
            </w: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单元对讲系统完好。</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每发现一处不符合的，扣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38</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避雷装置完好，有年检。</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无年检不得分；</w:t>
            </w:r>
            <w:r>
              <w:rPr>
                <w:rFonts w:ascii="Times New Roman" w:hAnsi="Times New Roman" w:eastAsia="宋体"/>
                <w:szCs w:val="21"/>
              </w:rPr>
              <w:t xml:space="preserve">2. </w:t>
            </w:r>
            <w:r>
              <w:rPr>
                <w:rFonts w:hint="eastAsia" w:ascii="Times New Roman" w:hAnsi="Times New Roman" w:eastAsia="宋体"/>
                <w:szCs w:val="21"/>
              </w:rPr>
              <w:t>每发现一处避雷装置损坏的，扣</w:t>
            </w:r>
            <w:r>
              <w:rPr>
                <w:rFonts w:ascii="Times New Roman" w:hAnsi="Times New Roman" w:eastAsia="宋体"/>
                <w:szCs w:val="21"/>
              </w:rPr>
              <w:t>0.</w:t>
            </w:r>
            <w:r>
              <w:rPr>
                <w:rFonts w:hint="eastAsia" w:ascii="Times New Roman" w:hAnsi="Times New Roman" w:eastAsia="宋体"/>
                <w:szCs w:val="21"/>
              </w:rPr>
              <w:t>5分。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39</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设施设备、器材和各种管道有养护。</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未养护的不得分；</w:t>
            </w:r>
            <w:r>
              <w:rPr>
                <w:rFonts w:ascii="Times New Roman" w:hAnsi="Times New Roman" w:eastAsia="宋体"/>
                <w:szCs w:val="21"/>
              </w:rPr>
              <w:t xml:space="preserve">2. </w:t>
            </w:r>
            <w:r>
              <w:rPr>
                <w:rFonts w:hint="eastAsia" w:ascii="Times New Roman" w:hAnsi="Times New Roman" w:eastAsia="宋体"/>
                <w:szCs w:val="21"/>
              </w:rPr>
              <w:t>每发现一处有锈蚀、脱落的，扣</w:t>
            </w:r>
            <w:r>
              <w:rPr>
                <w:rFonts w:ascii="Times New Roman" w:hAnsi="Times New Roman" w:eastAsia="宋体"/>
                <w:szCs w:val="21"/>
              </w:rPr>
              <w:t>0.2</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2" w:type="dxa"/>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40</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生活垃圾分类收集设施配备齐全。</w:t>
            </w:r>
          </w:p>
        </w:tc>
        <w:tc>
          <w:tcPr>
            <w:tcW w:w="575" w:type="dxa"/>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5</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未配备的不得分；</w:t>
            </w:r>
            <w:r>
              <w:rPr>
                <w:rFonts w:ascii="Times New Roman" w:hAnsi="Times New Roman" w:eastAsia="宋体"/>
                <w:szCs w:val="21"/>
              </w:rPr>
              <w:t>2.</w:t>
            </w:r>
            <w:r>
              <w:rPr>
                <w:rFonts w:hint="eastAsia" w:ascii="Times New Roman" w:hAnsi="Times New Roman" w:eastAsia="宋体"/>
                <w:szCs w:val="21"/>
              </w:rPr>
              <w:t>发现一处未按要求配备的扣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1</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各类机房地面无灰尘，提倡油漆或铺地砖等地面保护。</w:t>
            </w:r>
          </w:p>
        </w:tc>
        <w:tc>
          <w:tcPr>
            <w:tcW w:w="575" w:type="dxa"/>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每发现</w:t>
            </w:r>
            <w:r>
              <w:rPr>
                <w:rFonts w:ascii="Times New Roman" w:hAnsi="Times New Roman" w:eastAsia="宋体"/>
                <w:szCs w:val="21"/>
              </w:rPr>
              <w:t>1</w:t>
            </w:r>
            <w:r>
              <w:rPr>
                <w:rFonts w:hint="eastAsia" w:ascii="Times New Roman" w:hAnsi="Times New Roman" w:eastAsia="宋体"/>
                <w:szCs w:val="21"/>
              </w:rPr>
              <w:t>个机房地面无保护的扣</w:t>
            </w:r>
            <w:r>
              <w:rPr>
                <w:rFonts w:ascii="Times New Roman" w:hAnsi="Times New Roman" w:eastAsia="宋体"/>
                <w:szCs w:val="21"/>
              </w:rPr>
              <w:t>1</w:t>
            </w:r>
            <w:r>
              <w:rPr>
                <w:rFonts w:hint="eastAsia" w:ascii="Times New Roman" w:hAnsi="Times New Roman" w:eastAsia="宋体"/>
                <w:szCs w:val="21"/>
              </w:rPr>
              <w:t>分；</w:t>
            </w:r>
            <w:r>
              <w:rPr>
                <w:rFonts w:ascii="Times New Roman" w:hAnsi="Times New Roman" w:eastAsia="宋体"/>
                <w:szCs w:val="21"/>
              </w:rPr>
              <w:t xml:space="preserve">2. </w:t>
            </w:r>
            <w:r>
              <w:rPr>
                <w:rFonts w:hint="eastAsia" w:ascii="Times New Roman" w:hAnsi="Times New Roman" w:eastAsia="宋体"/>
                <w:szCs w:val="21"/>
              </w:rPr>
              <w:t>每发现一处地面有起尘的扣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2</w:t>
            </w:r>
          </w:p>
        </w:tc>
        <w:tc>
          <w:tcPr>
            <w:tcW w:w="989" w:type="dxa"/>
            <w:vMerge w:val="restart"/>
            <w:noWrap/>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其他</w:t>
            </w: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各类专项行动和创建活动，由社区评价。</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满意的得</w:t>
            </w:r>
            <w:r>
              <w:rPr>
                <w:rFonts w:ascii="Times New Roman" w:hAnsi="Times New Roman" w:eastAsia="宋体"/>
                <w:szCs w:val="21"/>
              </w:rPr>
              <w:t>2</w:t>
            </w:r>
            <w:r>
              <w:rPr>
                <w:rFonts w:hint="eastAsia" w:ascii="Times New Roman" w:hAnsi="Times New Roman" w:eastAsia="宋体"/>
                <w:szCs w:val="21"/>
              </w:rPr>
              <w:t>分、基本满意的得</w:t>
            </w:r>
            <w:r>
              <w:rPr>
                <w:rFonts w:ascii="Times New Roman" w:hAnsi="Times New Roman" w:eastAsia="宋体"/>
                <w:szCs w:val="21"/>
              </w:rPr>
              <w:t>1</w:t>
            </w:r>
            <w:r>
              <w:rPr>
                <w:rFonts w:hint="eastAsia" w:ascii="Times New Roman" w:hAnsi="Times New Roman" w:eastAsia="宋体"/>
                <w:szCs w:val="21"/>
              </w:rPr>
              <w:t>分，不满意的不得分。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3</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设立宣传栏或者其他宣传平台，宣传党的方针政策、法律法规及其他规定内容。</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1</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未设立的不得分；</w:t>
            </w:r>
            <w:r>
              <w:rPr>
                <w:rFonts w:ascii="Times New Roman" w:hAnsi="Times New Roman" w:eastAsia="宋体"/>
                <w:szCs w:val="21"/>
              </w:rPr>
              <w:t>2.</w:t>
            </w:r>
            <w:r>
              <w:rPr>
                <w:rFonts w:hint="eastAsia" w:ascii="Times New Roman" w:hAnsi="Times New Roman" w:eastAsia="宋体"/>
                <w:szCs w:val="21"/>
              </w:rPr>
              <w:t>未开展宣传的扣</w:t>
            </w:r>
            <w:r>
              <w:rPr>
                <w:rFonts w:ascii="Times New Roman" w:hAnsi="Times New Roman" w:eastAsia="宋体"/>
                <w:szCs w:val="21"/>
              </w:rPr>
              <w:t>0.5</w:t>
            </w:r>
            <w:r>
              <w:rPr>
                <w:rFonts w:hint="eastAsia" w:ascii="Times New Roman" w:hAnsi="Times New Roman" w:eastAsia="宋体"/>
                <w:szCs w:val="21"/>
              </w:rPr>
              <w:t>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32"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4</w:t>
            </w:r>
            <w:r>
              <w:rPr>
                <w:rFonts w:hint="eastAsia" w:ascii="Times New Roman" w:hAnsi="Times New Roman" w:eastAsia="宋体"/>
                <w:szCs w:val="21"/>
              </w:rPr>
              <w:t>4</w:t>
            </w:r>
          </w:p>
        </w:tc>
        <w:tc>
          <w:tcPr>
            <w:tcW w:w="989" w:type="dxa"/>
            <w:vMerge w:val="continue"/>
            <w:vAlign w:val="center"/>
          </w:tcPr>
          <w:p>
            <w:pPr>
              <w:spacing w:line="340" w:lineRule="exact"/>
              <w:jc w:val="center"/>
              <w:rPr>
                <w:rFonts w:ascii="Times New Roman" w:hAnsi="Times New Roman" w:eastAsia="宋体"/>
                <w:szCs w:val="21"/>
              </w:rPr>
            </w:pPr>
          </w:p>
        </w:tc>
        <w:tc>
          <w:tcPr>
            <w:tcW w:w="6951" w:type="dxa"/>
            <w:vAlign w:val="center"/>
          </w:tcPr>
          <w:p>
            <w:pPr>
              <w:spacing w:line="340" w:lineRule="exact"/>
              <w:rPr>
                <w:rFonts w:ascii="Times New Roman" w:hAnsi="Times New Roman" w:eastAsia="宋体"/>
                <w:szCs w:val="21"/>
              </w:rPr>
            </w:pPr>
            <w:r>
              <w:rPr>
                <w:rFonts w:hint="eastAsia" w:ascii="Times New Roman" w:hAnsi="Times New Roman" w:eastAsia="宋体"/>
                <w:szCs w:val="21"/>
              </w:rPr>
              <w:t>积极开展文化活动。</w:t>
            </w:r>
          </w:p>
        </w:tc>
        <w:tc>
          <w:tcPr>
            <w:tcW w:w="575" w:type="dxa"/>
            <w:vAlign w:val="center"/>
          </w:tcPr>
          <w:p>
            <w:pPr>
              <w:spacing w:line="340" w:lineRule="exact"/>
              <w:jc w:val="center"/>
              <w:rPr>
                <w:rFonts w:ascii="Times New Roman" w:hAnsi="Times New Roman" w:eastAsia="宋体"/>
                <w:szCs w:val="21"/>
              </w:rPr>
            </w:pPr>
            <w:r>
              <w:rPr>
                <w:rFonts w:ascii="Times New Roman" w:hAnsi="Times New Roman" w:eastAsia="宋体"/>
                <w:szCs w:val="21"/>
              </w:rPr>
              <w:t>2</w:t>
            </w:r>
          </w:p>
        </w:tc>
        <w:tc>
          <w:tcPr>
            <w:tcW w:w="4991" w:type="dxa"/>
            <w:vAlign w:val="center"/>
          </w:tcPr>
          <w:p>
            <w:pPr>
              <w:spacing w:line="340" w:lineRule="exact"/>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与社区开展重大节日文化活动（有记录、图片）的得</w:t>
            </w:r>
            <w:r>
              <w:rPr>
                <w:rFonts w:ascii="Times New Roman" w:hAnsi="Times New Roman" w:eastAsia="宋体"/>
                <w:szCs w:val="21"/>
              </w:rPr>
              <w:t>2</w:t>
            </w:r>
            <w:r>
              <w:rPr>
                <w:rFonts w:hint="eastAsia" w:ascii="Times New Roman" w:hAnsi="Times New Roman" w:eastAsia="宋体"/>
                <w:szCs w:val="21"/>
              </w:rPr>
              <w:t>分；</w:t>
            </w:r>
            <w:r>
              <w:rPr>
                <w:rFonts w:ascii="Times New Roman" w:hAnsi="Times New Roman" w:eastAsia="宋体"/>
                <w:szCs w:val="21"/>
              </w:rPr>
              <w:t>2.</w:t>
            </w:r>
            <w:r>
              <w:rPr>
                <w:rFonts w:hint="eastAsia" w:ascii="Times New Roman" w:hAnsi="Times New Roman" w:eastAsia="宋体"/>
                <w:szCs w:val="21"/>
              </w:rPr>
              <w:t>无记录、图片或无活动不得分。</w:t>
            </w:r>
          </w:p>
        </w:tc>
        <w:tc>
          <w:tcPr>
            <w:tcW w:w="642" w:type="dxa"/>
            <w:noWrap/>
            <w:vAlign w:val="center"/>
          </w:tcPr>
          <w:p>
            <w:pPr>
              <w:spacing w:line="34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472" w:type="dxa"/>
            <w:gridSpan w:val="3"/>
            <w:noWrap/>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总分值</w:t>
            </w:r>
          </w:p>
        </w:tc>
        <w:tc>
          <w:tcPr>
            <w:tcW w:w="575" w:type="dxa"/>
            <w:noWrap/>
            <w:vAlign w:val="center"/>
          </w:tcPr>
          <w:p>
            <w:pPr>
              <w:spacing w:line="340" w:lineRule="exact"/>
              <w:jc w:val="center"/>
              <w:rPr>
                <w:rFonts w:ascii="Times New Roman" w:hAnsi="Times New Roman" w:eastAsia="宋体"/>
                <w:szCs w:val="21"/>
              </w:rPr>
            </w:pPr>
            <w:r>
              <w:rPr>
                <w:rFonts w:ascii="Times New Roman" w:hAnsi="Times New Roman" w:eastAsia="宋体"/>
                <w:szCs w:val="21"/>
              </w:rPr>
              <w:t>100</w:t>
            </w:r>
          </w:p>
        </w:tc>
        <w:tc>
          <w:tcPr>
            <w:tcW w:w="4991" w:type="dxa"/>
            <w:vAlign w:val="center"/>
          </w:tcPr>
          <w:p>
            <w:pPr>
              <w:spacing w:line="340" w:lineRule="exact"/>
              <w:jc w:val="center"/>
              <w:rPr>
                <w:rFonts w:ascii="Times New Roman" w:hAnsi="Times New Roman" w:eastAsia="宋体"/>
                <w:szCs w:val="21"/>
              </w:rPr>
            </w:pPr>
            <w:r>
              <w:rPr>
                <w:rFonts w:hint="eastAsia" w:ascii="Times New Roman" w:hAnsi="Times New Roman" w:eastAsia="宋体"/>
                <w:szCs w:val="21"/>
              </w:rPr>
              <w:t>扣分值</w:t>
            </w:r>
          </w:p>
        </w:tc>
        <w:tc>
          <w:tcPr>
            <w:tcW w:w="642" w:type="dxa"/>
            <w:noWrap/>
            <w:vAlign w:val="center"/>
          </w:tcPr>
          <w:p>
            <w:pPr>
              <w:spacing w:line="340" w:lineRule="exact"/>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4680" w:type="dxa"/>
            <w:gridSpan w:val="6"/>
            <w:vAlign w:val="center"/>
          </w:tcPr>
          <w:p>
            <w:pPr>
              <w:spacing w:line="340" w:lineRule="exact"/>
              <w:rPr>
                <w:rFonts w:ascii="Times New Roman" w:hAnsi="Times New Roman" w:eastAsia="宋体"/>
                <w:szCs w:val="21"/>
              </w:rPr>
            </w:pPr>
            <w:r>
              <w:rPr>
                <w:rFonts w:hint="eastAsia" w:ascii="Times New Roman" w:hAnsi="Times New Roman" w:eastAsia="宋体"/>
                <w:szCs w:val="21"/>
              </w:rPr>
              <w:t>说明：</w:t>
            </w:r>
            <w:r>
              <w:rPr>
                <w:rFonts w:ascii="Times New Roman" w:hAnsi="Times New Roman" w:eastAsia="宋体"/>
                <w:szCs w:val="21"/>
              </w:rPr>
              <w:t xml:space="preserve"> </w:t>
            </w:r>
            <w:r>
              <w:rPr>
                <w:rFonts w:hint="eastAsia" w:ascii="Times New Roman" w:hAnsi="Times New Roman" w:eastAsia="宋体"/>
                <w:szCs w:val="21"/>
              </w:rPr>
              <w:t>1</w:t>
            </w:r>
            <w:r>
              <w:rPr>
                <w:rFonts w:ascii="Times New Roman" w:hAnsi="Times New Roman" w:eastAsia="宋体"/>
                <w:szCs w:val="21"/>
              </w:rPr>
              <w:t xml:space="preserve">. </w:t>
            </w:r>
            <w:r>
              <w:rPr>
                <w:rFonts w:hint="eastAsia" w:ascii="Times New Roman" w:hAnsi="Times New Roman" w:eastAsia="宋体"/>
                <w:szCs w:val="21"/>
              </w:rPr>
              <w:t>每年考核项目数量一般不少于企业在管项目总数的</w:t>
            </w:r>
            <w:r>
              <w:rPr>
                <w:rFonts w:ascii="Times New Roman" w:hAnsi="Times New Roman" w:eastAsia="宋体"/>
                <w:szCs w:val="21"/>
              </w:rPr>
              <w:t>20%</w:t>
            </w:r>
            <w:r>
              <w:rPr>
                <w:rFonts w:hint="eastAsia" w:ascii="Times New Roman" w:hAnsi="Times New Roman" w:eastAsia="宋体"/>
                <w:szCs w:val="21"/>
              </w:rPr>
              <w:t>；其中，</w:t>
            </w:r>
            <w:r>
              <w:rPr>
                <w:rFonts w:ascii="Times New Roman" w:hAnsi="Times New Roman" w:eastAsia="宋体"/>
                <w:szCs w:val="21"/>
              </w:rPr>
              <w:t>5</w:t>
            </w:r>
            <w:r>
              <w:rPr>
                <w:rFonts w:hint="eastAsia" w:ascii="Times New Roman" w:hAnsi="Times New Roman" w:eastAsia="宋体"/>
                <w:szCs w:val="21"/>
              </w:rPr>
              <w:t>个以下的考核</w:t>
            </w:r>
            <w:r>
              <w:rPr>
                <w:rFonts w:ascii="Times New Roman" w:hAnsi="Times New Roman" w:eastAsia="宋体"/>
                <w:szCs w:val="21"/>
              </w:rPr>
              <w:t>1</w:t>
            </w:r>
            <w:r>
              <w:rPr>
                <w:rFonts w:hint="eastAsia" w:ascii="Times New Roman" w:hAnsi="Times New Roman" w:eastAsia="宋体"/>
                <w:szCs w:val="21"/>
              </w:rPr>
              <w:t>个、</w:t>
            </w:r>
            <w:r>
              <w:rPr>
                <w:rFonts w:ascii="Times New Roman" w:hAnsi="Times New Roman" w:eastAsia="宋体"/>
                <w:szCs w:val="21"/>
              </w:rPr>
              <w:t>6-15</w:t>
            </w:r>
            <w:r>
              <w:rPr>
                <w:rFonts w:hint="eastAsia" w:ascii="Times New Roman" w:hAnsi="Times New Roman" w:eastAsia="宋体"/>
                <w:szCs w:val="21"/>
              </w:rPr>
              <w:t>个的考核</w:t>
            </w:r>
            <w:r>
              <w:rPr>
                <w:rFonts w:ascii="Times New Roman" w:hAnsi="Times New Roman" w:eastAsia="宋体"/>
                <w:szCs w:val="21"/>
              </w:rPr>
              <w:t>1-3</w:t>
            </w:r>
            <w:r>
              <w:rPr>
                <w:rFonts w:hint="eastAsia" w:ascii="Times New Roman" w:hAnsi="Times New Roman" w:eastAsia="宋体"/>
                <w:szCs w:val="21"/>
              </w:rPr>
              <w:t>个、</w:t>
            </w:r>
            <w:r>
              <w:rPr>
                <w:rFonts w:ascii="Times New Roman" w:hAnsi="Times New Roman" w:eastAsia="宋体"/>
                <w:szCs w:val="21"/>
              </w:rPr>
              <w:t>16-20</w:t>
            </w:r>
            <w:r>
              <w:rPr>
                <w:rFonts w:hint="eastAsia" w:ascii="Times New Roman" w:hAnsi="Times New Roman" w:eastAsia="宋体"/>
                <w:szCs w:val="21"/>
              </w:rPr>
              <w:t>个的考核</w:t>
            </w:r>
            <w:r>
              <w:rPr>
                <w:rFonts w:ascii="Times New Roman" w:hAnsi="Times New Roman" w:eastAsia="宋体"/>
                <w:szCs w:val="21"/>
              </w:rPr>
              <w:t>3-4</w:t>
            </w:r>
            <w:r>
              <w:rPr>
                <w:rFonts w:hint="eastAsia" w:ascii="Times New Roman" w:hAnsi="Times New Roman" w:eastAsia="宋体"/>
                <w:szCs w:val="21"/>
              </w:rPr>
              <w:t>个、</w:t>
            </w:r>
            <w:r>
              <w:rPr>
                <w:rFonts w:ascii="Times New Roman" w:hAnsi="Times New Roman" w:eastAsia="宋体"/>
                <w:szCs w:val="21"/>
              </w:rPr>
              <w:t>21-30</w:t>
            </w:r>
            <w:r>
              <w:rPr>
                <w:rFonts w:hint="eastAsia" w:ascii="Times New Roman" w:hAnsi="Times New Roman" w:eastAsia="宋体"/>
                <w:szCs w:val="21"/>
              </w:rPr>
              <w:t>个的考核</w:t>
            </w:r>
            <w:r>
              <w:rPr>
                <w:rFonts w:ascii="Times New Roman" w:hAnsi="Times New Roman" w:eastAsia="宋体"/>
                <w:szCs w:val="21"/>
              </w:rPr>
              <w:t>4-6</w:t>
            </w:r>
            <w:r>
              <w:rPr>
                <w:rFonts w:hint="eastAsia" w:ascii="Times New Roman" w:hAnsi="Times New Roman" w:eastAsia="宋体"/>
                <w:szCs w:val="21"/>
              </w:rPr>
              <w:t>个、</w:t>
            </w:r>
            <w:r>
              <w:rPr>
                <w:rFonts w:ascii="Times New Roman" w:hAnsi="Times New Roman" w:eastAsia="宋体"/>
                <w:szCs w:val="21"/>
              </w:rPr>
              <w:t>31-40</w:t>
            </w:r>
            <w:r>
              <w:rPr>
                <w:rFonts w:hint="eastAsia" w:ascii="Times New Roman" w:hAnsi="Times New Roman" w:eastAsia="宋体"/>
                <w:szCs w:val="21"/>
              </w:rPr>
              <w:t>个的考核</w:t>
            </w:r>
            <w:r>
              <w:rPr>
                <w:rFonts w:ascii="Times New Roman" w:hAnsi="Times New Roman" w:eastAsia="宋体"/>
                <w:szCs w:val="21"/>
              </w:rPr>
              <w:t>6-8</w:t>
            </w:r>
            <w:r>
              <w:rPr>
                <w:rFonts w:hint="eastAsia" w:ascii="Times New Roman" w:hAnsi="Times New Roman" w:eastAsia="宋体"/>
                <w:szCs w:val="21"/>
              </w:rPr>
              <w:t>个；</w:t>
            </w:r>
            <w:r>
              <w:rPr>
                <w:rFonts w:ascii="Times New Roman" w:hAnsi="Times New Roman" w:eastAsia="宋体"/>
                <w:szCs w:val="21"/>
              </w:rPr>
              <w:t>40</w:t>
            </w:r>
            <w:r>
              <w:rPr>
                <w:rFonts w:hint="eastAsia" w:ascii="Times New Roman" w:hAnsi="Times New Roman" w:eastAsia="宋体"/>
                <w:szCs w:val="21"/>
              </w:rPr>
              <w:t>个以上的考核</w:t>
            </w:r>
            <w:r>
              <w:rPr>
                <w:rFonts w:ascii="Times New Roman" w:hAnsi="Times New Roman" w:eastAsia="宋体"/>
                <w:szCs w:val="21"/>
              </w:rPr>
              <w:t>8-10</w:t>
            </w:r>
            <w:r>
              <w:rPr>
                <w:rFonts w:hint="eastAsia" w:ascii="Times New Roman" w:hAnsi="Times New Roman" w:eastAsia="宋体"/>
                <w:szCs w:val="21"/>
              </w:rPr>
              <w:t>个。2</w:t>
            </w:r>
            <w:r>
              <w:rPr>
                <w:rFonts w:ascii="Times New Roman" w:hAnsi="Times New Roman" w:eastAsia="宋体"/>
                <w:szCs w:val="21"/>
              </w:rPr>
              <w:t>.</w:t>
            </w:r>
            <w:r>
              <w:rPr>
                <w:rFonts w:hint="eastAsia" w:ascii="Times New Roman" w:hAnsi="Times New Roman" w:eastAsia="宋体"/>
                <w:szCs w:val="21"/>
              </w:rPr>
              <w:t>其他专项检查行动中抽查的，计入日常考核项目数量。</w:t>
            </w:r>
          </w:p>
        </w:tc>
      </w:tr>
    </w:tbl>
    <w:p>
      <w:pPr>
        <w:adjustRightInd w:val="0"/>
        <w:snapToGrid w:val="0"/>
        <w:spacing w:line="320" w:lineRule="exact"/>
        <w:rPr>
          <w:rFonts w:ascii="Times New Roman" w:hAnsi="Times New Roman" w:eastAsia="宋体"/>
          <w:sz w:val="28"/>
          <w:szCs w:val="28"/>
        </w:rPr>
      </w:pPr>
    </w:p>
    <w:p>
      <w:pPr>
        <w:adjustRightInd w:val="0"/>
        <w:snapToGrid w:val="0"/>
        <w:spacing w:line="320" w:lineRule="exact"/>
        <w:rPr>
          <w:rFonts w:ascii="Times New Roman" w:hAnsi="Times New Roman" w:eastAsia="宋体"/>
          <w:sz w:val="24"/>
          <w:szCs w:val="24"/>
        </w:rPr>
        <w:sectPr>
          <w:pgSz w:w="16838" w:h="11906" w:orient="landscape"/>
          <w:pgMar w:top="1797" w:right="1440" w:bottom="1797" w:left="1440" w:header="851" w:footer="992" w:gutter="0"/>
          <w:cols w:space="720" w:num="1"/>
          <w:docGrid w:linePitch="312" w:charSpace="0"/>
        </w:sectPr>
      </w:pPr>
      <w:r>
        <w:rPr>
          <w:rFonts w:hint="eastAsia" w:ascii="Times New Roman" w:hAnsi="Times New Roman" w:eastAsia="宋体"/>
          <w:sz w:val="24"/>
          <w:szCs w:val="24"/>
        </w:rPr>
        <w:t>评分人签字：考核得分：</w:t>
      </w:r>
    </w:p>
    <w:p>
      <w:pPr>
        <w:adjustRightInd w:val="0"/>
        <w:snapToGrid w:val="0"/>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物业管理区域日常检查达标分值</w:t>
      </w:r>
    </w:p>
    <w:tbl>
      <w:tblPr>
        <w:tblStyle w:val="10"/>
        <w:tblpPr w:leftFromText="180" w:rightFromText="180" w:horzAnchor="margin" w:tblpXSpec="center" w:tblpY="1008"/>
        <w:tblW w:w="86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7"/>
        <w:gridCol w:w="4413"/>
        <w:gridCol w:w="2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1" w:hRule="atLeast"/>
        </w:trPr>
        <w:tc>
          <w:tcPr>
            <w:tcW w:w="1577" w:type="dxa"/>
            <w:vAlign w:val="center"/>
          </w:tcPr>
          <w:p>
            <w:pPr>
              <w:spacing w:line="600" w:lineRule="exact"/>
              <w:jc w:val="center"/>
              <w:rPr>
                <w:rFonts w:ascii="黑体" w:hAnsi="Calibri" w:eastAsia="黑体"/>
                <w:sz w:val="28"/>
                <w:szCs w:val="28"/>
              </w:rPr>
            </w:pPr>
            <w:r>
              <w:rPr>
                <w:rFonts w:hint="eastAsia" w:ascii="黑体" w:hAnsi="Calibri" w:eastAsia="黑体"/>
                <w:sz w:val="28"/>
                <w:szCs w:val="28"/>
              </w:rPr>
              <w:t>序号</w:t>
            </w:r>
          </w:p>
        </w:tc>
        <w:tc>
          <w:tcPr>
            <w:tcW w:w="4413" w:type="dxa"/>
            <w:vAlign w:val="center"/>
          </w:tcPr>
          <w:p>
            <w:pPr>
              <w:spacing w:line="360" w:lineRule="exact"/>
              <w:jc w:val="center"/>
              <w:rPr>
                <w:rFonts w:ascii="黑体" w:hAnsi="Calibri" w:eastAsia="黑体"/>
                <w:sz w:val="28"/>
                <w:szCs w:val="28"/>
              </w:rPr>
            </w:pPr>
            <w:r>
              <w:rPr>
                <w:rFonts w:hint="eastAsia" w:ascii="黑体" w:hAnsi="Calibri" w:eastAsia="黑体"/>
                <w:sz w:val="28"/>
                <w:szCs w:val="28"/>
              </w:rPr>
              <w:t>收费标准</w:t>
            </w:r>
          </w:p>
        </w:tc>
        <w:tc>
          <w:tcPr>
            <w:tcW w:w="2699" w:type="dxa"/>
            <w:vAlign w:val="center"/>
          </w:tcPr>
          <w:p>
            <w:pPr>
              <w:spacing w:line="600" w:lineRule="exact"/>
              <w:jc w:val="center"/>
              <w:rPr>
                <w:rFonts w:ascii="黑体" w:hAnsi="Calibri" w:eastAsia="黑体"/>
                <w:sz w:val="28"/>
                <w:szCs w:val="28"/>
              </w:rPr>
            </w:pPr>
            <w:r>
              <w:rPr>
                <w:rFonts w:hint="eastAsia" w:ascii="黑体" w:hAnsi="Calibri" w:eastAsia="黑体"/>
                <w:sz w:val="28"/>
                <w:szCs w:val="28"/>
              </w:rPr>
              <w:t>达标分值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6" w:hRule="atLeast"/>
        </w:trPr>
        <w:tc>
          <w:tcPr>
            <w:tcW w:w="1577"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1</w:t>
            </w:r>
          </w:p>
        </w:tc>
        <w:tc>
          <w:tcPr>
            <w:tcW w:w="4413" w:type="dxa"/>
            <w:vAlign w:val="center"/>
          </w:tcPr>
          <w:p>
            <w:pPr>
              <w:spacing w:line="600" w:lineRule="exact"/>
              <w:jc w:val="center"/>
              <w:rPr>
                <w:rFonts w:ascii="仿宋_GB2312" w:hAnsi="Calibri" w:eastAsia="宋体"/>
                <w:sz w:val="28"/>
                <w:szCs w:val="28"/>
              </w:rPr>
            </w:pPr>
            <w:r>
              <w:rPr>
                <w:rFonts w:hint="eastAsia" w:ascii="仿宋_GB2312" w:hAnsi="Calibri" w:eastAsia="宋体"/>
                <w:sz w:val="28"/>
                <w:szCs w:val="28"/>
              </w:rPr>
              <w:t>高于一级收费标准</w:t>
            </w:r>
          </w:p>
        </w:tc>
        <w:tc>
          <w:tcPr>
            <w:tcW w:w="2699"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7" w:hRule="atLeast"/>
        </w:trPr>
        <w:tc>
          <w:tcPr>
            <w:tcW w:w="1577"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2</w:t>
            </w:r>
          </w:p>
        </w:tc>
        <w:tc>
          <w:tcPr>
            <w:tcW w:w="4413" w:type="dxa"/>
            <w:vAlign w:val="center"/>
          </w:tcPr>
          <w:p>
            <w:pPr>
              <w:spacing w:line="600" w:lineRule="exact"/>
              <w:jc w:val="center"/>
              <w:rPr>
                <w:rFonts w:ascii="仿宋_GB2312" w:hAnsi="Calibri" w:eastAsia="宋体"/>
                <w:sz w:val="28"/>
                <w:szCs w:val="28"/>
              </w:rPr>
            </w:pPr>
            <w:r>
              <w:rPr>
                <w:rFonts w:hint="eastAsia" w:ascii="仿宋_GB2312" w:hAnsi="Calibri" w:eastAsia="宋体"/>
                <w:sz w:val="28"/>
                <w:szCs w:val="28"/>
              </w:rPr>
              <w:t>一级收费标准</w:t>
            </w:r>
          </w:p>
        </w:tc>
        <w:tc>
          <w:tcPr>
            <w:tcW w:w="2699"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3" w:hRule="atLeast"/>
        </w:trPr>
        <w:tc>
          <w:tcPr>
            <w:tcW w:w="1577"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3</w:t>
            </w:r>
          </w:p>
        </w:tc>
        <w:tc>
          <w:tcPr>
            <w:tcW w:w="4413" w:type="dxa"/>
            <w:vAlign w:val="center"/>
          </w:tcPr>
          <w:p>
            <w:pPr>
              <w:spacing w:line="600" w:lineRule="exact"/>
              <w:jc w:val="center"/>
              <w:rPr>
                <w:rFonts w:ascii="仿宋_GB2312" w:hAnsi="Calibri" w:eastAsia="宋体"/>
                <w:sz w:val="28"/>
                <w:szCs w:val="28"/>
              </w:rPr>
            </w:pPr>
            <w:r>
              <w:rPr>
                <w:rFonts w:hint="eastAsia" w:ascii="仿宋_GB2312" w:hAnsi="Calibri" w:eastAsia="宋体"/>
                <w:sz w:val="28"/>
                <w:szCs w:val="28"/>
              </w:rPr>
              <w:t>二级收费标准</w:t>
            </w:r>
          </w:p>
        </w:tc>
        <w:tc>
          <w:tcPr>
            <w:tcW w:w="2699"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trPr>
        <w:tc>
          <w:tcPr>
            <w:tcW w:w="1577"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4</w:t>
            </w:r>
          </w:p>
        </w:tc>
        <w:tc>
          <w:tcPr>
            <w:tcW w:w="4413" w:type="dxa"/>
            <w:vAlign w:val="center"/>
          </w:tcPr>
          <w:p>
            <w:pPr>
              <w:spacing w:line="600" w:lineRule="exact"/>
              <w:jc w:val="center"/>
              <w:rPr>
                <w:rFonts w:ascii="仿宋_GB2312" w:hAnsi="Calibri" w:eastAsia="宋体"/>
                <w:sz w:val="28"/>
                <w:szCs w:val="28"/>
              </w:rPr>
            </w:pPr>
            <w:r>
              <w:rPr>
                <w:rFonts w:hint="eastAsia" w:ascii="仿宋_GB2312" w:hAnsi="Calibri" w:eastAsia="宋体"/>
                <w:sz w:val="28"/>
                <w:szCs w:val="28"/>
              </w:rPr>
              <w:t>三级收费标准</w:t>
            </w:r>
          </w:p>
        </w:tc>
        <w:tc>
          <w:tcPr>
            <w:tcW w:w="2699"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4" w:hRule="atLeast"/>
        </w:trPr>
        <w:tc>
          <w:tcPr>
            <w:tcW w:w="1577"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5</w:t>
            </w:r>
          </w:p>
        </w:tc>
        <w:tc>
          <w:tcPr>
            <w:tcW w:w="4413" w:type="dxa"/>
            <w:vAlign w:val="center"/>
          </w:tcPr>
          <w:p>
            <w:pPr>
              <w:spacing w:line="600" w:lineRule="exact"/>
              <w:jc w:val="center"/>
              <w:rPr>
                <w:rFonts w:ascii="仿宋_GB2312" w:hAnsi="Calibri" w:eastAsia="宋体"/>
                <w:sz w:val="28"/>
                <w:szCs w:val="28"/>
              </w:rPr>
            </w:pPr>
            <w:r>
              <w:rPr>
                <w:rFonts w:hint="eastAsia" w:ascii="仿宋_GB2312" w:hAnsi="Calibri" w:eastAsia="宋体"/>
                <w:sz w:val="28"/>
                <w:szCs w:val="28"/>
              </w:rPr>
              <w:t>低于三级收费标准</w:t>
            </w:r>
          </w:p>
        </w:tc>
        <w:tc>
          <w:tcPr>
            <w:tcW w:w="2699" w:type="dxa"/>
            <w:vAlign w:val="center"/>
          </w:tcPr>
          <w:p>
            <w:pPr>
              <w:spacing w:line="600" w:lineRule="exact"/>
              <w:jc w:val="center"/>
              <w:rPr>
                <w:rFonts w:ascii="仿宋_GB2312" w:hAnsi="Calibri" w:eastAsia="宋体"/>
                <w:sz w:val="28"/>
                <w:szCs w:val="28"/>
              </w:rPr>
            </w:pPr>
            <w:r>
              <w:rPr>
                <w:rFonts w:ascii="仿宋_GB2312" w:hAnsi="Calibri" w:eastAsia="宋体"/>
                <w:sz w:val="28"/>
                <w:szCs w:val="28"/>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4" w:hRule="atLeast"/>
        </w:trPr>
        <w:tc>
          <w:tcPr>
            <w:tcW w:w="8689" w:type="dxa"/>
            <w:gridSpan w:val="3"/>
            <w:vAlign w:val="center"/>
          </w:tcPr>
          <w:p>
            <w:pPr>
              <w:spacing w:line="600" w:lineRule="exact"/>
              <w:rPr>
                <w:rFonts w:ascii="宋体" w:hAnsi="宋体" w:eastAsia="宋体"/>
                <w:sz w:val="28"/>
                <w:szCs w:val="28"/>
              </w:rPr>
            </w:pPr>
            <w:r>
              <w:rPr>
                <w:rFonts w:hint="eastAsia" w:ascii="仿宋_GB2312" w:hAnsi="Calibri" w:eastAsia="宋体"/>
                <w:sz w:val="28"/>
                <w:szCs w:val="28"/>
              </w:rPr>
              <w:t>说明：1.住宅项目</w:t>
            </w:r>
            <w:r>
              <w:rPr>
                <w:rFonts w:hint="eastAsia" w:ascii="宋体" w:hAnsi="宋体" w:eastAsia="宋体"/>
                <w:sz w:val="28"/>
                <w:szCs w:val="28"/>
              </w:rPr>
              <w:t>按上述收费标准分类确定达标分值。</w:t>
            </w:r>
          </w:p>
          <w:p>
            <w:pPr>
              <w:spacing w:line="600" w:lineRule="exact"/>
              <w:ind w:firstLine="840" w:firstLineChars="300"/>
              <w:rPr>
                <w:rFonts w:ascii="宋体" w:hAnsi="Times New Roman" w:eastAsia="宋体"/>
                <w:sz w:val="28"/>
                <w:szCs w:val="28"/>
              </w:rPr>
            </w:pPr>
            <w:r>
              <w:rPr>
                <w:rFonts w:hint="eastAsia" w:ascii="宋体" w:hAnsi="宋体" w:eastAsia="宋体"/>
                <w:sz w:val="28"/>
                <w:szCs w:val="28"/>
              </w:rPr>
              <w:t>2.非住宅项目以最高收费标准确定达标分值。</w:t>
            </w:r>
          </w:p>
        </w:tc>
      </w:tr>
    </w:tbl>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p>
    <w:p>
      <w:pPr>
        <w:rPr>
          <w:rFonts w:ascii="Times New Roman" w:hAnsi="Times New Roman" w:eastAsia="宋体"/>
          <w:szCs w:val="24"/>
        </w:rPr>
      </w:pPr>
      <w:bookmarkStart w:id="0" w:name="_GoBack"/>
      <w:bookmarkEnd w:id="0"/>
    </w:p>
    <w:p>
      <w:pPr>
        <w:spacing w:line="400" w:lineRule="exact"/>
        <w:rPr>
          <w:rFonts w:ascii="黑体" w:hAnsi="黑体" w:eastAsia="黑体"/>
          <w:sz w:val="32"/>
          <w:szCs w:val="32"/>
        </w:rPr>
      </w:pPr>
      <w:r>
        <w:rPr>
          <w:rFonts w:hint="eastAsia" w:ascii="黑体" w:hAnsi="黑体" w:eastAsia="黑体"/>
          <w:sz w:val="32"/>
          <w:szCs w:val="32"/>
        </w:rPr>
        <w:t>附件7</w:t>
      </w:r>
    </w:p>
    <w:p>
      <w:pPr>
        <w:spacing w:line="400" w:lineRule="exact"/>
        <w:rPr>
          <w:rFonts w:ascii="黑体" w:hAnsi="黑体" w:eastAsia="黑体"/>
          <w:sz w:val="32"/>
          <w:szCs w:val="32"/>
        </w:rPr>
      </w:pPr>
    </w:p>
    <w:p>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信用等级评定标准</w:t>
      </w:r>
    </w:p>
    <w:p>
      <w:pPr>
        <w:spacing w:line="400" w:lineRule="exact"/>
        <w:jc w:val="center"/>
        <w:rPr>
          <w:rFonts w:ascii="仿宋_GB2312" w:hAnsi="Times New Roman" w:eastAsia="仿宋_GB2312"/>
          <w:sz w:val="28"/>
          <w:szCs w:val="28"/>
        </w:rPr>
      </w:pPr>
    </w:p>
    <w:p>
      <w:pPr>
        <w:spacing w:line="360" w:lineRule="auto"/>
        <w:ind w:firstLine="566" w:firstLineChars="177"/>
        <w:rPr>
          <w:rFonts w:ascii="仿宋_GB2312" w:hAnsi="Times New Roman" w:eastAsia="仿宋_GB2312"/>
          <w:sz w:val="32"/>
          <w:szCs w:val="32"/>
        </w:rPr>
      </w:pPr>
    </w:p>
    <w:p>
      <w:pPr>
        <w:spacing w:line="360" w:lineRule="auto"/>
        <w:ind w:firstLine="566" w:firstLineChars="177"/>
        <w:rPr>
          <w:rFonts w:ascii="仿宋_GB2312" w:hAnsi="Times New Roman" w:eastAsia="仿宋_GB2312"/>
          <w:sz w:val="32"/>
          <w:szCs w:val="32"/>
        </w:rPr>
      </w:pPr>
      <w:r>
        <w:rPr>
          <w:rFonts w:hint="eastAsia" w:ascii="仿宋_GB2312" w:hAnsi="Times New Roman" w:eastAsia="仿宋_GB2312"/>
          <w:sz w:val="32"/>
          <w:szCs w:val="32"/>
        </w:rPr>
        <w:t>（一）综合得分160分以上的，评定为AAA级。</w:t>
      </w:r>
    </w:p>
    <w:p>
      <w:pPr>
        <w:spacing w:line="360" w:lineRule="auto"/>
        <w:ind w:firstLine="566" w:firstLineChars="177"/>
        <w:rPr>
          <w:rFonts w:ascii="仿宋_GB2312" w:hAnsi="Times New Roman" w:eastAsia="仿宋_GB2312"/>
          <w:sz w:val="32"/>
          <w:szCs w:val="32"/>
        </w:rPr>
      </w:pPr>
      <w:r>
        <w:rPr>
          <w:rFonts w:hint="eastAsia" w:ascii="仿宋_GB2312" w:hAnsi="Times New Roman" w:eastAsia="仿宋_GB2312"/>
          <w:sz w:val="32"/>
          <w:szCs w:val="32"/>
        </w:rPr>
        <w:t>（二）综合得分150分至159分的，评定为AA级。</w:t>
      </w:r>
    </w:p>
    <w:p>
      <w:pPr>
        <w:spacing w:line="360" w:lineRule="auto"/>
        <w:ind w:firstLine="566" w:firstLineChars="177"/>
        <w:rPr>
          <w:rFonts w:ascii="仿宋_GB2312" w:hAnsi="Times New Roman" w:eastAsia="仿宋_GB2312"/>
          <w:sz w:val="32"/>
          <w:szCs w:val="32"/>
        </w:rPr>
      </w:pPr>
      <w:r>
        <w:rPr>
          <w:rFonts w:hint="eastAsia" w:ascii="仿宋_GB2312" w:hAnsi="Times New Roman" w:eastAsia="仿宋_GB2312"/>
          <w:sz w:val="32"/>
          <w:szCs w:val="32"/>
        </w:rPr>
        <w:t>（三）综合得分135分至149分的，评定为A级。</w:t>
      </w:r>
    </w:p>
    <w:p>
      <w:pPr>
        <w:spacing w:line="360" w:lineRule="auto"/>
        <w:ind w:firstLine="566" w:firstLineChars="177"/>
        <w:rPr>
          <w:rFonts w:ascii="仿宋_GB2312" w:hAnsi="Times New Roman" w:eastAsia="仿宋_GB2312"/>
          <w:sz w:val="32"/>
          <w:szCs w:val="32"/>
        </w:rPr>
      </w:pPr>
      <w:r>
        <w:rPr>
          <w:rFonts w:hint="eastAsia" w:ascii="仿宋_GB2312" w:hAnsi="Times New Roman" w:eastAsia="仿宋_GB2312"/>
          <w:sz w:val="32"/>
          <w:szCs w:val="32"/>
        </w:rPr>
        <w:t>（四）综合得分130分至134分的，评定为B级。</w:t>
      </w:r>
    </w:p>
    <w:p>
      <w:pPr>
        <w:spacing w:line="400" w:lineRule="exact"/>
        <w:ind w:firstLine="640" w:firstLineChars="200"/>
      </w:pPr>
      <w:r>
        <w:rPr>
          <w:rFonts w:hint="eastAsia" w:ascii="仿宋_GB2312" w:hAnsi="Times New Roman" w:eastAsia="仿宋_GB2312"/>
          <w:sz w:val="32"/>
          <w:szCs w:val="32"/>
        </w:rPr>
        <w:t>（五）综合得分130分以下的，评定为C级。</w:t>
      </w:r>
    </w:p>
    <w:p/>
    <w:p/>
    <w:p>
      <w:pPr>
        <w:spacing w:line="600" w:lineRule="exact"/>
        <w:ind w:firstLine="4000" w:firstLineChars="125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705009"/>
      <w:docPartObj>
        <w:docPartGallery w:val="AutoText"/>
      </w:docPartObj>
    </w:sdtPr>
    <w:sdtContent>
      <w:p>
        <w:pPr>
          <w:pStyle w:val="6"/>
          <w:jc w:val="right"/>
        </w:pPr>
        <w:r>
          <w:fldChar w:fldCharType="begin"/>
        </w:r>
        <w:r>
          <w:instrText xml:space="preserve"> PAGE   \* MERGEFORMAT </w:instrText>
        </w:r>
        <w:r>
          <w:fldChar w:fldCharType="separate"/>
        </w:r>
        <w:r>
          <w:rPr>
            <w:lang w:val="zh-CN"/>
          </w:rPr>
          <w:t>11</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655018"/>
      <w:docPartObj>
        <w:docPartGallery w:val="AutoText"/>
      </w:docPartObj>
    </w:sdtPr>
    <w:sdtContent>
      <w:p>
        <w:pPr>
          <w:pStyle w:val="6"/>
          <w:jc w:val="center"/>
        </w:pPr>
        <w:r>
          <w:fldChar w:fldCharType="begin"/>
        </w:r>
        <w:r>
          <w:instrText xml:space="preserve">PAGE   \* MERGEFORMAT</w:instrText>
        </w:r>
        <w:r>
          <w:fldChar w:fldCharType="separate"/>
        </w:r>
        <w:r>
          <w:rPr>
            <w:lang w:val="zh-CN"/>
          </w:rPr>
          <w:t>17</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3015"/>
    <w:rsid w:val="00056A4B"/>
    <w:rsid w:val="00066F01"/>
    <w:rsid w:val="00072E68"/>
    <w:rsid w:val="001067EB"/>
    <w:rsid w:val="00143396"/>
    <w:rsid w:val="00150121"/>
    <w:rsid w:val="00181E1F"/>
    <w:rsid w:val="0018260D"/>
    <w:rsid w:val="001F25B2"/>
    <w:rsid w:val="00223A42"/>
    <w:rsid w:val="002414B0"/>
    <w:rsid w:val="002759C3"/>
    <w:rsid w:val="003159EB"/>
    <w:rsid w:val="00381677"/>
    <w:rsid w:val="003D6C6B"/>
    <w:rsid w:val="003F43EA"/>
    <w:rsid w:val="00400D79"/>
    <w:rsid w:val="00404951"/>
    <w:rsid w:val="004442D1"/>
    <w:rsid w:val="00450B01"/>
    <w:rsid w:val="00454F70"/>
    <w:rsid w:val="0047090B"/>
    <w:rsid w:val="004935E6"/>
    <w:rsid w:val="004B1507"/>
    <w:rsid w:val="004E55E3"/>
    <w:rsid w:val="005E2539"/>
    <w:rsid w:val="00617A04"/>
    <w:rsid w:val="006C5D50"/>
    <w:rsid w:val="007759D6"/>
    <w:rsid w:val="00793BCF"/>
    <w:rsid w:val="00793F94"/>
    <w:rsid w:val="007E4773"/>
    <w:rsid w:val="007F2529"/>
    <w:rsid w:val="00802AC2"/>
    <w:rsid w:val="00821BEB"/>
    <w:rsid w:val="008422EE"/>
    <w:rsid w:val="00844B6E"/>
    <w:rsid w:val="00906279"/>
    <w:rsid w:val="00956745"/>
    <w:rsid w:val="009637FA"/>
    <w:rsid w:val="00963998"/>
    <w:rsid w:val="00A048A8"/>
    <w:rsid w:val="00A83015"/>
    <w:rsid w:val="00AD625F"/>
    <w:rsid w:val="00AE135B"/>
    <w:rsid w:val="00B26BE8"/>
    <w:rsid w:val="00B36CEB"/>
    <w:rsid w:val="00B5768E"/>
    <w:rsid w:val="00BA6BB3"/>
    <w:rsid w:val="00C34602"/>
    <w:rsid w:val="00C87552"/>
    <w:rsid w:val="00CD5CFA"/>
    <w:rsid w:val="00CF5918"/>
    <w:rsid w:val="00D606D8"/>
    <w:rsid w:val="00DB0FDA"/>
    <w:rsid w:val="00EC7828"/>
    <w:rsid w:val="00F92047"/>
    <w:rsid w:val="00FA7319"/>
    <w:rsid w:val="43A64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rPr>
      <w:rFonts w:ascii="Tahoma" w:hAnsi="Tahoma" w:eastAsia="Tahoma" w:cs="Times New Roman"/>
      <w:kern w:val="0"/>
      <w:sz w:val="20"/>
      <w:szCs w:val="20"/>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qFormat/>
    <w:uiPriority w:val="99"/>
    <w:pPr>
      <w:widowControl w:val="0"/>
    </w:pPr>
    <w:rPr>
      <w:rFonts w:ascii="Times New Roman" w:hAnsi="Times New Roman" w:eastAsia="宋体"/>
      <w:kern w:val="2"/>
      <w:sz w:val="21"/>
      <w:szCs w:val="24"/>
    </w:rPr>
  </w:style>
  <w:style w:type="paragraph" w:styleId="3">
    <w:name w:val="Body Text"/>
    <w:basedOn w:val="1"/>
    <w:link w:val="25"/>
    <w:qFormat/>
    <w:uiPriority w:val="1"/>
    <w:pPr>
      <w:widowControl w:val="0"/>
      <w:autoSpaceDE w:val="0"/>
      <w:autoSpaceDN w:val="0"/>
    </w:pPr>
    <w:rPr>
      <w:rFonts w:ascii="宋体" w:hAnsi="宋体" w:eastAsia="宋体" w:cs="宋体"/>
      <w:sz w:val="24"/>
      <w:szCs w:val="24"/>
      <w:lang w:eastAsia="en-US"/>
    </w:rPr>
  </w:style>
  <w:style w:type="paragraph" w:styleId="4">
    <w:name w:val="Date"/>
    <w:basedOn w:val="1"/>
    <w:next w:val="1"/>
    <w:link w:val="18"/>
    <w:semiHidden/>
    <w:unhideWhenUsed/>
    <w:uiPriority w:val="99"/>
    <w:pPr>
      <w:ind w:left="100" w:leftChars="2500"/>
    </w:pPr>
  </w:style>
  <w:style w:type="paragraph" w:styleId="5">
    <w:name w:val="Balloon Text"/>
    <w:basedOn w:val="1"/>
    <w:link w:val="19"/>
    <w:unhideWhenUsed/>
    <w:qFormat/>
    <w:uiPriority w:val="99"/>
    <w:pPr>
      <w:widowControl w:val="0"/>
      <w:jc w:val="both"/>
    </w:pPr>
    <w:rPr>
      <w:rFonts w:asciiTheme="minorHAnsi" w:hAnsiTheme="minorHAnsi" w:eastAsiaTheme="minorEastAsia" w:cstheme="minorBidi"/>
      <w:kern w:val="2"/>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9">
    <w:name w:val="annotation subject"/>
    <w:basedOn w:val="2"/>
    <w:next w:val="2"/>
    <w:link w:val="26"/>
    <w:semiHidden/>
    <w:unhideWhenUsed/>
    <w:uiPriority w:val="99"/>
    <w:pPr>
      <w:widowControl/>
    </w:pPr>
    <w:rPr>
      <w:rFonts w:ascii="Tahoma" w:hAnsi="Tahoma" w:eastAsia="Tahoma"/>
      <w:b/>
      <w:bCs/>
      <w:kern w:val="0"/>
      <w:sz w:val="20"/>
      <w:szCs w:val="20"/>
    </w:rPr>
  </w:style>
  <w:style w:type="table" w:styleId="11">
    <w:name w:val="Table Grid"/>
    <w:basedOn w:val="1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rFonts w:cs="Times New Roman"/>
      <w:b/>
      <w:bCs/>
    </w:rPr>
  </w:style>
  <w:style w:type="character" w:styleId="14">
    <w:name w:val="page number"/>
    <w:basedOn w:val="12"/>
    <w:qFormat/>
    <w:uiPriority w:val="99"/>
    <w:rPr>
      <w:rFonts w:cs="Times New Roman"/>
    </w:rPr>
  </w:style>
  <w:style w:type="character" w:styleId="15">
    <w:name w:val="annotation reference"/>
    <w:basedOn w:val="12"/>
    <w:semiHidden/>
    <w:unhideWhenUsed/>
    <w:uiPriority w:val="99"/>
    <w:rPr>
      <w:sz w:val="21"/>
      <w:szCs w:val="21"/>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日期 Char"/>
    <w:basedOn w:val="12"/>
    <w:link w:val="4"/>
    <w:semiHidden/>
    <w:uiPriority w:val="99"/>
    <w:rPr>
      <w:rFonts w:ascii="Tahoma" w:hAnsi="Tahoma" w:eastAsia="Tahoma" w:cs="Times New Roman"/>
      <w:kern w:val="0"/>
      <w:sz w:val="20"/>
      <w:szCs w:val="20"/>
    </w:rPr>
  </w:style>
  <w:style w:type="character" w:customStyle="1" w:styleId="19">
    <w:name w:val="批注框文本 Char"/>
    <w:basedOn w:val="12"/>
    <w:link w:val="5"/>
    <w:qFormat/>
    <w:uiPriority w:val="99"/>
    <w:rPr>
      <w:sz w:val="18"/>
      <w:szCs w:val="18"/>
    </w:rPr>
  </w:style>
  <w:style w:type="paragraph" w:styleId="20">
    <w:name w:val="List Paragraph"/>
    <w:basedOn w:val="1"/>
    <w:qFormat/>
    <w:uiPriority w:val="99"/>
    <w:pPr>
      <w:widowControl w:val="0"/>
      <w:ind w:firstLine="420" w:firstLineChars="200"/>
      <w:jc w:val="both"/>
    </w:pPr>
    <w:rPr>
      <w:rFonts w:asciiTheme="minorHAnsi" w:hAnsiTheme="minorHAnsi" w:eastAsiaTheme="minorEastAsia" w:cstheme="minorBidi"/>
      <w:kern w:val="2"/>
      <w:sz w:val="21"/>
      <w:szCs w:val="22"/>
    </w:rPr>
  </w:style>
  <w:style w:type="paragraph" w:customStyle="1" w:styleId="21">
    <w:name w:val="Table Paragraph"/>
    <w:basedOn w:val="1"/>
    <w:qFormat/>
    <w:uiPriority w:val="1"/>
    <w:pPr>
      <w:widowControl w:val="0"/>
      <w:autoSpaceDE w:val="0"/>
      <w:autoSpaceDN w:val="0"/>
    </w:pPr>
    <w:rPr>
      <w:rFonts w:ascii="宋体" w:hAnsi="宋体" w:eastAsia="宋体" w:cs="宋体"/>
      <w:sz w:val="22"/>
      <w:szCs w:val="22"/>
      <w:lang w:eastAsia="en-US"/>
    </w:rPr>
  </w:style>
  <w:style w:type="character" w:customStyle="1" w:styleId="22">
    <w:name w:val="Footer Char"/>
    <w:qFormat/>
    <w:locked/>
    <w:uiPriority w:val="99"/>
    <w:rPr>
      <w:rFonts w:ascii="仿宋_GB2312" w:hAnsi="Times New Roman" w:eastAsia="仿宋_GB2312"/>
      <w:sz w:val="18"/>
    </w:rPr>
  </w:style>
  <w:style w:type="character" w:customStyle="1" w:styleId="23">
    <w:name w:val="Header Char"/>
    <w:qFormat/>
    <w:locked/>
    <w:uiPriority w:val="99"/>
    <w:rPr>
      <w:rFonts w:ascii="仿宋_GB2312" w:hAnsi="Times New Roman" w:eastAsia="仿宋_GB2312"/>
      <w:sz w:val="18"/>
    </w:rPr>
  </w:style>
  <w:style w:type="character" w:customStyle="1" w:styleId="24">
    <w:name w:val="批注文字 Char"/>
    <w:basedOn w:val="12"/>
    <w:link w:val="2"/>
    <w:qFormat/>
    <w:uiPriority w:val="99"/>
    <w:rPr>
      <w:rFonts w:ascii="Times New Roman" w:hAnsi="Times New Roman" w:eastAsia="宋体" w:cs="Times New Roman"/>
      <w:szCs w:val="24"/>
    </w:rPr>
  </w:style>
  <w:style w:type="character" w:customStyle="1" w:styleId="25">
    <w:name w:val="正文文本 Char"/>
    <w:basedOn w:val="12"/>
    <w:link w:val="3"/>
    <w:qFormat/>
    <w:uiPriority w:val="1"/>
    <w:rPr>
      <w:rFonts w:ascii="宋体" w:hAnsi="宋体" w:eastAsia="宋体" w:cs="宋体"/>
      <w:kern w:val="0"/>
      <w:sz w:val="24"/>
      <w:szCs w:val="24"/>
      <w:lang w:eastAsia="en-US"/>
    </w:rPr>
  </w:style>
  <w:style w:type="character" w:customStyle="1" w:styleId="26">
    <w:name w:val="批注主题 Char"/>
    <w:basedOn w:val="24"/>
    <w:link w:val="9"/>
    <w:semiHidden/>
    <w:uiPriority w:val="99"/>
    <w:rPr>
      <w:rFonts w:ascii="Tahoma" w:hAnsi="Tahoma" w:eastAsia="Tahoma" w:cs="Times New Roman"/>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2066</Words>
  <Characters>11777</Characters>
  <Lines>98</Lines>
  <Paragraphs>27</Paragraphs>
  <TotalTime>1507</TotalTime>
  <ScaleCrop>false</ScaleCrop>
  <LinksUpToDate>false</LinksUpToDate>
  <CharactersWithSpaces>13816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2020-04-16T07:06:00Z</dcterms:created>
  <dc:creator>王辉</dc:creator>
  <cp:lastModifiedBy>小t</cp:lastModifiedBy>
  <cp:lastPrinted>2020-04-23T09:03:00Z</cp:lastPrinted>
  <dcterms:modified xsi:type="dcterms:W3CDTF">2020-05-09T08:50:27Z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