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6C" w:rsidRDefault="0089666C" w:rsidP="0089666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西咸新区公有住房、安置房、限价商品房、经济适用住房上市交易管理实施细则</w:t>
      </w:r>
    </w:p>
    <w:p w:rsidR="0089666C" w:rsidRDefault="0089666C" w:rsidP="0089666C">
      <w:pPr>
        <w:spacing w:line="560" w:lineRule="exact"/>
        <w:jc w:val="center"/>
        <w:rPr>
          <w:rFonts w:ascii="方正小标宋简体" w:eastAsia="方正小标宋简体" w:hAnsi="方正小标宋简体" w:cs="方正小标宋简体"/>
          <w:sz w:val="44"/>
          <w:szCs w:val="44"/>
        </w:rPr>
      </w:pPr>
    </w:p>
    <w:p w:rsidR="0089666C" w:rsidRDefault="0089666C" w:rsidP="0089666C">
      <w:pPr>
        <w:spacing w:afterLines="50" w:after="156" w:line="560" w:lineRule="exact"/>
        <w:jc w:val="center"/>
        <w:rPr>
          <w:rFonts w:ascii="黑体" w:eastAsia="黑体" w:hAnsi="黑体" w:cs="仿宋_GB2312"/>
          <w:sz w:val="32"/>
          <w:szCs w:val="32"/>
        </w:rPr>
      </w:pPr>
      <w:r>
        <w:rPr>
          <w:rFonts w:ascii="黑体" w:eastAsia="黑体" w:hAnsi="黑体" w:cs="仿宋_GB2312" w:hint="eastAsia"/>
          <w:sz w:val="32"/>
          <w:szCs w:val="32"/>
        </w:rPr>
        <w:t>第一章  总则</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为进一步激发新区存量房市场活力，满足群众交易需求，优化交易流程，促进新区房地产市场健康发展，根据《</w:t>
      </w:r>
      <w:hyperlink r:id="rId6" w:history="1">
        <w:r>
          <w:rPr>
            <w:rFonts w:ascii="仿宋" w:eastAsia="仿宋" w:hAnsi="仿宋" w:cs="仿宋" w:hint="eastAsia"/>
            <w:sz w:val="32"/>
            <w:szCs w:val="32"/>
          </w:rPr>
          <w:t>中华人民共和国城市房地产管理法</w:t>
        </w:r>
      </w:hyperlink>
      <w:r>
        <w:rPr>
          <w:rFonts w:ascii="仿宋" w:eastAsia="仿宋" w:hAnsi="仿宋" w:cs="仿宋" w:hint="eastAsia"/>
          <w:sz w:val="32"/>
          <w:szCs w:val="32"/>
        </w:rPr>
        <w:t>》、国土资源部令（第21号）《协议出让国有土地使用权规定》，结合新区实际，制定本细则。</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第二条 </w:t>
      </w:r>
      <w:r>
        <w:rPr>
          <w:rFonts w:ascii="仿宋" w:eastAsia="仿宋" w:hAnsi="仿宋" w:cs="仿宋" w:hint="eastAsia"/>
          <w:sz w:val="32"/>
          <w:szCs w:val="32"/>
        </w:rPr>
        <w:t>西咸新区规划区域内（不含反托管区域）首次上市交易的公有住房、安置房、限价商品房、经济适用住房，适用本细则。</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第三条 </w:t>
      </w:r>
      <w:r>
        <w:rPr>
          <w:rFonts w:ascii="仿宋" w:eastAsia="仿宋" w:hAnsi="仿宋" w:cs="仿宋" w:hint="eastAsia"/>
          <w:sz w:val="32"/>
          <w:szCs w:val="32"/>
        </w:rPr>
        <w:t>本细则所称</w:t>
      </w:r>
      <w:r>
        <w:rPr>
          <w:rFonts w:ascii="仿宋" w:eastAsia="仿宋" w:hAnsi="仿宋" w:cs="仿宋" w:hint="eastAsia"/>
          <w:b/>
          <w:bCs/>
          <w:sz w:val="32"/>
          <w:szCs w:val="32"/>
        </w:rPr>
        <w:t>公有住房（含房改房和福利房）</w:t>
      </w:r>
      <w:r>
        <w:rPr>
          <w:rFonts w:ascii="仿宋" w:eastAsia="仿宋" w:hAnsi="仿宋" w:cs="仿宋" w:hint="eastAsia"/>
          <w:sz w:val="32"/>
          <w:szCs w:val="32"/>
        </w:rPr>
        <w:t>是指城镇职工在住房制度改革中所购公有住房和按房改政策由个人集资建设的住房。</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安置房</w:t>
      </w:r>
      <w:r>
        <w:rPr>
          <w:rFonts w:ascii="仿宋" w:eastAsia="仿宋" w:hAnsi="仿宋" w:cs="仿宋" w:hint="eastAsia"/>
          <w:sz w:val="32"/>
          <w:szCs w:val="32"/>
        </w:rPr>
        <w:t>指政府在进行土地开发、城市棚户区改造公益事业建设等项目的土地和房屋征收后，以特定的价格、配套面积向本地世居无房户定向销售的保障性住房或优惠安置房。</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限价商品房</w:t>
      </w:r>
      <w:r>
        <w:rPr>
          <w:rFonts w:ascii="仿宋" w:eastAsia="仿宋" w:hAnsi="仿宋" w:cs="仿宋" w:hint="eastAsia"/>
          <w:sz w:val="32"/>
          <w:szCs w:val="32"/>
        </w:rPr>
        <w:t>是指政府采取招标、拍卖、挂牌方式出让商品住房用地时，提出限制销售价格、住房套型面积和销售对象等要求，由建设单位通过公开竞争方式取得土地，进行开发建设和定向销售的普通商品住房。</w:t>
      </w:r>
    </w:p>
    <w:p w:rsidR="0089666C" w:rsidRDefault="0089666C" w:rsidP="0089666C">
      <w:pPr>
        <w:widowControl/>
        <w:spacing w:line="560" w:lineRule="exact"/>
        <w:ind w:firstLineChars="200" w:firstLine="643"/>
        <w:rPr>
          <w:rFonts w:ascii="仿宋_GB2312" w:eastAsia="仿宋_GB2312" w:hAnsi="仿宋_GB2312" w:cs="仿宋_GB2312"/>
          <w:sz w:val="30"/>
          <w:szCs w:val="30"/>
        </w:rPr>
      </w:pPr>
      <w:r>
        <w:rPr>
          <w:rFonts w:ascii="仿宋" w:eastAsia="仿宋" w:hAnsi="仿宋" w:cs="仿宋" w:hint="eastAsia"/>
          <w:b/>
          <w:bCs/>
          <w:sz w:val="32"/>
          <w:szCs w:val="32"/>
        </w:rPr>
        <w:lastRenderedPageBreak/>
        <w:t>经济适用住房</w:t>
      </w:r>
      <w:r>
        <w:rPr>
          <w:rFonts w:ascii="仿宋" w:eastAsia="仿宋" w:hAnsi="仿宋" w:cs="仿宋" w:hint="eastAsia"/>
          <w:sz w:val="32"/>
          <w:szCs w:val="32"/>
        </w:rPr>
        <w:t>是指政府提供优惠政策，限定建设标准、供应对象和销售价格，向低收入住房困难家庭出售的具有保障性质的政策性住房。</w:t>
      </w:r>
      <w:r>
        <w:rPr>
          <w:rFonts w:ascii="仿宋_GB2312" w:eastAsia="仿宋_GB2312" w:hAnsi="仿宋_GB2312" w:cs="仿宋_GB2312" w:hint="eastAsia"/>
          <w:sz w:val="30"/>
          <w:szCs w:val="30"/>
        </w:rPr>
        <w:t>取得完全产权是指购买经济适用住房满5年，购房人按照规定补缴土地收益等差价款后，取得该套住房占有、使用、收益、处分的全部权利，住房性质变更为普通商品住房</w:t>
      </w:r>
      <w:r>
        <w:rPr>
          <w:rStyle w:val="a3"/>
          <w:rFonts w:ascii="仿宋_GB2312" w:eastAsia="仿宋_GB2312" w:hAnsi="仿宋_GB2312" w:cs="仿宋_GB2312" w:hint="eastAsia"/>
          <w:sz w:val="30"/>
          <w:szCs w:val="30"/>
        </w:rPr>
        <w:t>[</w:t>
      </w:r>
      <w:r>
        <w:rPr>
          <w:rStyle w:val="a3"/>
          <w:rFonts w:ascii="仿宋_GB2312" w:eastAsia="仿宋_GB2312" w:hAnsi="仿宋_GB2312" w:cs="仿宋_GB2312" w:hint="eastAsia"/>
          <w:sz w:val="30"/>
          <w:szCs w:val="30"/>
        </w:rPr>
        <w:footnoteReference w:id="1"/>
      </w:r>
      <w:r>
        <w:rPr>
          <w:rStyle w:val="a3"/>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p>
    <w:p w:rsidR="0089666C" w:rsidRDefault="0089666C" w:rsidP="0089666C">
      <w:pPr>
        <w:widowControl/>
        <w:snapToGrid w:val="0"/>
        <w:spacing w:line="560" w:lineRule="exact"/>
        <w:ind w:firstLineChars="200" w:firstLine="643"/>
        <w:outlineLvl w:val="0"/>
        <w:rPr>
          <w:rFonts w:ascii="仿宋" w:eastAsia="仿宋" w:hAnsi="仿宋" w:cs="仿宋"/>
          <w:sz w:val="32"/>
          <w:szCs w:val="32"/>
        </w:rPr>
      </w:pPr>
      <w:r>
        <w:rPr>
          <w:rFonts w:ascii="仿宋" w:eastAsia="仿宋" w:hAnsi="仿宋" w:cs="仿宋" w:hint="eastAsia"/>
          <w:b/>
          <w:sz w:val="32"/>
          <w:szCs w:val="32"/>
        </w:rPr>
        <w:t xml:space="preserve">第四条 </w:t>
      </w:r>
      <w:r>
        <w:rPr>
          <w:rFonts w:ascii="仿宋" w:eastAsia="仿宋" w:hAnsi="仿宋" w:cs="仿宋" w:hint="eastAsia"/>
          <w:sz w:val="32"/>
          <w:szCs w:val="32"/>
        </w:rPr>
        <w:t>房产交易应当遵循平等、自愿、诚实信用的原则。</w:t>
      </w:r>
    </w:p>
    <w:p w:rsidR="0089666C" w:rsidRDefault="0089666C" w:rsidP="0089666C">
      <w:pPr>
        <w:spacing w:line="560" w:lineRule="exact"/>
        <w:jc w:val="center"/>
        <w:rPr>
          <w:rFonts w:ascii="黑体" w:eastAsia="黑体" w:hAnsi="黑体" w:cs="仿宋_GB2312"/>
          <w:sz w:val="32"/>
          <w:szCs w:val="32"/>
        </w:rPr>
      </w:pPr>
    </w:p>
    <w:p w:rsidR="0089666C" w:rsidRDefault="0089666C" w:rsidP="0089666C">
      <w:pPr>
        <w:spacing w:afterLines="50" w:after="156" w:line="560" w:lineRule="exact"/>
        <w:jc w:val="center"/>
        <w:rPr>
          <w:rFonts w:ascii="黑体" w:eastAsia="黑体" w:hAnsi="黑体" w:cs="仿宋_GB2312"/>
          <w:sz w:val="32"/>
          <w:szCs w:val="32"/>
        </w:rPr>
      </w:pPr>
      <w:r>
        <w:rPr>
          <w:rFonts w:ascii="黑体" w:eastAsia="黑体" w:hAnsi="黑体" w:cs="仿宋_GB2312" w:hint="eastAsia"/>
          <w:sz w:val="32"/>
          <w:szCs w:val="32"/>
        </w:rPr>
        <w:t>第二章 交易条件</w:t>
      </w:r>
    </w:p>
    <w:p w:rsidR="0089666C" w:rsidRDefault="0089666C" w:rsidP="0089666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第五条 公有住房</w:t>
      </w:r>
      <w:r>
        <w:rPr>
          <w:rFonts w:ascii="仿宋_GB2312" w:eastAsia="仿宋_GB2312" w:hAnsi="仿宋_GB2312" w:cs="仿宋_GB2312" w:hint="eastAsia"/>
          <w:sz w:val="32"/>
          <w:szCs w:val="32"/>
        </w:rPr>
        <w:t>已取得完全产权，并已核发不动产（房屋）权属证书，补交土地收益后，可上市交易。</w:t>
      </w:r>
    </w:p>
    <w:p w:rsidR="0089666C" w:rsidRDefault="0089666C" w:rsidP="0089666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第六条 安置房</w:t>
      </w:r>
      <w:r>
        <w:rPr>
          <w:rFonts w:ascii="仿宋" w:eastAsia="仿宋" w:hAnsi="仿宋" w:cs="仿宋" w:hint="eastAsia"/>
          <w:bCs/>
          <w:sz w:val="32"/>
          <w:szCs w:val="32"/>
        </w:rPr>
        <w:t>土地性质为出让的，</w:t>
      </w:r>
      <w:r>
        <w:rPr>
          <w:rFonts w:ascii="仿宋_GB2312" w:eastAsia="仿宋_GB2312" w:hAnsi="仿宋_GB2312" w:cs="仿宋_GB2312" w:hint="eastAsia"/>
          <w:sz w:val="32"/>
          <w:szCs w:val="32"/>
        </w:rPr>
        <w:t>已取得完全产权、不动产（房屋）权属证书，可上市交易；土地性质为划拨的，已核发不动产（房屋）权属证书，补交土地收益后，可上市交易。</w:t>
      </w:r>
    </w:p>
    <w:p w:rsidR="0089666C" w:rsidRDefault="0089666C" w:rsidP="0089666C">
      <w:pPr>
        <w:snapToGrid w:val="0"/>
        <w:spacing w:line="560" w:lineRule="exact"/>
        <w:ind w:firstLineChars="200" w:firstLine="643"/>
        <w:outlineLvl w:val="0"/>
        <w:rPr>
          <w:rFonts w:ascii="仿宋" w:eastAsia="仿宋" w:hAnsi="仿宋" w:cs="仿宋"/>
          <w:b/>
          <w:sz w:val="32"/>
          <w:szCs w:val="32"/>
        </w:rPr>
      </w:pPr>
      <w:r>
        <w:rPr>
          <w:rFonts w:ascii="仿宋" w:eastAsia="仿宋" w:hAnsi="仿宋" w:cs="仿宋" w:hint="eastAsia"/>
          <w:b/>
          <w:sz w:val="32"/>
          <w:szCs w:val="32"/>
        </w:rPr>
        <w:t>第七条 限价商品房</w:t>
      </w:r>
      <w:r>
        <w:rPr>
          <w:rFonts w:ascii="仿宋" w:eastAsia="仿宋" w:hAnsi="仿宋" w:cs="仿宋" w:hint="eastAsia"/>
          <w:sz w:val="32"/>
          <w:szCs w:val="32"/>
        </w:rPr>
        <w:t>自不动产权证登记之日起满五年，可上市交易。所有权登记未满五年，</w:t>
      </w:r>
      <w:r>
        <w:rPr>
          <w:rFonts w:ascii="仿宋_GB2312" w:eastAsia="仿宋_GB2312" w:hAnsi="仿宋_GB2312" w:cs="仿宋_GB2312" w:hint="eastAsia"/>
          <w:sz w:val="30"/>
          <w:szCs w:val="30"/>
        </w:rPr>
        <w:t>原则上不得上市交易，</w:t>
      </w:r>
      <w:r>
        <w:rPr>
          <w:rFonts w:ascii="仿宋" w:eastAsia="仿宋" w:hAnsi="仿宋" w:cs="仿宋" w:hint="eastAsia"/>
          <w:sz w:val="32"/>
          <w:szCs w:val="32"/>
        </w:rPr>
        <w:t>因特殊原因确需转让的，所有权人向新城房屋管理部门提出申请，经批准后，按照原购买价格并考虑折旧和物价水平等因素回购，继续作为限价商品房使用</w:t>
      </w:r>
      <w:r>
        <w:rPr>
          <w:rStyle w:val="a3"/>
          <w:rFonts w:ascii="仿宋" w:eastAsia="仿宋" w:hAnsi="仿宋" w:cs="仿宋" w:hint="eastAsia"/>
          <w:sz w:val="32"/>
          <w:szCs w:val="32"/>
        </w:rPr>
        <w:t>[</w:t>
      </w:r>
      <w:r>
        <w:rPr>
          <w:rStyle w:val="a3"/>
          <w:rFonts w:ascii="仿宋" w:eastAsia="仿宋" w:hAnsi="仿宋" w:cs="仿宋" w:hint="eastAsia"/>
          <w:sz w:val="32"/>
          <w:szCs w:val="32"/>
        </w:rPr>
        <w:footnoteReference w:id="2"/>
      </w:r>
      <w:r>
        <w:rPr>
          <w:rStyle w:val="a3"/>
          <w:rFonts w:ascii="仿宋" w:eastAsia="仿宋" w:hAnsi="仿宋" w:cs="仿宋" w:hint="eastAsia"/>
          <w:sz w:val="32"/>
          <w:szCs w:val="32"/>
        </w:rPr>
        <w:t>]</w:t>
      </w:r>
      <w:r>
        <w:rPr>
          <w:rFonts w:ascii="仿宋" w:eastAsia="仿宋" w:hAnsi="仿宋" w:cs="仿宋" w:hint="eastAsia"/>
          <w:sz w:val="32"/>
          <w:szCs w:val="32"/>
        </w:rPr>
        <w:t>。</w:t>
      </w:r>
    </w:p>
    <w:p w:rsidR="0089666C" w:rsidRDefault="0089666C" w:rsidP="0089666C">
      <w:pPr>
        <w:widowControl/>
        <w:spacing w:line="600" w:lineRule="exact"/>
        <w:ind w:firstLineChars="200" w:firstLine="643"/>
        <w:rPr>
          <w:rFonts w:ascii="仿宋" w:eastAsia="仿宋" w:hAnsi="仿宋" w:cs="仿宋"/>
          <w:b/>
          <w:bCs/>
          <w:sz w:val="32"/>
          <w:szCs w:val="32"/>
        </w:rPr>
      </w:pPr>
      <w:r>
        <w:rPr>
          <w:rFonts w:ascii="仿宋" w:eastAsia="仿宋" w:hAnsi="仿宋" w:cs="仿宋" w:hint="eastAsia"/>
          <w:b/>
          <w:sz w:val="32"/>
          <w:szCs w:val="32"/>
        </w:rPr>
        <w:t xml:space="preserve">第八条 </w:t>
      </w:r>
      <w:r>
        <w:rPr>
          <w:rFonts w:ascii="仿宋" w:eastAsia="仿宋" w:hAnsi="仿宋" w:cs="仿宋" w:hint="eastAsia"/>
          <w:b/>
          <w:bCs/>
          <w:sz w:val="32"/>
          <w:szCs w:val="32"/>
        </w:rPr>
        <w:t>经济适用住房</w:t>
      </w:r>
      <w:r>
        <w:rPr>
          <w:rFonts w:ascii="仿宋_GB2312" w:eastAsia="仿宋_GB2312" w:hAnsi="仿宋_GB2312" w:cs="仿宋_GB2312" w:hint="eastAsia"/>
          <w:sz w:val="30"/>
          <w:szCs w:val="30"/>
        </w:rPr>
        <w:t>网签备案合同满5年，经新城住房保障部门审核同意，购房人在补交差价款后，可取得完全产权并退出经济</w:t>
      </w:r>
      <w:r>
        <w:rPr>
          <w:rFonts w:ascii="仿宋_GB2312" w:eastAsia="仿宋_GB2312" w:hAnsi="仿宋_GB2312" w:cs="仿宋_GB2312" w:hint="eastAsia"/>
          <w:sz w:val="30"/>
          <w:szCs w:val="30"/>
        </w:rPr>
        <w:lastRenderedPageBreak/>
        <w:t>适用住房保障，新区住房保障部门出具《西咸新区</w:t>
      </w:r>
      <w:r>
        <w:rPr>
          <w:rFonts w:ascii="仿宋" w:eastAsia="仿宋" w:hAnsi="仿宋" w:cs="仿宋" w:hint="eastAsia"/>
          <w:sz w:val="32"/>
          <w:szCs w:val="32"/>
        </w:rPr>
        <w:t>准予取得经济适用住房完全产权通知书</w:t>
      </w:r>
      <w:r>
        <w:rPr>
          <w:rFonts w:ascii="仿宋_GB2312" w:eastAsia="仿宋_GB2312" w:hAnsi="仿宋_GB2312" w:cs="仿宋_GB2312" w:hint="eastAsia"/>
          <w:sz w:val="30"/>
          <w:szCs w:val="30"/>
        </w:rPr>
        <w:t>》，不动产登记机构在房屋登记簿中取消经济适用住房的房屋性质记载，重新核发不动产权证书；购房人在补交差价款后，也可上市交易，不动产登记机构按照普通商品住房交易相关程序，办理房屋产权转移登记手续，房地产交易环节的相关税费按规定缴纳。</w:t>
      </w:r>
    </w:p>
    <w:p w:rsidR="0089666C" w:rsidRDefault="0089666C" w:rsidP="0089666C">
      <w:pPr>
        <w:widowControl/>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购买经济适用住房不满5年，原则上不得上市交易，房屋产权不得变更、转移。购房人因特殊原因确需转让的，可由新城住房保障管理部门按照原购买价格回购，回购资金从新城保障性住房建设管理专项资金中列支。回购的经济适用住房，由新城住房保障管理部门接规定统筹使用</w:t>
      </w:r>
      <w:r>
        <w:rPr>
          <w:rStyle w:val="a3"/>
          <w:rFonts w:ascii="仿宋_GB2312" w:eastAsia="仿宋_GB2312" w:hAnsi="仿宋_GB2312" w:cs="仿宋_GB2312" w:hint="eastAsia"/>
          <w:sz w:val="30"/>
          <w:szCs w:val="30"/>
        </w:rPr>
        <w:t>[</w:t>
      </w:r>
      <w:r>
        <w:rPr>
          <w:rStyle w:val="a3"/>
          <w:rFonts w:ascii="仿宋_GB2312" w:eastAsia="仿宋_GB2312" w:hAnsi="仿宋_GB2312" w:cs="仿宋_GB2312" w:hint="eastAsia"/>
          <w:sz w:val="30"/>
          <w:szCs w:val="30"/>
        </w:rPr>
        <w:footnoteReference w:id="3"/>
      </w:r>
      <w:r>
        <w:rPr>
          <w:rStyle w:val="a3"/>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p>
    <w:p w:rsidR="0089666C" w:rsidRDefault="0089666C" w:rsidP="0089666C">
      <w:pPr>
        <w:widowControl/>
        <w:snapToGrid w:val="0"/>
        <w:spacing w:line="560" w:lineRule="exact"/>
        <w:ind w:firstLineChars="200" w:firstLine="643"/>
        <w:outlineLvl w:val="0"/>
        <w:rPr>
          <w:rFonts w:ascii="仿宋" w:eastAsia="仿宋" w:hAnsi="仿宋" w:cs="仿宋"/>
          <w:sz w:val="32"/>
          <w:szCs w:val="32"/>
        </w:rPr>
      </w:pPr>
      <w:r>
        <w:rPr>
          <w:rFonts w:ascii="仿宋" w:eastAsia="仿宋" w:hAnsi="仿宋" w:cs="仿宋" w:hint="eastAsia"/>
          <w:b/>
          <w:sz w:val="32"/>
          <w:szCs w:val="32"/>
        </w:rPr>
        <w:t xml:space="preserve">第九条  </w:t>
      </w:r>
      <w:r>
        <w:rPr>
          <w:rFonts w:ascii="仿宋" w:eastAsia="仿宋" w:hAnsi="仿宋" w:cs="仿宋" w:hint="eastAsia"/>
          <w:sz w:val="32"/>
          <w:szCs w:val="32"/>
        </w:rPr>
        <w:t>经人民法院生效判决的，以判决为准，不受上述交易条件限制。</w:t>
      </w:r>
    </w:p>
    <w:p w:rsidR="0089666C" w:rsidRDefault="0089666C" w:rsidP="0089666C">
      <w:pPr>
        <w:spacing w:afterLines="50" w:after="156" w:line="560" w:lineRule="exact"/>
        <w:jc w:val="center"/>
        <w:rPr>
          <w:rFonts w:ascii="黑体" w:eastAsia="黑体" w:hAnsi="黑体" w:cs="仿宋_GB2312"/>
          <w:sz w:val="32"/>
          <w:szCs w:val="32"/>
        </w:rPr>
      </w:pPr>
      <w:r>
        <w:rPr>
          <w:rFonts w:ascii="黑体" w:eastAsia="黑体" w:hAnsi="黑体" w:cs="仿宋_GB2312" w:hint="eastAsia"/>
          <w:sz w:val="32"/>
          <w:szCs w:val="32"/>
        </w:rPr>
        <w:t>第三章 交易程序</w:t>
      </w:r>
    </w:p>
    <w:p w:rsidR="0089666C" w:rsidRDefault="0089666C" w:rsidP="0089666C">
      <w:pPr>
        <w:snapToGrid w:val="0"/>
        <w:spacing w:line="560" w:lineRule="exact"/>
        <w:ind w:firstLineChars="200" w:firstLine="643"/>
        <w:outlineLvl w:val="0"/>
        <w:rPr>
          <w:rFonts w:ascii="仿宋" w:eastAsia="仿宋_GB2312" w:hAnsi="仿宋" w:cs="仿宋"/>
          <w:b/>
          <w:sz w:val="32"/>
          <w:szCs w:val="32"/>
        </w:rPr>
      </w:pPr>
      <w:r>
        <w:rPr>
          <w:rFonts w:ascii="仿宋" w:eastAsia="仿宋" w:hAnsi="仿宋" w:cs="仿宋" w:hint="eastAsia"/>
          <w:b/>
          <w:sz w:val="32"/>
          <w:szCs w:val="32"/>
        </w:rPr>
        <w:t>第十条 网签备案。</w:t>
      </w:r>
      <w:r>
        <w:rPr>
          <w:rFonts w:ascii="仿宋_GB2312" w:eastAsia="仿宋_GB2312" w:hAnsi="仿宋_GB2312" w:cs="仿宋_GB2312" w:hint="eastAsia"/>
          <w:sz w:val="32"/>
          <w:szCs w:val="32"/>
        </w:rPr>
        <w:t>达成交易意向的房产买卖双方可自行签约或通过经纪机构签约，并通过新区 “陕西省西咸新区房屋综合管理平台” 网签备案。</w:t>
      </w:r>
    </w:p>
    <w:p w:rsidR="0089666C" w:rsidRDefault="0089666C" w:rsidP="0089666C">
      <w:pPr>
        <w:snapToGrid w:val="0"/>
        <w:spacing w:line="560" w:lineRule="exact"/>
        <w:ind w:firstLineChars="200" w:firstLine="643"/>
        <w:outlineLvl w:val="0"/>
        <w:rPr>
          <w:rFonts w:ascii="仿宋_GB2312" w:eastAsia="仿宋_GB2312" w:hAnsi="仿宋_GB2312" w:cs="仿宋_GB2312"/>
          <w:sz w:val="32"/>
          <w:szCs w:val="32"/>
        </w:rPr>
      </w:pPr>
      <w:r>
        <w:rPr>
          <w:rFonts w:ascii="仿宋" w:eastAsia="仿宋" w:hAnsi="仿宋" w:cs="仿宋" w:hint="eastAsia"/>
          <w:b/>
          <w:sz w:val="32"/>
          <w:szCs w:val="32"/>
        </w:rPr>
        <w:t>第十一条 税费缴纳。</w:t>
      </w:r>
      <w:r>
        <w:rPr>
          <w:rFonts w:ascii="仿宋_GB2312" w:eastAsia="仿宋_GB2312" w:hAnsi="仿宋_GB2312" w:cs="仿宋_GB2312" w:hint="eastAsia"/>
          <w:sz w:val="32"/>
          <w:szCs w:val="32"/>
        </w:rPr>
        <w:t>房产上市交易必须依法纳税，网签备案价格明显低于届时正常市场价格水平的，税务部门应当进行现场评估，并按照评估价格计算缴纳税费。</w:t>
      </w:r>
    </w:p>
    <w:p w:rsidR="0089666C" w:rsidRDefault="0089666C" w:rsidP="0089666C">
      <w:pPr>
        <w:widowControl/>
        <w:snapToGrid w:val="0"/>
        <w:spacing w:line="560" w:lineRule="exact"/>
        <w:ind w:firstLineChars="200" w:firstLine="643"/>
        <w:outlineLvl w:val="0"/>
        <w:rPr>
          <w:rFonts w:ascii="仿宋_GB2312" w:eastAsia="仿宋_GB2312" w:hAnsi="仿宋_GB2312" w:cs="仿宋_GB2312"/>
          <w:sz w:val="32"/>
          <w:szCs w:val="32"/>
        </w:rPr>
      </w:pPr>
      <w:r>
        <w:rPr>
          <w:rFonts w:ascii="仿宋" w:eastAsia="仿宋" w:hAnsi="仿宋" w:cs="仿宋" w:hint="eastAsia"/>
          <w:b/>
          <w:sz w:val="32"/>
          <w:szCs w:val="32"/>
        </w:rPr>
        <w:lastRenderedPageBreak/>
        <w:t>第十二条 补交土地收益或差价款。</w:t>
      </w:r>
      <w:r>
        <w:rPr>
          <w:rFonts w:ascii="仿宋_GB2312" w:eastAsia="仿宋_GB2312" w:hAnsi="仿宋_GB2312" w:cs="仿宋_GB2312" w:hint="eastAsia"/>
          <w:sz w:val="32"/>
          <w:szCs w:val="32"/>
        </w:rPr>
        <w:t>公有住房、划拨土地安置房、经济适用住房交易的，经新城住房保障部门审核同意后报新区住房保障部门，开具《</w:t>
      </w:r>
      <w:r>
        <w:rPr>
          <w:rFonts w:ascii="仿宋" w:eastAsia="仿宋" w:hAnsi="仿宋" w:cs="仿宋" w:hint="eastAsia"/>
          <w:sz w:val="32"/>
          <w:szCs w:val="32"/>
        </w:rPr>
        <w:t>西咸新区土地收益/差价款缴费通知单</w:t>
      </w:r>
      <w:r>
        <w:rPr>
          <w:rFonts w:ascii="仿宋_GB2312" w:eastAsia="仿宋_GB2312" w:hAnsi="仿宋_GB2312" w:cs="仿宋_GB2312" w:hint="eastAsia"/>
          <w:sz w:val="32"/>
          <w:szCs w:val="32"/>
        </w:rPr>
        <w:t>》，由房屋产权人向新区财政部门缴纳相关收益；交易价格按照税务部门核定的缴税价格（核税价）计算。</w:t>
      </w:r>
    </w:p>
    <w:p w:rsidR="0089666C" w:rsidRDefault="0089666C" w:rsidP="0089666C">
      <w:pPr>
        <w:widowControl/>
        <w:snapToGrid w:val="0"/>
        <w:spacing w:line="560" w:lineRule="exact"/>
        <w:ind w:firstLineChars="200" w:firstLine="640"/>
        <w:outlineLvl w:val="0"/>
        <w:rPr>
          <w:rFonts w:ascii="仿宋_GB2312" w:eastAsia="仿宋_GB2312" w:hAnsi="仿宋_GB2312" w:cs="仿宋_GB2312"/>
          <w:sz w:val="30"/>
          <w:szCs w:val="30"/>
        </w:rPr>
      </w:pPr>
      <w:r>
        <w:rPr>
          <w:rFonts w:ascii="仿宋" w:eastAsia="仿宋" w:hAnsi="仿宋" w:cs="仿宋" w:hint="eastAsia"/>
          <w:sz w:val="32"/>
          <w:szCs w:val="32"/>
        </w:rPr>
        <w:t>（一）公有住房补交土地收益=核税价</w:t>
      </w:r>
      <w:r>
        <w:rPr>
          <w:rFonts w:ascii="仿宋_GB2312" w:eastAsia="仿宋_GB2312" w:hAnsi="仿宋_GB2312" w:cs="仿宋_GB2312" w:hint="eastAsia"/>
          <w:sz w:val="30"/>
          <w:szCs w:val="30"/>
        </w:rPr>
        <w:t>×建筑面积×2%</w:t>
      </w:r>
      <w:r>
        <w:rPr>
          <w:rStyle w:val="a3"/>
          <w:rFonts w:ascii="仿宋_GB2312" w:eastAsia="仿宋_GB2312" w:hAnsi="仿宋_GB2312" w:cs="仿宋_GB2312" w:hint="eastAsia"/>
          <w:sz w:val="30"/>
          <w:szCs w:val="30"/>
        </w:rPr>
        <w:t>[</w:t>
      </w:r>
      <w:r>
        <w:rPr>
          <w:rStyle w:val="a3"/>
          <w:rFonts w:ascii="仿宋_GB2312" w:eastAsia="仿宋_GB2312" w:hAnsi="仿宋_GB2312" w:cs="仿宋_GB2312" w:hint="eastAsia"/>
          <w:sz w:val="30"/>
          <w:szCs w:val="30"/>
        </w:rPr>
        <w:footnoteReference w:id="4"/>
      </w:r>
      <w:r>
        <w:rPr>
          <w:rStyle w:val="a3"/>
          <w:rFonts w:ascii="仿宋_GB2312" w:eastAsia="仿宋_GB2312" w:hAnsi="仿宋_GB2312" w:cs="仿宋_GB2312" w:hint="eastAsia"/>
          <w:sz w:val="30"/>
          <w:szCs w:val="30"/>
        </w:rPr>
        <w:t>]</w:t>
      </w:r>
    </w:p>
    <w:p w:rsidR="0089666C" w:rsidRDefault="0089666C" w:rsidP="0089666C">
      <w:pPr>
        <w:widowControl/>
        <w:snapToGrid w:val="0"/>
        <w:spacing w:line="560" w:lineRule="exact"/>
        <w:ind w:firstLineChars="200" w:firstLine="600"/>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（二）划拨土地安置房补交土地收益</w:t>
      </w:r>
      <w:r>
        <w:rPr>
          <w:rFonts w:ascii="仿宋" w:eastAsia="仿宋" w:hAnsi="仿宋" w:cs="仿宋" w:hint="eastAsia"/>
          <w:sz w:val="32"/>
          <w:szCs w:val="32"/>
        </w:rPr>
        <w:t>=核税价</w:t>
      </w:r>
      <w:r>
        <w:rPr>
          <w:rFonts w:ascii="仿宋_GB2312" w:eastAsia="仿宋_GB2312" w:hAnsi="仿宋_GB2312" w:cs="仿宋_GB2312" w:hint="eastAsia"/>
          <w:sz w:val="30"/>
          <w:szCs w:val="30"/>
        </w:rPr>
        <w:t>×建筑面积×2%</w:t>
      </w:r>
    </w:p>
    <w:p w:rsidR="0089666C" w:rsidRDefault="0089666C" w:rsidP="0089666C">
      <w:pPr>
        <w:widowControl/>
        <w:spacing w:afterLines="50" w:after="156"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（三）经济适用住房差价款缴纳标准为原购买经济适用住房价格的15%，计算公式为:应缴差价款＝(房屋建筑面积</w:t>
      </w:r>
      <w:r>
        <w:rPr>
          <w:rFonts w:ascii="宋体" w:hAnsi="宋体" w:cs="宋体" w:hint="eastAsia"/>
          <w:sz w:val="30"/>
          <w:szCs w:val="30"/>
        </w:rPr>
        <w:t>－</w:t>
      </w:r>
      <w:r>
        <w:rPr>
          <w:rFonts w:ascii="仿宋_GB2312" w:eastAsia="仿宋_GB2312" w:hAnsi="仿宋_GB2312" w:cs="仿宋_GB2312" w:hint="eastAsia"/>
          <w:sz w:val="30"/>
          <w:szCs w:val="30"/>
        </w:rPr>
        <w:t>按商品房价格购买的建筑面积)×原购买经济适用住房合同单价</w:t>
      </w:r>
      <w:r>
        <w:rPr>
          <w:rFonts w:ascii="Arial" w:eastAsia="仿宋_GB2312" w:hAnsi="Arial" w:cs="Arial"/>
          <w:sz w:val="30"/>
          <w:szCs w:val="30"/>
        </w:rPr>
        <w:t>×</w:t>
      </w:r>
      <w:r>
        <w:rPr>
          <w:rFonts w:ascii="仿宋_GB2312" w:eastAsia="仿宋_GB2312" w:hAnsi="仿宋_GB2312" w:cs="仿宋_GB2312" w:hint="eastAsia"/>
          <w:sz w:val="30"/>
          <w:szCs w:val="30"/>
        </w:rPr>
        <w:t>15%</w:t>
      </w:r>
      <w:r>
        <w:rPr>
          <w:rStyle w:val="a3"/>
          <w:rFonts w:ascii="仿宋_GB2312" w:eastAsia="仿宋_GB2312" w:hAnsi="仿宋_GB2312" w:cs="仿宋_GB2312" w:hint="eastAsia"/>
          <w:sz w:val="30"/>
          <w:szCs w:val="30"/>
        </w:rPr>
        <w:t>[</w:t>
      </w:r>
      <w:r>
        <w:rPr>
          <w:rStyle w:val="a3"/>
          <w:rFonts w:ascii="仿宋_GB2312" w:eastAsia="仿宋_GB2312" w:hAnsi="仿宋_GB2312" w:cs="仿宋_GB2312" w:hint="eastAsia"/>
          <w:sz w:val="30"/>
          <w:szCs w:val="30"/>
        </w:rPr>
        <w:footnoteReference w:id="5"/>
      </w:r>
      <w:r>
        <w:rPr>
          <w:rStyle w:val="a3"/>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p>
    <w:p w:rsidR="0089666C" w:rsidRDefault="0089666C" w:rsidP="0089666C">
      <w:pPr>
        <w:widowControl/>
        <w:snapToGrid w:val="0"/>
        <w:spacing w:line="560" w:lineRule="exact"/>
        <w:ind w:firstLineChars="200" w:firstLine="643"/>
        <w:outlineLvl w:val="0"/>
        <w:rPr>
          <w:rFonts w:ascii="仿宋_GB2312" w:eastAsia="仿宋_GB2312" w:hAnsi="仿宋_GB2312" w:cs="仿宋_GB2312"/>
          <w:sz w:val="30"/>
          <w:szCs w:val="30"/>
        </w:rPr>
      </w:pPr>
      <w:r>
        <w:rPr>
          <w:rFonts w:ascii="仿宋" w:eastAsia="仿宋" w:hAnsi="仿宋" w:cs="仿宋" w:hint="eastAsia"/>
          <w:b/>
          <w:sz w:val="32"/>
          <w:szCs w:val="32"/>
        </w:rPr>
        <w:t>第十三条 转移登记。</w:t>
      </w:r>
      <w:r>
        <w:rPr>
          <w:rFonts w:ascii="仿宋_GB2312" w:eastAsia="仿宋_GB2312" w:hAnsi="仿宋_GB2312" w:cs="仿宋_GB2312" w:hint="eastAsia"/>
          <w:sz w:val="32"/>
          <w:szCs w:val="32"/>
        </w:rPr>
        <w:t>房屋产权人</w:t>
      </w:r>
      <w:r>
        <w:rPr>
          <w:rFonts w:ascii="仿宋_GB2312" w:eastAsia="仿宋_GB2312" w:hAnsi="仿宋_GB2312" w:cs="仿宋_GB2312" w:hint="eastAsia"/>
          <w:sz w:val="30"/>
          <w:szCs w:val="30"/>
        </w:rPr>
        <w:t>持</w:t>
      </w:r>
      <w:r>
        <w:rPr>
          <w:rFonts w:ascii="仿宋_GB2312" w:eastAsia="仿宋_GB2312" w:hAnsi="仿宋_GB2312" w:cs="仿宋_GB2312" w:hint="eastAsia"/>
          <w:sz w:val="32"/>
          <w:szCs w:val="32"/>
        </w:rPr>
        <w:t>不动产（房屋）权属证书、收益交纳凭证、身份证明、网签备案合同、资金监管协议等</w:t>
      </w:r>
      <w:r>
        <w:rPr>
          <w:rFonts w:ascii="仿宋_GB2312" w:eastAsia="仿宋_GB2312" w:hAnsi="仿宋_GB2312" w:cs="仿宋_GB2312" w:hint="eastAsia"/>
          <w:sz w:val="30"/>
          <w:szCs w:val="30"/>
        </w:rPr>
        <w:t>相关材料，按照有关规定向不动产登记机构申请办理房屋权属变更或转移登记手续。</w:t>
      </w:r>
    </w:p>
    <w:p w:rsidR="0089666C" w:rsidRDefault="0089666C" w:rsidP="0089666C">
      <w:pPr>
        <w:pStyle w:val="5"/>
        <w:ind w:left="0"/>
      </w:pPr>
    </w:p>
    <w:p w:rsidR="0089666C" w:rsidRDefault="0089666C" w:rsidP="0089666C">
      <w:pPr>
        <w:spacing w:afterLines="50" w:after="156" w:line="560" w:lineRule="exact"/>
        <w:jc w:val="center"/>
        <w:rPr>
          <w:rFonts w:ascii="黑体" w:eastAsia="黑体" w:hAnsi="黑体" w:cs="仿宋_GB2312"/>
          <w:sz w:val="32"/>
          <w:szCs w:val="32"/>
        </w:rPr>
      </w:pPr>
      <w:r>
        <w:rPr>
          <w:rFonts w:ascii="黑体" w:eastAsia="黑体" w:hAnsi="黑体" w:cs="仿宋_GB2312" w:hint="eastAsia"/>
          <w:sz w:val="32"/>
          <w:szCs w:val="32"/>
        </w:rPr>
        <w:t>第四章 其他</w:t>
      </w:r>
    </w:p>
    <w:p w:rsidR="0089666C" w:rsidRDefault="0089666C" w:rsidP="0089666C">
      <w:pPr>
        <w:snapToGrid w:val="0"/>
        <w:spacing w:line="560" w:lineRule="exact"/>
        <w:ind w:firstLineChars="200" w:firstLine="643"/>
        <w:outlineLvl w:val="0"/>
        <w:rPr>
          <w:rFonts w:ascii="仿宋" w:eastAsia="仿宋" w:hAnsi="仿宋" w:cs="仿宋"/>
          <w:sz w:val="32"/>
          <w:szCs w:val="32"/>
        </w:rPr>
      </w:pPr>
      <w:r>
        <w:rPr>
          <w:rFonts w:ascii="仿宋" w:eastAsia="仿宋" w:hAnsi="仿宋" w:cs="仿宋" w:hint="eastAsia"/>
          <w:b/>
          <w:sz w:val="32"/>
          <w:szCs w:val="32"/>
        </w:rPr>
        <w:t xml:space="preserve">第十四条 </w:t>
      </w:r>
      <w:r>
        <w:rPr>
          <w:rFonts w:ascii="仿宋_GB2312" w:eastAsia="仿宋_GB2312" w:hAnsi="仿宋_GB2312" w:cs="仿宋_GB2312" w:hint="eastAsia"/>
          <w:sz w:val="32"/>
          <w:szCs w:val="32"/>
        </w:rPr>
        <w:t>由新区财政部门</w:t>
      </w:r>
      <w:r>
        <w:rPr>
          <w:rFonts w:ascii="仿宋" w:eastAsia="仿宋" w:hAnsi="仿宋" w:cs="仿宋" w:hint="eastAsia"/>
          <w:sz w:val="32"/>
          <w:szCs w:val="32"/>
        </w:rPr>
        <w:t>设立土地收益缴纳账户，负责土地收益收缴工作；由税务部门提前核定</w:t>
      </w:r>
      <w:r>
        <w:rPr>
          <w:rFonts w:ascii="仿宋_GB2312" w:eastAsia="仿宋_GB2312" w:hAnsi="仿宋_GB2312" w:cs="仿宋_GB2312" w:hint="eastAsia"/>
          <w:sz w:val="32"/>
          <w:szCs w:val="32"/>
        </w:rPr>
        <w:t>交易房屋缴税价格（核税价）。</w:t>
      </w:r>
    </w:p>
    <w:p w:rsidR="0089666C" w:rsidRDefault="0089666C" w:rsidP="0089666C">
      <w:pPr>
        <w:widowControl/>
        <w:snapToGrid w:val="0"/>
        <w:spacing w:line="560" w:lineRule="exact"/>
        <w:ind w:firstLineChars="200" w:firstLine="643"/>
        <w:outlineLvl w:val="0"/>
        <w:rPr>
          <w:rFonts w:ascii="仿宋" w:eastAsia="仿宋" w:hAnsi="仿宋" w:cs="仿宋"/>
          <w:b/>
          <w:sz w:val="32"/>
          <w:szCs w:val="32"/>
        </w:rPr>
      </w:pPr>
      <w:r>
        <w:rPr>
          <w:rFonts w:ascii="仿宋" w:eastAsia="仿宋" w:hAnsi="仿宋" w:cs="仿宋" w:hint="eastAsia"/>
          <w:b/>
          <w:sz w:val="32"/>
          <w:szCs w:val="32"/>
        </w:rPr>
        <w:lastRenderedPageBreak/>
        <w:t>第十五条</w:t>
      </w:r>
      <w:r>
        <w:rPr>
          <w:rFonts w:ascii="仿宋" w:eastAsia="仿宋" w:hAnsi="仿宋" w:cs="仿宋" w:hint="eastAsia"/>
          <w:sz w:val="32"/>
          <w:szCs w:val="32"/>
        </w:rPr>
        <w:t xml:space="preserve"> 鼓励已购公有住房上市交易，已购公有住房首次上市交易时，土地收益金减半收取</w:t>
      </w:r>
      <w:r>
        <w:rPr>
          <w:rStyle w:val="a3"/>
          <w:rFonts w:ascii="仿宋" w:eastAsia="仿宋" w:hAnsi="仿宋" w:cs="仿宋" w:hint="eastAsia"/>
          <w:sz w:val="32"/>
          <w:szCs w:val="32"/>
        </w:rPr>
        <w:t>[</w:t>
      </w:r>
      <w:r>
        <w:rPr>
          <w:rStyle w:val="a3"/>
          <w:rFonts w:ascii="仿宋" w:eastAsia="仿宋" w:hAnsi="仿宋" w:cs="仿宋" w:hint="eastAsia"/>
          <w:sz w:val="32"/>
          <w:szCs w:val="32"/>
        </w:rPr>
        <w:footnoteReference w:id="6"/>
      </w:r>
      <w:r>
        <w:rPr>
          <w:rStyle w:val="a3"/>
          <w:rFonts w:ascii="仿宋" w:eastAsia="仿宋" w:hAnsi="仿宋" w:cs="仿宋" w:hint="eastAsia"/>
          <w:sz w:val="32"/>
          <w:szCs w:val="32"/>
        </w:rPr>
        <w:t>]</w:t>
      </w:r>
      <w:r>
        <w:rPr>
          <w:rFonts w:ascii="仿宋" w:eastAsia="仿宋" w:hAnsi="仿宋" w:cs="仿宋" w:hint="eastAsia"/>
          <w:sz w:val="32"/>
          <w:szCs w:val="32"/>
        </w:rPr>
        <w:t>。</w:t>
      </w:r>
    </w:p>
    <w:p w:rsidR="0089666C" w:rsidRDefault="0089666C" w:rsidP="0089666C">
      <w:pPr>
        <w:widowControl/>
        <w:snapToGrid w:val="0"/>
        <w:spacing w:line="560" w:lineRule="exact"/>
        <w:ind w:firstLineChars="200" w:firstLine="643"/>
        <w:outlineLvl w:val="0"/>
        <w:rPr>
          <w:rFonts w:ascii="仿宋" w:eastAsia="仿宋" w:hAnsi="仿宋" w:cs="仿宋"/>
          <w:sz w:val="32"/>
          <w:szCs w:val="32"/>
        </w:rPr>
      </w:pPr>
      <w:r>
        <w:rPr>
          <w:rFonts w:ascii="仿宋" w:eastAsia="仿宋" w:hAnsi="仿宋" w:cs="仿宋" w:hint="eastAsia"/>
          <w:b/>
          <w:sz w:val="32"/>
          <w:szCs w:val="32"/>
        </w:rPr>
        <w:t xml:space="preserve">第十六条 </w:t>
      </w:r>
      <w:r>
        <w:rPr>
          <w:rFonts w:ascii="仿宋" w:eastAsia="仿宋" w:hAnsi="仿宋" w:cs="仿宋" w:hint="eastAsia"/>
          <w:sz w:val="32"/>
          <w:szCs w:val="32"/>
        </w:rPr>
        <w:t>各部门在工作中应密切合作，严格审核，业务办理过程中有玩忽职守、徇私舞弊、滥用职权等行为的，依法追究其行政责任；构成犯罪的，移交司法机关，依法追究刑事责任。</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第十七条 </w:t>
      </w:r>
      <w:r>
        <w:rPr>
          <w:rFonts w:ascii="仿宋" w:eastAsia="仿宋" w:hAnsi="仿宋" w:cs="仿宋" w:hint="eastAsia"/>
          <w:sz w:val="32"/>
          <w:szCs w:val="32"/>
        </w:rPr>
        <w:t>其他未尽事宜可参照西安市相关规定执行，执行过程中，国家、省级、市级及新区对相关政策进行调整的，按照新政策执行。</w:t>
      </w:r>
    </w:p>
    <w:p w:rsidR="0089666C" w:rsidRDefault="0089666C" w:rsidP="0089666C">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 xml:space="preserve">第十八条 </w:t>
      </w:r>
      <w:r>
        <w:rPr>
          <w:rFonts w:ascii="仿宋" w:eastAsia="仿宋" w:hAnsi="仿宋" w:cs="仿宋" w:hint="eastAsia"/>
          <w:sz w:val="32"/>
          <w:szCs w:val="32"/>
        </w:rPr>
        <w:t>本细则自印发之日起施行，有效期五年。</w:t>
      </w:r>
    </w:p>
    <w:p w:rsidR="0089666C" w:rsidRDefault="0089666C" w:rsidP="0089666C">
      <w:pPr>
        <w:spacing w:line="500" w:lineRule="exact"/>
        <w:jc w:val="left"/>
        <w:rPr>
          <w:rFonts w:ascii="仿宋_GB2312" w:eastAsia="仿宋_GB2312" w:hAnsi="宋体" w:cs="宋体"/>
          <w:kern w:val="0"/>
          <w:sz w:val="28"/>
          <w:szCs w:val="28"/>
        </w:rPr>
      </w:pPr>
    </w:p>
    <w:p w:rsidR="0089666C" w:rsidRDefault="0089666C" w:rsidP="0089666C">
      <w:pPr>
        <w:pStyle w:val="a6"/>
      </w:pPr>
    </w:p>
    <w:p w:rsidR="0089666C" w:rsidRDefault="0089666C" w:rsidP="0089666C">
      <w:pPr>
        <w:spacing w:line="560" w:lineRule="exact"/>
        <w:ind w:firstLineChars="200" w:firstLine="640"/>
        <w:rPr>
          <w:rFonts w:ascii="仿宋" w:eastAsia="仿宋" w:hAnsi="仿宋" w:cs="仿宋"/>
          <w:sz w:val="32"/>
          <w:szCs w:val="32"/>
        </w:rPr>
        <w:sectPr w:rsidR="0089666C">
          <w:pgSz w:w="11906" w:h="16838"/>
          <w:pgMar w:top="2098" w:right="1474" w:bottom="1984" w:left="1587" w:header="851" w:footer="992" w:gutter="0"/>
          <w:pgNumType w:fmt="numberInDash"/>
          <w:cols w:space="720"/>
          <w:docGrid w:type="lines" w:linePitch="312"/>
        </w:sectPr>
      </w:pPr>
      <w:r>
        <w:rPr>
          <w:rFonts w:ascii="仿宋" w:eastAsia="仿宋" w:hAnsi="仿宋" w:cs="仿宋" w:hint="eastAsia"/>
          <w:sz w:val="32"/>
          <w:szCs w:val="32"/>
        </w:rPr>
        <w:t>附件：西咸新区特殊房源上市交易流程图</w:t>
      </w:r>
    </w:p>
    <w:p w:rsidR="0089666C" w:rsidRDefault="0089666C" w:rsidP="0089666C">
      <w:pPr>
        <w:pStyle w:val="5"/>
        <w:ind w:left="0"/>
      </w:pPr>
      <w:r>
        <w:rPr>
          <w:rFonts w:ascii="黑体" w:eastAsia="黑体" w:hAnsi="黑体" w:cs="黑体" w:hint="eastAsia"/>
          <w:sz w:val="32"/>
          <w:szCs w:val="32"/>
        </w:rPr>
        <w:lastRenderedPageBreak/>
        <w:t>附件：</w:t>
      </w:r>
      <w:r>
        <w:object w:dxaOrig="13468" w:dyaOrig="13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41.75pt;height:446.25pt;mso-wrap-style:square;mso-position-horizontal-relative:page;mso-position-vertical-relative:page" o:ole="">
            <v:imagedata r:id="rId7" o:title=""/>
          </v:shape>
          <o:OLEObject Type="Embed" ProgID="Visio.Drawing.15" ShapeID="对象 2" DrawAspect="Content" ObjectID="_1664892510" r:id="rId8"/>
        </w:object>
      </w:r>
    </w:p>
    <w:p w:rsidR="0089666C" w:rsidRDefault="0089666C" w:rsidP="0089666C">
      <w:pPr>
        <w:pStyle w:val="5"/>
        <w:sectPr w:rsidR="0089666C">
          <w:pgSz w:w="11906" w:h="16838"/>
          <w:pgMar w:top="1440" w:right="1800" w:bottom="1440" w:left="1800" w:header="851" w:footer="992" w:gutter="0"/>
          <w:pgNumType w:fmt="numberInDash"/>
          <w:cols w:space="720"/>
          <w:docGrid w:type="lines" w:linePitch="312"/>
        </w:sectPr>
      </w:pPr>
    </w:p>
    <w:p w:rsidR="0089666C" w:rsidRPr="00784C6E" w:rsidRDefault="0089666C" w:rsidP="0089666C">
      <w:pPr>
        <w:spacing w:line="500" w:lineRule="exact"/>
        <w:jc w:val="left"/>
        <w:rPr>
          <w:rFonts w:ascii="仿宋" w:eastAsia="仿宋" w:hAnsi="仿宋" w:cs="仿宋"/>
          <w:sz w:val="28"/>
          <w:szCs w:val="28"/>
        </w:rPr>
      </w:pPr>
    </w:p>
    <w:p w:rsidR="009E3172" w:rsidRDefault="009E3172">
      <w:bookmarkStart w:id="0" w:name="_GoBack"/>
      <w:bookmarkEnd w:id="0"/>
    </w:p>
    <w:sectPr w:rsidR="009E3172" w:rsidSect="00AE3F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E3" w:rsidRDefault="00241AE3" w:rsidP="0089666C">
      <w:r>
        <w:separator/>
      </w:r>
    </w:p>
  </w:endnote>
  <w:endnote w:type="continuationSeparator" w:id="0">
    <w:p w:rsidR="00241AE3" w:rsidRDefault="00241AE3" w:rsidP="0089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E3" w:rsidRDefault="00241AE3" w:rsidP="0089666C">
      <w:r>
        <w:separator/>
      </w:r>
    </w:p>
  </w:footnote>
  <w:footnote w:type="continuationSeparator" w:id="0">
    <w:p w:rsidR="00241AE3" w:rsidRDefault="00241AE3" w:rsidP="0089666C">
      <w:r>
        <w:continuationSeparator/>
      </w:r>
    </w:p>
  </w:footnote>
  <w:footnote w:id="1">
    <w:p w:rsidR="0089666C" w:rsidRDefault="0089666C" w:rsidP="0089666C">
      <w:pPr>
        <w:pStyle w:val="a4"/>
      </w:pPr>
      <w:r>
        <w:rPr>
          <w:rStyle w:val="a3"/>
          <w:sz w:val="22"/>
        </w:rPr>
        <w:t>[</w:t>
      </w:r>
      <w:r>
        <w:rPr>
          <w:rStyle w:val="a3"/>
          <w:sz w:val="22"/>
        </w:rPr>
        <w:footnoteRef/>
      </w:r>
      <w:r>
        <w:rPr>
          <w:rStyle w:val="a3"/>
          <w:sz w:val="22"/>
        </w:rPr>
        <w:t>]</w:t>
      </w:r>
      <w:r>
        <w:rPr>
          <w:rFonts w:hint="eastAsia"/>
        </w:rPr>
        <w:t>西安市经济适用住房退出管理实施细则（市政办发</w:t>
      </w:r>
      <w:r>
        <w:rPr>
          <w:rFonts w:ascii="宋体" w:hAnsi="宋体" w:cs="宋体" w:hint="eastAsia"/>
        </w:rPr>
        <w:t>〔2017〕</w:t>
      </w:r>
      <w:r>
        <w:rPr>
          <w:rFonts w:hint="eastAsia"/>
        </w:rPr>
        <w:t>49</w:t>
      </w:r>
      <w:r>
        <w:rPr>
          <w:rFonts w:hint="eastAsia"/>
        </w:rPr>
        <w:t>号），第二条，第三条</w:t>
      </w:r>
    </w:p>
  </w:footnote>
  <w:footnote w:id="2">
    <w:p w:rsidR="0089666C" w:rsidRDefault="0089666C" w:rsidP="0089666C">
      <w:pPr>
        <w:pStyle w:val="a4"/>
      </w:pPr>
      <w:r>
        <w:rPr>
          <w:rStyle w:val="a3"/>
          <w:sz w:val="22"/>
          <w:szCs w:val="32"/>
        </w:rPr>
        <w:t>[</w:t>
      </w:r>
      <w:r>
        <w:rPr>
          <w:rStyle w:val="a3"/>
          <w:sz w:val="22"/>
          <w:szCs w:val="32"/>
        </w:rPr>
        <w:footnoteRef/>
      </w:r>
      <w:r>
        <w:rPr>
          <w:rStyle w:val="a3"/>
          <w:sz w:val="22"/>
          <w:szCs w:val="32"/>
        </w:rPr>
        <w:t>]</w:t>
      </w:r>
      <w:r>
        <w:rPr>
          <w:rFonts w:hint="eastAsia"/>
        </w:rPr>
        <w:t>关于加强限价商品房管理有关问题的通知（市房发</w:t>
      </w:r>
      <w:r>
        <w:rPr>
          <w:rFonts w:ascii="宋体" w:hAnsi="宋体" w:cs="宋体" w:hint="eastAsia"/>
        </w:rPr>
        <w:t>〔2018〕</w:t>
      </w:r>
      <w:r>
        <w:rPr>
          <w:rFonts w:hint="eastAsia"/>
        </w:rPr>
        <w:t>109</w:t>
      </w:r>
      <w:r>
        <w:rPr>
          <w:rFonts w:hint="eastAsia"/>
        </w:rPr>
        <w:t>号），第（十二）条</w:t>
      </w:r>
    </w:p>
  </w:footnote>
  <w:footnote w:id="3">
    <w:p w:rsidR="0089666C" w:rsidRDefault="0089666C" w:rsidP="0089666C">
      <w:pPr>
        <w:pStyle w:val="a4"/>
      </w:pPr>
      <w:r>
        <w:rPr>
          <w:rStyle w:val="a3"/>
          <w:sz w:val="22"/>
        </w:rPr>
        <w:t>[</w:t>
      </w:r>
      <w:r>
        <w:rPr>
          <w:rStyle w:val="a3"/>
          <w:sz w:val="22"/>
        </w:rPr>
        <w:footnoteRef/>
      </w:r>
      <w:r>
        <w:rPr>
          <w:rStyle w:val="a3"/>
          <w:sz w:val="22"/>
        </w:rPr>
        <w:t>]</w:t>
      </w:r>
      <w:r>
        <w:rPr>
          <w:rFonts w:hint="eastAsia"/>
        </w:rPr>
        <w:t>西安市经济适用住房退出管理实施细则（市政办发</w:t>
      </w:r>
      <w:r>
        <w:rPr>
          <w:rFonts w:ascii="宋体" w:hAnsi="宋体" w:cs="宋体" w:hint="eastAsia"/>
        </w:rPr>
        <w:t>〔2017〕</w:t>
      </w:r>
      <w:r>
        <w:rPr>
          <w:rFonts w:hint="eastAsia"/>
        </w:rPr>
        <w:t>49</w:t>
      </w:r>
      <w:r>
        <w:rPr>
          <w:rFonts w:hint="eastAsia"/>
        </w:rPr>
        <w:t>号），第五条、第六条</w:t>
      </w:r>
    </w:p>
  </w:footnote>
  <w:footnote w:id="4">
    <w:p w:rsidR="0089666C" w:rsidRDefault="0089666C" w:rsidP="0089666C">
      <w:pPr>
        <w:pStyle w:val="a4"/>
      </w:pPr>
      <w:r>
        <w:rPr>
          <w:rStyle w:val="a3"/>
          <w:sz w:val="22"/>
        </w:rPr>
        <w:t>[</w:t>
      </w:r>
      <w:r>
        <w:rPr>
          <w:rStyle w:val="a3"/>
          <w:sz w:val="22"/>
        </w:rPr>
        <w:footnoteRef/>
      </w:r>
      <w:r>
        <w:rPr>
          <w:rStyle w:val="a3"/>
          <w:sz w:val="22"/>
        </w:rPr>
        <w:t>]</w:t>
      </w:r>
      <w:r>
        <w:rPr>
          <w:rFonts w:hint="eastAsia"/>
        </w:rPr>
        <w:t>关于发布西安市已购公有住房上市出售管理暂行办法的通知（市政发</w:t>
      </w:r>
      <w:r>
        <w:rPr>
          <w:rFonts w:ascii="宋体" w:hAnsi="宋体" w:cs="宋体" w:hint="eastAsia"/>
        </w:rPr>
        <w:t>〔2002〕</w:t>
      </w:r>
      <w:r>
        <w:rPr>
          <w:rFonts w:hint="eastAsia"/>
        </w:rPr>
        <w:t>93</w:t>
      </w:r>
      <w:r>
        <w:rPr>
          <w:rFonts w:hint="eastAsia"/>
        </w:rPr>
        <w:t>）号，第七条</w:t>
      </w:r>
    </w:p>
  </w:footnote>
  <w:footnote w:id="5">
    <w:p w:rsidR="0089666C" w:rsidRDefault="0089666C" w:rsidP="0089666C">
      <w:pPr>
        <w:pStyle w:val="a4"/>
      </w:pPr>
      <w:r>
        <w:rPr>
          <w:rStyle w:val="a3"/>
          <w:sz w:val="22"/>
        </w:rPr>
        <w:t>[</w:t>
      </w:r>
      <w:r>
        <w:rPr>
          <w:rStyle w:val="a3"/>
          <w:sz w:val="22"/>
        </w:rPr>
        <w:footnoteRef/>
      </w:r>
      <w:r>
        <w:rPr>
          <w:rStyle w:val="a3"/>
          <w:sz w:val="22"/>
        </w:rPr>
        <w:t>]</w:t>
      </w:r>
      <w:r>
        <w:rPr>
          <w:rFonts w:hint="eastAsia"/>
        </w:rPr>
        <w:t>西安市经济适用住房退出管理实施细则（市政办发</w:t>
      </w:r>
      <w:r>
        <w:rPr>
          <w:rFonts w:ascii="宋体" w:hAnsi="宋体" w:cs="宋体" w:hint="eastAsia"/>
        </w:rPr>
        <w:t>〔2017〕</w:t>
      </w:r>
      <w:r>
        <w:rPr>
          <w:rFonts w:hint="eastAsia"/>
        </w:rPr>
        <w:t>49</w:t>
      </w:r>
      <w:r>
        <w:rPr>
          <w:rFonts w:hint="eastAsia"/>
        </w:rPr>
        <w:t>号），第五条</w:t>
      </w:r>
    </w:p>
  </w:footnote>
  <w:footnote w:id="6">
    <w:p w:rsidR="0089666C" w:rsidRDefault="0089666C" w:rsidP="0089666C">
      <w:pPr>
        <w:pStyle w:val="a4"/>
      </w:pPr>
      <w:r>
        <w:rPr>
          <w:rStyle w:val="a3"/>
          <w:sz w:val="22"/>
        </w:rPr>
        <w:t>[</w:t>
      </w:r>
      <w:r>
        <w:rPr>
          <w:rStyle w:val="a3"/>
          <w:sz w:val="22"/>
        </w:rPr>
        <w:footnoteRef/>
      </w:r>
      <w:r>
        <w:rPr>
          <w:rStyle w:val="a3"/>
          <w:sz w:val="22"/>
        </w:rPr>
        <w:t>]</w:t>
      </w:r>
      <w:r>
        <w:rPr>
          <w:rFonts w:hint="eastAsia"/>
        </w:rPr>
        <w:t>关于进一步促进房地产市场平稳健康发展的若干意见（市政发</w:t>
      </w:r>
      <w:r>
        <w:rPr>
          <w:rFonts w:ascii="宋体" w:hAnsi="宋体" w:cs="宋体" w:hint="eastAsia"/>
        </w:rPr>
        <w:t>〔2010〕</w:t>
      </w:r>
      <w:r>
        <w:rPr>
          <w:rFonts w:hint="eastAsia"/>
        </w:rPr>
        <w:t>36</w:t>
      </w:r>
      <w:r>
        <w:rPr>
          <w:rFonts w:hint="eastAsia"/>
        </w:rPr>
        <w:t>号），第（十三）条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6C"/>
    <w:rsid w:val="00241AE3"/>
    <w:rsid w:val="0089666C"/>
    <w:rsid w:val="009E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8DC40-0A1E-4413-A165-7F389EC1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6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sid w:val="0089666C"/>
    <w:rPr>
      <w:vertAlign w:val="superscript"/>
    </w:rPr>
  </w:style>
  <w:style w:type="paragraph" w:styleId="a4">
    <w:name w:val="footnote text"/>
    <w:basedOn w:val="a"/>
    <w:link w:val="a5"/>
    <w:uiPriority w:val="99"/>
    <w:unhideWhenUsed/>
    <w:qFormat/>
    <w:rsid w:val="0089666C"/>
    <w:pPr>
      <w:snapToGrid w:val="0"/>
      <w:jc w:val="left"/>
    </w:pPr>
    <w:rPr>
      <w:rFonts w:ascii="Calibri" w:hAnsi="Calibri"/>
      <w:sz w:val="18"/>
    </w:rPr>
  </w:style>
  <w:style w:type="character" w:customStyle="1" w:styleId="a5">
    <w:name w:val="脚注文本 字符"/>
    <w:basedOn w:val="a0"/>
    <w:link w:val="a4"/>
    <w:uiPriority w:val="99"/>
    <w:rsid w:val="0089666C"/>
    <w:rPr>
      <w:rFonts w:ascii="Calibri" w:eastAsia="宋体" w:hAnsi="Calibri" w:cs="Times New Roman"/>
      <w:sz w:val="18"/>
      <w:szCs w:val="24"/>
    </w:rPr>
  </w:style>
  <w:style w:type="paragraph" w:styleId="5">
    <w:name w:val="toc 5"/>
    <w:basedOn w:val="a"/>
    <w:next w:val="a"/>
    <w:uiPriority w:val="39"/>
    <w:unhideWhenUsed/>
    <w:qFormat/>
    <w:rsid w:val="0089666C"/>
    <w:pPr>
      <w:spacing w:line="360" w:lineRule="auto"/>
      <w:ind w:left="840"/>
      <w:jc w:val="left"/>
    </w:pPr>
    <w:rPr>
      <w:rFonts w:ascii="Calibri" w:hAnsi="Calibri" w:cs="Calibri"/>
      <w:sz w:val="18"/>
      <w:szCs w:val="18"/>
    </w:rPr>
  </w:style>
  <w:style w:type="paragraph" w:styleId="a6">
    <w:name w:val="Body Text"/>
    <w:basedOn w:val="a"/>
    <w:next w:val="5"/>
    <w:link w:val="a7"/>
    <w:uiPriority w:val="99"/>
    <w:unhideWhenUsed/>
    <w:qFormat/>
    <w:rsid w:val="0089666C"/>
    <w:pPr>
      <w:widowControl/>
      <w:spacing w:after="120"/>
      <w:ind w:firstLine="482"/>
    </w:pPr>
    <w:rPr>
      <w:rFonts w:ascii="Calibri" w:hAnsi="Calibri"/>
    </w:rPr>
  </w:style>
  <w:style w:type="character" w:customStyle="1" w:styleId="a7">
    <w:name w:val="正文文本 字符"/>
    <w:basedOn w:val="a0"/>
    <w:link w:val="a6"/>
    <w:uiPriority w:val="99"/>
    <w:rsid w:val="0089666C"/>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1.ssl.qhimg.com/t01cb3e0c981ff1d990.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2020-10-22T09:21:00Z</dcterms:created>
  <dcterms:modified xsi:type="dcterms:W3CDTF">2020-10-22T09:22:00Z</dcterms:modified>
</cp:coreProperties>
</file>