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color w:val="000000"/>
          <w:sz w:val="32"/>
          <w:szCs w:val="32"/>
          <w:bdr w:val="none" w:color="auto" w:sz="0" w:space="0"/>
        </w:rPr>
      </w:pPr>
      <w:bookmarkStart w:id="0" w:name="_GoBack"/>
      <w:r>
        <w:rPr>
          <w:rFonts w:hint="eastAsia" w:asciiTheme="minorEastAsia" w:hAnsiTheme="minorEastAsia" w:eastAsiaTheme="minorEastAsia" w:cstheme="minorEastAsia"/>
          <w:b/>
          <w:color w:val="000000"/>
          <w:sz w:val="32"/>
          <w:szCs w:val="32"/>
          <w:bdr w:val="none" w:color="auto" w:sz="0" w:space="0"/>
        </w:rPr>
        <w:t>住房和城乡建设部办公厅关于做好工程建设领域专业</w:t>
      </w:r>
    </w:p>
    <w:p>
      <w:pPr>
        <w:jc w:val="center"/>
        <w:rPr>
          <w:rFonts w:hint="eastAsia" w:asciiTheme="minorEastAsia" w:hAnsiTheme="minorEastAsia" w:eastAsiaTheme="minorEastAsia" w:cstheme="minorEastAsia"/>
          <w:b/>
          <w:color w:val="000000"/>
          <w:sz w:val="32"/>
          <w:szCs w:val="32"/>
          <w:bdr w:val="none" w:color="auto" w:sz="0" w:space="0"/>
        </w:rPr>
      </w:pPr>
      <w:r>
        <w:rPr>
          <w:rFonts w:hint="eastAsia" w:asciiTheme="minorEastAsia" w:hAnsiTheme="minorEastAsia" w:eastAsiaTheme="minorEastAsia" w:cstheme="minorEastAsia"/>
          <w:b/>
          <w:color w:val="000000"/>
          <w:sz w:val="32"/>
          <w:szCs w:val="32"/>
          <w:bdr w:val="none" w:color="auto" w:sz="0" w:space="0"/>
        </w:rPr>
        <w:t>技术人员职业资格“挂证”等违法违</w:t>
      </w:r>
    </w:p>
    <w:p>
      <w:pPr>
        <w:jc w:val="center"/>
        <w:rPr>
          <w:rFonts w:hint="eastAsia" w:asciiTheme="minorEastAsia" w:hAnsiTheme="minorEastAsia" w:eastAsiaTheme="minorEastAsia" w:cstheme="minorEastAsia"/>
          <w:b/>
          <w:color w:val="000000"/>
          <w:sz w:val="32"/>
          <w:szCs w:val="32"/>
          <w:bdr w:val="none" w:color="auto" w:sz="0" w:space="0"/>
        </w:rPr>
      </w:pPr>
      <w:r>
        <w:rPr>
          <w:rFonts w:hint="eastAsia" w:asciiTheme="minorEastAsia" w:hAnsiTheme="minorEastAsia" w:eastAsiaTheme="minorEastAsia" w:cstheme="minorEastAsia"/>
          <w:b/>
          <w:color w:val="000000"/>
          <w:sz w:val="32"/>
          <w:szCs w:val="32"/>
          <w:bdr w:val="none" w:color="auto" w:sz="0" w:space="0"/>
        </w:rPr>
        <w:t>规行为专项整治工作的补充通知</w:t>
      </w:r>
    </w:p>
    <w:bookmarkEnd w:id="0"/>
    <w:p>
      <w:pPr>
        <w:jc w:val="center"/>
        <w:rPr>
          <w:rFonts w:hint="eastAsia" w:asciiTheme="minorEastAsia" w:hAnsiTheme="minorEastAsia" w:eastAsiaTheme="minorEastAsia" w:cstheme="minorEastAsia"/>
          <w:b/>
          <w:color w:val="000000"/>
          <w:sz w:val="28"/>
          <w:szCs w:val="28"/>
          <w:bdr w:val="none" w:color="auto" w:sz="0" w:space="0"/>
        </w:rPr>
      </w:pPr>
      <w:r>
        <w:rPr>
          <w:rFonts w:hint="eastAsia" w:asciiTheme="minorEastAsia" w:hAnsiTheme="minorEastAsia" w:eastAsiaTheme="minorEastAsia" w:cstheme="minorEastAsia"/>
          <w:color w:val="000000"/>
          <w:sz w:val="28"/>
          <w:szCs w:val="28"/>
          <w:bdr w:val="none" w:color="auto" w:sz="0" w:space="0"/>
        </w:rPr>
        <w:t>建办市函〔2019〕92号</w:t>
      </w:r>
    </w:p>
    <w:p>
      <w:pPr>
        <w:pStyle w:val="2"/>
        <w:keepNext w:val="0"/>
        <w:keepLines w:val="0"/>
        <w:widowControl/>
        <w:suppressLineNumbers w:val="0"/>
        <w:pBdr>
          <w:bottom w:val="none" w:color="auto" w:sz="0" w:space="0"/>
        </w:pBdr>
        <w:spacing w:line="36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各省、自治区住房和城乡建设厅，直辖市住房和城乡建设（管）委，北京市规划和自然资源委，新疆生产建设兵团住房和城乡建设局：</w:t>
      </w:r>
    </w:p>
    <w:p>
      <w:pPr>
        <w:pStyle w:val="2"/>
        <w:keepNext w:val="0"/>
        <w:keepLines w:val="0"/>
        <w:widowControl/>
        <w:suppressLineNumbers w:val="0"/>
        <w:pBdr>
          <w:bottom w:val="none" w:color="auto" w:sz="0" w:space="0"/>
        </w:pBdr>
        <w:spacing w:line="36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为妥善解决工程建设领域专业技术人员职业资格“挂证”等违法违规行为专项整治工作中出现的问题，更好推进专项整治工作，经商人力资源社会保障部、工业和信息化部、交通运输部、水利部、铁路局、民航局，现就有关事项补充通知如下：</w:t>
      </w:r>
    </w:p>
    <w:p>
      <w:pPr>
        <w:pStyle w:val="2"/>
        <w:keepNext w:val="0"/>
        <w:keepLines w:val="0"/>
        <w:widowControl/>
        <w:suppressLineNumbers w:val="0"/>
        <w:pBdr>
          <w:bottom w:val="none" w:color="auto" w:sz="0" w:space="0"/>
        </w:pBdr>
        <w:spacing w:line="36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一、对实际工作单位与注册单位一致，但社会保险缴纳单位与注册单位不一致的人员，以下6类情形，原则上不认定为“挂证”行为：</w:t>
      </w:r>
    </w:p>
    <w:p>
      <w:pPr>
        <w:pStyle w:val="2"/>
        <w:keepNext w:val="0"/>
        <w:keepLines w:val="0"/>
        <w:widowControl/>
        <w:suppressLineNumbers w:val="0"/>
        <w:pBdr>
          <w:bottom w:val="none" w:color="auto" w:sz="0" w:space="0"/>
        </w:pBdr>
        <w:spacing w:line="36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1.达到法定退休年龄正式退休和依法提前退休的；</w:t>
      </w:r>
    </w:p>
    <w:p>
      <w:pPr>
        <w:pStyle w:val="2"/>
        <w:keepNext w:val="0"/>
        <w:keepLines w:val="0"/>
        <w:widowControl/>
        <w:suppressLineNumbers w:val="0"/>
        <w:pBdr>
          <w:bottom w:val="none" w:color="auto" w:sz="0" w:space="0"/>
        </w:pBdr>
        <w:spacing w:line="36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2.因事业单位改制等原因保留事业单位身份，实际工作单位为所在事业单位下属企业，社会保险由该事业单位缴纳的；</w:t>
      </w:r>
    </w:p>
    <w:p>
      <w:pPr>
        <w:pStyle w:val="2"/>
        <w:keepNext w:val="0"/>
        <w:keepLines w:val="0"/>
        <w:widowControl/>
        <w:suppressLineNumbers w:val="0"/>
        <w:pBdr>
          <w:bottom w:val="none" w:color="auto" w:sz="0" w:space="0"/>
        </w:pBdr>
        <w:spacing w:line="36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3.属于大专院校所属勘察设计、工程监理、工程造价单位聘请的本校在职教师或科研人员，社会保险由所在院校缴纳的；</w:t>
      </w:r>
    </w:p>
    <w:p>
      <w:pPr>
        <w:pStyle w:val="2"/>
        <w:keepNext w:val="0"/>
        <w:keepLines w:val="0"/>
        <w:widowControl/>
        <w:suppressLineNumbers w:val="0"/>
        <w:pBdr>
          <w:bottom w:val="none" w:color="auto" w:sz="0" w:space="0"/>
        </w:pBdr>
        <w:spacing w:line="36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4.属于军队自主择业人员的；</w:t>
      </w:r>
    </w:p>
    <w:p>
      <w:pPr>
        <w:pStyle w:val="2"/>
        <w:keepNext w:val="0"/>
        <w:keepLines w:val="0"/>
        <w:widowControl/>
        <w:suppressLineNumbers w:val="0"/>
        <w:pBdr>
          <w:bottom w:val="none" w:color="auto" w:sz="0" w:space="0"/>
        </w:pBdr>
        <w:spacing w:line="36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5.因企业改制、征地拆迁等买断社会保险的；</w:t>
      </w:r>
    </w:p>
    <w:p>
      <w:pPr>
        <w:pStyle w:val="2"/>
        <w:keepNext w:val="0"/>
        <w:keepLines w:val="0"/>
        <w:widowControl/>
        <w:suppressLineNumbers w:val="0"/>
        <w:pBdr>
          <w:bottom w:val="none" w:color="auto" w:sz="0" w:space="0"/>
        </w:pBdr>
        <w:spacing w:line="36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6.有法律法规、国家政策依据的其他情形。</w:t>
      </w:r>
    </w:p>
    <w:p>
      <w:pPr>
        <w:pStyle w:val="2"/>
        <w:keepNext w:val="0"/>
        <w:keepLines w:val="0"/>
        <w:widowControl/>
        <w:suppressLineNumbers w:val="0"/>
        <w:pBdr>
          <w:bottom w:val="none" w:color="auto" w:sz="0" w:space="0"/>
        </w:pBdr>
        <w:spacing w:line="36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二、除上述规定情形外，其他存在社会保险缴纳单位与注册单位不一致的人员，应当按照《住房城乡建设部办公厅等关于开展工程建设领域专业技术人员职业资格“挂证”等违法违规行为专项整治的通知》（建办市〔2018〕57号）规定，在自查自纠阶段予以整改。因客观原因暂无法完成整改的，应当及时以书面形式向注册所在地省级住房和城乡建设主管部门说明原因并承诺整改期限，整改期限原则上不得超过规定自查自纠整改时间1个月。逾期仍未改正的，按“挂证”行为处理。</w:t>
      </w:r>
    </w:p>
    <w:p>
      <w:pPr>
        <w:pStyle w:val="2"/>
        <w:keepNext w:val="0"/>
        <w:keepLines w:val="0"/>
        <w:widowControl/>
        <w:suppressLineNumbers w:val="0"/>
        <w:pBdr>
          <w:bottom w:val="none" w:color="auto" w:sz="0" w:space="0"/>
        </w:pBdr>
        <w:spacing w:line="36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三、注册单位或个人一方反映与另一方不存在聘用关系，而另一方不予配合办理注销或变更手续的，省级住房和城乡建设主管部门可依据一方申请及其提交的解除劳动合同书面证明、劳动仲裁、司法判决等材料，直接办理注销手续。对于无法提供上述材料的，省级住房和城乡建设主管部门可依据一方申请将相关人员列为注册状态异常，并向社会公示。</w:t>
      </w:r>
    </w:p>
    <w:p>
      <w:pPr>
        <w:pStyle w:val="2"/>
        <w:keepNext w:val="0"/>
        <w:keepLines w:val="0"/>
        <w:widowControl/>
        <w:suppressLineNumbers w:val="0"/>
        <w:pBdr>
          <w:bottom w:val="none" w:color="auto" w:sz="0" w:space="0"/>
        </w:pBdr>
        <w:spacing w:line="36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使用被标注为注册状态异常人员参与工程投标的，有关单位应当要求其本人到场；申请企业资质的，资质审批部门应重点核查；对于正在担任工程建设项目相关负责人的，应由工程项目所在地县级以上有关主管部门进行现场核查。</w:t>
      </w:r>
    </w:p>
    <w:p>
      <w:pPr>
        <w:pStyle w:val="2"/>
        <w:keepNext w:val="0"/>
        <w:keepLines w:val="0"/>
        <w:widowControl/>
        <w:suppressLineNumbers w:val="0"/>
        <w:pBdr>
          <w:bottom w:val="none" w:color="auto" w:sz="0" w:space="0"/>
        </w:pBdr>
        <w:spacing w:line="36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自查自纠工作结束后，将对仍被标注为注册状态异常人员进行重点排查处理。</w:t>
      </w:r>
    </w:p>
    <w:p>
      <w:pPr>
        <w:pStyle w:val="2"/>
        <w:keepNext w:val="0"/>
        <w:keepLines w:val="0"/>
        <w:widowControl/>
        <w:suppressLineNumbers w:val="0"/>
        <w:pBdr>
          <w:bottom w:val="none" w:color="auto" w:sz="0" w:space="0"/>
        </w:pBdr>
        <w:spacing w:line="36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四、为解决自查自纠阶段发现的问题，我部决定将自查自纠期限延长至2019年3月31日。同时将建办市〔2018〕57号文件规定的全面排查时间顺延至2019年8月底，指导督促时间顺延至2019年11月底，其他有关工作要求的时间节点依次顺延。</w:t>
      </w:r>
    </w:p>
    <w:p>
      <w:pPr>
        <w:pStyle w:val="2"/>
        <w:keepNext w:val="0"/>
        <w:keepLines w:val="0"/>
        <w:widowControl/>
        <w:suppressLineNumbers w:val="0"/>
        <w:pBdr>
          <w:bottom w:val="none" w:color="auto" w:sz="0" w:space="0"/>
        </w:pBdr>
        <w:spacing w:line="36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五、各省、自治区、直辖市住房和城乡建设主管部门要通过全国建筑市场监管公共服务平台下载注册人员数据，会同人力资源社会保障、交通运输、水利主管部门，以及省级通信管理局、各地区铁路监管局、民航管理局，核实社保缴纳单位与注册单位不一致的注册人员情况，对照本通知第一条所列的6种情形建立清单目录，作为自查自纠情况报告的附件；对属于其他情形的，应督促相关单位和个人加快整改。各部门要加大宣传力度，通过多种途径解释有关政策。在执行过程中，如有其他问题，应报我部建筑市场监管司。</w:t>
      </w:r>
    </w:p>
    <w:p>
      <w:pPr>
        <w:pStyle w:val="2"/>
        <w:keepNext w:val="0"/>
        <w:keepLines w:val="0"/>
        <w:widowControl/>
        <w:suppressLineNumbers w:val="0"/>
        <w:pBdr>
          <w:bottom w:val="none" w:color="auto" w:sz="0" w:space="0"/>
        </w:pBdr>
        <w:spacing w:line="360" w:lineRule="atLeast"/>
        <w:jc w:val="right"/>
        <w:rPr>
          <w:rFonts w:hint="eastAsia" w:asciiTheme="minorEastAsia" w:hAnsiTheme="minorEastAsia" w:eastAsiaTheme="minorEastAsia" w:cstheme="minorEastAsia"/>
          <w:color w:val="000000"/>
          <w:sz w:val="24"/>
          <w:szCs w:val="24"/>
        </w:rPr>
      </w:pPr>
    </w:p>
    <w:p>
      <w:pPr>
        <w:pStyle w:val="2"/>
        <w:keepNext w:val="0"/>
        <w:keepLines w:val="0"/>
        <w:widowControl/>
        <w:suppressLineNumbers w:val="0"/>
        <w:pBdr>
          <w:bottom w:val="none" w:color="auto" w:sz="0" w:space="0"/>
        </w:pBdr>
        <w:spacing w:line="360" w:lineRule="atLeas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中华人民共和国住房和城乡建设部办公厅　　　　　　　　　　　　　　　　　　　　　　　　　　　　　　　　　　　　　2019年2月2日</w:t>
      </w:r>
    </w:p>
    <w:p>
      <w:pPr>
        <w:rPr>
          <w:rFonts w:hint="eastAsia" w:asciiTheme="minorEastAsia" w:hAnsiTheme="minorEastAsia" w:eastAsiaTheme="minorEastAsia" w:cstheme="minorEastAsia"/>
          <w:b/>
          <w:color w:val="000000"/>
          <w:sz w:val="24"/>
          <w:szCs w:val="24"/>
          <w:bdr w:val="none" w:color="auto" w:sz="0" w:space="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Arial">
    <w:altName w:val="宋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3C0AF0"/>
    <w:rsid w:val="2BFD7458"/>
    <w:rsid w:val="3EEA089F"/>
    <w:rsid w:val="4C274D1D"/>
    <w:rsid w:val="577F3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000000"/>
      <w:sz w:val="18"/>
      <w:szCs w:val="18"/>
      <w:u w:val="none"/>
      <w:bdr w:val="none" w:color="auto" w:sz="0" w:space="0"/>
    </w:rPr>
  </w:style>
  <w:style w:type="character" w:styleId="6">
    <w:name w:val="Hyperlink"/>
    <w:basedOn w:val="4"/>
    <w:uiPriority w:val="0"/>
    <w:rPr>
      <w:color w:val="000000"/>
      <w:sz w:val="18"/>
      <w:szCs w:val="18"/>
      <w:u w:val="none"/>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2019-02-22T01:34:32Z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