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黑体" w:hAnsi="宋体" w:eastAsia="黑体" w:cs="黑体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第一类医疗器械备案凭证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西安博睿康宁生物医学中心有限公司：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    根据相关法规要求，对你单位第一类体外诊断试剂：细胞保存液予以备案，备案号：陕械备20200008号。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 xml:space="preserve">             陕西省西咸新区市场监督管理局  （盖章）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               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 xml:space="preserve">        日期：2020年05月22日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p/>
    <w:p/>
    <w:p/>
    <w:p/>
    <w:p/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����" w:hAnsi="����" w:eastAsia="����" w:cs="����"/>
                <w:b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第一类体外诊断试剂备案信息表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496" w:type="dxa"/>
            <w:shd w:val="clear" w:color="auto" w:fill="auto"/>
            <w:tcMar>
              <w:right w:w="19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备案号: 陕械备20200008号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596"/>
      </w:tblGrid>
      <w:tr>
        <w:tblPrEx>
          <w:shd w:val="clear" w:color="auto" w:fill="FFFFFF"/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西安博睿康宁生物医学中心有限公司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备案人组织机构代码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91611103MA6TK7GY2X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备案人注册地址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陕西省西咸新区秦汉新城周陵街办新庄村长信科技产业园17幢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生产地址: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陕西省西咸新区秦汉新城周陵街办新庄村长信科技产业园17幢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代理人: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代理人注册地址: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产品分类名称: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细胞保存液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包装规格: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型号：BRYL007；规格：1ml/支，50支/包；1ml/支，100支/包；2ml/支，50支/包；2ml/支，100支/包；3ml/支，50支/包；3ml/支，100支/包；5ml/支，50支/包；5ml/支，100支/包。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产品有效期: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本产品于室温（15-25℃）下保存，有效期12个月。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预期用途: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用于保存、运输取自人体的细胞，仅用于体外分析检测目的，不用于治疗性用途。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主要组成成分: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由细胞固定成分及保护成分组成。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备注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备案单位和日期: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陕西省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西咸新区市场监督管理局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备案日期：2020年05月22日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caps w:val="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变更情况: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5AD27-A4F8-4704-ADC9-D8B7FC85B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5DA20A-6AFB-476D-8463-681AD8E9E2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8A8263F-7FAA-40F8-9CCD-A8B9B6A5B4F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21143"/>
    <w:rsid w:val="2E9D709A"/>
    <w:rsid w:val="4B15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　　　　　　</cp:lastModifiedBy>
  <dcterms:modified xsi:type="dcterms:W3CDTF">2020-06-03T07:09:40Z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