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5658" w14:textId="77777777" w:rsidR="00515F1E" w:rsidRPr="00C77493" w:rsidRDefault="00515F1E" w:rsidP="00515F1E">
      <w:pPr>
        <w:spacing w:line="560" w:lineRule="exact"/>
        <w:jc w:val="center"/>
        <w:rPr>
          <w:rFonts w:eastAsia="方正小标宋简体"/>
          <w:sz w:val="44"/>
          <w:szCs w:val="44"/>
        </w:rPr>
      </w:pPr>
      <w:r w:rsidRPr="00C77493">
        <w:rPr>
          <w:rFonts w:eastAsia="方正小标宋简体"/>
          <w:sz w:val="44"/>
          <w:szCs w:val="44"/>
        </w:rPr>
        <w:t>西咸新区</w:t>
      </w:r>
      <w:r w:rsidRPr="00C77493">
        <w:rPr>
          <w:rFonts w:eastAsia="方正小标宋简体" w:hint="eastAsia"/>
          <w:sz w:val="44"/>
          <w:szCs w:val="44"/>
        </w:rPr>
        <w:t>物业服务收费管理办法（试行）</w:t>
      </w:r>
    </w:p>
    <w:p w14:paraId="496D4124" w14:textId="16CDA698" w:rsidR="00515F1E" w:rsidRPr="00921F52" w:rsidRDefault="00515F1E" w:rsidP="00515F1E">
      <w:pPr>
        <w:spacing w:afterLines="50" w:after="156" w:line="560" w:lineRule="exact"/>
        <w:jc w:val="center"/>
        <w:rPr>
          <w:rFonts w:ascii="楷体_GB2312" w:eastAsia="楷体_GB2312" w:hAnsi="楷体_GB2312" w:cs="楷体_GB2312"/>
          <w:sz w:val="28"/>
          <w:szCs w:val="28"/>
        </w:rPr>
      </w:pPr>
      <w:r w:rsidRPr="00C77493">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征求意见稿</w:t>
      </w:r>
      <w:r w:rsidRPr="00C77493">
        <w:rPr>
          <w:rFonts w:ascii="楷体_GB2312" w:eastAsia="楷体_GB2312" w:hAnsi="楷体_GB2312" w:cs="楷体_GB2312" w:hint="eastAsia"/>
          <w:sz w:val="28"/>
          <w:szCs w:val="28"/>
        </w:rPr>
        <w:t>）</w:t>
      </w:r>
    </w:p>
    <w:p w14:paraId="7F68CD61" w14:textId="77777777" w:rsidR="00515F1E" w:rsidRPr="00C77493" w:rsidRDefault="00515F1E" w:rsidP="00515F1E">
      <w:pPr>
        <w:adjustRightInd w:val="0"/>
        <w:snapToGrid w:val="0"/>
        <w:spacing w:beforeLines="50" w:before="156" w:afterLines="50" w:after="156" w:line="360" w:lineRule="auto"/>
        <w:jc w:val="center"/>
        <w:rPr>
          <w:rFonts w:eastAsia="黑体"/>
          <w:szCs w:val="32"/>
        </w:rPr>
      </w:pPr>
      <w:r w:rsidRPr="00C77493">
        <w:rPr>
          <w:rFonts w:eastAsia="黑体"/>
          <w:szCs w:val="32"/>
        </w:rPr>
        <w:t>第一章</w:t>
      </w:r>
      <w:r w:rsidRPr="00C77493">
        <w:rPr>
          <w:rFonts w:eastAsia="黑体"/>
          <w:szCs w:val="32"/>
        </w:rPr>
        <w:t xml:space="preserve">  </w:t>
      </w:r>
      <w:r w:rsidRPr="00C77493">
        <w:rPr>
          <w:rFonts w:eastAsia="黑体"/>
          <w:szCs w:val="32"/>
        </w:rPr>
        <w:t>总</w:t>
      </w:r>
      <w:r w:rsidRPr="00C77493">
        <w:rPr>
          <w:rFonts w:eastAsia="黑体" w:hint="eastAsia"/>
          <w:szCs w:val="32"/>
        </w:rPr>
        <w:t xml:space="preserve"> </w:t>
      </w:r>
      <w:r w:rsidRPr="00C77493">
        <w:rPr>
          <w:rFonts w:eastAsia="黑体"/>
          <w:szCs w:val="32"/>
        </w:rPr>
        <w:t xml:space="preserve"> </w:t>
      </w:r>
      <w:r w:rsidRPr="00C77493">
        <w:rPr>
          <w:rFonts w:eastAsia="黑体"/>
          <w:szCs w:val="32"/>
        </w:rPr>
        <w:t>则</w:t>
      </w:r>
    </w:p>
    <w:p w14:paraId="729BF121" w14:textId="77777777" w:rsidR="00515F1E" w:rsidRPr="00E22598" w:rsidRDefault="00515F1E" w:rsidP="00515F1E">
      <w:pPr>
        <w:pStyle w:val="a7"/>
        <w:adjustRightInd w:val="0"/>
        <w:snapToGrid w:val="0"/>
        <w:spacing w:after="0" w:line="560" w:lineRule="exact"/>
        <w:ind w:firstLineChars="200" w:firstLine="640"/>
        <w:rPr>
          <w:rFonts w:ascii="仿宋_GB2312" w:eastAsia="仿宋_GB2312" w:hint="eastAsia"/>
        </w:rPr>
      </w:pPr>
      <w:proofErr w:type="spellStart"/>
      <w:r w:rsidRPr="00E22598">
        <w:rPr>
          <w:rFonts w:ascii="仿宋_GB2312" w:eastAsia="仿宋_GB2312" w:hint="eastAsia"/>
          <w:szCs w:val="32"/>
        </w:rPr>
        <w:t>第一条</w:t>
      </w:r>
      <w:proofErr w:type="spellEnd"/>
      <w:r w:rsidRPr="00E22598">
        <w:rPr>
          <w:rFonts w:ascii="仿宋_GB2312" w:eastAsia="仿宋_GB2312" w:hint="eastAsia"/>
          <w:szCs w:val="32"/>
        </w:rPr>
        <w:t xml:space="preserve">  为规范物业服务收费行为，维护业主或者使用人（以下统称“业主”）和物业服务企业的合法权益，根据《中华人民共和国民法典》《中华人民共和国价格法》《陕西省物业管理条例》和《陕西省物业服务收费管理办法》等法律法规和有关规定，结合西咸新区实际，制定本办法。</w:t>
      </w:r>
    </w:p>
    <w:p w14:paraId="637E7898"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第二条  本办法适用于西咸新区范围内的物业服务收费行为及其监督管理。</w:t>
      </w:r>
    </w:p>
    <w:p w14:paraId="05E557EF"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第三条  本办法所称物业服务收费，是指物业服务企业按照合同约定向业主提供服务所收取费用的统称，包括物业服务费、物业管理区域内机动车停放服务费（以下统称“停车服务费”）和其他服务费。</w:t>
      </w:r>
    </w:p>
    <w:p w14:paraId="4A6B10D7"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物业服务费是指物业服务企业按照物业服务合同的约定，在物业管理区域内提供房屋、配套设施设备及相关场地进行日常管理、维护保养、绿化养护、卫生保洁、秩序维护及安全防范等具有公共性和普遍性的服务向业主收取的费用。</w:t>
      </w:r>
    </w:p>
    <w:p w14:paraId="0871D79C"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停车服务费是指物业服务企业接受业主或者业主大会的委托，按照停放服务合同的约定，在物业管理区域内对指定场地（所）停放的机动车进行秩序管理、提供服务所收取的费用。</w:t>
      </w:r>
    </w:p>
    <w:p w14:paraId="12692470"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其他服务费是指物业服务企业根据业主委托或个性化需求</w:t>
      </w:r>
      <w:r w:rsidRPr="00E22598">
        <w:rPr>
          <w:rFonts w:ascii="仿宋_GB2312" w:eastAsia="仿宋_GB2312" w:hint="eastAsia"/>
          <w:szCs w:val="32"/>
        </w:rPr>
        <w:lastRenderedPageBreak/>
        <w:t>提供《前期物业服务合同》或者《物业服务合同》内容以外且由业主自愿选择的服务项目所收取的相应费用。</w:t>
      </w:r>
    </w:p>
    <w:p w14:paraId="66A788F8"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第四条  物业服务收费按照统一政策、属地管理原则，实行新区、各新城分级管理。新区市场监督管理局（以下简称“市场监管部门”）会同新区住房和城乡建设局（以下简称“住建部门”）负责制定新区物业服务收费管理有关政策规定，指导新区物业服务收费监督管理工作。各新城市场监管部门、住</w:t>
      </w:r>
      <w:proofErr w:type="gramStart"/>
      <w:r w:rsidRPr="00E22598">
        <w:rPr>
          <w:rFonts w:ascii="仿宋_GB2312" w:eastAsia="仿宋_GB2312" w:hint="eastAsia"/>
          <w:szCs w:val="32"/>
        </w:rPr>
        <w:t>建部门</w:t>
      </w:r>
      <w:proofErr w:type="gramEnd"/>
      <w:r w:rsidRPr="00E22598">
        <w:rPr>
          <w:rFonts w:ascii="仿宋_GB2312" w:eastAsia="仿宋_GB2312" w:hint="eastAsia"/>
          <w:szCs w:val="32"/>
        </w:rPr>
        <w:t>按照各自管理权限，分别负责辖区内的物业服务收费监督管理工作。物业项目所在地的街道办事处负责本辖区物业管理活动的指导和监督工作，及时协调处理物业服务纠纷和矛盾。</w:t>
      </w:r>
    </w:p>
    <w:p w14:paraId="443E7958"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第五条  物业服务收费应当遵循公平、公开、合理、质价相符的原则，按照物业服务的不同性质、特点和阶段，分别实行政府指导价和市场调节价。</w:t>
      </w:r>
    </w:p>
    <w:p w14:paraId="2BC20A59"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未成立业主大会的住宅小区（多层、高层）、保障性住房、房改房、老旧住宅的物业服务费和停车服务费实行政府指导价，除此之外，其他类型物业的物业服务费和停车服务费实行市场调节价。</w:t>
      </w:r>
    </w:p>
    <w:p w14:paraId="4E13C8F4"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其他服务费实行市场调节价。</w:t>
      </w:r>
    </w:p>
    <w:p w14:paraId="68112390"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第六条  实行政府指导价的住宅小区物业服务等级按照住</w:t>
      </w:r>
      <w:proofErr w:type="gramStart"/>
      <w:r w:rsidRPr="00E22598">
        <w:rPr>
          <w:rFonts w:ascii="仿宋_GB2312" w:eastAsia="仿宋_GB2312" w:hint="eastAsia"/>
          <w:szCs w:val="32"/>
        </w:rPr>
        <w:t>建部门</w:t>
      </w:r>
      <w:proofErr w:type="gramEnd"/>
      <w:r w:rsidRPr="00E22598">
        <w:rPr>
          <w:rFonts w:ascii="仿宋_GB2312" w:eastAsia="仿宋_GB2312" w:hint="eastAsia"/>
          <w:szCs w:val="32"/>
        </w:rPr>
        <w:t>制定的服务等级标准，由高到低设定为一级+、一级、二级、三级、四级、等外六个服务等级，按照高层、多层分别制定收费标准；实行政府指导价的物业服务区域内室内机动车停放场</w:t>
      </w:r>
      <w:r w:rsidRPr="00E22598">
        <w:rPr>
          <w:rFonts w:ascii="仿宋_GB2312" w:eastAsia="仿宋_GB2312" w:hint="eastAsia"/>
          <w:szCs w:val="32"/>
        </w:rPr>
        <w:lastRenderedPageBreak/>
        <w:t>所服务等级按照设施条件和服务条件由高到低设定为一级、二级、等外三个等级，露天机动车停放场所服务不分等级。</w:t>
      </w:r>
    </w:p>
    <w:p w14:paraId="748E2CDE" w14:textId="77777777" w:rsidR="00515F1E" w:rsidRPr="00E22598" w:rsidRDefault="00515F1E" w:rsidP="00515F1E">
      <w:pPr>
        <w:adjustRightInd w:val="0"/>
        <w:snapToGrid w:val="0"/>
        <w:spacing w:line="560" w:lineRule="exact"/>
        <w:ind w:firstLineChars="200" w:firstLine="640"/>
        <w:rPr>
          <w:rFonts w:ascii="仿宋_GB2312" w:eastAsia="仿宋_GB2312" w:hint="eastAsia"/>
          <w:szCs w:val="32"/>
        </w:rPr>
      </w:pPr>
      <w:r w:rsidRPr="00E22598">
        <w:rPr>
          <w:rFonts w:ascii="仿宋_GB2312" w:eastAsia="仿宋_GB2312" w:hint="eastAsia"/>
          <w:szCs w:val="32"/>
        </w:rPr>
        <w:t>实行政府指导价的住宅小区物业服务等级和机动车停放场所服务等级由</w:t>
      </w:r>
      <w:proofErr w:type="gramStart"/>
      <w:r w:rsidRPr="00E22598">
        <w:rPr>
          <w:rFonts w:ascii="仿宋_GB2312" w:eastAsia="仿宋_GB2312" w:hint="eastAsia"/>
          <w:szCs w:val="32"/>
        </w:rPr>
        <w:t>属地住建部门</w:t>
      </w:r>
      <w:proofErr w:type="gramEnd"/>
      <w:r w:rsidRPr="00E22598">
        <w:rPr>
          <w:rFonts w:ascii="仿宋_GB2312" w:eastAsia="仿宋_GB2312" w:hint="eastAsia"/>
          <w:szCs w:val="32"/>
        </w:rPr>
        <w:t>评定，相关单位及业主代表、物业服务企业共同参与。物业服务等级和机动车停放场所服务等级评定工作需在10个工作日内完成。</w:t>
      </w:r>
    </w:p>
    <w:p w14:paraId="0D5C2D86" w14:textId="77777777" w:rsidR="00515F1E" w:rsidRPr="00C77493" w:rsidRDefault="00515F1E" w:rsidP="00515F1E">
      <w:pPr>
        <w:adjustRightInd w:val="0"/>
        <w:snapToGrid w:val="0"/>
        <w:spacing w:beforeLines="50" w:before="156" w:line="360" w:lineRule="auto"/>
        <w:jc w:val="center"/>
        <w:rPr>
          <w:rFonts w:eastAsia="黑体"/>
          <w:szCs w:val="32"/>
        </w:rPr>
      </w:pPr>
      <w:r w:rsidRPr="00C77493">
        <w:rPr>
          <w:rFonts w:eastAsia="黑体"/>
          <w:szCs w:val="32"/>
        </w:rPr>
        <w:t>第二章</w:t>
      </w:r>
      <w:r w:rsidRPr="00C77493">
        <w:rPr>
          <w:rFonts w:eastAsia="黑体"/>
          <w:szCs w:val="32"/>
        </w:rPr>
        <w:t xml:space="preserve">  </w:t>
      </w:r>
      <w:r w:rsidRPr="00C77493">
        <w:rPr>
          <w:rFonts w:eastAsia="黑体" w:hint="eastAsia"/>
          <w:szCs w:val="32"/>
        </w:rPr>
        <w:t>物业服务收费标准的制定</w:t>
      </w:r>
    </w:p>
    <w:p w14:paraId="244B1E4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第七条  业主或者业主大会与物业服务企业可以采取包干制或者酬金制等计费方式约定物业服务费用，实行政府指导价的物业服务收费仅适用于包干制。</w:t>
      </w:r>
    </w:p>
    <w:p w14:paraId="70D6921D"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包干制是指由业主向物业服务企业支付固定物业服务费，物业服务企业依照合同约定事项提供服务，盈亏均由物业服务企业享有或者承担。包干制物业服务费由物业服务成本、法定税费和企业利润构成。</w:t>
      </w:r>
    </w:p>
    <w:p w14:paraId="72B0656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酬金制是指在预收的物业服务资金中按约定比例或约定数额提取酬金支付给物业服务企业，其余全部用于物业服务合同约定的支出，结余或者不足均由业主享有或者承担。酬金制物业服务费由物业服务支出和企业酬金构成。</w:t>
      </w:r>
    </w:p>
    <w:p w14:paraId="743039C0"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第八条  实行政府指导价的物业服务收费标准由新区管委会制定，具体工作由新区、新城市场监管部门、住</w:t>
      </w:r>
      <w:proofErr w:type="gramStart"/>
      <w:r w:rsidRPr="0048157B">
        <w:rPr>
          <w:rFonts w:ascii="仿宋_GB2312" w:eastAsia="仿宋_GB2312" w:hint="eastAsia"/>
          <w:szCs w:val="32"/>
        </w:rPr>
        <w:t>建部门</w:t>
      </w:r>
      <w:proofErr w:type="gramEnd"/>
      <w:r w:rsidRPr="0048157B">
        <w:rPr>
          <w:rFonts w:ascii="仿宋_GB2312" w:eastAsia="仿宋_GB2312" w:hint="eastAsia"/>
          <w:szCs w:val="32"/>
        </w:rPr>
        <w:t>负责，依据物业服务等级标准，综合考虑小区容量、场地设施、企业成本、业主承受能力等因素制定，</w:t>
      </w:r>
      <w:proofErr w:type="gramStart"/>
      <w:r w:rsidRPr="0048157B">
        <w:rPr>
          <w:rFonts w:ascii="仿宋_GB2312" w:eastAsia="仿宋_GB2312" w:hint="eastAsia"/>
          <w:szCs w:val="32"/>
        </w:rPr>
        <w:t>由住建部门</w:t>
      </w:r>
      <w:proofErr w:type="gramEnd"/>
      <w:r w:rsidRPr="0048157B">
        <w:rPr>
          <w:rFonts w:ascii="仿宋_GB2312" w:eastAsia="仿宋_GB2312" w:hint="eastAsia"/>
          <w:szCs w:val="32"/>
        </w:rPr>
        <w:t>提出调整申请及调整</w:t>
      </w:r>
      <w:r w:rsidRPr="0048157B">
        <w:rPr>
          <w:rFonts w:ascii="仿宋_GB2312" w:eastAsia="仿宋_GB2312" w:hint="eastAsia"/>
          <w:szCs w:val="32"/>
        </w:rPr>
        <w:lastRenderedPageBreak/>
        <w:t>意见，实行动态管理。</w:t>
      </w:r>
    </w:p>
    <w:p w14:paraId="79246046"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proofErr w:type="spellStart"/>
      <w:r w:rsidRPr="0048157B">
        <w:rPr>
          <w:rFonts w:ascii="仿宋_GB2312" w:eastAsia="仿宋_GB2312" w:hAnsi="Segoe UI" w:cs="Segoe UI" w:hint="eastAsia"/>
          <w:kern w:val="0"/>
          <w:szCs w:val="32"/>
        </w:rPr>
        <w:t>物业服务收费政府指导价标准为最高限价，物业服务企业与业主在政府指导价范围内通过合同约定物业服务费和停车服务费具体标准</w:t>
      </w:r>
      <w:proofErr w:type="spellEnd"/>
      <w:r w:rsidRPr="0048157B">
        <w:rPr>
          <w:rFonts w:ascii="仿宋_GB2312" w:eastAsia="仿宋_GB2312" w:hAnsi="Segoe UI" w:cs="Segoe UI" w:hint="eastAsia"/>
          <w:kern w:val="0"/>
          <w:szCs w:val="32"/>
        </w:rPr>
        <w:t>。</w:t>
      </w:r>
    </w:p>
    <w:p w14:paraId="038E626E"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第九条  实行市场调节价的物业服务收费标准，由物业服务企业与业主或者业主大会通过合同约定。</w:t>
      </w:r>
    </w:p>
    <w:p w14:paraId="0862D953"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业主将住宅改变为经营性用房的，除遵守法律、法规以及管理规约外，应当经有利害关系的业主同意，其物业服务收费实行市场调节价。</w:t>
      </w:r>
    </w:p>
    <w:p w14:paraId="533803F1"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第十条  物业服务成本或物业服务支出构成一般包括以下部分：</w:t>
      </w:r>
    </w:p>
    <w:p w14:paraId="26FC16A2"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1. 管理服务人员的工资、社会保险和按规定提取的福利费等；</w:t>
      </w:r>
    </w:p>
    <w:p w14:paraId="2FFD15C7"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2. 物业共用部位、共用设施设备的日常运行、维护费用；</w:t>
      </w:r>
    </w:p>
    <w:p w14:paraId="1B392D5D"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3. 物业管理区域内清洁卫生费用（不含居民生活垃圾费）；</w:t>
      </w:r>
    </w:p>
    <w:p w14:paraId="7B8E19DB"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4. 物业管理区域内绿化养护费用；</w:t>
      </w:r>
    </w:p>
    <w:p w14:paraId="1582D4EE"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5. 物业管理区域内秩序维护费用；</w:t>
      </w:r>
    </w:p>
    <w:p w14:paraId="572F775D"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6. 办公费用；</w:t>
      </w:r>
    </w:p>
    <w:p w14:paraId="530320D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7. 物业服务企业固定资产折旧；</w:t>
      </w:r>
    </w:p>
    <w:p w14:paraId="3A10EF0B"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8. 物业共用部位、共用设施设备以及公众责任保险费用；</w:t>
      </w:r>
    </w:p>
    <w:p w14:paraId="36AF3F48"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9. 经业主或者业主大会同意的其它费用。</w:t>
      </w:r>
    </w:p>
    <w:p w14:paraId="7C1B6F2A"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物业共用部位、共用设施设备保修期满后的维修和更新、改</w:t>
      </w:r>
      <w:r w:rsidRPr="0048157B">
        <w:rPr>
          <w:rFonts w:ascii="仿宋_GB2312" w:eastAsia="仿宋_GB2312" w:hint="eastAsia"/>
          <w:szCs w:val="32"/>
        </w:rPr>
        <w:lastRenderedPageBreak/>
        <w:t>造费用，应当通过专项维修资金予以列支，</w:t>
      </w:r>
      <w:proofErr w:type="gramStart"/>
      <w:r w:rsidRPr="0048157B">
        <w:rPr>
          <w:rFonts w:ascii="仿宋_GB2312" w:eastAsia="仿宋_GB2312" w:hint="eastAsia"/>
          <w:szCs w:val="32"/>
        </w:rPr>
        <w:t>不</w:t>
      </w:r>
      <w:proofErr w:type="gramEnd"/>
      <w:r w:rsidRPr="0048157B">
        <w:rPr>
          <w:rFonts w:ascii="仿宋_GB2312" w:eastAsia="仿宋_GB2312" w:hint="eastAsia"/>
          <w:szCs w:val="32"/>
        </w:rPr>
        <w:t>得计入物业服务成本或者物业服务支出。在国家规定的质量保修范围和保修期限内的维修和设备更换，由原建设单位负责，不得动用专项维修资金或者由业主承担。</w:t>
      </w:r>
    </w:p>
    <w:p w14:paraId="43849F6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第十一条  实行政府指导价的物业服务费执行“一费制”。物业管理区域内照明、景观、消防、安防、电梯等归属业主共有公共配套设施设备的用水、用电费用以及电梯维护保养和年检费用计入物业服务费成本，不得单独收取。</w:t>
      </w:r>
    </w:p>
    <w:p w14:paraId="51E544DB"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sz w:val="36"/>
        </w:rPr>
      </w:pPr>
      <w:proofErr w:type="spellStart"/>
      <w:r w:rsidRPr="0048157B">
        <w:rPr>
          <w:rFonts w:ascii="仿宋_GB2312" w:eastAsia="仿宋_GB2312" w:hint="eastAsia"/>
          <w:szCs w:val="32"/>
        </w:rPr>
        <w:t>第十二条</w:t>
      </w:r>
      <w:proofErr w:type="spellEnd"/>
      <w:r w:rsidRPr="0048157B">
        <w:rPr>
          <w:rFonts w:ascii="仿宋_GB2312" w:eastAsia="仿宋_GB2312" w:hint="eastAsia"/>
          <w:sz w:val="36"/>
        </w:rPr>
        <w:t xml:space="preserve">  </w:t>
      </w:r>
      <w:r w:rsidRPr="0048157B">
        <w:rPr>
          <w:rFonts w:ascii="仿宋_GB2312" w:eastAsia="仿宋_GB2312" w:hint="eastAsia"/>
        </w:rPr>
        <w:t>停车服务费成本由归属于物业服务企业的机动车停放服务设施设备日常运行费、保养维护费、检验检测费、设备折旧、职工薪酬、清洁卫生费、秩序维护费、管理费分摊以及经业主或者业主大会同意的其它费用组成。与物业服务费成本相重叠的部分应当独立核算，按比例分担，不得重复计算。</w:t>
      </w:r>
    </w:p>
    <w:p w14:paraId="638F7619"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Ansi="黑体" w:hint="eastAsia"/>
        </w:rPr>
      </w:pPr>
      <w:proofErr w:type="spellStart"/>
      <w:r w:rsidRPr="0048157B">
        <w:rPr>
          <w:rFonts w:ascii="仿宋_GB2312" w:eastAsia="仿宋_GB2312" w:hint="eastAsia"/>
          <w:szCs w:val="32"/>
        </w:rPr>
        <w:t>第十三条</w:t>
      </w:r>
      <w:proofErr w:type="spellEnd"/>
      <w:r w:rsidRPr="0048157B">
        <w:rPr>
          <w:rFonts w:ascii="仿宋_GB2312" w:eastAsia="仿宋_GB2312" w:hint="eastAsia"/>
          <w:szCs w:val="32"/>
        </w:rPr>
        <w:t xml:space="preserve">  供水、供电、供气、供暖、通信、有线电视、宽带数据传输等专业经营单位，实行抄表到户的，应当向最终用户收取有关费用，并依法承担分户终端计量装置以外管线和设施设备的维修、养护、更新等责任，且相关费用不得计入物业服务费成本。未实行抄表到户的，总表与分表之间的正常损耗，计入物业服务费成本，不得在物业服务费之外再单独收取相关费用，并由物业服务企业承担物业管理区域内公共管线和设施设备的维修、养护、更新等责任。</w:t>
      </w:r>
    </w:p>
    <w:p w14:paraId="11B2968B"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proofErr w:type="spellStart"/>
      <w:r w:rsidRPr="0048157B">
        <w:rPr>
          <w:rFonts w:ascii="仿宋_GB2312" w:eastAsia="仿宋_GB2312" w:hint="eastAsia"/>
          <w:szCs w:val="32"/>
        </w:rPr>
        <w:t>第十四条</w:t>
      </w:r>
      <w:proofErr w:type="spellEnd"/>
      <w:r w:rsidRPr="0048157B">
        <w:rPr>
          <w:rFonts w:ascii="仿宋_GB2312" w:eastAsia="仿宋_GB2312" w:hint="eastAsia"/>
        </w:rPr>
        <w:t xml:space="preserve">  住宅预售前，建设单位应当按照相关规定选聘</w:t>
      </w:r>
      <w:r w:rsidRPr="0048157B">
        <w:rPr>
          <w:rFonts w:ascii="仿宋_GB2312" w:eastAsia="仿宋_GB2312" w:hint="eastAsia"/>
        </w:rPr>
        <w:lastRenderedPageBreak/>
        <w:t>物业服务企业，依据物业服务指导标准和物业服务收费指导标准，确定预售物业项目的物业服务等级、机动车停放场所服务等级以及物业服务费标准、停车服务费标准等内容，在政府指导价范围内与物业服务企业签订《前期物业服务合同》，向物业项目所在地住建部门备案后，收费标准抄送同级市场监督管理部门。建设单位与物业买受人签订的房屋、车位买卖合同应当包含前期物业服务合同的内容。</w:t>
      </w:r>
    </w:p>
    <w:p w14:paraId="0B4616D6"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r w:rsidRPr="0048157B">
        <w:rPr>
          <w:rFonts w:ascii="仿宋_GB2312" w:eastAsia="仿宋_GB2312" w:hint="eastAsia"/>
        </w:rPr>
        <w:t>《前期物业服务合同》或者《物业服务合同》应当明确物业服务等级、服务内容、收费标准、收费方式及收费起始时间、合同终止情形等内容。涉及物业买受人共同利益的，其约定应当一致。同一物业管理区域内同类型的住宅项目，其物业服务收费标准应当保持一致。</w:t>
      </w:r>
    </w:p>
    <w:p w14:paraId="1AE6B608"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第十五条  实行政府指导价管理的住宅小区，物业服务企业在合同履行期间不得擅自调整物业服务费标准和停车服务费标准。确需调整的，物业服务企业应当按照物业服务指导标准和物业服务收费指导标准，在街道办事处的组织、指导和监督下，公开真实、完整、有效的相关信息。在物业管理区域内显著位置公示服务成本变动情况和</w:t>
      </w:r>
      <w:proofErr w:type="gramStart"/>
      <w:r w:rsidRPr="0048157B">
        <w:rPr>
          <w:rFonts w:ascii="仿宋_GB2312" w:eastAsia="仿宋_GB2312" w:hint="eastAsia"/>
          <w:szCs w:val="32"/>
        </w:rPr>
        <w:t>拟调价</w:t>
      </w:r>
      <w:proofErr w:type="gramEnd"/>
      <w:r w:rsidRPr="0048157B">
        <w:rPr>
          <w:rFonts w:ascii="仿宋_GB2312" w:eastAsia="仿宋_GB2312" w:hint="eastAsia"/>
          <w:szCs w:val="32"/>
        </w:rPr>
        <w:t>方案；就调价方案与业主协商，必须经业主大会或者由专有部分面积占比三分之二以上的业主且人数占比三分之二以上的业主参与表决，</w:t>
      </w:r>
      <w:proofErr w:type="gramStart"/>
      <w:r w:rsidRPr="0048157B">
        <w:rPr>
          <w:rFonts w:ascii="仿宋_GB2312" w:eastAsia="仿宋_GB2312" w:hint="eastAsia"/>
          <w:szCs w:val="32"/>
        </w:rPr>
        <w:t>经参与</w:t>
      </w:r>
      <w:proofErr w:type="gramEnd"/>
      <w:r w:rsidRPr="0048157B">
        <w:rPr>
          <w:rFonts w:ascii="仿宋_GB2312" w:eastAsia="仿宋_GB2312" w:hint="eastAsia"/>
          <w:szCs w:val="32"/>
        </w:rPr>
        <w:t>表决专有部分面积过半数的业主且参与表决人数过半数的业主（以下简称“参与表决双过半业主”）同意后，形成业主共同决定，在政府指导价</w:t>
      </w:r>
      <w:r w:rsidRPr="0048157B">
        <w:rPr>
          <w:rFonts w:ascii="仿宋_GB2312" w:eastAsia="仿宋_GB2312" w:hint="eastAsia"/>
          <w:szCs w:val="32"/>
        </w:rPr>
        <w:lastRenderedPageBreak/>
        <w:t>范围内实施调整并约定执行。物业服务等级和机动车停放场所服务等级经物业项目所在地住</w:t>
      </w:r>
      <w:proofErr w:type="gramStart"/>
      <w:r w:rsidRPr="0048157B">
        <w:rPr>
          <w:rFonts w:ascii="仿宋_GB2312" w:eastAsia="仿宋_GB2312" w:hint="eastAsia"/>
          <w:szCs w:val="32"/>
        </w:rPr>
        <w:t>建部门</w:t>
      </w:r>
      <w:proofErr w:type="gramEnd"/>
      <w:r w:rsidRPr="0048157B">
        <w:rPr>
          <w:rFonts w:ascii="仿宋_GB2312" w:eastAsia="仿宋_GB2312" w:hint="eastAsia"/>
          <w:szCs w:val="32"/>
        </w:rPr>
        <w:t>认定后，收费标准抄送同级市场监管部门。</w:t>
      </w:r>
    </w:p>
    <w:p w14:paraId="1FE223C7" w14:textId="77777777" w:rsidR="00515F1E" w:rsidRPr="00C77493" w:rsidRDefault="00515F1E" w:rsidP="00515F1E">
      <w:pPr>
        <w:adjustRightInd w:val="0"/>
        <w:snapToGrid w:val="0"/>
        <w:spacing w:beforeLines="50" w:before="156" w:line="360" w:lineRule="auto"/>
        <w:jc w:val="center"/>
        <w:rPr>
          <w:rFonts w:eastAsia="黑体"/>
          <w:szCs w:val="32"/>
        </w:rPr>
      </w:pPr>
      <w:r w:rsidRPr="00C77493">
        <w:rPr>
          <w:rFonts w:eastAsia="黑体"/>
          <w:szCs w:val="32"/>
        </w:rPr>
        <w:t>第三章</w:t>
      </w:r>
      <w:r w:rsidRPr="00C77493">
        <w:rPr>
          <w:rFonts w:eastAsia="黑体"/>
          <w:szCs w:val="32"/>
        </w:rPr>
        <w:t xml:space="preserve">  </w:t>
      </w:r>
      <w:r w:rsidRPr="00C77493">
        <w:rPr>
          <w:rFonts w:eastAsia="黑体" w:hint="eastAsia"/>
          <w:szCs w:val="32"/>
        </w:rPr>
        <w:t>物业服务收费计费方式</w:t>
      </w:r>
    </w:p>
    <w:p w14:paraId="41835F16"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第十六条  物业服务费和停车服务费根据合同的约定按月计收，预收不得超过三个月。</w:t>
      </w:r>
    </w:p>
    <w:p w14:paraId="67E3A801"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第十七条  物业服务费根据房屋的建筑面积计收。</w:t>
      </w:r>
    </w:p>
    <w:p w14:paraId="23B1267A"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（一）已办理不动产权属证书的房屋，按照权属证书记载的建筑面积计算；</w:t>
      </w:r>
    </w:p>
    <w:p w14:paraId="5E1DD050"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（二）已出售但尚未取得不动产权属证书的房屋，按买卖合同记载的建筑面积计算。不动产权属证书办理后，次月起按照不动产权属证书记载的建筑面积计算。</w:t>
      </w:r>
    </w:p>
    <w:p w14:paraId="38CD7D88" w14:textId="77777777" w:rsidR="00515F1E" w:rsidRPr="0048157B" w:rsidRDefault="00515F1E" w:rsidP="00515F1E">
      <w:pPr>
        <w:adjustRightInd w:val="0"/>
        <w:snapToGrid w:val="0"/>
        <w:spacing w:line="560" w:lineRule="exact"/>
        <w:ind w:firstLineChars="200" w:firstLine="640"/>
        <w:rPr>
          <w:rFonts w:ascii="仿宋_GB2312" w:eastAsia="仿宋_GB2312" w:hint="eastAsia"/>
          <w:sz w:val="48"/>
          <w:szCs w:val="32"/>
        </w:rPr>
      </w:pPr>
      <w:r w:rsidRPr="0048157B">
        <w:rPr>
          <w:rFonts w:ascii="仿宋_GB2312" w:eastAsia="仿宋_GB2312" w:hint="eastAsia"/>
          <w:szCs w:val="32"/>
        </w:rPr>
        <w:t>第十八条  纳入物业管理范围已竣工但尚未出售，或者因建设单位原因未按时交付给</w:t>
      </w:r>
      <w:proofErr w:type="gramStart"/>
      <w:r w:rsidRPr="0048157B">
        <w:rPr>
          <w:rFonts w:ascii="仿宋_GB2312" w:eastAsia="仿宋_GB2312" w:hint="eastAsia"/>
          <w:szCs w:val="32"/>
        </w:rPr>
        <w:t>物业买</w:t>
      </w:r>
      <w:proofErr w:type="gramEnd"/>
      <w:r w:rsidRPr="0048157B">
        <w:rPr>
          <w:rFonts w:ascii="仿宋_GB2312" w:eastAsia="仿宋_GB2312" w:hint="eastAsia"/>
          <w:szCs w:val="32"/>
        </w:rPr>
        <w:t>受人的房屋或者车位，物业服务费或者停车服务费由建设单位全额交纳。符合交付条件的房屋或者车位，物业服务费或者停车服务费从交付次日起由业主按月交纳。</w:t>
      </w:r>
    </w:p>
    <w:p w14:paraId="3E559689" w14:textId="77777777" w:rsidR="00515F1E" w:rsidRPr="0048157B" w:rsidRDefault="00515F1E" w:rsidP="00515F1E">
      <w:pPr>
        <w:adjustRightInd w:val="0"/>
        <w:snapToGrid w:val="0"/>
        <w:spacing w:line="560" w:lineRule="exact"/>
        <w:ind w:firstLineChars="200" w:firstLine="640"/>
        <w:rPr>
          <w:rFonts w:ascii="仿宋_GB2312" w:eastAsia="仿宋_GB2312" w:hint="eastAsia"/>
          <w:sz w:val="48"/>
          <w:szCs w:val="32"/>
        </w:rPr>
      </w:pPr>
      <w:r w:rsidRPr="0048157B">
        <w:rPr>
          <w:rFonts w:ascii="仿宋_GB2312" w:eastAsia="仿宋_GB2312" w:hint="eastAsia"/>
          <w:szCs w:val="32"/>
        </w:rPr>
        <w:t>第十九条  业主因自身原因逾期未办理物业交付手续的，其空置期间的物业服务费、停车服务费从建设单位书面通知业主办理交付手续截止日期的次日起由业主按月交纳。</w:t>
      </w:r>
    </w:p>
    <w:p w14:paraId="747CCE39"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第二十条</w:t>
      </w:r>
      <w:r w:rsidRPr="0048157B">
        <w:rPr>
          <w:rFonts w:ascii="仿宋_GB2312" w:eastAsia="仿宋_GB2312" w:hAnsi="黑体" w:hint="eastAsia"/>
          <w:szCs w:val="32"/>
        </w:rPr>
        <w:t xml:space="preserve">  </w:t>
      </w:r>
      <w:r w:rsidRPr="0048157B">
        <w:rPr>
          <w:rFonts w:ascii="仿宋_GB2312" w:eastAsia="仿宋_GB2312" w:hint="eastAsia"/>
          <w:szCs w:val="32"/>
        </w:rPr>
        <w:t>物业服务费、停车服务费从交付次日起由业主按月交纳。业主暂不使用或使用后因自身原因空置1个月以上的房</w:t>
      </w:r>
      <w:r w:rsidRPr="0048157B">
        <w:rPr>
          <w:rFonts w:ascii="仿宋_GB2312" w:eastAsia="仿宋_GB2312" w:hint="eastAsia"/>
          <w:szCs w:val="32"/>
        </w:rPr>
        <w:lastRenderedPageBreak/>
        <w:t>屋、自有或者租赁车位，业主需向物业服务企业提出申请，经物业服务企业登记确认后，其空置期间的物业服务费、停车服务费按物业服务合同约定收费标准的70%交纳。实行市场调节价的按照物业服务合同的约定执行。</w:t>
      </w:r>
    </w:p>
    <w:p w14:paraId="73005358"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第二十一条  物业管理区域内规划用于停放汽车的停车场（所），应当首先满足本物业管理区域内业主的需要。业主在物业管理区域内的停车场（所）停放自有车辆，不得按经营性停车场收费标准收费。</w:t>
      </w:r>
    </w:p>
    <w:p w14:paraId="6E8A53DF"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szCs w:val="32"/>
        </w:rPr>
      </w:pPr>
      <w:proofErr w:type="spellStart"/>
      <w:r w:rsidRPr="0048157B">
        <w:rPr>
          <w:rFonts w:ascii="仿宋_GB2312" w:eastAsia="仿宋_GB2312" w:hint="eastAsia"/>
          <w:szCs w:val="32"/>
        </w:rPr>
        <w:t>第二十二条</w:t>
      </w:r>
      <w:proofErr w:type="spellEnd"/>
      <w:r w:rsidRPr="0048157B">
        <w:rPr>
          <w:rFonts w:ascii="仿宋_GB2312" w:eastAsia="仿宋_GB2312" w:hint="eastAsia"/>
          <w:szCs w:val="32"/>
        </w:rPr>
        <w:t xml:space="preserve">  实行政府指导价的住宅小区物业服务区内临时车辆停车服务费按次收取。按次收费不分昼夜，连续停车每4小时为一个周期。</w:t>
      </w:r>
    </w:p>
    <w:p w14:paraId="4BC08A6C"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szCs w:val="32"/>
        </w:rPr>
      </w:pPr>
      <w:proofErr w:type="spellStart"/>
      <w:r w:rsidRPr="0048157B">
        <w:rPr>
          <w:rFonts w:ascii="仿宋_GB2312" w:eastAsia="仿宋_GB2312" w:hint="eastAsia"/>
          <w:szCs w:val="32"/>
        </w:rPr>
        <w:t>物业服务企业在收到业主告知后，不得限制或者妨碍业主在自有以及租赁的车位上免费停放未登记车辆</w:t>
      </w:r>
      <w:proofErr w:type="spellEnd"/>
      <w:r w:rsidRPr="0048157B">
        <w:rPr>
          <w:rFonts w:ascii="仿宋_GB2312" w:eastAsia="仿宋_GB2312" w:hint="eastAsia"/>
          <w:szCs w:val="32"/>
        </w:rPr>
        <w:t>。</w:t>
      </w:r>
    </w:p>
    <w:p w14:paraId="348B272E"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第二十三条  下列车辆临时进入物业管理区域内停放的，不得收取费用：</w:t>
      </w:r>
    </w:p>
    <w:p w14:paraId="596AD04C"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（一）临时停放30分钟之内的车辆；</w:t>
      </w:r>
    </w:p>
    <w:p w14:paraId="71C5E379"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（二）执行公务的军队、武警、公安、消防、抢险、救护、环卫等特种车辆；</w:t>
      </w:r>
    </w:p>
    <w:p w14:paraId="4FB4A06D"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（三）残疾人车辆（仅限小区按照无障碍设施工程建设标准设置的无障碍车位上停放的由残疾人驾驶的专用机动车）；</w:t>
      </w:r>
    </w:p>
    <w:p w14:paraId="5F7B5F05"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r w:rsidRPr="0048157B">
        <w:rPr>
          <w:rFonts w:ascii="仿宋_GB2312" w:eastAsia="仿宋_GB2312" w:hint="eastAsia"/>
        </w:rPr>
        <w:t>（</w:t>
      </w:r>
      <w:proofErr w:type="spellStart"/>
      <w:r w:rsidRPr="0048157B">
        <w:rPr>
          <w:rFonts w:ascii="仿宋_GB2312" w:eastAsia="仿宋_GB2312" w:hint="eastAsia"/>
        </w:rPr>
        <w:t>四）为业主或物业使用人提供搬家、殡葬、婚嫁等生活服务的车辆</w:t>
      </w:r>
      <w:proofErr w:type="spellEnd"/>
      <w:r w:rsidRPr="0048157B">
        <w:rPr>
          <w:rFonts w:ascii="仿宋_GB2312" w:eastAsia="仿宋_GB2312" w:hint="eastAsia"/>
        </w:rPr>
        <w:t>。</w:t>
      </w:r>
    </w:p>
    <w:p w14:paraId="1AF93276" w14:textId="77777777" w:rsidR="00515F1E" w:rsidRPr="00C77493" w:rsidRDefault="00515F1E" w:rsidP="00515F1E">
      <w:pPr>
        <w:adjustRightInd w:val="0"/>
        <w:snapToGrid w:val="0"/>
        <w:spacing w:beforeLines="50" w:before="156" w:line="360" w:lineRule="auto"/>
        <w:jc w:val="center"/>
        <w:rPr>
          <w:rFonts w:eastAsia="黑体"/>
          <w:szCs w:val="32"/>
        </w:rPr>
      </w:pPr>
      <w:r w:rsidRPr="00C77493">
        <w:rPr>
          <w:rFonts w:eastAsia="黑体"/>
          <w:szCs w:val="32"/>
        </w:rPr>
        <w:lastRenderedPageBreak/>
        <w:t>第四章</w:t>
      </w:r>
      <w:r w:rsidRPr="00C77493">
        <w:rPr>
          <w:rFonts w:eastAsia="黑体"/>
          <w:szCs w:val="32"/>
        </w:rPr>
        <w:t xml:space="preserve">  </w:t>
      </w:r>
      <w:r w:rsidRPr="00C77493">
        <w:rPr>
          <w:rFonts w:eastAsia="黑体" w:hint="eastAsia"/>
          <w:szCs w:val="32"/>
        </w:rPr>
        <w:t>行为规范与监督</w:t>
      </w:r>
      <w:r w:rsidRPr="00C77493">
        <w:rPr>
          <w:rFonts w:eastAsia="黑体"/>
          <w:szCs w:val="32"/>
        </w:rPr>
        <w:t>管理</w:t>
      </w:r>
    </w:p>
    <w:p w14:paraId="6511A511"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第二十四条  物业服务企业应当按照合同约定向业主收取相关费用，不得将签订《前期物业服务合同》或者《物业服务合同》内容以外的其他服务合同作为向业主交付物业的前置条件强制捆绑、强制服务、强制收费，或者只收费不服务、多收费少服务，以及变相收费。</w:t>
      </w:r>
    </w:p>
    <w:p w14:paraId="70F672F6"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特约服务、增值服务、有偿服务等相关物业服务收费实行市场调节价，由物业服务企业在物业管理区域内的显著位置公示服务项目及收费标准，经业主自愿选择，由物业服务企业与业主另行通过合同约定。</w:t>
      </w:r>
    </w:p>
    <w:p w14:paraId="39A535E3"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szCs w:val="32"/>
        </w:rPr>
      </w:pPr>
      <w:proofErr w:type="spellStart"/>
      <w:r w:rsidRPr="0048157B">
        <w:rPr>
          <w:rFonts w:ascii="仿宋_GB2312" w:eastAsia="仿宋_GB2312" w:hint="eastAsia"/>
          <w:szCs w:val="32"/>
        </w:rPr>
        <w:t>第二十五条</w:t>
      </w:r>
      <w:proofErr w:type="spellEnd"/>
      <w:r w:rsidRPr="0048157B">
        <w:rPr>
          <w:rFonts w:ascii="仿宋_GB2312" w:eastAsia="仿宋_GB2312" w:hint="eastAsia"/>
          <w:szCs w:val="32"/>
        </w:rPr>
        <w:t xml:space="preserve">  </w:t>
      </w:r>
      <w:r w:rsidRPr="0048157B">
        <w:rPr>
          <w:rFonts w:ascii="仿宋_GB2312" w:eastAsia="仿宋_GB2312" w:hint="eastAsia"/>
        </w:rPr>
        <w:t>业主应当按照约定向物业服务企业支付物业费。物业服务企业已经按照约定和有关规定提供服务的，业主不得以未接受或者无需接受相关物业服务为由拒绝支付物业费。</w:t>
      </w:r>
    </w:p>
    <w:p w14:paraId="12111C4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业主与使用人约定由使用人交纳物业服务费等费用的，从其约定，业主负连带交纳责任。物业发生产权转移时，业主或者使用人应当结清物业服务费等费用。</w:t>
      </w:r>
    </w:p>
    <w:p w14:paraId="3577CA2F" w14:textId="77777777" w:rsidR="00515F1E" w:rsidRPr="0048157B" w:rsidRDefault="00515F1E" w:rsidP="00515F1E">
      <w:pPr>
        <w:adjustRightInd w:val="0"/>
        <w:snapToGrid w:val="0"/>
        <w:spacing w:line="560" w:lineRule="exact"/>
        <w:ind w:firstLineChars="200" w:firstLine="640"/>
        <w:rPr>
          <w:rFonts w:ascii="仿宋_GB2312" w:eastAsia="仿宋_GB2312" w:hint="eastAsia"/>
          <w:sz w:val="48"/>
          <w:szCs w:val="32"/>
        </w:rPr>
      </w:pPr>
      <w:r w:rsidRPr="0048157B">
        <w:rPr>
          <w:rFonts w:ascii="仿宋_GB2312" w:eastAsia="仿宋_GB2312" w:hint="eastAsia"/>
          <w:szCs w:val="32"/>
        </w:rPr>
        <w:t xml:space="preserve">第二十六条  </w:t>
      </w:r>
      <w:r w:rsidRPr="0048157B">
        <w:rPr>
          <w:rFonts w:ascii="仿宋_GB2312" w:eastAsia="仿宋_GB2312" w:hint="eastAsia"/>
        </w:rPr>
        <w:t>业主违反约定逾期不支付</w:t>
      </w:r>
      <w:proofErr w:type="gramStart"/>
      <w:r w:rsidRPr="0048157B">
        <w:rPr>
          <w:rFonts w:ascii="仿宋_GB2312" w:eastAsia="仿宋_GB2312" w:hint="eastAsia"/>
        </w:rPr>
        <w:t>物业费</w:t>
      </w:r>
      <w:proofErr w:type="gramEnd"/>
      <w:r w:rsidRPr="0048157B">
        <w:rPr>
          <w:rFonts w:ascii="仿宋_GB2312" w:eastAsia="仿宋_GB2312" w:hint="eastAsia"/>
        </w:rPr>
        <w:t>的，物业服务企业可以催告其在合理期限内支付；合理期限届满仍不支付的，物业服务企业可以提起诉讼或者申请仲裁。物业服务企业不得采取停止供电、供水、供热、供燃气等方式催交物业费。</w:t>
      </w:r>
    </w:p>
    <w:p w14:paraId="4F942B7D"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物业服务企业接受专营单位委托代收费用的，不得向业主收取手续费等额外费用，也不得以未交物业服务费为由限制或者妨</w:t>
      </w:r>
      <w:r w:rsidRPr="0048157B">
        <w:rPr>
          <w:rFonts w:ascii="仿宋_GB2312" w:eastAsia="仿宋_GB2312" w:hint="eastAsia"/>
          <w:szCs w:val="32"/>
        </w:rPr>
        <w:lastRenderedPageBreak/>
        <w:t>碍业主对水、电、气、暖等的正常使用。物业服务企业与专营单位签订的相关合同应向全体业主公开，不得损害业主利益。</w:t>
      </w:r>
    </w:p>
    <w:p w14:paraId="02554004"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第二十七条</w:t>
      </w:r>
      <w:r w:rsidRPr="0048157B">
        <w:rPr>
          <w:rFonts w:ascii="仿宋_GB2312" w:eastAsia="仿宋_GB2312" w:hAnsi="黑体" w:hint="eastAsia"/>
          <w:szCs w:val="32"/>
        </w:rPr>
        <w:t xml:space="preserve">  </w:t>
      </w:r>
      <w:r w:rsidRPr="0048157B">
        <w:rPr>
          <w:rFonts w:ascii="仿宋_GB2312" w:eastAsia="仿宋_GB2312" w:hint="eastAsia"/>
          <w:szCs w:val="32"/>
        </w:rPr>
        <w:t>小区自备供暖（冷）的，其采暖（冷）费由物业服务企业或者专营单位提出收费方案（政府对供暖补贴的，补贴方案应当包括在收费方案内），必须经业主大会或者由专有部分面积占比三分之二以上的业主且人数占比三分之二以上的业主参与表决，“参与表决双过半业主”同意后收取。采暖（冷）期结束后，必须向全体业主公布收支情况。</w:t>
      </w:r>
    </w:p>
    <w:p w14:paraId="1B85989F"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第二十八条  物业服务企业实行出入证（卡）管理的，应当为每户业主首次免费配置不少于4张出入证（卡）。业主另有需求申请办证（卡）的，物业服务企业可以按物业公示标准收取制作成本费用，不得盈利。</w:t>
      </w:r>
    </w:p>
    <w:p w14:paraId="6F3CC3F5"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Ansi="黑体" w:hint="eastAsia"/>
        </w:rPr>
      </w:pPr>
      <w:proofErr w:type="spellStart"/>
      <w:r w:rsidRPr="0048157B">
        <w:rPr>
          <w:rFonts w:ascii="仿宋_GB2312" w:eastAsia="仿宋_GB2312" w:hint="eastAsia"/>
          <w:szCs w:val="32"/>
        </w:rPr>
        <w:t>第二十九条</w:t>
      </w:r>
      <w:proofErr w:type="spellEnd"/>
      <w:r w:rsidRPr="0048157B">
        <w:rPr>
          <w:rFonts w:ascii="仿宋_GB2312" w:eastAsia="仿宋_GB2312" w:hAnsi="黑体" w:hint="eastAsia"/>
        </w:rPr>
        <w:t xml:space="preserve">  </w:t>
      </w:r>
      <w:r w:rsidRPr="0048157B">
        <w:rPr>
          <w:rFonts w:ascii="仿宋_GB2312" w:eastAsia="仿宋_GB2312" w:hint="eastAsia"/>
          <w:szCs w:val="32"/>
        </w:rPr>
        <w:t>业主需要装饰装修房屋的，应当事先告知物业服务企业，物业服务企业应当按照住建部门的相关规定与业主签订装修管理服务协议，具体管理内容由双方在协议中约定。</w:t>
      </w:r>
    </w:p>
    <w:p w14:paraId="093687B1"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r w:rsidRPr="0048157B">
        <w:rPr>
          <w:rFonts w:ascii="仿宋_GB2312" w:eastAsia="仿宋_GB2312" w:hint="eastAsia"/>
        </w:rPr>
        <w:t>业主可以按照规定自行或者委托物业服务企业清运装修期间产生的垃圾。委托物业服务企业清运装修垃圾的收费标准由双方自行约定。因装修造成共用部位、共用设施设备等损坏的，恢复、维修费用按照实际发生额，由业主或者装修单位承担，并承担相关责任。</w:t>
      </w:r>
    </w:p>
    <w:p w14:paraId="0C00442E"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proofErr w:type="spellStart"/>
      <w:r w:rsidRPr="0048157B">
        <w:rPr>
          <w:rFonts w:ascii="仿宋_GB2312" w:eastAsia="仿宋_GB2312" w:hint="eastAsia"/>
          <w:szCs w:val="32"/>
        </w:rPr>
        <w:t>第三十条</w:t>
      </w:r>
      <w:proofErr w:type="spellEnd"/>
      <w:r w:rsidRPr="0048157B">
        <w:rPr>
          <w:rFonts w:ascii="仿宋_GB2312" w:eastAsia="仿宋_GB2312" w:hint="eastAsia"/>
        </w:rPr>
        <w:t xml:space="preserve">  对产权属业主共有的露天</w:t>
      </w:r>
      <w:r w:rsidRPr="0048157B">
        <w:rPr>
          <w:rFonts w:ascii="仿宋_GB2312" w:eastAsia="仿宋_GB2312" w:hint="eastAsia"/>
          <w:szCs w:val="32"/>
        </w:rPr>
        <w:t>（含道路）</w:t>
      </w:r>
      <w:r w:rsidRPr="0048157B">
        <w:rPr>
          <w:rFonts w:ascii="仿宋_GB2312" w:eastAsia="仿宋_GB2312" w:hint="eastAsia"/>
        </w:rPr>
        <w:t>停车场（所）和利用人防工程设施建设的车位、车库及建造的机械车位可以</w:t>
      </w:r>
      <w:r w:rsidRPr="0048157B">
        <w:rPr>
          <w:rFonts w:ascii="仿宋_GB2312" w:eastAsia="仿宋_GB2312" w:hint="eastAsia"/>
        </w:rPr>
        <w:lastRenderedPageBreak/>
        <w:t>租赁，但不得实行车位买断；对具有完全产权的地下停车场（所），可以实行车位买断、赠予或租赁；车位买卖和租赁的价格实行市场调节价，由双方协商确定。</w:t>
      </w:r>
    </w:p>
    <w:p w14:paraId="01445901"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Ansi="黑体" w:hint="eastAsia"/>
        </w:rPr>
      </w:pPr>
      <w:proofErr w:type="spellStart"/>
      <w:r w:rsidRPr="0048157B">
        <w:rPr>
          <w:rFonts w:ascii="仿宋_GB2312" w:eastAsia="仿宋_GB2312" w:hint="eastAsia"/>
          <w:szCs w:val="32"/>
        </w:rPr>
        <w:t>第三十一条</w:t>
      </w:r>
      <w:proofErr w:type="spellEnd"/>
      <w:r w:rsidRPr="0048157B">
        <w:rPr>
          <w:rFonts w:ascii="仿宋_GB2312" w:eastAsia="仿宋_GB2312" w:hAnsi="黑体" w:hint="eastAsia"/>
        </w:rPr>
        <w:t xml:space="preserve">  </w:t>
      </w:r>
      <w:r w:rsidRPr="0048157B">
        <w:rPr>
          <w:rFonts w:ascii="仿宋_GB2312" w:eastAsia="仿宋_GB2312" w:hint="eastAsia"/>
        </w:rPr>
        <w:t>停车位供需矛盾突出的住宅小区，其周边商业配建停车场（库）、道路具备夜间等时段性停车条件的，街道办事处应当提出错时停车方案。鼓励业主与住宅小区周边单位通过协商实现停车资源共享。</w:t>
      </w:r>
    </w:p>
    <w:p w14:paraId="361728FF"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第三十二条</w:t>
      </w:r>
      <w:r w:rsidRPr="0048157B">
        <w:rPr>
          <w:rFonts w:ascii="仿宋_GB2312" w:eastAsia="仿宋_GB2312" w:hAnsi="黑体" w:hint="eastAsia"/>
          <w:szCs w:val="32"/>
        </w:rPr>
        <w:t xml:space="preserve">  </w:t>
      </w:r>
      <w:r w:rsidRPr="0048157B">
        <w:rPr>
          <w:rFonts w:ascii="仿宋_GB2312" w:eastAsia="仿宋_GB2312" w:hint="eastAsia"/>
          <w:szCs w:val="32"/>
        </w:rPr>
        <w:t>物业服务企业在承接新建物业前，应与建设单位按照国家有关规定和前期物业服务合同的约定，共同对物业共用部位、共用设施设备进行检查和验收，签订物业承接查验协议，对物业承接查验基本情况、存在问题、解决方法及其时限、双方权利义务、违约责任等事项</w:t>
      </w:r>
      <w:proofErr w:type="gramStart"/>
      <w:r w:rsidRPr="0048157B">
        <w:rPr>
          <w:rFonts w:ascii="仿宋_GB2312" w:eastAsia="仿宋_GB2312" w:hint="eastAsia"/>
          <w:szCs w:val="32"/>
        </w:rPr>
        <w:t>作出</w:t>
      </w:r>
      <w:proofErr w:type="gramEnd"/>
      <w:r w:rsidRPr="0048157B">
        <w:rPr>
          <w:rFonts w:ascii="仿宋_GB2312" w:eastAsia="仿宋_GB2312" w:hint="eastAsia"/>
          <w:szCs w:val="32"/>
        </w:rPr>
        <w:t>明确约定。</w:t>
      </w:r>
    </w:p>
    <w:p w14:paraId="318C89DE"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物业服务企业应当在物业管理区域内显著位置公示承接本小区物业的承接查验报告，以及共用部位、共用设施设备分布图，明确车位权属，便于业主查询。</w:t>
      </w:r>
    </w:p>
    <w:p w14:paraId="7791D6AC"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第三十三条</w:t>
      </w:r>
      <w:r w:rsidRPr="0048157B">
        <w:rPr>
          <w:rFonts w:ascii="仿宋_GB2312" w:eastAsia="仿宋_GB2312" w:hAnsi="黑体" w:hint="eastAsia"/>
          <w:szCs w:val="32"/>
        </w:rPr>
        <w:t xml:space="preserve">  </w:t>
      </w:r>
      <w:r w:rsidRPr="0048157B">
        <w:rPr>
          <w:rFonts w:ascii="仿宋_GB2312" w:eastAsia="仿宋_GB2312" w:hint="eastAsia"/>
          <w:szCs w:val="32"/>
        </w:rPr>
        <w:t>物业服务企业应按照有关规定实行明码标价，公示物业服务企业名称、服务项目、服务标准、收费标准、计费方式、收费依据、优惠减免政策、投诉举报电话以及属地行业主管部门监督电话等信息，自觉接受监督。</w:t>
      </w:r>
    </w:p>
    <w:p w14:paraId="30E57A33" w14:textId="77777777" w:rsidR="00515F1E" w:rsidRPr="0048157B" w:rsidRDefault="00515F1E" w:rsidP="00515F1E">
      <w:pPr>
        <w:adjustRightInd w:val="0"/>
        <w:snapToGrid w:val="0"/>
        <w:spacing w:line="560" w:lineRule="exact"/>
        <w:ind w:firstLineChars="200" w:firstLine="640"/>
        <w:rPr>
          <w:rFonts w:ascii="仿宋_GB2312" w:eastAsia="仿宋_GB2312" w:hAnsi="黑体" w:hint="eastAsia"/>
          <w:szCs w:val="32"/>
        </w:rPr>
      </w:pPr>
      <w:r w:rsidRPr="0048157B">
        <w:rPr>
          <w:rFonts w:ascii="仿宋_GB2312" w:eastAsia="仿宋_GB2312" w:hint="eastAsia"/>
          <w:szCs w:val="32"/>
        </w:rPr>
        <w:t>第三十四条</w:t>
      </w:r>
      <w:r w:rsidRPr="0048157B">
        <w:rPr>
          <w:rFonts w:ascii="仿宋_GB2312" w:eastAsia="仿宋_GB2312" w:hAnsi="黑体" w:hint="eastAsia"/>
          <w:szCs w:val="32"/>
        </w:rPr>
        <w:t xml:space="preserve">  </w:t>
      </w:r>
      <w:r w:rsidRPr="0048157B">
        <w:rPr>
          <w:rFonts w:ascii="仿宋_GB2312" w:eastAsia="仿宋_GB2312" w:hint="eastAsia"/>
          <w:szCs w:val="32"/>
        </w:rPr>
        <w:t>物业服务企业利用、占用共用部位、共用设施设备从事广告、出租、推广等活动的，应当经业主大会或者共同拥有该物业的业主同意，并在物业管理区域内公告。</w:t>
      </w:r>
    </w:p>
    <w:p w14:paraId="6E8DB7CA"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lastRenderedPageBreak/>
        <w:t>业主大会可以授权业主委员会同意利用全体业主共用部分从事相关活动所得收益扣除合理成本后归属全体业主所有，主要用于补充住宅专项维修资金，也可以按照业主大会的决定使用。</w:t>
      </w:r>
    </w:p>
    <w:p w14:paraId="4DD0A23D"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rPr>
      </w:pPr>
      <w:proofErr w:type="spellStart"/>
      <w:r w:rsidRPr="0048157B">
        <w:rPr>
          <w:rFonts w:ascii="仿宋_GB2312" w:eastAsia="仿宋_GB2312" w:hint="eastAsia"/>
        </w:rPr>
        <w:t>公共收益归全体业主或者共同拥有该物业的业主所有，并应当单独列账</w:t>
      </w:r>
      <w:proofErr w:type="spellEnd"/>
      <w:r w:rsidRPr="0048157B">
        <w:rPr>
          <w:rFonts w:ascii="仿宋_GB2312" w:eastAsia="仿宋_GB2312" w:hint="eastAsia"/>
        </w:rPr>
        <w:t>。</w:t>
      </w:r>
    </w:p>
    <w:p w14:paraId="57ECE0B1"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第三十五条  物业服务企业应当在每年第一季度将上一年度物业服务合同履行情况、归属业主收益等情况在物业管理区域内显著位置据实公示，公示时间不得少于一个月。业主有权查阅、抄录或者复制所有归属全体业主收益的相关财务资料，物业服务企业应当据实提供。鼓励物业服务企业向全体业主公开物业服务费和停车服务费收入以及成本费用（构成）支出明细。</w:t>
      </w:r>
    </w:p>
    <w:p w14:paraId="3574BAAC"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第三十六条  各级市场监管部门、住</w:t>
      </w:r>
      <w:proofErr w:type="gramStart"/>
      <w:r w:rsidRPr="0048157B">
        <w:rPr>
          <w:rFonts w:ascii="仿宋_GB2312" w:eastAsia="仿宋_GB2312" w:hint="eastAsia"/>
          <w:szCs w:val="32"/>
        </w:rPr>
        <w:t>建部门</w:t>
      </w:r>
      <w:proofErr w:type="gramEnd"/>
      <w:r w:rsidRPr="0048157B">
        <w:rPr>
          <w:rFonts w:ascii="仿宋_GB2312" w:eastAsia="仿宋_GB2312" w:hint="eastAsia"/>
          <w:szCs w:val="32"/>
        </w:rPr>
        <w:t>要按照职责分工加强物业服务及收费行为的监督管理。</w:t>
      </w:r>
    </w:p>
    <w:p w14:paraId="5A2A2031"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新区市场监督管理局要严格按照有关法律法规规定，制定物业服务收费管理办法和物业服务收费标准及其他有关政策规定，指导新区物业服务收费的监督管理工作。各新城市场监管部门负责做好物业服务收费政策贯彻落实、宣传培训等物业服务收费监督管理工作。对超过政府指导价标准收费、不实行明码标价等价格违法行为，依据有关法律、法规以及规定进行查处。</w:t>
      </w:r>
    </w:p>
    <w:p w14:paraId="1D21CB20"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新区住房和城乡建设局按照法律法规规定，制定物业管理服务相关政策规定。各新城住</w:t>
      </w:r>
      <w:proofErr w:type="gramStart"/>
      <w:r w:rsidRPr="0048157B">
        <w:rPr>
          <w:rFonts w:ascii="仿宋_GB2312" w:eastAsia="仿宋_GB2312" w:hint="eastAsia"/>
          <w:szCs w:val="32"/>
        </w:rPr>
        <w:t>建部门</w:t>
      </w:r>
      <w:proofErr w:type="gramEnd"/>
      <w:r w:rsidRPr="0048157B">
        <w:rPr>
          <w:rFonts w:ascii="仿宋_GB2312" w:eastAsia="仿宋_GB2312" w:hint="eastAsia"/>
          <w:szCs w:val="32"/>
        </w:rPr>
        <w:t>负责做好物业服务相关政策贯彻落实、宣传培训，加大对物业企业服务质量监督检查，将物业</w:t>
      </w:r>
      <w:r w:rsidRPr="0048157B">
        <w:rPr>
          <w:rFonts w:ascii="仿宋_GB2312" w:eastAsia="仿宋_GB2312" w:hint="eastAsia"/>
          <w:szCs w:val="32"/>
        </w:rPr>
        <w:lastRenderedPageBreak/>
        <w:t>企业服务质量纳入物业企业信用信息管理。指导物业服务企业开展承接查验工作，对不符合物业服务等级标准、不按照规定履行物业服务企业职责的行为，依据有关法律、法规以及规定进行查处。</w:t>
      </w:r>
    </w:p>
    <w:p w14:paraId="347A3D81" w14:textId="77777777" w:rsidR="00515F1E" w:rsidRPr="00C77493" w:rsidRDefault="00515F1E" w:rsidP="00515F1E">
      <w:pPr>
        <w:adjustRightInd w:val="0"/>
        <w:snapToGrid w:val="0"/>
        <w:spacing w:beforeLines="50" w:before="156" w:line="360" w:lineRule="auto"/>
        <w:jc w:val="center"/>
        <w:rPr>
          <w:rFonts w:eastAsia="黑体"/>
          <w:szCs w:val="32"/>
        </w:rPr>
      </w:pPr>
      <w:r w:rsidRPr="00C77493">
        <w:rPr>
          <w:rFonts w:eastAsia="黑体"/>
          <w:szCs w:val="32"/>
        </w:rPr>
        <w:t>第五章</w:t>
      </w:r>
      <w:r w:rsidRPr="00C77493">
        <w:rPr>
          <w:rFonts w:eastAsia="黑体"/>
          <w:szCs w:val="32"/>
        </w:rPr>
        <w:t xml:space="preserve">  </w:t>
      </w:r>
      <w:r w:rsidRPr="00C77493">
        <w:rPr>
          <w:rFonts w:eastAsia="黑体"/>
          <w:szCs w:val="32"/>
        </w:rPr>
        <w:t>附</w:t>
      </w:r>
      <w:r w:rsidRPr="00C77493">
        <w:rPr>
          <w:rFonts w:eastAsia="黑体" w:hint="eastAsia"/>
          <w:szCs w:val="32"/>
        </w:rPr>
        <w:t xml:space="preserve"> </w:t>
      </w:r>
      <w:r w:rsidRPr="00C77493">
        <w:rPr>
          <w:rFonts w:eastAsia="黑体"/>
          <w:szCs w:val="32"/>
        </w:rPr>
        <w:t xml:space="preserve"> </w:t>
      </w:r>
      <w:r w:rsidRPr="00C77493">
        <w:rPr>
          <w:rFonts w:eastAsia="黑体"/>
          <w:szCs w:val="32"/>
        </w:rPr>
        <w:t>则</w:t>
      </w:r>
    </w:p>
    <w:p w14:paraId="50963E27"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第三十七条  本办法由新区市场监督管理局、新区住房和城乡建设局在各自职权范围内负责解释。</w:t>
      </w:r>
    </w:p>
    <w:p w14:paraId="2EDB322A" w14:textId="77777777" w:rsidR="00515F1E" w:rsidRPr="0048157B" w:rsidRDefault="00515F1E" w:rsidP="00515F1E">
      <w:pPr>
        <w:adjustRightInd w:val="0"/>
        <w:snapToGrid w:val="0"/>
        <w:spacing w:line="560" w:lineRule="exact"/>
        <w:ind w:firstLineChars="200" w:firstLine="640"/>
        <w:rPr>
          <w:rFonts w:ascii="仿宋_GB2312" w:eastAsia="仿宋_GB2312" w:hint="eastAsia"/>
          <w:szCs w:val="32"/>
        </w:rPr>
      </w:pPr>
      <w:r w:rsidRPr="0048157B">
        <w:rPr>
          <w:rFonts w:ascii="仿宋_GB2312" w:eastAsia="仿宋_GB2312" w:hint="eastAsia"/>
          <w:szCs w:val="32"/>
        </w:rPr>
        <w:t>第三十八条  本办法自</w:t>
      </w:r>
      <w:r w:rsidRPr="0048157B">
        <w:rPr>
          <w:rFonts w:ascii="仿宋_GB2312" w:eastAsia="仿宋_GB2312" w:hint="eastAsia"/>
          <w:szCs w:val="32"/>
        </w:rPr>
        <w:t> </w:t>
      </w:r>
      <w:r w:rsidRPr="0048157B">
        <w:rPr>
          <w:rFonts w:ascii="仿宋_GB2312" w:eastAsia="仿宋_GB2312" w:hint="eastAsia"/>
          <w:szCs w:val="32"/>
        </w:rPr>
        <w:t>2021年X月X日起试行，有效期X年。凡本办法之前的有关规定与本办法不符的，按本办法执行。法律、法规、规章以及上级机关另有规定的，从其规定。</w:t>
      </w:r>
    </w:p>
    <w:p w14:paraId="2A20407D" w14:textId="77777777" w:rsidR="00515F1E" w:rsidRPr="0048157B" w:rsidRDefault="00515F1E" w:rsidP="00515F1E">
      <w:pPr>
        <w:pStyle w:val="a7"/>
        <w:adjustRightInd w:val="0"/>
        <w:snapToGrid w:val="0"/>
        <w:spacing w:after="0" w:line="560" w:lineRule="exact"/>
        <w:ind w:firstLineChars="200" w:firstLine="640"/>
        <w:rPr>
          <w:rFonts w:ascii="仿宋_GB2312" w:eastAsia="仿宋_GB2312" w:hint="eastAsia"/>
          <w:szCs w:val="32"/>
        </w:rPr>
      </w:pPr>
      <w:proofErr w:type="spellStart"/>
      <w:r w:rsidRPr="0048157B">
        <w:rPr>
          <w:rFonts w:ascii="仿宋_GB2312" w:eastAsia="仿宋_GB2312" w:hint="eastAsia"/>
          <w:szCs w:val="32"/>
        </w:rPr>
        <w:t>物业服务企业执行新的物业服务收费标准前，应当按照本办法第十五条的规定履行调价程序，在调价程序履行完毕前仍按原合同约定执行</w:t>
      </w:r>
      <w:proofErr w:type="spellEnd"/>
      <w:r w:rsidRPr="0048157B">
        <w:rPr>
          <w:rFonts w:ascii="仿宋_GB2312" w:eastAsia="仿宋_GB2312" w:hint="eastAsia"/>
          <w:szCs w:val="32"/>
        </w:rPr>
        <w:t>。</w:t>
      </w:r>
    </w:p>
    <w:p w14:paraId="3256BCF9" w14:textId="77777777" w:rsidR="00515F1E" w:rsidRPr="0048157B" w:rsidRDefault="00515F1E" w:rsidP="00515F1E">
      <w:pPr>
        <w:pStyle w:val="a7"/>
        <w:spacing w:after="0" w:line="560" w:lineRule="exact"/>
        <w:ind w:firstLine="200"/>
        <w:rPr>
          <w:rFonts w:ascii="仿宋_GB2312" w:eastAsia="仿宋_GB2312" w:hint="eastAsia"/>
        </w:rPr>
      </w:pPr>
      <w:r w:rsidRPr="0048157B">
        <w:rPr>
          <w:rFonts w:ascii="仿宋_GB2312" w:eastAsia="仿宋_GB2312" w:hint="eastAsia"/>
        </w:rPr>
        <w:t>附件：1.西咸新区物业服务收费政府指导价标准</w:t>
      </w:r>
    </w:p>
    <w:p w14:paraId="449C73D3" w14:textId="77777777" w:rsidR="00515F1E" w:rsidRPr="0048157B" w:rsidRDefault="00515F1E" w:rsidP="00515F1E">
      <w:pPr>
        <w:pStyle w:val="a7"/>
        <w:spacing w:after="0" w:line="560" w:lineRule="exact"/>
        <w:ind w:firstLine="200"/>
        <w:rPr>
          <w:rFonts w:ascii="仿宋_GB2312" w:eastAsia="仿宋_GB2312" w:hint="eastAsia"/>
        </w:rPr>
      </w:pPr>
      <w:r w:rsidRPr="0048157B">
        <w:rPr>
          <w:rFonts w:ascii="仿宋_GB2312" w:eastAsia="仿宋_GB2312" w:hint="eastAsia"/>
        </w:rPr>
        <w:t xml:space="preserve">      2.西咸新区物业管理区域内机动车室内停放场所服</w:t>
      </w:r>
    </w:p>
    <w:p w14:paraId="4114378D" w14:textId="77777777" w:rsidR="00515F1E" w:rsidRPr="0048157B" w:rsidRDefault="00515F1E" w:rsidP="00515F1E">
      <w:pPr>
        <w:pStyle w:val="a7"/>
        <w:spacing w:after="0" w:line="560" w:lineRule="exact"/>
        <w:ind w:firstLineChars="500" w:firstLine="1600"/>
        <w:rPr>
          <w:rFonts w:ascii="仿宋_GB2312" w:eastAsia="仿宋_GB2312" w:hint="eastAsia"/>
        </w:rPr>
      </w:pPr>
      <w:proofErr w:type="spellStart"/>
      <w:r w:rsidRPr="0048157B">
        <w:rPr>
          <w:rFonts w:ascii="仿宋_GB2312" w:eastAsia="仿宋_GB2312" w:hint="eastAsia"/>
        </w:rPr>
        <w:t>务等级标准</w:t>
      </w:r>
      <w:proofErr w:type="spellEnd"/>
    </w:p>
    <w:p w14:paraId="3FA3E427" w14:textId="77777777" w:rsidR="00515F1E" w:rsidRPr="00C77493" w:rsidRDefault="00515F1E" w:rsidP="00515F1E">
      <w:pPr>
        <w:pStyle w:val="a7"/>
        <w:sectPr w:rsidR="00515F1E" w:rsidRPr="00C77493" w:rsidSect="00E22598">
          <w:footerReference w:type="even" r:id="rId6"/>
          <w:footerReference w:type="default" r:id="rId7"/>
          <w:pgSz w:w="11906" w:h="16838"/>
          <w:pgMar w:top="2098" w:right="1474" w:bottom="1984" w:left="1587" w:header="851" w:footer="992" w:gutter="0"/>
          <w:pgNumType w:fmt="numberInDash"/>
          <w:cols w:space="720"/>
          <w:docGrid w:type="linesAndChars" w:linePitch="312"/>
        </w:sectPr>
      </w:pPr>
    </w:p>
    <w:p w14:paraId="0D749466" w14:textId="77777777" w:rsidR="00515F1E" w:rsidRPr="00C77493" w:rsidRDefault="00515F1E" w:rsidP="00515F1E">
      <w:pPr>
        <w:pStyle w:val="a7"/>
        <w:rPr>
          <w:rFonts w:ascii="方正小标宋简体" w:eastAsia="方正小标宋简体"/>
        </w:rPr>
      </w:pPr>
      <w:r w:rsidRPr="00C77493">
        <w:rPr>
          <w:rFonts w:ascii="方正小标宋简体" w:eastAsia="方正小标宋简体" w:hint="eastAsia"/>
        </w:rPr>
        <w:lastRenderedPageBreak/>
        <w:t>附件1：</w:t>
      </w:r>
    </w:p>
    <w:p w14:paraId="4C6DB391" w14:textId="77777777" w:rsidR="00515F1E" w:rsidRPr="00C77493" w:rsidRDefault="00515F1E" w:rsidP="00515F1E">
      <w:pPr>
        <w:pStyle w:val="a7"/>
        <w:jc w:val="center"/>
        <w:rPr>
          <w:rFonts w:ascii="方正小标宋简体" w:eastAsia="方正小标宋简体"/>
          <w:sz w:val="40"/>
        </w:rPr>
      </w:pPr>
      <w:proofErr w:type="spellStart"/>
      <w:r w:rsidRPr="00C77493">
        <w:rPr>
          <w:rFonts w:ascii="方正小标宋简体" w:eastAsia="方正小标宋简体" w:hint="eastAsia"/>
          <w:sz w:val="40"/>
        </w:rPr>
        <w:t>西咸新区物业服务</w:t>
      </w:r>
      <w:r>
        <w:rPr>
          <w:rFonts w:ascii="方正小标宋简体" w:eastAsia="方正小标宋简体" w:hint="eastAsia"/>
          <w:sz w:val="40"/>
        </w:rPr>
        <w:t>收</w:t>
      </w:r>
      <w:r w:rsidRPr="00C77493">
        <w:rPr>
          <w:rFonts w:ascii="方正小标宋简体" w:eastAsia="方正小标宋简体" w:hint="eastAsia"/>
          <w:sz w:val="40"/>
        </w:rPr>
        <w:t>费政府指导价标准</w:t>
      </w:r>
      <w:proofErr w:type="spellEnd"/>
    </w:p>
    <w:p w14:paraId="278EA974" w14:textId="77777777" w:rsidR="00515F1E" w:rsidRPr="00F70E2E" w:rsidRDefault="00515F1E" w:rsidP="00515F1E">
      <w:pPr>
        <w:pStyle w:val="a7"/>
        <w:jc w:val="center"/>
        <w:rPr>
          <w:rFonts w:ascii="方正小标宋简体" w:eastAsia="方正小标宋简体"/>
          <w:szCs w:val="32"/>
        </w:rPr>
      </w:pPr>
      <w:proofErr w:type="spellStart"/>
      <w:r w:rsidRPr="00F70E2E">
        <w:rPr>
          <w:rFonts w:ascii="方正小标宋简体" w:eastAsia="方正小标宋简体" w:hint="eastAsia"/>
          <w:szCs w:val="32"/>
        </w:rPr>
        <w:t>物业服务费指导标准</w:t>
      </w:r>
      <w:proofErr w:type="spellEnd"/>
    </w:p>
    <w:p w14:paraId="27079092" w14:textId="77777777" w:rsidR="00515F1E" w:rsidRPr="003F4FA3" w:rsidRDefault="00515F1E" w:rsidP="00515F1E">
      <w:pPr>
        <w:pStyle w:val="a7"/>
        <w:ind w:right="280"/>
        <w:jc w:val="right"/>
        <w:rPr>
          <w:rFonts w:ascii="微软雅黑" w:eastAsia="微软雅黑" w:hAnsi="微软雅黑"/>
          <w:sz w:val="24"/>
          <w:szCs w:val="32"/>
        </w:rPr>
      </w:pPr>
      <w:proofErr w:type="spellStart"/>
      <w:r w:rsidRPr="003F4FA3">
        <w:rPr>
          <w:rFonts w:ascii="微软雅黑" w:eastAsia="微软雅黑" w:hAnsi="微软雅黑" w:hint="eastAsia"/>
          <w:sz w:val="24"/>
          <w:szCs w:val="32"/>
        </w:rPr>
        <w:t>单位：元</w:t>
      </w:r>
      <w:proofErr w:type="spellEnd"/>
      <w:r w:rsidRPr="003F4FA3">
        <w:rPr>
          <w:rFonts w:ascii="微软雅黑" w:eastAsia="微软雅黑" w:hAnsi="微软雅黑" w:hint="eastAsia"/>
          <w:sz w:val="24"/>
          <w:szCs w:val="32"/>
        </w:rPr>
        <w:t>/</w:t>
      </w:r>
      <w:proofErr w:type="spellStart"/>
      <w:r w:rsidRPr="003F4FA3">
        <w:rPr>
          <w:rFonts w:ascii="微软雅黑" w:eastAsia="微软雅黑" w:hAnsi="微软雅黑" w:hint="eastAsia"/>
          <w:sz w:val="24"/>
          <w:szCs w:val="32"/>
        </w:rPr>
        <w:t>平米·月</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78"/>
        <w:gridCol w:w="1178"/>
        <w:gridCol w:w="1178"/>
        <w:gridCol w:w="1178"/>
        <w:gridCol w:w="1174"/>
      </w:tblGrid>
      <w:tr w:rsidR="00515F1E" w:rsidRPr="00C77493" w14:paraId="6E75348E" w14:textId="77777777" w:rsidTr="00541C8E">
        <w:trPr>
          <w:trHeight w:val="624"/>
        </w:trPr>
        <w:tc>
          <w:tcPr>
            <w:tcW w:w="1667" w:type="pct"/>
            <w:tcBorders>
              <w:top w:val="single" w:sz="6" w:space="0" w:color="000000"/>
              <w:left w:val="single" w:sz="6" w:space="0" w:color="000000"/>
              <w:bottom w:val="single" w:sz="6" w:space="0" w:color="auto"/>
              <w:right w:val="single" w:sz="6" w:space="0" w:color="auto"/>
              <w:tl2br w:val="single" w:sz="4" w:space="0" w:color="000000"/>
            </w:tcBorders>
            <w:shd w:val="clear" w:color="auto" w:fill="auto"/>
            <w:vAlign w:val="center"/>
          </w:tcPr>
          <w:p w14:paraId="68420B2D"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rPr>
            </w:pPr>
            <w:r w:rsidRPr="008A475D">
              <w:rPr>
                <w:rFonts w:ascii="微软雅黑" w:eastAsia="微软雅黑" w:hAnsi="微软雅黑" w:cs="Segoe UI" w:hint="eastAsia"/>
                <w:kern w:val="0"/>
                <w:sz w:val="24"/>
              </w:rPr>
              <w:t xml:space="preserve"> </w:t>
            </w:r>
            <w:r w:rsidRPr="008A475D">
              <w:rPr>
                <w:rFonts w:ascii="微软雅黑" w:eastAsia="微软雅黑" w:hAnsi="微软雅黑" w:cs="Segoe UI"/>
                <w:kern w:val="0"/>
                <w:sz w:val="24"/>
              </w:rPr>
              <w:t xml:space="preserve">      </w:t>
            </w:r>
            <w:r w:rsidRPr="008A475D">
              <w:rPr>
                <w:rFonts w:ascii="微软雅黑" w:eastAsia="微软雅黑" w:hAnsi="微软雅黑" w:cs="Segoe UI" w:hint="eastAsia"/>
                <w:kern w:val="0"/>
                <w:sz w:val="24"/>
              </w:rPr>
              <w:t>物业服务等级</w:t>
            </w:r>
          </w:p>
          <w:p w14:paraId="48B3AAE5" w14:textId="77777777" w:rsidR="00515F1E" w:rsidRPr="00C77493" w:rsidRDefault="00515F1E" w:rsidP="00541C8E">
            <w:pPr>
              <w:pStyle w:val="a7"/>
            </w:pPr>
            <w:proofErr w:type="spellStart"/>
            <w:r w:rsidRPr="008A475D">
              <w:rPr>
                <w:rFonts w:ascii="微软雅黑" w:eastAsia="微软雅黑" w:hAnsi="微软雅黑" w:hint="eastAsia"/>
                <w:sz w:val="24"/>
                <w:szCs w:val="24"/>
              </w:rPr>
              <w:t>最高收费标准</w:t>
            </w:r>
            <w:proofErr w:type="spellEnd"/>
          </w:p>
        </w:tc>
        <w:tc>
          <w:tcPr>
            <w:tcW w:w="667" w:type="pct"/>
            <w:tcBorders>
              <w:top w:val="single" w:sz="6" w:space="0" w:color="000000"/>
              <w:left w:val="single" w:sz="6" w:space="0" w:color="auto"/>
              <w:bottom w:val="single" w:sz="6" w:space="0" w:color="auto"/>
              <w:right w:val="single" w:sz="6" w:space="0" w:color="auto"/>
            </w:tcBorders>
            <w:shd w:val="clear" w:color="auto" w:fill="auto"/>
            <w:vAlign w:val="center"/>
          </w:tcPr>
          <w:p w14:paraId="2FAFDC19"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一级</w:t>
            </w:r>
          </w:p>
        </w:tc>
        <w:tc>
          <w:tcPr>
            <w:tcW w:w="667" w:type="pct"/>
            <w:tcBorders>
              <w:top w:val="single" w:sz="6" w:space="0" w:color="000000"/>
              <w:left w:val="single" w:sz="6" w:space="0" w:color="auto"/>
              <w:bottom w:val="single" w:sz="6" w:space="0" w:color="auto"/>
              <w:right w:val="single" w:sz="6" w:space="0" w:color="auto"/>
            </w:tcBorders>
            <w:shd w:val="clear" w:color="auto" w:fill="auto"/>
            <w:vAlign w:val="center"/>
          </w:tcPr>
          <w:p w14:paraId="089B7ACF"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二级</w:t>
            </w:r>
          </w:p>
        </w:tc>
        <w:tc>
          <w:tcPr>
            <w:tcW w:w="667" w:type="pct"/>
            <w:tcBorders>
              <w:top w:val="single" w:sz="6" w:space="0" w:color="000000"/>
              <w:left w:val="single" w:sz="6" w:space="0" w:color="auto"/>
              <w:bottom w:val="single" w:sz="6" w:space="0" w:color="auto"/>
              <w:right w:val="single" w:sz="6" w:space="0" w:color="auto"/>
            </w:tcBorders>
            <w:shd w:val="clear" w:color="auto" w:fill="auto"/>
            <w:vAlign w:val="center"/>
          </w:tcPr>
          <w:p w14:paraId="4FC314DD"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三级</w:t>
            </w:r>
          </w:p>
        </w:tc>
        <w:tc>
          <w:tcPr>
            <w:tcW w:w="667" w:type="pct"/>
            <w:tcBorders>
              <w:top w:val="single" w:sz="6" w:space="0" w:color="000000"/>
              <w:left w:val="single" w:sz="6" w:space="0" w:color="auto"/>
              <w:bottom w:val="single" w:sz="6" w:space="0" w:color="auto"/>
              <w:right w:val="single" w:sz="6" w:space="0" w:color="auto"/>
            </w:tcBorders>
            <w:shd w:val="clear" w:color="auto" w:fill="auto"/>
            <w:vAlign w:val="center"/>
          </w:tcPr>
          <w:p w14:paraId="0A044EEF"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四级</w:t>
            </w:r>
          </w:p>
        </w:tc>
        <w:tc>
          <w:tcPr>
            <w:tcW w:w="667" w:type="pct"/>
            <w:tcBorders>
              <w:top w:val="single" w:sz="6" w:space="0" w:color="000000"/>
              <w:left w:val="single" w:sz="6" w:space="0" w:color="auto"/>
              <w:bottom w:val="single" w:sz="6" w:space="0" w:color="auto"/>
              <w:right w:val="single" w:sz="6" w:space="0" w:color="000000"/>
            </w:tcBorders>
            <w:shd w:val="clear" w:color="auto" w:fill="auto"/>
            <w:vAlign w:val="center"/>
          </w:tcPr>
          <w:p w14:paraId="6254E8D6"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等外</w:t>
            </w:r>
          </w:p>
        </w:tc>
      </w:tr>
      <w:tr w:rsidR="00515F1E" w:rsidRPr="00C77493" w14:paraId="542A6E89" w14:textId="77777777" w:rsidTr="00541C8E">
        <w:trPr>
          <w:trHeight w:val="510"/>
        </w:trPr>
        <w:tc>
          <w:tcPr>
            <w:tcW w:w="1667" w:type="pct"/>
            <w:tcBorders>
              <w:top w:val="single" w:sz="6" w:space="0" w:color="auto"/>
              <w:left w:val="single" w:sz="6" w:space="0" w:color="000000"/>
              <w:bottom w:val="single" w:sz="6" w:space="0" w:color="auto"/>
              <w:right w:val="single" w:sz="6" w:space="0" w:color="auto"/>
            </w:tcBorders>
            <w:shd w:val="clear" w:color="auto" w:fill="auto"/>
            <w:vAlign w:val="center"/>
          </w:tcPr>
          <w:p w14:paraId="216E0B1F"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高层</w:t>
            </w:r>
          </w:p>
        </w:tc>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14:paraId="15AD6E85"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2</w:t>
            </w:r>
            <w:r w:rsidRPr="008A475D">
              <w:rPr>
                <w:rFonts w:ascii="微软雅黑" w:eastAsia="微软雅黑" w:hAnsi="微软雅黑" w:cs="Segoe UI"/>
                <w:kern w:val="0"/>
                <w:sz w:val="24"/>
                <w:szCs w:val="32"/>
              </w:rPr>
              <w:t>.2</w:t>
            </w:r>
          </w:p>
        </w:tc>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14:paraId="39759805"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1</w:t>
            </w:r>
            <w:r w:rsidRPr="008A475D">
              <w:rPr>
                <w:rFonts w:ascii="微软雅黑" w:eastAsia="微软雅黑" w:hAnsi="微软雅黑" w:cs="Segoe UI"/>
                <w:kern w:val="0"/>
                <w:sz w:val="24"/>
                <w:szCs w:val="32"/>
              </w:rPr>
              <w:t>.8</w:t>
            </w:r>
          </w:p>
        </w:tc>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14:paraId="6F55B807"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1</w:t>
            </w:r>
            <w:r w:rsidRPr="008A475D">
              <w:rPr>
                <w:rFonts w:ascii="微软雅黑" w:eastAsia="微软雅黑" w:hAnsi="微软雅黑" w:cs="Segoe UI"/>
                <w:kern w:val="0"/>
                <w:sz w:val="24"/>
                <w:szCs w:val="32"/>
              </w:rPr>
              <w:t>.5</w:t>
            </w:r>
          </w:p>
        </w:tc>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14:paraId="4681D7EF"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1.</w:t>
            </w:r>
            <w:r w:rsidRPr="008A475D">
              <w:rPr>
                <w:rFonts w:ascii="微软雅黑" w:eastAsia="微软雅黑" w:hAnsi="微软雅黑" w:cs="Segoe UI"/>
                <w:kern w:val="0"/>
                <w:sz w:val="24"/>
                <w:szCs w:val="32"/>
              </w:rPr>
              <w:t>2</w:t>
            </w:r>
          </w:p>
        </w:tc>
        <w:tc>
          <w:tcPr>
            <w:tcW w:w="667" w:type="pct"/>
            <w:tcBorders>
              <w:top w:val="single" w:sz="6" w:space="0" w:color="auto"/>
              <w:left w:val="single" w:sz="6" w:space="0" w:color="auto"/>
              <w:bottom w:val="single" w:sz="6" w:space="0" w:color="auto"/>
              <w:right w:val="single" w:sz="6" w:space="0" w:color="000000"/>
            </w:tcBorders>
            <w:shd w:val="clear" w:color="auto" w:fill="auto"/>
            <w:vAlign w:val="center"/>
          </w:tcPr>
          <w:p w14:paraId="7E45BB2B"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1</w:t>
            </w:r>
          </w:p>
        </w:tc>
      </w:tr>
      <w:tr w:rsidR="00515F1E" w:rsidRPr="00C77493" w14:paraId="372893B8" w14:textId="77777777" w:rsidTr="00541C8E">
        <w:trPr>
          <w:trHeight w:val="510"/>
        </w:trPr>
        <w:tc>
          <w:tcPr>
            <w:tcW w:w="1667" w:type="pct"/>
            <w:tcBorders>
              <w:top w:val="single" w:sz="6" w:space="0" w:color="auto"/>
              <w:left w:val="single" w:sz="6" w:space="0" w:color="000000"/>
              <w:bottom w:val="single" w:sz="6" w:space="0" w:color="000000"/>
              <w:right w:val="single" w:sz="6" w:space="0" w:color="auto"/>
            </w:tcBorders>
            <w:shd w:val="clear" w:color="auto" w:fill="auto"/>
            <w:vAlign w:val="center"/>
          </w:tcPr>
          <w:p w14:paraId="7ADF58C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多层</w:t>
            </w:r>
          </w:p>
        </w:tc>
        <w:tc>
          <w:tcPr>
            <w:tcW w:w="667" w:type="pct"/>
            <w:tcBorders>
              <w:top w:val="single" w:sz="6" w:space="0" w:color="auto"/>
              <w:left w:val="single" w:sz="6" w:space="0" w:color="auto"/>
              <w:bottom w:val="single" w:sz="6" w:space="0" w:color="000000"/>
              <w:right w:val="single" w:sz="6" w:space="0" w:color="auto"/>
            </w:tcBorders>
            <w:shd w:val="clear" w:color="auto" w:fill="auto"/>
            <w:vAlign w:val="center"/>
          </w:tcPr>
          <w:p w14:paraId="655ECB46"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0</w:t>
            </w:r>
            <w:r w:rsidRPr="008A475D">
              <w:rPr>
                <w:rFonts w:ascii="微软雅黑" w:eastAsia="微软雅黑" w:hAnsi="微软雅黑" w:cs="Segoe UI"/>
                <w:kern w:val="0"/>
                <w:sz w:val="24"/>
                <w:szCs w:val="32"/>
              </w:rPr>
              <w:t>.85</w:t>
            </w:r>
          </w:p>
        </w:tc>
        <w:tc>
          <w:tcPr>
            <w:tcW w:w="667" w:type="pct"/>
            <w:tcBorders>
              <w:top w:val="single" w:sz="6" w:space="0" w:color="auto"/>
              <w:left w:val="single" w:sz="6" w:space="0" w:color="auto"/>
              <w:bottom w:val="single" w:sz="6" w:space="0" w:color="000000"/>
              <w:right w:val="single" w:sz="6" w:space="0" w:color="auto"/>
            </w:tcBorders>
            <w:shd w:val="clear" w:color="auto" w:fill="auto"/>
            <w:vAlign w:val="center"/>
          </w:tcPr>
          <w:p w14:paraId="00A920C3"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0</w:t>
            </w:r>
            <w:r w:rsidRPr="008A475D">
              <w:rPr>
                <w:rFonts w:ascii="微软雅黑" w:eastAsia="微软雅黑" w:hAnsi="微软雅黑" w:cs="Segoe UI"/>
                <w:kern w:val="0"/>
                <w:sz w:val="24"/>
                <w:szCs w:val="32"/>
              </w:rPr>
              <w:t>.75</w:t>
            </w:r>
          </w:p>
        </w:tc>
        <w:tc>
          <w:tcPr>
            <w:tcW w:w="667" w:type="pct"/>
            <w:tcBorders>
              <w:top w:val="single" w:sz="6" w:space="0" w:color="auto"/>
              <w:left w:val="single" w:sz="6" w:space="0" w:color="auto"/>
              <w:bottom w:val="single" w:sz="6" w:space="0" w:color="000000"/>
              <w:right w:val="single" w:sz="6" w:space="0" w:color="auto"/>
            </w:tcBorders>
            <w:shd w:val="clear" w:color="auto" w:fill="auto"/>
            <w:vAlign w:val="center"/>
          </w:tcPr>
          <w:p w14:paraId="735A94A1"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0</w:t>
            </w:r>
            <w:r w:rsidRPr="008A475D">
              <w:rPr>
                <w:rFonts w:ascii="微软雅黑" w:eastAsia="微软雅黑" w:hAnsi="微软雅黑" w:cs="Segoe UI"/>
                <w:kern w:val="0"/>
                <w:sz w:val="24"/>
                <w:szCs w:val="32"/>
              </w:rPr>
              <w:t>.65</w:t>
            </w:r>
          </w:p>
        </w:tc>
        <w:tc>
          <w:tcPr>
            <w:tcW w:w="667" w:type="pct"/>
            <w:tcBorders>
              <w:top w:val="single" w:sz="6" w:space="0" w:color="auto"/>
              <w:left w:val="single" w:sz="6" w:space="0" w:color="auto"/>
              <w:bottom w:val="single" w:sz="6" w:space="0" w:color="000000"/>
              <w:right w:val="single" w:sz="6" w:space="0" w:color="auto"/>
            </w:tcBorders>
            <w:shd w:val="clear" w:color="auto" w:fill="auto"/>
            <w:vAlign w:val="center"/>
          </w:tcPr>
          <w:p w14:paraId="7504E2B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0</w:t>
            </w:r>
            <w:r w:rsidRPr="008A475D">
              <w:rPr>
                <w:rFonts w:ascii="微软雅黑" w:eastAsia="微软雅黑" w:hAnsi="微软雅黑" w:cs="Segoe UI"/>
                <w:kern w:val="0"/>
                <w:sz w:val="24"/>
                <w:szCs w:val="32"/>
              </w:rPr>
              <w:t>.55</w:t>
            </w:r>
          </w:p>
        </w:tc>
        <w:tc>
          <w:tcPr>
            <w:tcW w:w="667" w:type="pct"/>
            <w:tcBorders>
              <w:top w:val="single" w:sz="6" w:space="0" w:color="auto"/>
              <w:left w:val="single" w:sz="6" w:space="0" w:color="auto"/>
              <w:bottom w:val="single" w:sz="6" w:space="0" w:color="000000"/>
              <w:right w:val="single" w:sz="6" w:space="0" w:color="000000"/>
            </w:tcBorders>
            <w:shd w:val="clear" w:color="auto" w:fill="auto"/>
            <w:vAlign w:val="center"/>
          </w:tcPr>
          <w:p w14:paraId="577B7AF3"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0</w:t>
            </w:r>
            <w:r w:rsidRPr="008A475D">
              <w:rPr>
                <w:rFonts w:ascii="微软雅黑" w:eastAsia="微软雅黑" w:hAnsi="微软雅黑" w:cs="Segoe UI"/>
                <w:kern w:val="0"/>
                <w:sz w:val="24"/>
                <w:szCs w:val="32"/>
              </w:rPr>
              <w:t>.5</w:t>
            </w:r>
          </w:p>
        </w:tc>
      </w:tr>
    </w:tbl>
    <w:p w14:paraId="2AB7D2B6" w14:textId="77777777" w:rsidR="00515F1E" w:rsidRPr="0045630F" w:rsidRDefault="00515F1E" w:rsidP="00515F1E">
      <w:pPr>
        <w:pStyle w:val="a7"/>
        <w:adjustRightInd w:val="0"/>
        <w:snapToGrid w:val="0"/>
        <w:spacing w:beforeLines="50" w:before="156" w:line="360" w:lineRule="auto"/>
        <w:ind w:firstLineChars="200" w:firstLine="560"/>
        <w:rPr>
          <w:rFonts w:ascii="方正中等线简体" w:eastAsia="方正中等线简体" w:hAnsi="黑体"/>
          <w:b/>
          <w:sz w:val="28"/>
          <w:szCs w:val="32"/>
        </w:rPr>
      </w:pPr>
      <w:proofErr w:type="spellStart"/>
      <w:r w:rsidRPr="0045630F">
        <w:rPr>
          <w:rFonts w:ascii="方正中等线简体" w:eastAsia="方正中等线简体" w:hAnsi="黑体" w:hint="eastAsia"/>
          <w:b/>
          <w:sz w:val="28"/>
          <w:szCs w:val="32"/>
        </w:rPr>
        <w:t>说明</w:t>
      </w:r>
      <w:proofErr w:type="spellEnd"/>
      <w:r w:rsidRPr="0045630F">
        <w:rPr>
          <w:rFonts w:ascii="方正中等线简体" w:eastAsia="方正中等线简体" w:hAnsi="黑体" w:hint="eastAsia"/>
          <w:b/>
          <w:sz w:val="28"/>
          <w:szCs w:val="32"/>
        </w:rPr>
        <w:t>：</w:t>
      </w:r>
    </w:p>
    <w:p w14:paraId="691B53ED" w14:textId="77777777" w:rsidR="00515F1E" w:rsidRPr="0048157B" w:rsidRDefault="00515F1E" w:rsidP="00515F1E">
      <w:pPr>
        <w:widowControl/>
        <w:shd w:val="clear" w:color="auto" w:fill="FFFFFF"/>
        <w:adjustRightInd w:val="0"/>
        <w:snapToGrid w:val="0"/>
        <w:spacing w:line="560" w:lineRule="exact"/>
        <w:ind w:firstLineChars="200" w:firstLine="560"/>
        <w:rPr>
          <w:rFonts w:ascii="仿宋_GB2312" w:eastAsia="仿宋_GB2312" w:hAnsi="Segoe UI" w:cs="Segoe UI" w:hint="eastAsia"/>
          <w:kern w:val="0"/>
          <w:sz w:val="28"/>
          <w:szCs w:val="28"/>
        </w:rPr>
      </w:pPr>
      <w:r w:rsidRPr="0048157B">
        <w:rPr>
          <w:rFonts w:ascii="仿宋_GB2312" w:eastAsia="仿宋_GB2312" w:hAnsi="Segoe UI" w:cs="Segoe UI" w:hint="eastAsia"/>
          <w:kern w:val="0"/>
          <w:sz w:val="28"/>
          <w:szCs w:val="28"/>
        </w:rPr>
        <w:t>1.实行政府指导价的物业服务收费实行等级服务、等级收费。物业服务收费等级标准依据西咸新区住房和城乡建设局印发的《西咸新区住宅小区物业服务指导标准》，按照质价相符的原则制定；物业服务凡达不到四级服务标准的，收费按等外标准收取。</w:t>
      </w:r>
    </w:p>
    <w:p w14:paraId="586F93B2" w14:textId="77777777" w:rsidR="00515F1E" w:rsidRPr="0048157B" w:rsidRDefault="00515F1E" w:rsidP="00515F1E">
      <w:pPr>
        <w:widowControl/>
        <w:shd w:val="clear" w:color="auto" w:fill="FFFFFF"/>
        <w:adjustRightInd w:val="0"/>
        <w:snapToGrid w:val="0"/>
        <w:spacing w:line="560" w:lineRule="exact"/>
        <w:ind w:firstLineChars="200" w:firstLine="560"/>
        <w:rPr>
          <w:rFonts w:ascii="仿宋_GB2312" w:eastAsia="仿宋_GB2312" w:hAnsi="Segoe UI" w:cs="Segoe UI" w:hint="eastAsia"/>
          <w:kern w:val="0"/>
          <w:sz w:val="28"/>
          <w:szCs w:val="28"/>
        </w:rPr>
      </w:pPr>
      <w:r w:rsidRPr="0048157B">
        <w:rPr>
          <w:rFonts w:ascii="仿宋_GB2312" w:eastAsia="仿宋_GB2312" w:hAnsi="Segoe UI" w:cs="Segoe UI" w:hint="eastAsia"/>
          <w:kern w:val="0"/>
          <w:sz w:val="28"/>
          <w:szCs w:val="28"/>
        </w:rPr>
        <w:t>2.高层指七层以上(含七层）带电梯的住宅，七层不带电梯的参照多层收费标准;多层指六层以下(含六层）不带电梯的住宅，六层及以下带电梯参照高层收费标准;老旧住宅改造后带电梯的物业服务费按照不高于高层等外收费标准执行。</w:t>
      </w:r>
    </w:p>
    <w:p w14:paraId="4B820362" w14:textId="77777777" w:rsidR="00515F1E" w:rsidRPr="0048157B" w:rsidRDefault="00515F1E" w:rsidP="00515F1E">
      <w:pPr>
        <w:widowControl/>
        <w:shd w:val="clear" w:color="auto" w:fill="FFFFFF"/>
        <w:adjustRightInd w:val="0"/>
        <w:snapToGrid w:val="0"/>
        <w:spacing w:line="560" w:lineRule="exact"/>
        <w:ind w:firstLineChars="200" w:firstLine="560"/>
        <w:rPr>
          <w:rFonts w:ascii="仿宋_GB2312" w:eastAsia="仿宋_GB2312" w:hAnsi="Segoe UI" w:cs="Segoe UI" w:hint="eastAsia"/>
          <w:kern w:val="0"/>
          <w:sz w:val="28"/>
          <w:szCs w:val="28"/>
        </w:rPr>
      </w:pPr>
      <w:r w:rsidRPr="0048157B">
        <w:rPr>
          <w:rFonts w:ascii="仿宋_GB2312" w:eastAsia="仿宋_GB2312" w:hAnsi="Segoe UI" w:cs="Segoe UI" w:hint="eastAsia"/>
          <w:kern w:val="0"/>
          <w:sz w:val="28"/>
          <w:szCs w:val="28"/>
        </w:rPr>
        <w:t>3.高层一级+物业服务收费标准为在高层一级物业服务收费标准的基础</w:t>
      </w:r>
      <w:proofErr w:type="gramStart"/>
      <w:r w:rsidRPr="0048157B">
        <w:rPr>
          <w:rFonts w:ascii="仿宋_GB2312" w:eastAsia="仿宋_GB2312" w:hAnsi="Segoe UI" w:cs="Segoe UI" w:hint="eastAsia"/>
          <w:kern w:val="0"/>
          <w:sz w:val="28"/>
          <w:szCs w:val="28"/>
        </w:rPr>
        <w:t>上</w:t>
      </w:r>
      <w:proofErr w:type="gramEnd"/>
      <w:r w:rsidRPr="0048157B">
        <w:rPr>
          <w:rFonts w:ascii="仿宋_GB2312" w:eastAsia="仿宋_GB2312" w:hAnsi="Segoe UI" w:cs="Segoe UI" w:hint="eastAsia"/>
          <w:kern w:val="0"/>
          <w:sz w:val="28"/>
          <w:szCs w:val="28"/>
        </w:rPr>
        <w:t>上浮10%；多层一级+物业服务收费标准为在多层物业服务收费标准一级的基础</w:t>
      </w:r>
      <w:proofErr w:type="gramStart"/>
      <w:r w:rsidRPr="0048157B">
        <w:rPr>
          <w:rFonts w:ascii="仿宋_GB2312" w:eastAsia="仿宋_GB2312" w:hAnsi="Segoe UI" w:cs="Segoe UI" w:hint="eastAsia"/>
          <w:kern w:val="0"/>
          <w:sz w:val="28"/>
          <w:szCs w:val="28"/>
        </w:rPr>
        <w:t>上</w:t>
      </w:r>
      <w:proofErr w:type="gramEnd"/>
      <w:r w:rsidRPr="0048157B">
        <w:rPr>
          <w:rFonts w:ascii="仿宋_GB2312" w:eastAsia="仿宋_GB2312" w:hAnsi="Segoe UI" w:cs="Segoe UI" w:hint="eastAsia"/>
          <w:kern w:val="0"/>
          <w:sz w:val="28"/>
          <w:szCs w:val="28"/>
        </w:rPr>
        <w:t>上浮20%。</w:t>
      </w:r>
    </w:p>
    <w:p w14:paraId="55C899C5" w14:textId="77777777" w:rsidR="00515F1E" w:rsidRPr="0048157B" w:rsidRDefault="00515F1E" w:rsidP="00515F1E">
      <w:pPr>
        <w:widowControl/>
        <w:shd w:val="clear" w:color="auto" w:fill="FFFFFF"/>
        <w:adjustRightInd w:val="0"/>
        <w:snapToGrid w:val="0"/>
        <w:spacing w:line="560" w:lineRule="exact"/>
        <w:ind w:firstLineChars="200" w:firstLine="560"/>
        <w:rPr>
          <w:rFonts w:ascii="仿宋_GB2312" w:eastAsia="仿宋_GB2312" w:hAnsi="Segoe UI" w:cs="Segoe UI" w:hint="eastAsia"/>
          <w:kern w:val="0"/>
          <w:sz w:val="28"/>
          <w:szCs w:val="28"/>
        </w:rPr>
      </w:pPr>
      <w:r w:rsidRPr="0048157B">
        <w:rPr>
          <w:rFonts w:ascii="仿宋_GB2312" w:eastAsia="仿宋_GB2312" w:hAnsi="Segoe UI" w:cs="Segoe UI" w:hint="eastAsia"/>
          <w:kern w:val="0"/>
          <w:sz w:val="28"/>
          <w:szCs w:val="28"/>
        </w:rPr>
        <w:lastRenderedPageBreak/>
        <w:t>4.上述收费标准为基准价，下浮不限。</w:t>
      </w:r>
    </w:p>
    <w:p w14:paraId="0BC00C3C" w14:textId="77777777" w:rsidR="00515F1E" w:rsidRPr="0048157B" w:rsidRDefault="00515F1E" w:rsidP="00515F1E">
      <w:pPr>
        <w:pStyle w:val="a7"/>
        <w:adjustRightInd w:val="0"/>
        <w:snapToGrid w:val="0"/>
        <w:spacing w:after="0" w:line="560" w:lineRule="exact"/>
        <w:ind w:firstLineChars="200" w:firstLine="560"/>
        <w:rPr>
          <w:rFonts w:ascii="仿宋_GB2312" w:eastAsia="仿宋_GB2312" w:hint="eastAsia"/>
          <w:sz w:val="28"/>
          <w:szCs w:val="28"/>
        </w:rPr>
      </w:pPr>
      <w:r w:rsidRPr="0048157B">
        <w:rPr>
          <w:rFonts w:ascii="仿宋_GB2312" w:eastAsia="仿宋_GB2312" w:hint="eastAsia"/>
          <w:sz w:val="28"/>
          <w:szCs w:val="28"/>
        </w:rPr>
        <w:t>多层住宅的一级、二级、三级、四级、等外可按基准价上浮不超过20%的原则制定物业服务收费标准。物业企业执行浮动收费标准前，物业服务标准向物业项目所在地住建部门备案，收费标准抄送同级市场监管部门后执行。</w:t>
      </w:r>
    </w:p>
    <w:p w14:paraId="61A22253" w14:textId="77777777" w:rsidR="00515F1E" w:rsidRPr="0048157B" w:rsidRDefault="00515F1E" w:rsidP="00515F1E">
      <w:pPr>
        <w:pStyle w:val="a7"/>
        <w:adjustRightInd w:val="0"/>
        <w:snapToGrid w:val="0"/>
        <w:spacing w:after="0" w:line="560" w:lineRule="exact"/>
        <w:ind w:firstLineChars="200" w:firstLine="560"/>
        <w:rPr>
          <w:rFonts w:ascii="仿宋_GB2312" w:eastAsia="仿宋_GB2312" w:hint="eastAsia"/>
          <w:sz w:val="28"/>
          <w:szCs w:val="28"/>
        </w:rPr>
      </w:pPr>
      <w:proofErr w:type="spellStart"/>
      <w:r w:rsidRPr="0048157B">
        <w:rPr>
          <w:rFonts w:ascii="仿宋_GB2312" w:eastAsia="仿宋_GB2312" w:hint="eastAsia"/>
          <w:sz w:val="28"/>
          <w:szCs w:val="28"/>
        </w:rPr>
        <w:t>上浮仅限于多层住宅的一级、二级、三级、四级、等外，多层一级+无上浮；高层一级</w:t>
      </w:r>
      <w:proofErr w:type="spellEnd"/>
      <w:r w:rsidRPr="0048157B">
        <w:rPr>
          <w:rFonts w:ascii="仿宋_GB2312" w:eastAsia="仿宋_GB2312" w:hint="eastAsia"/>
          <w:sz w:val="28"/>
          <w:szCs w:val="28"/>
        </w:rPr>
        <w:t>+、</w:t>
      </w:r>
      <w:proofErr w:type="spellStart"/>
      <w:r w:rsidRPr="0048157B">
        <w:rPr>
          <w:rFonts w:ascii="仿宋_GB2312" w:eastAsia="仿宋_GB2312" w:hint="eastAsia"/>
          <w:sz w:val="28"/>
          <w:szCs w:val="28"/>
        </w:rPr>
        <w:t>一级、二级、三级、四级、等外无上浮</w:t>
      </w:r>
      <w:proofErr w:type="spellEnd"/>
      <w:r w:rsidRPr="0048157B">
        <w:rPr>
          <w:rFonts w:ascii="仿宋_GB2312" w:eastAsia="仿宋_GB2312" w:hint="eastAsia"/>
          <w:sz w:val="28"/>
          <w:szCs w:val="28"/>
        </w:rPr>
        <w:t>。</w:t>
      </w:r>
    </w:p>
    <w:p w14:paraId="240BC3C3" w14:textId="77777777" w:rsidR="00515F1E" w:rsidRPr="00A80AD2" w:rsidRDefault="00515F1E" w:rsidP="00515F1E">
      <w:pPr>
        <w:pStyle w:val="a7"/>
        <w:rPr>
          <w:rFonts w:hAnsi="Segoe UI" w:cs="Segoe UI"/>
          <w:kern w:val="0"/>
          <w:szCs w:val="32"/>
        </w:rPr>
        <w:sectPr w:rsidR="00515F1E" w:rsidRPr="00A80AD2" w:rsidSect="00E22598">
          <w:pgSz w:w="11906" w:h="16838"/>
          <w:pgMar w:top="2098" w:right="1474" w:bottom="1984" w:left="1587" w:header="851" w:footer="992" w:gutter="0"/>
          <w:pgNumType w:fmt="numberInDash"/>
          <w:cols w:space="720"/>
          <w:docGrid w:type="linesAndChars" w:linePitch="312"/>
        </w:sectPr>
      </w:pPr>
    </w:p>
    <w:p w14:paraId="7261E21C" w14:textId="77777777" w:rsidR="00515F1E" w:rsidRPr="00075747" w:rsidRDefault="00515F1E" w:rsidP="00515F1E">
      <w:pPr>
        <w:pStyle w:val="a7"/>
        <w:spacing w:afterLines="50" w:after="156"/>
        <w:jc w:val="center"/>
        <w:rPr>
          <w:rFonts w:ascii="方正小标宋简体" w:eastAsia="方正小标宋简体"/>
          <w:szCs w:val="32"/>
        </w:rPr>
      </w:pPr>
      <w:proofErr w:type="spellStart"/>
      <w:r w:rsidRPr="00F70E2E">
        <w:rPr>
          <w:rFonts w:ascii="方正小标宋简体" w:eastAsia="方正小标宋简体" w:hint="eastAsia"/>
          <w:szCs w:val="32"/>
        </w:rPr>
        <w:lastRenderedPageBreak/>
        <w:t>物业</w:t>
      </w:r>
      <w:r>
        <w:rPr>
          <w:rFonts w:ascii="方正小标宋简体" w:eastAsia="方正小标宋简体" w:hint="eastAsia"/>
          <w:szCs w:val="32"/>
        </w:rPr>
        <w:t>管理区域内机动车停放服务费指导</w:t>
      </w:r>
      <w:r w:rsidRPr="00F70E2E">
        <w:rPr>
          <w:rFonts w:ascii="方正小标宋简体" w:eastAsia="方正小标宋简体" w:hint="eastAsia"/>
          <w:szCs w:val="32"/>
        </w:rPr>
        <w:t>标准</w:t>
      </w:r>
      <w:proofErr w:type="spellEnd"/>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304"/>
        <w:gridCol w:w="1304"/>
        <w:gridCol w:w="1361"/>
        <w:gridCol w:w="1401"/>
      </w:tblGrid>
      <w:tr w:rsidR="00515F1E" w:rsidRPr="00C77493" w14:paraId="1ED4FDBF" w14:textId="77777777" w:rsidTr="00541C8E">
        <w:trPr>
          <w:trHeight w:val="624"/>
        </w:trPr>
        <w:tc>
          <w:tcPr>
            <w:tcW w:w="3253" w:type="dxa"/>
            <w:tcBorders>
              <w:top w:val="single" w:sz="6" w:space="0" w:color="000000"/>
              <w:left w:val="single" w:sz="6" w:space="0" w:color="000000"/>
              <w:bottom w:val="single" w:sz="6" w:space="0" w:color="auto"/>
              <w:right w:val="single" w:sz="6" w:space="0" w:color="auto"/>
              <w:tl2br w:val="single" w:sz="4" w:space="0" w:color="000000"/>
            </w:tcBorders>
            <w:shd w:val="clear" w:color="auto" w:fill="auto"/>
            <w:vAlign w:val="center"/>
          </w:tcPr>
          <w:p w14:paraId="302C36F2"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rPr>
            </w:pPr>
            <w:r w:rsidRPr="008A475D">
              <w:rPr>
                <w:rFonts w:ascii="微软雅黑" w:eastAsia="微软雅黑" w:hAnsi="微软雅黑" w:cs="Segoe UI" w:hint="eastAsia"/>
                <w:kern w:val="0"/>
                <w:sz w:val="24"/>
              </w:rPr>
              <w:t xml:space="preserve"> </w:t>
            </w:r>
            <w:r w:rsidRPr="008A475D">
              <w:rPr>
                <w:rFonts w:ascii="微软雅黑" w:eastAsia="微软雅黑" w:hAnsi="微软雅黑" w:cs="Segoe UI"/>
                <w:kern w:val="0"/>
                <w:sz w:val="24"/>
              </w:rPr>
              <w:t xml:space="preserve">             </w:t>
            </w:r>
            <w:r w:rsidRPr="008A475D">
              <w:rPr>
                <w:rFonts w:ascii="微软雅黑" w:eastAsia="微软雅黑" w:hAnsi="微软雅黑" w:cs="Segoe UI" w:hint="eastAsia"/>
                <w:kern w:val="0"/>
                <w:sz w:val="24"/>
              </w:rPr>
              <w:t>停车场类型</w:t>
            </w:r>
          </w:p>
          <w:p w14:paraId="2B44B59C" w14:textId="77777777" w:rsidR="00515F1E" w:rsidRPr="00C77493" w:rsidRDefault="00515F1E" w:rsidP="00541C8E">
            <w:pPr>
              <w:pStyle w:val="a7"/>
            </w:pPr>
            <w:proofErr w:type="spellStart"/>
            <w:r w:rsidRPr="008A475D">
              <w:rPr>
                <w:rFonts w:ascii="微软雅黑" w:eastAsia="微软雅黑" w:hAnsi="微软雅黑" w:hint="eastAsia"/>
                <w:sz w:val="24"/>
                <w:szCs w:val="24"/>
              </w:rPr>
              <w:t>最高收费标准</w:t>
            </w:r>
            <w:proofErr w:type="spellEnd"/>
          </w:p>
        </w:tc>
        <w:tc>
          <w:tcPr>
            <w:tcW w:w="3969" w:type="dxa"/>
            <w:gridSpan w:val="3"/>
            <w:tcBorders>
              <w:top w:val="single" w:sz="6" w:space="0" w:color="000000"/>
              <w:left w:val="single" w:sz="6" w:space="0" w:color="auto"/>
              <w:bottom w:val="single" w:sz="6" w:space="0" w:color="auto"/>
              <w:right w:val="single" w:sz="6" w:space="0" w:color="auto"/>
            </w:tcBorders>
            <w:shd w:val="clear" w:color="auto" w:fill="auto"/>
            <w:vAlign w:val="center"/>
          </w:tcPr>
          <w:p w14:paraId="05F7F765"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室内</w:t>
            </w:r>
          </w:p>
        </w:tc>
        <w:tc>
          <w:tcPr>
            <w:tcW w:w="1401" w:type="dxa"/>
            <w:tcBorders>
              <w:top w:val="single" w:sz="6" w:space="0" w:color="000000"/>
              <w:left w:val="single" w:sz="6" w:space="0" w:color="auto"/>
              <w:bottom w:val="single" w:sz="6" w:space="0" w:color="auto"/>
              <w:right w:val="single" w:sz="6" w:space="0" w:color="000000"/>
            </w:tcBorders>
            <w:shd w:val="clear" w:color="auto" w:fill="auto"/>
            <w:vAlign w:val="center"/>
          </w:tcPr>
          <w:p w14:paraId="14DA8961"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露天</w:t>
            </w:r>
          </w:p>
        </w:tc>
      </w:tr>
      <w:tr w:rsidR="00515F1E" w:rsidRPr="00C77493" w14:paraId="7CCC1AED" w14:textId="77777777" w:rsidTr="00541C8E">
        <w:trPr>
          <w:trHeight w:val="567"/>
        </w:trPr>
        <w:tc>
          <w:tcPr>
            <w:tcW w:w="3253" w:type="dxa"/>
            <w:vMerge w:val="restart"/>
            <w:tcBorders>
              <w:top w:val="single" w:sz="6" w:space="0" w:color="auto"/>
              <w:left w:val="single" w:sz="6" w:space="0" w:color="000000"/>
              <w:right w:val="single" w:sz="6" w:space="0" w:color="auto"/>
            </w:tcBorders>
            <w:shd w:val="clear" w:color="auto" w:fill="auto"/>
            <w:vAlign w:val="center"/>
          </w:tcPr>
          <w:p w14:paraId="6C174201"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按月（单位：元/车位·月）</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534C145A"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一级</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28B5A16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二级</w:t>
            </w:r>
          </w:p>
        </w:tc>
        <w:tc>
          <w:tcPr>
            <w:tcW w:w="1361" w:type="dxa"/>
            <w:tcBorders>
              <w:top w:val="single" w:sz="6" w:space="0" w:color="auto"/>
              <w:left w:val="single" w:sz="6" w:space="0" w:color="auto"/>
              <w:bottom w:val="single" w:sz="6" w:space="0" w:color="auto"/>
              <w:right w:val="single" w:sz="6" w:space="0" w:color="auto"/>
            </w:tcBorders>
            <w:shd w:val="clear" w:color="auto" w:fill="auto"/>
            <w:vAlign w:val="center"/>
          </w:tcPr>
          <w:p w14:paraId="5AFEBF8B"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等外</w:t>
            </w:r>
          </w:p>
        </w:tc>
        <w:tc>
          <w:tcPr>
            <w:tcW w:w="1401" w:type="dxa"/>
            <w:vMerge w:val="restart"/>
            <w:tcBorders>
              <w:top w:val="single" w:sz="6" w:space="0" w:color="auto"/>
              <w:left w:val="single" w:sz="6" w:space="0" w:color="auto"/>
              <w:right w:val="single" w:sz="6" w:space="0" w:color="000000"/>
            </w:tcBorders>
            <w:shd w:val="clear" w:color="auto" w:fill="auto"/>
            <w:vAlign w:val="center"/>
          </w:tcPr>
          <w:p w14:paraId="7A071561"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4</w:t>
            </w:r>
            <w:r w:rsidRPr="008A475D">
              <w:rPr>
                <w:rFonts w:ascii="微软雅黑" w:eastAsia="微软雅黑" w:hAnsi="微软雅黑" w:cs="Segoe UI"/>
                <w:kern w:val="0"/>
                <w:sz w:val="24"/>
                <w:szCs w:val="32"/>
              </w:rPr>
              <w:t>0</w:t>
            </w:r>
          </w:p>
        </w:tc>
      </w:tr>
      <w:tr w:rsidR="00515F1E" w:rsidRPr="00C77493" w14:paraId="57CD74AD" w14:textId="77777777" w:rsidTr="00541C8E">
        <w:trPr>
          <w:trHeight w:val="567"/>
        </w:trPr>
        <w:tc>
          <w:tcPr>
            <w:tcW w:w="3253" w:type="dxa"/>
            <w:vMerge/>
            <w:tcBorders>
              <w:left w:val="single" w:sz="6" w:space="0" w:color="000000"/>
              <w:bottom w:val="single" w:sz="6" w:space="0" w:color="auto"/>
              <w:right w:val="single" w:sz="6" w:space="0" w:color="auto"/>
            </w:tcBorders>
            <w:shd w:val="clear" w:color="auto" w:fill="auto"/>
            <w:vAlign w:val="center"/>
          </w:tcPr>
          <w:p w14:paraId="3D31FD7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41D6AD4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8</w:t>
            </w:r>
            <w:r w:rsidRPr="008A475D">
              <w:rPr>
                <w:rFonts w:ascii="微软雅黑" w:eastAsia="微软雅黑" w:hAnsi="微软雅黑" w:cs="Segoe UI"/>
                <w:kern w:val="0"/>
                <w:sz w:val="24"/>
                <w:szCs w:val="32"/>
              </w:rPr>
              <w:t>0</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63C35DB4"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6</w:t>
            </w:r>
            <w:r w:rsidRPr="008A475D">
              <w:rPr>
                <w:rFonts w:ascii="微软雅黑" w:eastAsia="微软雅黑" w:hAnsi="微软雅黑" w:cs="Segoe UI"/>
                <w:kern w:val="0"/>
                <w:sz w:val="24"/>
                <w:szCs w:val="32"/>
              </w:rPr>
              <w:t>0</w:t>
            </w:r>
          </w:p>
        </w:tc>
        <w:tc>
          <w:tcPr>
            <w:tcW w:w="1361" w:type="dxa"/>
            <w:tcBorders>
              <w:top w:val="single" w:sz="6" w:space="0" w:color="auto"/>
              <w:left w:val="single" w:sz="6" w:space="0" w:color="auto"/>
              <w:bottom w:val="single" w:sz="6" w:space="0" w:color="auto"/>
              <w:right w:val="single" w:sz="6" w:space="0" w:color="auto"/>
            </w:tcBorders>
            <w:shd w:val="clear" w:color="auto" w:fill="auto"/>
            <w:vAlign w:val="center"/>
          </w:tcPr>
          <w:p w14:paraId="58EEB076"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kern w:val="0"/>
                <w:sz w:val="24"/>
                <w:szCs w:val="32"/>
              </w:rPr>
              <w:t>50</w:t>
            </w:r>
          </w:p>
        </w:tc>
        <w:tc>
          <w:tcPr>
            <w:tcW w:w="1401" w:type="dxa"/>
            <w:vMerge/>
            <w:tcBorders>
              <w:left w:val="single" w:sz="6" w:space="0" w:color="auto"/>
              <w:bottom w:val="single" w:sz="6" w:space="0" w:color="auto"/>
              <w:right w:val="single" w:sz="6" w:space="0" w:color="000000"/>
            </w:tcBorders>
            <w:shd w:val="clear" w:color="auto" w:fill="auto"/>
            <w:vAlign w:val="center"/>
          </w:tcPr>
          <w:p w14:paraId="57F47230"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p>
        </w:tc>
      </w:tr>
      <w:tr w:rsidR="00515F1E" w:rsidRPr="00C77493" w14:paraId="084CB0B8" w14:textId="77777777" w:rsidTr="00541C8E">
        <w:trPr>
          <w:trHeight w:val="567"/>
        </w:trPr>
        <w:tc>
          <w:tcPr>
            <w:tcW w:w="3253" w:type="dxa"/>
            <w:tcBorders>
              <w:top w:val="single" w:sz="6" w:space="0" w:color="auto"/>
              <w:left w:val="single" w:sz="6" w:space="0" w:color="000000"/>
              <w:bottom w:val="single" w:sz="6" w:space="0" w:color="000000"/>
              <w:right w:val="single" w:sz="6" w:space="0" w:color="auto"/>
            </w:tcBorders>
            <w:shd w:val="clear" w:color="auto" w:fill="auto"/>
            <w:vAlign w:val="center"/>
          </w:tcPr>
          <w:p w14:paraId="0001F781"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按次（单位：元/车位·次）</w:t>
            </w:r>
          </w:p>
        </w:tc>
        <w:tc>
          <w:tcPr>
            <w:tcW w:w="1304" w:type="dxa"/>
            <w:tcBorders>
              <w:top w:val="single" w:sz="6" w:space="0" w:color="auto"/>
              <w:left w:val="single" w:sz="6" w:space="0" w:color="auto"/>
              <w:bottom w:val="single" w:sz="6" w:space="0" w:color="000000"/>
              <w:right w:val="single" w:sz="6" w:space="0" w:color="auto"/>
            </w:tcBorders>
            <w:shd w:val="clear" w:color="auto" w:fill="auto"/>
            <w:vAlign w:val="center"/>
          </w:tcPr>
          <w:p w14:paraId="6680BD7E"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hint="eastAsia"/>
                <w:kern w:val="0"/>
                <w:sz w:val="24"/>
                <w:szCs w:val="32"/>
              </w:rPr>
              <w:t>2</w:t>
            </w:r>
            <w:r w:rsidRPr="008A475D">
              <w:rPr>
                <w:rFonts w:ascii="微软雅黑" w:eastAsia="微软雅黑" w:hAnsi="微软雅黑" w:cs="Segoe UI"/>
                <w:kern w:val="0"/>
                <w:sz w:val="24"/>
                <w:szCs w:val="32"/>
              </w:rPr>
              <w:t>.5</w:t>
            </w:r>
          </w:p>
        </w:tc>
        <w:tc>
          <w:tcPr>
            <w:tcW w:w="1304" w:type="dxa"/>
            <w:tcBorders>
              <w:top w:val="single" w:sz="6" w:space="0" w:color="auto"/>
              <w:left w:val="single" w:sz="6" w:space="0" w:color="auto"/>
              <w:bottom w:val="single" w:sz="6" w:space="0" w:color="000000"/>
              <w:right w:val="single" w:sz="6" w:space="0" w:color="auto"/>
            </w:tcBorders>
            <w:shd w:val="clear" w:color="auto" w:fill="auto"/>
            <w:vAlign w:val="center"/>
          </w:tcPr>
          <w:p w14:paraId="73F27C5D"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kern w:val="0"/>
                <w:sz w:val="24"/>
                <w:szCs w:val="32"/>
              </w:rPr>
              <w:t>2</w:t>
            </w:r>
          </w:p>
        </w:tc>
        <w:tc>
          <w:tcPr>
            <w:tcW w:w="1361" w:type="dxa"/>
            <w:tcBorders>
              <w:top w:val="single" w:sz="6" w:space="0" w:color="auto"/>
              <w:left w:val="single" w:sz="6" w:space="0" w:color="auto"/>
              <w:bottom w:val="single" w:sz="6" w:space="0" w:color="000000"/>
              <w:right w:val="single" w:sz="6" w:space="0" w:color="auto"/>
            </w:tcBorders>
            <w:shd w:val="clear" w:color="auto" w:fill="auto"/>
            <w:vAlign w:val="center"/>
          </w:tcPr>
          <w:p w14:paraId="3899F193"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kern w:val="0"/>
                <w:sz w:val="24"/>
                <w:szCs w:val="32"/>
              </w:rPr>
              <w:t>1.5</w:t>
            </w:r>
          </w:p>
        </w:tc>
        <w:tc>
          <w:tcPr>
            <w:tcW w:w="1401" w:type="dxa"/>
            <w:tcBorders>
              <w:top w:val="single" w:sz="6" w:space="0" w:color="auto"/>
              <w:left w:val="single" w:sz="6" w:space="0" w:color="auto"/>
              <w:bottom w:val="single" w:sz="6" w:space="0" w:color="000000"/>
              <w:right w:val="single" w:sz="6" w:space="0" w:color="000000"/>
            </w:tcBorders>
            <w:shd w:val="clear" w:color="auto" w:fill="auto"/>
            <w:vAlign w:val="center"/>
          </w:tcPr>
          <w:p w14:paraId="04D55C90" w14:textId="77777777" w:rsidR="00515F1E" w:rsidRPr="008A475D" w:rsidRDefault="00515F1E" w:rsidP="00541C8E">
            <w:pPr>
              <w:widowControl/>
              <w:adjustRightInd w:val="0"/>
              <w:snapToGrid w:val="0"/>
              <w:spacing w:line="460" w:lineRule="exact"/>
              <w:jc w:val="center"/>
              <w:rPr>
                <w:rFonts w:ascii="微软雅黑" w:eastAsia="微软雅黑" w:hAnsi="微软雅黑" w:cs="Segoe UI"/>
                <w:kern w:val="0"/>
                <w:sz w:val="24"/>
                <w:szCs w:val="32"/>
              </w:rPr>
            </w:pPr>
            <w:r w:rsidRPr="008A475D">
              <w:rPr>
                <w:rFonts w:ascii="微软雅黑" w:eastAsia="微软雅黑" w:hAnsi="微软雅黑" w:cs="Segoe UI"/>
                <w:kern w:val="0"/>
                <w:sz w:val="24"/>
                <w:szCs w:val="32"/>
              </w:rPr>
              <w:t>1.5</w:t>
            </w:r>
          </w:p>
        </w:tc>
      </w:tr>
    </w:tbl>
    <w:p w14:paraId="0124435C" w14:textId="77777777" w:rsidR="00515F1E" w:rsidRPr="0045630F" w:rsidRDefault="00515F1E" w:rsidP="00515F1E">
      <w:pPr>
        <w:pStyle w:val="a7"/>
        <w:adjustRightInd w:val="0"/>
        <w:snapToGrid w:val="0"/>
        <w:spacing w:beforeLines="50" w:before="156" w:line="360" w:lineRule="auto"/>
        <w:ind w:firstLineChars="200" w:firstLine="560"/>
        <w:rPr>
          <w:rFonts w:ascii="方正中等线简体" w:eastAsia="方正中等线简体" w:hAnsi="黑体"/>
          <w:b/>
          <w:sz w:val="28"/>
          <w:szCs w:val="32"/>
        </w:rPr>
      </w:pPr>
      <w:proofErr w:type="spellStart"/>
      <w:r w:rsidRPr="0045630F">
        <w:rPr>
          <w:rFonts w:ascii="方正中等线简体" w:eastAsia="方正中等线简体" w:hAnsi="黑体" w:hint="eastAsia"/>
          <w:b/>
          <w:sz w:val="28"/>
          <w:szCs w:val="32"/>
        </w:rPr>
        <w:t>说明</w:t>
      </w:r>
      <w:proofErr w:type="spellEnd"/>
      <w:r w:rsidRPr="0045630F">
        <w:rPr>
          <w:rFonts w:ascii="方正中等线简体" w:eastAsia="方正中等线简体" w:hAnsi="黑体" w:hint="eastAsia"/>
          <w:b/>
          <w:sz w:val="28"/>
          <w:szCs w:val="32"/>
        </w:rPr>
        <w:t>：</w:t>
      </w:r>
    </w:p>
    <w:p w14:paraId="6738E2F5" w14:textId="77777777" w:rsidR="00515F1E" w:rsidRPr="0048157B" w:rsidRDefault="00515F1E" w:rsidP="00515F1E">
      <w:pPr>
        <w:pStyle w:val="a7"/>
        <w:adjustRightInd w:val="0"/>
        <w:snapToGrid w:val="0"/>
        <w:spacing w:line="360" w:lineRule="auto"/>
        <w:ind w:firstLineChars="200" w:firstLine="560"/>
        <w:rPr>
          <w:rFonts w:ascii="仿宋_GB2312" w:eastAsia="仿宋_GB2312"/>
          <w:sz w:val="28"/>
          <w:szCs w:val="28"/>
        </w:rPr>
      </w:pPr>
      <w:r w:rsidRPr="0048157B">
        <w:rPr>
          <w:rFonts w:ascii="仿宋_GB2312" w:eastAsia="仿宋_GB2312" w:hint="eastAsia"/>
          <w:sz w:val="28"/>
          <w:szCs w:val="28"/>
        </w:rPr>
        <w:t>1.按次计费不分昼夜，连续停放每4小时为一次。</w:t>
      </w:r>
    </w:p>
    <w:p w14:paraId="0C67B63D" w14:textId="77777777" w:rsidR="00515F1E" w:rsidRPr="0048157B" w:rsidRDefault="00515F1E" w:rsidP="00515F1E">
      <w:pPr>
        <w:pStyle w:val="a7"/>
        <w:adjustRightInd w:val="0"/>
        <w:snapToGrid w:val="0"/>
        <w:spacing w:line="360" w:lineRule="auto"/>
        <w:ind w:firstLineChars="200" w:firstLine="560"/>
        <w:rPr>
          <w:rFonts w:ascii="仿宋_GB2312" w:eastAsia="仿宋_GB2312"/>
          <w:sz w:val="28"/>
          <w:szCs w:val="28"/>
        </w:rPr>
      </w:pPr>
      <w:r w:rsidRPr="0048157B">
        <w:rPr>
          <w:rFonts w:ascii="仿宋_GB2312" w:eastAsia="仿宋_GB2312"/>
          <w:sz w:val="28"/>
          <w:szCs w:val="28"/>
        </w:rPr>
        <w:t>2</w:t>
      </w:r>
      <w:r w:rsidRPr="0048157B">
        <w:rPr>
          <w:rFonts w:ascii="仿宋_GB2312" w:eastAsia="仿宋_GB2312" w:hint="eastAsia"/>
          <w:sz w:val="28"/>
          <w:szCs w:val="28"/>
        </w:rPr>
        <w:t>.小区非机动车及摩托车停车服务费实行市场调节价。</w:t>
      </w:r>
    </w:p>
    <w:p w14:paraId="01C6E9F4" w14:textId="77777777" w:rsidR="00515F1E" w:rsidRPr="0048157B" w:rsidRDefault="00515F1E" w:rsidP="00515F1E">
      <w:pPr>
        <w:pStyle w:val="a7"/>
        <w:adjustRightInd w:val="0"/>
        <w:snapToGrid w:val="0"/>
        <w:spacing w:line="360" w:lineRule="auto"/>
        <w:ind w:firstLineChars="200" w:firstLine="560"/>
        <w:rPr>
          <w:rFonts w:ascii="仿宋_GB2312" w:eastAsia="仿宋_GB2312"/>
          <w:sz w:val="28"/>
          <w:szCs w:val="28"/>
        </w:rPr>
      </w:pPr>
      <w:r w:rsidRPr="0048157B">
        <w:rPr>
          <w:rFonts w:ascii="仿宋_GB2312" w:eastAsia="仿宋_GB2312"/>
          <w:sz w:val="28"/>
          <w:szCs w:val="28"/>
        </w:rPr>
        <w:t>3.</w:t>
      </w:r>
      <w:r w:rsidRPr="0048157B">
        <w:rPr>
          <w:rFonts w:ascii="仿宋_GB2312" w:eastAsia="仿宋_GB2312" w:hint="eastAsia"/>
          <w:sz w:val="28"/>
          <w:szCs w:val="28"/>
        </w:rPr>
        <w:t>子母车位不得高于1</w:t>
      </w:r>
      <w:r w:rsidRPr="0048157B">
        <w:rPr>
          <w:rFonts w:ascii="仿宋_GB2312" w:eastAsia="仿宋_GB2312"/>
          <w:sz w:val="28"/>
          <w:szCs w:val="28"/>
        </w:rPr>
        <w:t>.5</w:t>
      </w:r>
      <w:r w:rsidRPr="0048157B">
        <w:rPr>
          <w:rFonts w:ascii="仿宋_GB2312" w:eastAsia="仿宋_GB2312" w:hint="eastAsia"/>
          <w:sz w:val="28"/>
          <w:szCs w:val="28"/>
        </w:rPr>
        <w:t>个车位的停放服务费标准，具体标准由业主与物业服务企业在物业服务合同中约定。</w:t>
      </w:r>
    </w:p>
    <w:p w14:paraId="4709D410" w14:textId="77777777" w:rsidR="00515F1E" w:rsidRPr="0048157B" w:rsidRDefault="00515F1E" w:rsidP="00515F1E">
      <w:pPr>
        <w:pStyle w:val="a7"/>
        <w:adjustRightInd w:val="0"/>
        <w:snapToGrid w:val="0"/>
        <w:spacing w:line="360" w:lineRule="auto"/>
        <w:ind w:firstLineChars="200" w:firstLine="560"/>
        <w:rPr>
          <w:rFonts w:ascii="仿宋_GB2312" w:eastAsia="仿宋_GB2312"/>
          <w:sz w:val="28"/>
          <w:szCs w:val="28"/>
        </w:rPr>
      </w:pPr>
      <w:r w:rsidRPr="0048157B">
        <w:rPr>
          <w:rFonts w:ascii="仿宋_GB2312" w:eastAsia="仿宋_GB2312"/>
          <w:sz w:val="28"/>
          <w:szCs w:val="28"/>
        </w:rPr>
        <w:t>4</w:t>
      </w:r>
      <w:r w:rsidRPr="0048157B">
        <w:rPr>
          <w:rFonts w:ascii="仿宋_GB2312" w:eastAsia="仿宋_GB2312" w:hint="eastAsia"/>
          <w:sz w:val="28"/>
          <w:szCs w:val="28"/>
        </w:rPr>
        <w:t>.机械车位的停车服务费参照室内标准执行，上浮不超过1</w:t>
      </w:r>
      <w:r w:rsidRPr="0048157B">
        <w:rPr>
          <w:rFonts w:ascii="仿宋_GB2312" w:eastAsia="仿宋_GB2312"/>
          <w:sz w:val="28"/>
          <w:szCs w:val="28"/>
        </w:rPr>
        <w:t>0%</w:t>
      </w:r>
      <w:r w:rsidRPr="0048157B">
        <w:rPr>
          <w:rFonts w:ascii="仿宋_GB2312" w:eastAsia="仿宋_GB2312" w:hint="eastAsia"/>
          <w:sz w:val="28"/>
          <w:szCs w:val="28"/>
        </w:rPr>
        <w:t>。</w:t>
      </w:r>
    </w:p>
    <w:p w14:paraId="5F1939E9" w14:textId="77777777" w:rsidR="00515F1E" w:rsidRDefault="00515F1E" w:rsidP="00515F1E">
      <w:pPr>
        <w:pStyle w:val="a7"/>
        <w:adjustRightInd w:val="0"/>
        <w:snapToGrid w:val="0"/>
        <w:spacing w:line="360" w:lineRule="auto"/>
        <w:ind w:firstLineChars="200" w:firstLine="560"/>
        <w:rPr>
          <w:rFonts w:ascii="黑体" w:eastAsia="黑体" w:hAnsi="黑体"/>
          <w:sz w:val="28"/>
          <w:u w:val="single"/>
        </w:rPr>
        <w:sectPr w:rsidR="00515F1E" w:rsidSect="00E22598">
          <w:pgSz w:w="11906" w:h="16838"/>
          <w:pgMar w:top="2098" w:right="1474" w:bottom="1984" w:left="1587" w:header="851" w:footer="992" w:gutter="0"/>
          <w:pgNumType w:fmt="numberInDash"/>
          <w:cols w:space="720"/>
          <w:docGrid w:type="linesAndChars" w:linePitch="312"/>
        </w:sectPr>
      </w:pPr>
    </w:p>
    <w:p w14:paraId="65CF9727" w14:textId="77777777" w:rsidR="00515F1E" w:rsidRPr="00C77493" w:rsidRDefault="00515F1E" w:rsidP="00515F1E">
      <w:pPr>
        <w:pStyle w:val="a7"/>
        <w:rPr>
          <w:rFonts w:ascii="方正小标宋简体" w:eastAsia="方正小标宋简体"/>
        </w:rPr>
      </w:pPr>
      <w:r w:rsidRPr="00C77493">
        <w:rPr>
          <w:rFonts w:ascii="方正小标宋简体" w:eastAsia="方正小标宋简体" w:hint="eastAsia"/>
        </w:rPr>
        <w:lastRenderedPageBreak/>
        <w:t>附件2：</w:t>
      </w:r>
    </w:p>
    <w:p w14:paraId="67E6A881" w14:textId="77777777" w:rsidR="00515F1E" w:rsidRPr="0048157B" w:rsidRDefault="00515F1E" w:rsidP="00515F1E">
      <w:pPr>
        <w:pStyle w:val="a7"/>
        <w:adjustRightInd w:val="0"/>
        <w:snapToGrid w:val="0"/>
        <w:spacing w:after="0" w:line="360" w:lineRule="auto"/>
        <w:jc w:val="center"/>
        <w:rPr>
          <w:rFonts w:ascii="方正小标宋简体" w:eastAsia="方正小标宋简体"/>
          <w:sz w:val="40"/>
        </w:rPr>
      </w:pPr>
      <w:proofErr w:type="spellStart"/>
      <w:r w:rsidRPr="0048157B">
        <w:rPr>
          <w:rFonts w:ascii="方正小标宋简体" w:eastAsia="方正小标宋简体" w:hint="eastAsia"/>
          <w:sz w:val="40"/>
        </w:rPr>
        <w:t>西咸新区物业管理区域内</w:t>
      </w:r>
      <w:proofErr w:type="spellEnd"/>
    </w:p>
    <w:p w14:paraId="16DB47F0" w14:textId="77777777" w:rsidR="00515F1E" w:rsidRPr="0048157B" w:rsidRDefault="00515F1E" w:rsidP="00515F1E">
      <w:pPr>
        <w:pStyle w:val="a7"/>
        <w:adjustRightInd w:val="0"/>
        <w:snapToGrid w:val="0"/>
        <w:spacing w:after="0" w:line="360" w:lineRule="auto"/>
        <w:jc w:val="center"/>
        <w:rPr>
          <w:rFonts w:ascii="方正小标宋简体" w:eastAsia="方正小标宋简体"/>
          <w:sz w:val="40"/>
        </w:rPr>
      </w:pPr>
      <w:proofErr w:type="spellStart"/>
      <w:r w:rsidRPr="0048157B">
        <w:rPr>
          <w:rFonts w:ascii="方正小标宋简体" w:eastAsia="方正小标宋简体" w:hint="eastAsia"/>
          <w:sz w:val="40"/>
        </w:rPr>
        <w:t>机动车室内停放场所服务等级标准</w:t>
      </w:r>
      <w:proofErr w:type="spellEnd"/>
    </w:p>
    <w:p w14:paraId="75638B51" w14:textId="77777777" w:rsidR="00515F1E" w:rsidRPr="00075747" w:rsidRDefault="00515F1E" w:rsidP="00515F1E">
      <w:pPr>
        <w:pStyle w:val="a7"/>
        <w:adjustRightInd w:val="0"/>
        <w:snapToGrid w:val="0"/>
        <w:spacing w:after="0" w:line="560" w:lineRule="exact"/>
        <w:ind w:firstLineChars="200" w:firstLine="640"/>
        <w:jc w:val="left"/>
        <w:rPr>
          <w:rFonts w:ascii="方正小标宋简体" w:eastAsia="方正小标宋简体"/>
          <w:szCs w:val="32"/>
        </w:rPr>
      </w:pPr>
      <w:proofErr w:type="spellStart"/>
      <w:r w:rsidRPr="00075747">
        <w:rPr>
          <w:rFonts w:ascii="方正小标宋简体" w:eastAsia="方正小标宋简体" w:hint="eastAsia"/>
          <w:szCs w:val="32"/>
        </w:rPr>
        <w:t>一</w:t>
      </w:r>
      <w:r>
        <w:rPr>
          <w:rFonts w:ascii="方正小标宋简体" w:eastAsia="方正小标宋简体" w:hint="eastAsia"/>
          <w:szCs w:val="32"/>
        </w:rPr>
        <w:t>级</w:t>
      </w:r>
      <w:r w:rsidRPr="00075747">
        <w:rPr>
          <w:rFonts w:ascii="方正小标宋简体" w:eastAsia="方正小标宋简体" w:hint="eastAsia"/>
          <w:szCs w:val="32"/>
        </w:rPr>
        <w:t>停车服务标准</w:t>
      </w:r>
      <w:proofErr w:type="spellEnd"/>
    </w:p>
    <w:p w14:paraId="06E4870F" w14:textId="77777777" w:rsidR="00515F1E" w:rsidRPr="00E22598" w:rsidRDefault="00515F1E" w:rsidP="00515F1E">
      <w:pPr>
        <w:pStyle w:val="a7"/>
        <w:adjustRightInd w:val="0"/>
        <w:snapToGrid w:val="0"/>
        <w:spacing w:after="0" w:line="560" w:lineRule="exact"/>
        <w:ind w:firstLineChars="200" w:firstLine="640"/>
        <w:jc w:val="left"/>
        <w:rPr>
          <w:rFonts w:ascii="仿宋_GB2312" w:eastAsia="仿宋_GB2312" w:hint="eastAsia"/>
          <w:szCs w:val="32"/>
        </w:rPr>
      </w:pPr>
      <w:r w:rsidRPr="00E22598">
        <w:rPr>
          <w:rFonts w:ascii="仿宋_GB2312" w:eastAsia="仿宋_GB2312" w:hint="eastAsia"/>
          <w:szCs w:val="32"/>
        </w:rPr>
        <w:t>提供独立的出入口或符合国家标准的双车道供车辆安全出入服务；配备自动升降栏杆，摄像监控系统，电脑计费系统或网络计费支付系统，消防喷淋设施及通风设备；地面硬化干净整洁；行车有标准的导向系统，停车位有专业标示；监控室24小时有专人值班，配备专业管理、保安、保洁人员。</w:t>
      </w:r>
    </w:p>
    <w:p w14:paraId="081DFBD5" w14:textId="77777777" w:rsidR="00515F1E" w:rsidRPr="00075747" w:rsidRDefault="00515F1E" w:rsidP="00515F1E">
      <w:pPr>
        <w:pStyle w:val="a7"/>
        <w:adjustRightInd w:val="0"/>
        <w:snapToGrid w:val="0"/>
        <w:spacing w:after="0" w:line="560" w:lineRule="exact"/>
        <w:ind w:firstLineChars="200" w:firstLine="640"/>
        <w:jc w:val="left"/>
        <w:rPr>
          <w:rFonts w:ascii="方正小标宋简体" w:eastAsia="方正小标宋简体"/>
          <w:szCs w:val="32"/>
        </w:rPr>
      </w:pPr>
      <w:proofErr w:type="spellStart"/>
      <w:r>
        <w:rPr>
          <w:rFonts w:ascii="方正小标宋简体" w:eastAsia="方正小标宋简体" w:hint="eastAsia"/>
          <w:szCs w:val="32"/>
        </w:rPr>
        <w:t>二级</w:t>
      </w:r>
      <w:r w:rsidRPr="00075747">
        <w:rPr>
          <w:rFonts w:ascii="方正小标宋简体" w:eastAsia="方正小标宋简体" w:hint="eastAsia"/>
          <w:szCs w:val="32"/>
        </w:rPr>
        <w:t>停车服务标准</w:t>
      </w:r>
      <w:proofErr w:type="spellEnd"/>
    </w:p>
    <w:p w14:paraId="0152C265" w14:textId="77777777" w:rsidR="00515F1E" w:rsidRPr="00E22598" w:rsidRDefault="00515F1E" w:rsidP="00515F1E">
      <w:pPr>
        <w:pStyle w:val="a7"/>
        <w:adjustRightInd w:val="0"/>
        <w:snapToGrid w:val="0"/>
        <w:spacing w:after="0" w:line="560" w:lineRule="exact"/>
        <w:ind w:firstLineChars="200" w:firstLine="640"/>
        <w:jc w:val="left"/>
        <w:rPr>
          <w:rFonts w:ascii="仿宋_GB2312" w:eastAsia="仿宋_GB2312"/>
          <w:szCs w:val="32"/>
        </w:rPr>
      </w:pPr>
      <w:r w:rsidRPr="00E22598">
        <w:rPr>
          <w:rFonts w:ascii="仿宋_GB2312" w:eastAsia="仿宋_GB2312" w:hint="eastAsia"/>
          <w:szCs w:val="32"/>
        </w:rPr>
        <w:t>配备监控、消防、通风设备，有明显的导向和停车标识。24小时有人值班，配备保安、保洁人员。</w:t>
      </w:r>
    </w:p>
    <w:p w14:paraId="5EF85004" w14:textId="77777777" w:rsidR="00515F1E" w:rsidRPr="004D3F69" w:rsidRDefault="00515F1E" w:rsidP="00515F1E">
      <w:pPr>
        <w:pStyle w:val="a7"/>
        <w:adjustRightInd w:val="0"/>
        <w:snapToGrid w:val="0"/>
        <w:spacing w:after="0" w:line="560" w:lineRule="exact"/>
        <w:ind w:firstLineChars="200" w:firstLine="640"/>
        <w:jc w:val="left"/>
        <w:rPr>
          <w:rFonts w:ascii="方正小标宋简体" w:eastAsia="方正小标宋简体"/>
          <w:szCs w:val="32"/>
        </w:rPr>
      </w:pPr>
      <w:proofErr w:type="spellStart"/>
      <w:r>
        <w:rPr>
          <w:rFonts w:ascii="方正小标宋简体" w:eastAsia="方正小标宋简体" w:hint="eastAsia"/>
          <w:szCs w:val="32"/>
        </w:rPr>
        <w:t>等外</w:t>
      </w:r>
      <w:r w:rsidRPr="00075747">
        <w:rPr>
          <w:rFonts w:ascii="方正小标宋简体" w:eastAsia="方正小标宋简体" w:hint="eastAsia"/>
          <w:szCs w:val="32"/>
        </w:rPr>
        <w:t>停车服务标准</w:t>
      </w:r>
      <w:proofErr w:type="spellEnd"/>
    </w:p>
    <w:p w14:paraId="7722938D" w14:textId="77777777" w:rsidR="00515F1E" w:rsidRPr="00E22598" w:rsidRDefault="00515F1E" w:rsidP="00515F1E">
      <w:pPr>
        <w:pStyle w:val="a7"/>
        <w:adjustRightInd w:val="0"/>
        <w:snapToGrid w:val="0"/>
        <w:spacing w:after="0" w:line="560" w:lineRule="exact"/>
        <w:ind w:firstLineChars="200" w:firstLine="640"/>
        <w:jc w:val="left"/>
        <w:rPr>
          <w:rFonts w:ascii="仿宋_GB2312" w:eastAsia="仿宋_GB2312"/>
          <w:szCs w:val="32"/>
        </w:rPr>
      </w:pPr>
      <w:proofErr w:type="spellStart"/>
      <w:r w:rsidRPr="00E22598">
        <w:rPr>
          <w:rFonts w:ascii="仿宋_GB2312" w:eastAsia="仿宋_GB2312" w:hint="eastAsia"/>
          <w:szCs w:val="32"/>
        </w:rPr>
        <w:t>停车服务凡达不到二级服务标准的，收费按等外标准收取</w:t>
      </w:r>
      <w:proofErr w:type="spellEnd"/>
      <w:r w:rsidRPr="00E22598">
        <w:rPr>
          <w:rFonts w:ascii="仿宋_GB2312" w:eastAsia="仿宋_GB2312" w:hint="eastAsia"/>
          <w:szCs w:val="32"/>
        </w:rPr>
        <w:t>。</w:t>
      </w:r>
    </w:p>
    <w:p w14:paraId="28131E4C" w14:textId="77777777" w:rsidR="007E01CC" w:rsidRPr="00515F1E" w:rsidRDefault="007E01CC">
      <w:pPr>
        <w:rPr>
          <w:lang w:val="x-none"/>
        </w:rPr>
      </w:pPr>
    </w:p>
    <w:sectPr w:rsidR="007E01CC" w:rsidRPr="00515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3C22" w14:textId="77777777" w:rsidR="00DA3647" w:rsidRDefault="00DA3647" w:rsidP="00515F1E">
      <w:r>
        <w:separator/>
      </w:r>
    </w:p>
  </w:endnote>
  <w:endnote w:type="continuationSeparator" w:id="0">
    <w:p w14:paraId="7A391EF9" w14:textId="77777777" w:rsidR="00DA3647" w:rsidRDefault="00DA3647" w:rsidP="0051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script"/>
    <w:pitch w:val="fixed"/>
    <w:sig w:usb0="00000000"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中等线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8382" w14:textId="69D264FA" w:rsidR="00515F1E" w:rsidRDefault="00515F1E">
    <w:pPr>
      <w:pStyle w:val="a5"/>
    </w:pPr>
    <w:r>
      <w:rPr>
        <w:noProof/>
      </w:rPr>
      <mc:AlternateContent>
        <mc:Choice Requires="wps">
          <w:drawing>
            <wp:anchor distT="0" distB="0" distL="114300" distR="114300" simplePos="0" relativeHeight="251660288" behindDoc="0" locked="0" layoutInCell="1" allowOverlap="1" wp14:anchorId="04837552" wp14:editId="2EBED3DC">
              <wp:simplePos x="0" y="0"/>
              <wp:positionH relativeFrom="margin">
                <wp:posOffset>5076825</wp:posOffset>
              </wp:positionH>
              <wp:positionV relativeFrom="paragraph">
                <wp:posOffset>19050</wp:posOffset>
              </wp:positionV>
              <wp:extent cx="445135" cy="231140"/>
              <wp:effectExtent l="0" t="0" r="1206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1140"/>
                      </a:xfrm>
                      <a:prstGeom prst="rect">
                        <a:avLst/>
                      </a:prstGeom>
                      <a:noFill/>
                      <a:ln>
                        <a:noFill/>
                      </a:ln>
                    </wps:spPr>
                    <wps:txbx>
                      <w:txbxContent>
                        <w:p w14:paraId="0F02A957" w14:textId="77777777" w:rsidR="00515F1E" w:rsidRDefault="00515F1E" w:rsidP="00E22598">
                          <w:pPr>
                            <w:pStyle w:val="a5"/>
                            <w:jc w:val="both"/>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- 20 -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4837552" id="_x0000_t202" coordsize="21600,21600" o:spt="202" path="m,l,21600r21600,l21600,xe">
              <v:stroke joinstyle="miter"/>
              <v:path gradientshapeok="t" o:connecttype="rect"/>
            </v:shapetype>
            <v:shape id="文本框 2" o:spid="_x0000_s1026" type="#_x0000_t202" style="position:absolute;margin-left:399.75pt;margin-top:1.5pt;width:35.05pt;height:18.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" filled="f" stroked="f">
              <v:textbox style="mso-fit-shape-to-text:t" inset="0,0,0,0">
                <w:txbxContent>
                  <w:p w14:paraId="0F02A957" w14:textId="77777777" w:rsidR="00515F1E" w:rsidRDefault="00515F1E" w:rsidP="00E22598">
                    <w:pPr>
                      <w:pStyle w:val="a5"/>
                      <w:jc w:val="both"/>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6246" w14:textId="48E9D047" w:rsidR="00515F1E" w:rsidRDefault="00515F1E">
    <w:pPr>
      <w:pStyle w:val="a5"/>
    </w:pPr>
    <w:r>
      <w:rPr>
        <w:noProof/>
      </w:rPr>
      <mc:AlternateContent>
        <mc:Choice Requires="wps">
          <w:drawing>
            <wp:anchor distT="0" distB="0" distL="114300" distR="114300" simplePos="0" relativeHeight="251659264" behindDoc="0" locked="0" layoutInCell="1" allowOverlap="1" wp14:anchorId="4238903F" wp14:editId="11E63E1E">
              <wp:simplePos x="0" y="0"/>
              <wp:positionH relativeFrom="margin">
                <wp:posOffset>5076825</wp:posOffset>
              </wp:positionH>
              <wp:positionV relativeFrom="paragraph">
                <wp:posOffset>19050</wp:posOffset>
              </wp:positionV>
              <wp:extent cx="445135" cy="231140"/>
              <wp:effectExtent l="0" t="0" r="12065" b="1714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1140"/>
                      </a:xfrm>
                      <a:prstGeom prst="rect">
                        <a:avLst/>
                      </a:prstGeom>
                      <a:noFill/>
                      <a:ln>
                        <a:noFill/>
                      </a:ln>
                    </wps:spPr>
                    <wps:txbx>
                      <w:txbxContent>
                        <w:p w14:paraId="1D840398" w14:textId="77777777" w:rsidR="00515F1E" w:rsidRDefault="00515F1E" w:rsidP="00E22598">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- 19 -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238903F" id="_x0000_t202" coordsize="21600,21600" o:spt="202" path="m,l,21600r21600,l21600,xe">
              <v:stroke joinstyle="miter"/>
              <v:path gradientshapeok="t" o:connecttype="rect"/>
            </v:shapetype>
            <v:shape id="文本框 9" o:spid="_x0000_s1027" type="#_x0000_t202" style="position:absolute;margin-left:399.75pt;margin-top:1.5pt;width:35.05pt;height:18.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" filled="f" stroked="f">
              <v:textbox style="mso-fit-shape-to-text:t" inset="0,0,0,0">
                <w:txbxContent>
                  <w:p w14:paraId="1D840398" w14:textId="77777777" w:rsidR="00515F1E" w:rsidRDefault="00515F1E" w:rsidP="00E22598">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320D" w14:textId="77777777" w:rsidR="00DA3647" w:rsidRDefault="00DA3647" w:rsidP="00515F1E">
      <w:r>
        <w:separator/>
      </w:r>
    </w:p>
  </w:footnote>
  <w:footnote w:type="continuationSeparator" w:id="0">
    <w:p w14:paraId="3B988CFB" w14:textId="77777777" w:rsidR="00DA3647" w:rsidRDefault="00DA3647" w:rsidP="00515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CC"/>
    <w:rsid w:val="00515F1E"/>
    <w:rsid w:val="007E01CC"/>
    <w:rsid w:val="00DA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2BBAC"/>
  <w15:chartTrackingRefBased/>
  <w15:docId w15:val="{8D3D069A-F5B8-49BF-8778-00E669AF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F1E"/>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F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5F1E"/>
    <w:rPr>
      <w:sz w:val="18"/>
      <w:szCs w:val="18"/>
    </w:rPr>
  </w:style>
  <w:style w:type="paragraph" w:styleId="a5">
    <w:name w:val="footer"/>
    <w:basedOn w:val="a"/>
    <w:link w:val="a6"/>
    <w:uiPriority w:val="99"/>
    <w:unhideWhenUsed/>
    <w:qFormat/>
    <w:rsid w:val="00515F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5F1E"/>
    <w:rPr>
      <w:sz w:val="18"/>
      <w:szCs w:val="18"/>
    </w:rPr>
  </w:style>
  <w:style w:type="character" w:customStyle="1" w:styleId="Char">
    <w:name w:val="页脚 Char"/>
    <w:locked/>
    <w:rsid w:val="00515F1E"/>
    <w:rPr>
      <w:rFonts w:eastAsia="方正仿宋简体"/>
      <w:kern w:val="2"/>
      <w:sz w:val="18"/>
      <w:szCs w:val="18"/>
    </w:rPr>
  </w:style>
  <w:style w:type="paragraph" w:styleId="a7">
    <w:name w:val="Body Text"/>
    <w:basedOn w:val="a"/>
    <w:link w:val="Char0"/>
    <w:rsid w:val="00515F1E"/>
    <w:pPr>
      <w:spacing w:after="120"/>
    </w:pPr>
    <w:rPr>
      <w:lang w:val="x-none" w:eastAsia="x-none"/>
    </w:rPr>
  </w:style>
  <w:style w:type="character" w:customStyle="1" w:styleId="a8">
    <w:name w:val="正文文本 字符"/>
    <w:basedOn w:val="a0"/>
    <w:uiPriority w:val="99"/>
    <w:semiHidden/>
    <w:rsid w:val="00515F1E"/>
    <w:rPr>
      <w:rFonts w:ascii="Times New Roman" w:eastAsia="方正仿宋简体" w:hAnsi="Times New Roman" w:cs="Times New Roman"/>
      <w:sz w:val="32"/>
      <w:szCs w:val="20"/>
    </w:rPr>
  </w:style>
  <w:style w:type="character" w:customStyle="1" w:styleId="Char0">
    <w:name w:val="正文文本 Char"/>
    <w:link w:val="a7"/>
    <w:rsid w:val="00515F1E"/>
    <w:rPr>
      <w:rFonts w:ascii="Times New Roman" w:eastAsia="方正仿宋简体" w:hAnsi="Times New Roman" w:cs="Times New Roman"/>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2021-04-29T06:24:00Z</dcterms:created>
  <dcterms:modified xsi:type="dcterms:W3CDTF">2021-04-29T06:24:00Z</dcterms:modified>
</cp:coreProperties>
</file>