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156" w:beforeLines="50" w:beforeAutospacing="0" w:after="0" w:afterAutospacing="0"/>
        <w:jc w:val="both"/>
        <w:rPr>
          <w:rFonts w:hint="eastAsia" w:ascii="仿宋" w:hAnsi="仿宋" w:eastAsia="仿宋" w:cs="仿宋"/>
          <w:bCs/>
          <w:color w:val="000000"/>
          <w:sz w:val="28"/>
          <w:szCs w:val="28"/>
          <w:lang w:val="zh-CN"/>
        </w:rPr>
      </w:pPr>
    </w:p>
    <w:p>
      <w:pPr>
        <w:spacing w:line="720" w:lineRule="auto"/>
        <w:jc w:val="center"/>
        <w:rPr>
          <w:rFonts w:hint="eastAsia" w:ascii="仿宋" w:hAnsi="仿宋" w:eastAsia="仿宋" w:cs="仿宋"/>
          <w:b/>
          <w:bCs/>
          <w:color w:val="000000"/>
          <w:sz w:val="44"/>
          <w:szCs w:val="44"/>
          <w:lang w:eastAsia="zh-CN"/>
        </w:rPr>
      </w:pPr>
      <w:r>
        <w:rPr>
          <w:rFonts w:hint="eastAsia" w:ascii="仿宋" w:hAnsi="仿宋" w:eastAsia="仿宋" w:cs="仿宋"/>
          <w:b/>
          <w:bCs/>
          <w:color w:val="000000"/>
          <w:sz w:val="44"/>
          <w:szCs w:val="44"/>
          <w:lang w:eastAsia="zh-CN"/>
        </w:rPr>
        <w:t>咸阳三毅优源投资有限公司</w:t>
      </w:r>
    </w:p>
    <w:p>
      <w:pPr>
        <w:spacing w:line="720" w:lineRule="auto"/>
        <w:jc w:val="center"/>
        <w:rPr>
          <w:rFonts w:hint="eastAsia" w:ascii="仿宋" w:hAnsi="仿宋" w:eastAsia="仿宋" w:cs="仿宋"/>
          <w:b/>
          <w:bCs/>
          <w:color w:val="000000"/>
          <w:sz w:val="44"/>
          <w:szCs w:val="44"/>
        </w:rPr>
      </w:pPr>
      <w:r>
        <w:rPr>
          <w:rFonts w:hint="eastAsia" w:ascii="仿宋" w:hAnsi="仿宋" w:eastAsia="仿宋" w:cs="仿宋"/>
          <w:b/>
          <w:bCs/>
          <w:color w:val="000000"/>
          <w:sz w:val="44"/>
          <w:szCs w:val="44"/>
        </w:rPr>
        <w:t>环境应急资源调查报告</w:t>
      </w: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rPr>
          <w:rFonts w:hint="eastAsia" w:ascii="仿宋" w:hAnsi="仿宋" w:eastAsia="仿宋" w:cs="仿宋"/>
          <w:color w:val="000000"/>
        </w:rPr>
      </w:pPr>
    </w:p>
    <w:p>
      <w:pPr>
        <w:pStyle w:val="3"/>
        <w:rPr>
          <w:rFonts w:hint="eastAsia"/>
        </w:rPr>
      </w:pPr>
    </w:p>
    <w:p>
      <w:pPr>
        <w:pStyle w:val="2"/>
        <w:rPr>
          <w:rFonts w:hint="eastAsia" w:ascii="仿宋" w:hAnsi="仿宋" w:eastAsia="仿宋" w:cs="仿宋"/>
          <w:color w:val="000000"/>
        </w:rPr>
      </w:pPr>
    </w:p>
    <w:p>
      <w:pPr>
        <w:pStyle w:val="2"/>
        <w:ind w:left="0" w:leftChars="0" w:firstLine="0"/>
        <w:rPr>
          <w:rFonts w:hint="eastAsia" w:ascii="仿宋" w:hAnsi="仿宋" w:eastAsia="仿宋" w:cs="仿宋"/>
        </w:rPr>
      </w:pPr>
    </w:p>
    <w:p>
      <w:pPr>
        <w:spacing w:line="720" w:lineRule="auto"/>
        <w:jc w:val="center"/>
        <w:rPr>
          <w:rFonts w:hint="eastAsia" w:ascii="仿宋" w:hAnsi="仿宋" w:eastAsia="仿宋" w:cs="仿宋"/>
          <w:b/>
          <w:color w:val="000000"/>
          <w:sz w:val="36"/>
          <w:szCs w:val="36"/>
        </w:rPr>
      </w:pPr>
      <w:r>
        <w:rPr>
          <w:rFonts w:hint="eastAsia" w:ascii="仿宋" w:hAnsi="仿宋" w:eastAsia="仿宋" w:cs="仿宋"/>
          <w:b/>
          <w:color w:val="000000"/>
          <w:sz w:val="36"/>
          <w:szCs w:val="36"/>
        </w:rPr>
        <w:t>编制单位：</w:t>
      </w:r>
      <w:r>
        <w:rPr>
          <w:rFonts w:hint="eastAsia" w:ascii="仿宋" w:hAnsi="仿宋" w:eastAsia="仿宋" w:cs="仿宋"/>
          <w:b/>
          <w:color w:val="000000"/>
          <w:sz w:val="36"/>
          <w:szCs w:val="36"/>
          <w:lang w:eastAsia="zh-CN"/>
        </w:rPr>
        <w:t>咸阳三毅优源投资有限公司</w:t>
      </w:r>
    </w:p>
    <w:p>
      <w:pPr>
        <w:pStyle w:val="5"/>
        <w:widowControl w:val="0"/>
        <w:spacing w:before="0" w:beforeAutospacing="0" w:after="0" w:afterAutospacing="0" w:line="480" w:lineRule="auto"/>
        <w:ind w:firstLine="1807" w:firstLineChars="500"/>
        <w:jc w:val="both"/>
        <w:rPr>
          <w:rFonts w:hint="eastAsia" w:ascii="仿宋" w:hAnsi="仿宋" w:eastAsia="仿宋" w:cs="仿宋"/>
          <w:color w:val="000000"/>
          <w:sz w:val="44"/>
          <w:szCs w:val="44"/>
        </w:rPr>
        <w:sectPr>
          <w:headerReference r:id="rId3" w:type="default"/>
          <w:pgSz w:w="11906" w:h="16838"/>
          <w:pgMar w:top="1440" w:right="1800" w:bottom="1440" w:left="1800" w:header="851" w:footer="992" w:gutter="0"/>
          <w:cols w:space="720" w:num="1"/>
          <w:docGrid w:type="lines" w:linePitch="312" w:charSpace="0"/>
        </w:sectPr>
      </w:pPr>
      <w:r>
        <w:rPr>
          <w:rFonts w:hint="eastAsia" w:ascii="仿宋" w:hAnsi="仿宋" w:eastAsia="仿宋" w:cs="仿宋"/>
          <w:b/>
          <w:color w:val="000000"/>
          <w:kern w:val="2"/>
          <w:sz w:val="36"/>
          <w:szCs w:val="36"/>
        </w:rPr>
        <w:t>编制时间：二O</w:t>
      </w:r>
      <w:r>
        <w:rPr>
          <w:rFonts w:hint="eastAsia" w:ascii="仿宋" w:hAnsi="仿宋" w:eastAsia="仿宋" w:cs="仿宋"/>
          <w:b/>
          <w:color w:val="000000"/>
          <w:kern w:val="2"/>
          <w:sz w:val="36"/>
          <w:szCs w:val="36"/>
          <w:lang w:eastAsia="zh-CN"/>
        </w:rPr>
        <w:t>二二</w:t>
      </w:r>
      <w:r>
        <w:rPr>
          <w:rFonts w:hint="eastAsia" w:ascii="仿宋" w:hAnsi="仿宋" w:eastAsia="仿宋" w:cs="仿宋"/>
          <w:b/>
          <w:color w:val="000000"/>
          <w:kern w:val="2"/>
          <w:sz w:val="36"/>
          <w:szCs w:val="36"/>
        </w:rPr>
        <w:t>年</w:t>
      </w:r>
      <w:r>
        <w:rPr>
          <w:rFonts w:hint="eastAsia" w:ascii="仿宋" w:hAnsi="仿宋" w:eastAsia="仿宋" w:cs="仿宋"/>
          <w:b/>
          <w:color w:val="000000"/>
          <w:kern w:val="2"/>
          <w:sz w:val="36"/>
          <w:szCs w:val="36"/>
          <w:lang w:eastAsia="zh-CN"/>
        </w:rPr>
        <w:t>九</w:t>
      </w:r>
      <w:bookmarkStart w:id="10" w:name="_GoBack"/>
      <w:bookmarkEnd w:id="10"/>
      <w:r>
        <w:rPr>
          <w:rFonts w:hint="eastAsia" w:ascii="仿宋" w:hAnsi="仿宋" w:eastAsia="仿宋" w:cs="仿宋"/>
          <w:b/>
          <w:color w:val="000000"/>
          <w:kern w:val="2"/>
          <w:sz w:val="36"/>
          <w:szCs w:val="36"/>
        </w:rPr>
        <w:t>月</w:t>
      </w:r>
    </w:p>
    <w:tbl>
      <w:tblPr>
        <w:tblStyle w:val="6"/>
        <w:tblW w:w="5018"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113" w:type="dxa"/>
          <w:left w:w="108" w:type="dxa"/>
          <w:bottom w:w="113" w:type="dxa"/>
          <w:right w:w="108" w:type="dxa"/>
        </w:tblCellMar>
      </w:tblPr>
      <w:tblGrid>
        <w:gridCol w:w="2369"/>
        <w:gridCol w:w="2159"/>
        <w:gridCol w:w="2063"/>
        <w:gridCol w:w="2952"/>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sz w:val="24"/>
              </w:rPr>
            </w:pPr>
            <w:r>
              <w:rPr>
                <w:rFonts w:hint="default" w:ascii="Times New Roman" w:hAnsi="Times New Roman" w:eastAsia="仿宋" w:cs="Times New Roman"/>
                <w:b/>
                <w:sz w:val="24"/>
              </w:rPr>
              <w:t>1.调查概述</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1241" w:type="pct"/>
            <w:tcBorders>
              <w:tl2br w:val="nil"/>
              <w:tr2bl w:val="nil"/>
            </w:tcBorders>
            <w:noWrap w:val="0"/>
            <w:vAlign w:val="top"/>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调查开始时间</w:t>
            </w:r>
          </w:p>
        </w:tc>
        <w:tc>
          <w:tcPr>
            <w:tcW w:w="1131" w:type="pct"/>
            <w:tcBorders>
              <w:tl2br w:val="nil"/>
              <w:tr2bl w:val="nil"/>
            </w:tcBorders>
            <w:noWrap w:val="0"/>
            <w:vAlign w:val="top"/>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w:t>
            </w:r>
            <w:r>
              <w:rPr>
                <w:rFonts w:hint="eastAsia" w:ascii="仿宋" w:hAnsi="仿宋" w:eastAsia="仿宋" w:cs="仿宋"/>
                <w:sz w:val="24"/>
                <w:szCs w:val="24"/>
                <w:lang w:val="en-US" w:eastAsia="zh-CN"/>
              </w:rPr>
              <w:t>8</w:t>
            </w:r>
            <w:r>
              <w:rPr>
                <w:rFonts w:hint="eastAsia" w:ascii="仿宋" w:hAnsi="仿宋" w:eastAsia="仿宋" w:cs="仿宋"/>
                <w:sz w:val="24"/>
                <w:szCs w:val="24"/>
              </w:rPr>
              <w:t>月</w:t>
            </w:r>
            <w:r>
              <w:rPr>
                <w:rFonts w:hint="eastAsia" w:ascii="仿宋" w:hAnsi="仿宋" w:eastAsia="仿宋" w:cs="仿宋"/>
                <w:sz w:val="24"/>
                <w:szCs w:val="24"/>
                <w:lang w:val="en-US" w:eastAsia="zh-CN"/>
              </w:rPr>
              <w:t>5</w:t>
            </w:r>
            <w:r>
              <w:rPr>
                <w:rFonts w:hint="eastAsia" w:ascii="仿宋" w:hAnsi="仿宋" w:eastAsia="仿宋" w:cs="仿宋"/>
                <w:sz w:val="24"/>
                <w:szCs w:val="24"/>
              </w:rPr>
              <w:t>日</w:t>
            </w:r>
          </w:p>
        </w:tc>
        <w:tc>
          <w:tcPr>
            <w:tcW w:w="1081" w:type="pct"/>
            <w:tcBorders>
              <w:tl2br w:val="nil"/>
              <w:tr2bl w:val="nil"/>
            </w:tcBorders>
            <w:noWrap w:val="0"/>
            <w:vAlign w:val="top"/>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调查结束时间</w:t>
            </w:r>
          </w:p>
        </w:tc>
        <w:tc>
          <w:tcPr>
            <w:tcW w:w="1545" w:type="pct"/>
            <w:tcBorders>
              <w:tl2br w:val="nil"/>
              <w:tr2bl w:val="nil"/>
            </w:tcBorders>
            <w:noWrap w:val="0"/>
            <w:vAlign w:val="top"/>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w:t>
            </w:r>
            <w:r>
              <w:rPr>
                <w:rFonts w:hint="eastAsia" w:ascii="仿宋" w:hAnsi="仿宋" w:eastAsia="仿宋" w:cs="仿宋"/>
                <w:sz w:val="24"/>
                <w:szCs w:val="24"/>
                <w:lang w:val="en-US" w:eastAsia="zh-CN"/>
              </w:rPr>
              <w:t>8</w:t>
            </w:r>
            <w:r>
              <w:rPr>
                <w:rFonts w:hint="eastAsia" w:ascii="仿宋" w:hAnsi="仿宋" w:eastAsia="仿宋" w:cs="仿宋"/>
                <w:sz w:val="24"/>
                <w:szCs w:val="24"/>
              </w:rPr>
              <w:t>月</w:t>
            </w:r>
            <w:r>
              <w:rPr>
                <w:rFonts w:hint="eastAsia" w:ascii="仿宋" w:hAnsi="仿宋" w:eastAsia="仿宋" w:cs="仿宋"/>
                <w:sz w:val="24"/>
                <w:szCs w:val="24"/>
                <w:lang w:val="en-US" w:eastAsia="zh-CN"/>
              </w:rPr>
              <w:t>10</w:t>
            </w:r>
            <w:r>
              <w:rPr>
                <w:rFonts w:hint="eastAsia" w:ascii="仿宋" w:hAnsi="仿宋" w:eastAsia="仿宋" w:cs="仿宋"/>
                <w:sz w:val="24"/>
                <w:szCs w:val="24"/>
              </w:rPr>
              <w:t>日</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802" w:hRule="atLeast"/>
          <w:jc w:val="center"/>
        </w:trPr>
        <w:tc>
          <w:tcPr>
            <w:tcW w:w="1241" w:type="pct"/>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调查负责人姓名</w:t>
            </w:r>
          </w:p>
        </w:tc>
        <w:tc>
          <w:tcPr>
            <w:tcW w:w="1131" w:type="pct"/>
            <w:tcBorders>
              <w:tl2br w:val="nil"/>
              <w:tr2bl w:val="nil"/>
            </w:tcBorders>
            <w:noWrap w:val="0"/>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孙岩</w:t>
            </w:r>
          </w:p>
        </w:tc>
        <w:tc>
          <w:tcPr>
            <w:tcW w:w="1081" w:type="pct"/>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联系人电话</w:t>
            </w:r>
          </w:p>
        </w:tc>
        <w:tc>
          <w:tcPr>
            <w:tcW w:w="1545" w:type="pct"/>
            <w:tcBorders>
              <w:tl2br w:val="nil"/>
              <w:tr2bl w:val="nil"/>
            </w:tcBorders>
            <w:noWrap w:val="0"/>
            <w:vAlign w:val="center"/>
          </w:tcPr>
          <w:p>
            <w:pPr>
              <w:spacing w:line="360" w:lineRule="auto"/>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17795748363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1241" w:type="pct"/>
            <w:tcBorders>
              <w:tl2br w:val="nil"/>
              <w:tr2bl w:val="nil"/>
            </w:tcBorders>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调查过程</w:t>
            </w:r>
          </w:p>
        </w:tc>
        <w:tc>
          <w:tcPr>
            <w:tcW w:w="3758" w:type="pct"/>
            <w:gridSpan w:val="3"/>
            <w:tcBorders>
              <w:tl2br w:val="nil"/>
              <w:tr2bl w:val="nil"/>
            </w:tcBorders>
            <w:noWrap w:val="0"/>
            <w:vAlign w:val="center"/>
          </w:tcPr>
          <w:p>
            <w:pPr>
              <w:tabs>
                <w:tab w:val="left" w:pos="5670"/>
              </w:tabs>
              <w:spacing w:line="360" w:lineRule="auto"/>
              <w:ind w:firstLine="480" w:firstLineChars="200"/>
              <w:contextualSpacing/>
              <w:rPr>
                <w:rFonts w:hint="eastAsia" w:ascii="仿宋" w:hAnsi="仿宋" w:eastAsia="仿宋" w:cs="仿宋"/>
                <w:sz w:val="24"/>
                <w:szCs w:val="24"/>
              </w:rPr>
            </w:pPr>
            <w:r>
              <w:rPr>
                <w:rFonts w:hint="eastAsia" w:ascii="仿宋" w:hAnsi="仿宋" w:eastAsia="仿宋" w:cs="仿宋"/>
                <w:sz w:val="24"/>
                <w:szCs w:val="24"/>
              </w:rPr>
              <w:t>根据《中华人民共和国环境保护法》、《中华人民共和国突 发事件应对法》、《国家突发环境事件应急预案》、《陕西省突 发环境事件应急预案管理暂行办法》及《环境应急资源调查指南 （试行）》，为了规范、加强</w:t>
            </w:r>
            <w:r>
              <w:rPr>
                <w:rFonts w:hint="eastAsia" w:ascii="仿宋" w:hAnsi="仿宋" w:eastAsia="仿宋" w:cs="仿宋"/>
                <w:sz w:val="24"/>
                <w:szCs w:val="24"/>
                <w:lang w:eastAsia="zh-CN"/>
              </w:rPr>
              <w:t>咸阳三毅优源投资有限公司</w:t>
            </w:r>
            <w:r>
              <w:rPr>
                <w:rFonts w:hint="eastAsia" w:ascii="仿宋" w:hAnsi="仿宋" w:eastAsia="仿宋" w:cs="仿宋"/>
                <w:sz w:val="24"/>
                <w:szCs w:val="24"/>
              </w:rPr>
              <w:t>突发环境事件应急管理工作，针对可能发生的环境污染事件，为应急行动迅速、有序地开展提供文件及技术依据，</w:t>
            </w:r>
            <w:r>
              <w:rPr>
                <w:rFonts w:hint="eastAsia" w:ascii="仿宋" w:hAnsi="仿宋" w:eastAsia="仿宋" w:cs="仿宋"/>
                <w:sz w:val="24"/>
                <w:szCs w:val="24"/>
                <w:lang w:eastAsia="zh-CN"/>
              </w:rPr>
              <w:t>咸阳三毅优源投资有限公司</w:t>
            </w:r>
            <w:r>
              <w:rPr>
                <w:rFonts w:hint="eastAsia" w:ascii="仿宋" w:hAnsi="仿宋" w:eastAsia="仿宋" w:cs="仿宋"/>
                <w:sz w:val="24"/>
                <w:szCs w:val="24"/>
              </w:rPr>
              <w:t>在202</w:t>
            </w:r>
            <w:r>
              <w:rPr>
                <w:rFonts w:hint="eastAsia" w:ascii="仿宋" w:hAnsi="仿宋" w:eastAsia="仿宋" w:cs="仿宋"/>
                <w:sz w:val="24"/>
                <w:szCs w:val="24"/>
                <w:lang w:val="en-US" w:eastAsia="zh-CN"/>
              </w:rPr>
              <w:t>2</w:t>
            </w:r>
            <w:r>
              <w:rPr>
                <w:rFonts w:hint="eastAsia" w:ascii="仿宋" w:hAnsi="仿宋" w:eastAsia="仿宋" w:cs="仿宋"/>
                <w:sz w:val="24"/>
                <w:szCs w:val="24"/>
              </w:rPr>
              <w:t>年</w:t>
            </w:r>
            <w:r>
              <w:rPr>
                <w:rFonts w:hint="eastAsia" w:ascii="仿宋" w:hAnsi="仿宋" w:eastAsia="仿宋" w:cs="仿宋"/>
                <w:sz w:val="24"/>
                <w:szCs w:val="24"/>
                <w:lang w:val="en-US" w:eastAsia="zh-CN"/>
              </w:rPr>
              <w:t>8</w:t>
            </w:r>
            <w:r>
              <w:rPr>
                <w:rFonts w:hint="eastAsia" w:ascii="仿宋" w:hAnsi="仿宋" w:eastAsia="仿宋" w:cs="仿宋"/>
                <w:sz w:val="24"/>
                <w:szCs w:val="24"/>
              </w:rPr>
              <w:t>月成立预案编制小组，期间对本公司的应急资源（应急物资）进行了统计及收集，对本公司的应急人员进行了安排分配，经过编制小组的认真调查、审核、讨论，完成了《</w:t>
            </w:r>
            <w:r>
              <w:rPr>
                <w:rFonts w:hint="eastAsia" w:ascii="仿宋" w:hAnsi="仿宋" w:eastAsia="仿宋" w:cs="仿宋"/>
                <w:sz w:val="24"/>
                <w:szCs w:val="24"/>
                <w:lang w:eastAsia="zh-CN"/>
              </w:rPr>
              <w:t>咸阳三毅优源投资有限公司</w:t>
            </w:r>
            <w:r>
              <w:rPr>
                <w:rFonts w:hint="eastAsia" w:ascii="仿宋" w:hAnsi="仿宋" w:eastAsia="仿宋" w:cs="仿宋"/>
                <w:sz w:val="24"/>
                <w:szCs w:val="24"/>
              </w:rPr>
              <w:t>突发环境事件应急资源调查报告表》的编制，为环境突发事件应急预案正式报告、风险评估报告提供了可靠、详实的编制参考依据。</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sz w:val="24"/>
              </w:rPr>
            </w:pPr>
            <w:r>
              <w:rPr>
                <w:rFonts w:hint="default" w:ascii="Times New Roman" w:hAnsi="Times New Roman" w:eastAsia="仿宋" w:cs="Times New Roman"/>
                <w:b/>
                <w:sz w:val="24"/>
              </w:rPr>
              <w:t>2.调查结果（调查结果如果为“有”，应附相应调查表）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830" w:hRule="atLeast"/>
          <w:jc w:val="center"/>
        </w:trPr>
        <w:tc>
          <w:tcPr>
            <w:tcW w:w="1241" w:type="pct"/>
            <w:tcBorders>
              <w:tl2br w:val="nil"/>
              <w:tr2bl w:val="nil"/>
            </w:tcBorders>
            <w:noWrap w:val="0"/>
            <w:vAlign w:val="center"/>
          </w:tcPr>
          <w:p>
            <w:pPr>
              <w:adjustRightInd w:val="0"/>
              <w:snapToGrid w:val="0"/>
              <w:spacing w:line="288" w:lineRule="auto"/>
              <w:rPr>
                <w:rFonts w:hint="default" w:ascii="Times New Roman" w:hAnsi="Times New Roman" w:eastAsia="仿宋" w:cs="Times New Roman"/>
                <w:sz w:val="24"/>
              </w:rPr>
            </w:pPr>
            <w:r>
              <w:rPr>
                <w:rFonts w:hint="default" w:ascii="Times New Roman" w:hAnsi="Times New Roman" w:eastAsia="仿宋" w:cs="Times New Roman"/>
                <w:sz w:val="24"/>
              </w:rPr>
              <w:t>应急资源情况</w:t>
            </w:r>
          </w:p>
        </w:tc>
        <w:tc>
          <w:tcPr>
            <w:tcW w:w="3758" w:type="pct"/>
            <w:gridSpan w:val="3"/>
            <w:tcBorders>
              <w:tl2br w:val="nil"/>
              <w:tr2bl w:val="nil"/>
            </w:tcBorders>
            <w:noWrap w:val="0"/>
            <w:vAlign w:val="center"/>
          </w:tcPr>
          <w:p>
            <w:pPr>
              <w:adjustRightInd w:val="0"/>
              <w:snapToGrid w:val="0"/>
              <w:spacing w:line="288" w:lineRule="auto"/>
              <w:rPr>
                <w:rFonts w:hint="default" w:ascii="Times New Roman" w:hAnsi="Times New Roman" w:eastAsia="仿宋" w:cs="Times New Roman"/>
                <w:sz w:val="24"/>
              </w:rPr>
            </w:pPr>
            <w:r>
              <w:rPr>
                <w:rFonts w:hint="default" w:ascii="Times New Roman" w:hAnsi="Times New Roman" w:eastAsia="仿宋" w:cs="Times New Roman"/>
                <w:sz w:val="24"/>
              </w:rPr>
              <w:t>资源品种：</w:t>
            </w:r>
            <w:r>
              <w:rPr>
                <w:rFonts w:hint="eastAsia" w:ascii="Times New Roman" w:hAnsi="Times New Roman" w:eastAsia="仿宋" w:cs="Times New Roman"/>
                <w:color w:val="000000"/>
                <w:sz w:val="24"/>
                <w:u w:val="single"/>
                <w:lang w:val="en-US" w:eastAsia="zh-CN"/>
              </w:rPr>
              <w:t>26</w:t>
            </w:r>
            <w:r>
              <w:rPr>
                <w:rFonts w:hint="default" w:ascii="Times New Roman" w:hAnsi="Times New Roman" w:eastAsia="仿宋" w:cs="Times New Roman"/>
                <w:color w:val="000000"/>
                <w:sz w:val="24"/>
              </w:rPr>
              <w:t>种；</w:t>
            </w:r>
          </w:p>
          <w:p>
            <w:pPr>
              <w:adjustRightInd w:val="0"/>
              <w:snapToGrid w:val="0"/>
              <w:spacing w:line="288" w:lineRule="auto"/>
              <w:rPr>
                <w:rFonts w:hint="default" w:ascii="Times New Roman" w:hAnsi="Times New Roman" w:eastAsia="仿宋" w:cs="Times New Roman"/>
                <w:sz w:val="24"/>
              </w:rPr>
            </w:pPr>
            <w:r>
              <w:rPr>
                <w:rFonts w:hint="default" w:ascii="Times New Roman" w:hAnsi="Times New Roman" w:eastAsia="仿宋" w:cs="Times New Roman"/>
                <w:sz w:val="24"/>
              </w:rPr>
              <w:t>是否有外部环境应急支持单位：</w:t>
            </w:r>
            <w:r>
              <w:rPr>
                <w:rFonts w:hint="default" w:ascii="Times New Roman" w:hAnsi="Times New Roman" w:eastAsia="仿宋" w:cs="Times New Roman"/>
                <w:sz w:val="24"/>
              </w:rPr>
              <w:sym w:font="Wingdings 2" w:char="0052"/>
            </w:r>
            <w:r>
              <w:rPr>
                <w:rFonts w:hint="default" w:ascii="Times New Roman" w:hAnsi="Times New Roman" w:eastAsia="仿宋" w:cs="Times New Roman"/>
                <w:sz w:val="24"/>
              </w:rPr>
              <w:t>有</w:t>
            </w:r>
            <w:r>
              <w:rPr>
                <w:rFonts w:hint="eastAsia" w:ascii="Times New Roman" w:hAnsi="Times New Roman" w:eastAsia="仿宋" w:cs="Times New Roman"/>
                <w:color w:val="000000"/>
                <w:sz w:val="24"/>
                <w:u w:val="single"/>
                <w:lang w:val="en-US" w:eastAsia="zh-CN"/>
              </w:rPr>
              <w:t>15</w:t>
            </w:r>
            <w:r>
              <w:rPr>
                <w:rFonts w:hint="default" w:ascii="Times New Roman" w:hAnsi="Times New Roman" w:eastAsia="仿宋" w:cs="Times New Roman"/>
                <w:color w:val="000000"/>
                <w:sz w:val="24"/>
              </w:rPr>
              <w:t>家；</w:t>
            </w:r>
            <w:r>
              <w:rPr>
                <w:rFonts w:hint="default" w:ascii="Times New Roman" w:hAnsi="Times New Roman" w:eastAsia="仿宋" w:cs="Times New Roman"/>
                <w:sz w:val="24"/>
              </w:rPr>
              <w:sym w:font="Wingdings 2" w:char="00A3"/>
            </w:r>
            <w:r>
              <w:rPr>
                <w:rFonts w:hint="default" w:ascii="Times New Roman" w:hAnsi="Times New Roman" w:eastAsia="仿宋" w:cs="Times New Roman"/>
                <w:sz w:val="24"/>
              </w:rPr>
              <w:t>无</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sz w:val="24"/>
              </w:rPr>
            </w:pPr>
            <w:r>
              <w:rPr>
                <w:rFonts w:hint="default" w:ascii="Times New Roman" w:hAnsi="Times New Roman" w:eastAsia="仿宋" w:cs="Times New Roman"/>
                <w:b/>
                <w:sz w:val="24"/>
              </w:rPr>
              <w:t>3.调查质量控制与管理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1334" w:hRule="atLeast"/>
          <w:jc w:val="center"/>
        </w:trPr>
        <w:tc>
          <w:tcPr>
            <w:tcW w:w="5000" w:type="pct"/>
            <w:gridSpan w:val="4"/>
            <w:tcBorders>
              <w:tl2br w:val="nil"/>
              <w:tr2bl w:val="nil"/>
            </w:tcBorders>
            <w:noWrap w:val="0"/>
            <w:vAlign w:val="center"/>
          </w:tcPr>
          <w:p>
            <w:pPr>
              <w:adjustRightInd w:val="0"/>
              <w:snapToGrid w:val="0"/>
              <w:spacing w:line="288" w:lineRule="auto"/>
              <w:rPr>
                <w:rFonts w:hint="default" w:ascii="Times New Roman" w:hAnsi="Times New Roman" w:eastAsia="仿宋" w:cs="Times New Roman"/>
                <w:sz w:val="24"/>
              </w:rPr>
            </w:pPr>
            <w:r>
              <w:rPr>
                <w:rFonts w:hint="default" w:ascii="Times New Roman" w:hAnsi="Times New Roman" w:eastAsia="仿宋" w:cs="Times New Roman"/>
                <w:sz w:val="24"/>
              </w:rPr>
              <w:t>是否进行了调查信息审核：</w:t>
            </w:r>
            <w:r>
              <w:rPr>
                <w:rFonts w:hint="default" w:ascii="Times New Roman" w:hAnsi="Times New Roman" w:eastAsia="仿宋" w:cs="Times New Roman"/>
                <w:sz w:val="24"/>
              </w:rPr>
              <w:sym w:font="Wingdings 2" w:char="F052"/>
            </w:r>
            <w:r>
              <w:rPr>
                <w:rFonts w:hint="default" w:ascii="Times New Roman" w:hAnsi="Times New Roman" w:eastAsia="仿宋" w:cs="Times New Roman"/>
                <w:sz w:val="24"/>
              </w:rPr>
              <w:t>有；□无</w:t>
            </w:r>
          </w:p>
          <w:p>
            <w:pPr>
              <w:adjustRightInd w:val="0"/>
              <w:snapToGrid w:val="0"/>
              <w:spacing w:line="288" w:lineRule="auto"/>
              <w:rPr>
                <w:rFonts w:hint="default" w:ascii="Times New Roman" w:hAnsi="Times New Roman" w:eastAsia="仿宋" w:cs="Times New Roman"/>
                <w:sz w:val="24"/>
              </w:rPr>
            </w:pPr>
            <w:r>
              <w:rPr>
                <w:rFonts w:hint="default" w:ascii="Times New Roman" w:hAnsi="Times New Roman" w:eastAsia="仿宋" w:cs="Times New Roman"/>
                <w:sz w:val="24"/>
              </w:rPr>
              <w:t>是否建立了调查信息档案：</w:t>
            </w:r>
            <w:r>
              <w:rPr>
                <w:rFonts w:hint="default" w:ascii="Times New Roman" w:hAnsi="Times New Roman" w:eastAsia="仿宋" w:cs="Times New Roman"/>
                <w:sz w:val="24"/>
              </w:rPr>
              <w:sym w:font="Wingdings 2" w:char="F052"/>
            </w:r>
            <w:r>
              <w:rPr>
                <w:rFonts w:hint="default" w:ascii="Times New Roman" w:hAnsi="Times New Roman" w:eastAsia="仿宋" w:cs="Times New Roman"/>
                <w:sz w:val="24"/>
              </w:rPr>
              <w:t>有；□无</w:t>
            </w:r>
          </w:p>
          <w:p>
            <w:pPr>
              <w:adjustRightInd w:val="0"/>
              <w:snapToGrid w:val="0"/>
              <w:spacing w:line="288" w:lineRule="auto"/>
              <w:rPr>
                <w:rFonts w:hint="default" w:ascii="Times New Roman" w:hAnsi="Times New Roman" w:eastAsia="仿宋" w:cs="Times New Roman"/>
                <w:sz w:val="24"/>
              </w:rPr>
            </w:pPr>
            <w:r>
              <w:rPr>
                <w:rFonts w:hint="default" w:ascii="Times New Roman" w:hAnsi="Times New Roman" w:eastAsia="仿宋" w:cs="Times New Roman"/>
                <w:sz w:val="24"/>
              </w:rPr>
              <w:t>是否建立了调查更新机制：</w:t>
            </w:r>
            <w:r>
              <w:rPr>
                <w:rFonts w:hint="default" w:ascii="Times New Roman" w:hAnsi="Times New Roman" w:eastAsia="仿宋" w:cs="Times New Roman"/>
                <w:sz w:val="24"/>
              </w:rPr>
              <w:sym w:font="Wingdings 2" w:char="F052"/>
            </w:r>
            <w:r>
              <w:rPr>
                <w:rFonts w:hint="default" w:ascii="Times New Roman" w:hAnsi="Times New Roman" w:eastAsia="仿宋" w:cs="Times New Roman"/>
                <w:sz w:val="24"/>
              </w:rPr>
              <w:t>有；□无</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sz w:val="24"/>
              </w:rPr>
            </w:pPr>
            <w:r>
              <w:rPr>
                <w:rFonts w:hint="default" w:ascii="Times New Roman" w:hAnsi="Times New Roman" w:eastAsia="仿宋" w:cs="Times New Roman"/>
                <w:b/>
                <w:sz w:val="24"/>
              </w:rPr>
              <w:t>4.资源储备与应急需求匹配的分析结论</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sz w:val="24"/>
              </w:rPr>
            </w:pPr>
            <w:r>
              <w:rPr>
                <w:rFonts w:hint="default" w:ascii="Times New Roman" w:hAnsi="Times New Roman" w:eastAsia="仿宋" w:cs="Times New Roman"/>
                <w:sz w:val="24"/>
              </w:rPr>
              <w:t>□完全满足；</w:t>
            </w:r>
            <w:r>
              <w:rPr>
                <w:rFonts w:hint="default" w:ascii="Times New Roman" w:hAnsi="Times New Roman" w:eastAsia="仿宋" w:cs="Times New Roman"/>
                <w:sz w:val="24"/>
              </w:rPr>
              <w:sym w:font="Wingdings 2" w:char="F052"/>
            </w:r>
            <w:r>
              <w:rPr>
                <w:rFonts w:hint="default" w:ascii="Times New Roman" w:hAnsi="Times New Roman" w:eastAsia="仿宋" w:cs="Times New Roman"/>
                <w:sz w:val="24"/>
              </w:rPr>
              <w:t>满足；□基本满足；□不能满足</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sz w:val="24"/>
              </w:rPr>
            </w:pPr>
            <w:r>
              <w:rPr>
                <w:rFonts w:hint="default" w:ascii="Times New Roman" w:hAnsi="Times New Roman" w:eastAsia="仿宋" w:cs="Times New Roman"/>
                <w:b/>
                <w:sz w:val="24"/>
              </w:rPr>
              <w:t>5.附件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spacing w:line="360" w:lineRule="auto"/>
              <w:rPr>
                <w:rFonts w:hint="default" w:ascii="Times New Roman" w:hAnsi="Times New Roman" w:eastAsia="仿宋" w:cs="Times New Roman"/>
                <w:b/>
                <w:bCs/>
                <w:sz w:val="24"/>
              </w:rPr>
            </w:pPr>
            <w:r>
              <w:rPr>
                <w:rFonts w:hint="default" w:ascii="Times New Roman" w:hAnsi="Times New Roman" w:eastAsia="仿宋" w:cs="Times New Roman"/>
                <w:b/>
                <w:bCs/>
                <w:sz w:val="24"/>
              </w:rPr>
              <w:t>5.1环境应急资源/信息汇总表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09"/>
              <w:gridCol w:w="2238"/>
              <w:gridCol w:w="1038"/>
              <w:gridCol w:w="1209"/>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000" w:type="pct"/>
                  <w:gridSpan w:val="6"/>
                  <w:noWrap w:val="0"/>
                  <w:vAlign w:val="center"/>
                </w:tcPr>
                <w:p>
                  <w:pPr>
                    <w:jc w:val="center"/>
                    <w:rPr>
                      <w:rFonts w:hint="default" w:ascii="Times New Roman" w:hAnsi="Times New Roman" w:eastAsia="仿宋" w:cs="Times New Roman"/>
                      <w:sz w:val="21"/>
                      <w:szCs w:val="21"/>
                    </w:rPr>
                  </w:pPr>
                  <w:r>
                    <w:rPr>
                      <w:rFonts w:hint="default" w:ascii="Times New Roman" w:hAnsi="Times New Roman" w:eastAsia="仿宋" w:cs="Times New Roman"/>
                      <w:b/>
                      <w:bCs/>
                      <w:sz w:val="21"/>
                      <w:szCs w:val="21"/>
                    </w:rPr>
                    <w:t>企事业单位基本信息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1" w:type="pct"/>
                  <w:noWrap w:val="0"/>
                  <w:vAlign w:val="center"/>
                </w:tcPr>
                <w:p>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单位名称</w:t>
                  </w:r>
                </w:p>
              </w:tc>
              <w:tc>
                <w:tcPr>
                  <w:tcW w:w="4258" w:type="pct"/>
                  <w:gridSpan w:val="5"/>
                  <w:noWrap w:val="0"/>
                  <w:vAlign w:val="center"/>
                </w:tcPr>
                <w:p>
                  <w:pPr>
                    <w:jc w:val="center"/>
                    <w:rPr>
                      <w:rFonts w:hint="eastAsia" w:ascii="Times New Roman" w:hAnsi="Times New Roman" w:eastAsia="仿宋" w:cs="Times New Roman"/>
                      <w:sz w:val="21"/>
                      <w:szCs w:val="21"/>
                      <w:lang w:eastAsia="zh-CN"/>
                    </w:rPr>
                  </w:pPr>
                  <w:r>
                    <w:rPr>
                      <w:rFonts w:hint="eastAsia" w:ascii="仿宋" w:hAnsi="仿宋" w:eastAsia="仿宋" w:cs="仿宋"/>
                      <w:sz w:val="21"/>
                      <w:szCs w:val="21"/>
                      <w:lang w:eastAsia="zh-CN"/>
                    </w:rPr>
                    <w:t>咸阳三毅优源投资有限公司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741" w:type="pct"/>
                  <w:noWrap w:val="0"/>
                  <w:vAlign w:val="center"/>
                </w:tcPr>
                <w:p>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物资库位置</w:t>
                  </w:r>
                </w:p>
              </w:tc>
              <w:tc>
                <w:tcPr>
                  <w:tcW w:w="1850" w:type="pct"/>
                  <w:gridSpan w:val="2"/>
                  <w:noWrap w:val="0"/>
                  <w:vAlign w:val="center"/>
                </w:tcPr>
                <w:p>
                  <w:pPr>
                    <w:jc w:val="center"/>
                    <w:rPr>
                      <w:rFonts w:hint="default" w:ascii="Times New Roman" w:hAnsi="Times New Roman" w:eastAsia="仿宋" w:cs="Times New Roman"/>
                      <w:sz w:val="21"/>
                      <w:szCs w:val="21"/>
                    </w:rPr>
                  </w:pPr>
                  <w:r>
                    <w:rPr>
                      <w:rFonts w:hint="eastAsia" w:ascii="仿宋" w:hAnsi="仿宋" w:eastAsia="仿宋" w:cs="仿宋"/>
                      <w:sz w:val="21"/>
                      <w:szCs w:val="21"/>
                      <w:lang w:val="en-US" w:eastAsia="zh-CN"/>
                    </w:rPr>
                    <w:t>厂区西侧</w:t>
                  </w:r>
                </w:p>
              </w:tc>
              <w:tc>
                <w:tcPr>
                  <w:tcW w:w="557" w:type="pct"/>
                  <w:noWrap w:val="0"/>
                  <w:vAlign w:val="center"/>
                </w:tcPr>
                <w:p>
                  <w:pPr>
                    <w:jc w:val="center"/>
                    <w:rPr>
                      <w:rFonts w:hint="default" w:ascii="Times New Roman" w:hAnsi="Times New Roman" w:eastAsia="仿宋" w:cs="Times New Roman"/>
                      <w:sz w:val="21"/>
                      <w:szCs w:val="21"/>
                    </w:rPr>
                  </w:pPr>
                  <w:r>
                    <w:rPr>
                      <w:rFonts w:hint="eastAsia" w:ascii="仿宋" w:hAnsi="仿宋" w:eastAsia="仿宋" w:cs="仿宋"/>
                      <w:sz w:val="21"/>
                      <w:szCs w:val="21"/>
                    </w:rPr>
                    <w:t>经纬度</w:t>
                  </w:r>
                </w:p>
              </w:tc>
              <w:tc>
                <w:tcPr>
                  <w:tcW w:w="1850" w:type="pct"/>
                  <w:gridSpan w:val="2"/>
                  <w:noWrap w:val="0"/>
                  <w:vAlign w:val="center"/>
                </w:tcPr>
                <w:p>
                  <w:pPr>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经度</w:t>
                  </w:r>
                  <w:r>
                    <w:rPr>
                      <w:rFonts w:hint="eastAsia" w:ascii="Times New Roman" w:hAnsi="仿宋" w:eastAsia="仿宋" w:cs="Times New Roman"/>
                      <w:color w:val="000000"/>
                      <w:sz w:val="21"/>
                      <w:szCs w:val="21"/>
                    </w:rPr>
                    <w:t xml:space="preserve"> </w:t>
                  </w:r>
                  <w:r>
                    <w:rPr>
                      <w:rFonts w:hint="eastAsia" w:ascii="仿宋" w:hAnsi="仿宋" w:eastAsia="仿宋" w:cs="仿宋"/>
                      <w:color w:val="000000"/>
                      <w:sz w:val="21"/>
                      <w:szCs w:val="21"/>
                    </w:rPr>
                    <w:t>E108.738651727°</w:t>
                  </w:r>
                </w:p>
                <w:p>
                  <w:pPr>
                    <w:ind w:firstLine="420" w:firstLineChars="200"/>
                    <w:jc w:val="both"/>
                    <w:rPr>
                      <w:rFonts w:hint="default" w:ascii="Times New Roman" w:hAnsi="Times New Roman" w:eastAsia="仿宋" w:cs="Times New Roman"/>
                      <w:sz w:val="21"/>
                      <w:szCs w:val="21"/>
                      <w:lang w:val="en-US" w:eastAsia="zh-CN"/>
                    </w:rPr>
                  </w:pPr>
                  <w:r>
                    <w:rPr>
                      <w:rFonts w:hint="eastAsia" w:ascii="仿宋" w:hAnsi="仿宋" w:eastAsia="仿宋" w:cs="仿宋"/>
                      <w:color w:val="auto"/>
                      <w:sz w:val="21"/>
                      <w:szCs w:val="21"/>
                    </w:rPr>
                    <w:t>纬度</w:t>
                  </w:r>
                  <w:r>
                    <w:rPr>
                      <w:rFonts w:hint="eastAsia" w:ascii="仿宋" w:hAnsi="仿宋" w:eastAsia="仿宋" w:cs="仿宋"/>
                      <w:color w:val="000000"/>
                      <w:sz w:val="21"/>
                      <w:szCs w:val="21"/>
                    </w:rPr>
                    <w:t>N</w:t>
                  </w:r>
                  <w:r>
                    <w:rPr>
                      <w:rFonts w:hint="eastAsia" w:ascii="仿宋" w:hAnsi="仿宋" w:eastAsia="仿宋" w:cs="仿宋"/>
                      <w:color w:val="000000"/>
                      <w:sz w:val="21"/>
                      <w:szCs w:val="21"/>
                      <w:lang w:val="en-US" w:eastAsia="zh-CN"/>
                    </w:rPr>
                    <w:t>34.400657718°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1" w:type="pct"/>
                  <w:vMerge w:val="restart"/>
                  <w:noWrap w:val="0"/>
                  <w:vAlign w:val="center"/>
                </w:tcPr>
                <w:p>
                  <w:pPr>
                    <w:jc w:val="center"/>
                    <w:rPr>
                      <w:rFonts w:hint="default" w:ascii="Times New Roman" w:hAnsi="Times New Roman" w:eastAsia="仿宋" w:cs="Times New Roman"/>
                    </w:rPr>
                  </w:pPr>
                  <w:r>
                    <w:rPr>
                      <w:rFonts w:hint="default" w:ascii="Times New Roman" w:hAnsi="Times New Roman" w:eastAsia="仿宋" w:cs="Times New Roman"/>
                    </w:rPr>
                    <w:t>负责人</w:t>
                  </w:r>
                </w:p>
              </w:tc>
              <w:tc>
                <w:tcPr>
                  <w:tcW w:w="649" w:type="pc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姓名</w:t>
                  </w:r>
                </w:p>
              </w:tc>
              <w:tc>
                <w:tcPr>
                  <w:tcW w:w="1201" w:type="pc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孙岩</w:t>
                  </w:r>
                </w:p>
              </w:tc>
              <w:tc>
                <w:tcPr>
                  <w:tcW w:w="557" w:type="pct"/>
                  <w:vMerge w:val="restar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联系人</w:t>
                  </w:r>
                </w:p>
              </w:tc>
              <w:tc>
                <w:tcPr>
                  <w:tcW w:w="649" w:type="pc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姓名</w:t>
                  </w:r>
                </w:p>
              </w:tc>
              <w:tc>
                <w:tcPr>
                  <w:tcW w:w="1201" w:type="pc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王耸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1" w:type="pct"/>
                  <w:vMerge w:val="continue"/>
                  <w:noWrap w:val="0"/>
                  <w:vAlign w:val="center"/>
                </w:tcPr>
                <w:p>
                  <w:pPr>
                    <w:jc w:val="center"/>
                    <w:rPr>
                      <w:rFonts w:hint="default" w:ascii="Times New Roman" w:hAnsi="Times New Roman" w:eastAsia="仿宋" w:cs="Times New Roman"/>
                    </w:rPr>
                  </w:pPr>
                </w:p>
              </w:tc>
              <w:tc>
                <w:tcPr>
                  <w:tcW w:w="649" w:type="pc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联系方式</w:t>
                  </w:r>
                </w:p>
              </w:tc>
              <w:tc>
                <w:tcPr>
                  <w:tcW w:w="1201" w:type="pc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17795748363</w:t>
                  </w:r>
                </w:p>
              </w:tc>
              <w:tc>
                <w:tcPr>
                  <w:tcW w:w="557" w:type="pct"/>
                  <w:vMerge w:val="continue"/>
                  <w:noWrap w:val="0"/>
                  <w:vAlign w:val="center"/>
                </w:tcPr>
                <w:p>
                  <w:pPr>
                    <w:jc w:val="center"/>
                    <w:rPr>
                      <w:rFonts w:hint="eastAsia" w:ascii="仿宋" w:hAnsi="仿宋" w:eastAsia="仿宋" w:cs="仿宋"/>
                      <w:sz w:val="21"/>
                      <w:szCs w:val="21"/>
                      <w:lang w:val="en-US" w:eastAsia="zh-CN"/>
                    </w:rPr>
                  </w:pPr>
                </w:p>
              </w:tc>
              <w:tc>
                <w:tcPr>
                  <w:tcW w:w="649" w:type="pc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联系方式</w:t>
                  </w:r>
                </w:p>
              </w:tc>
              <w:tc>
                <w:tcPr>
                  <w:tcW w:w="1201" w:type="pct"/>
                  <w:noWrap w:val="0"/>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13892059269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6"/>
                  <w:noWrap w:val="0"/>
                  <w:vAlign w:val="center"/>
                </w:tcPr>
                <w:p>
                  <w:pPr>
                    <w:jc w:val="center"/>
                    <w:rPr>
                      <w:rFonts w:hint="default" w:ascii="Times New Roman" w:hAnsi="Times New Roman" w:eastAsia="仿宋" w:cs="Times New Roman"/>
                      <w:b/>
                      <w:bCs/>
                      <w:color w:val="000000"/>
                    </w:rPr>
                  </w:pPr>
                  <w:r>
                    <w:rPr>
                      <w:rFonts w:hint="default" w:ascii="Times New Roman" w:hAnsi="Times New Roman" w:eastAsia="仿宋" w:cs="Times New Roman"/>
                      <w:b/>
                      <w:bCs/>
                      <w:color w:val="000000"/>
                    </w:rPr>
                    <w:t>环境应急资源信息</w:t>
                  </w:r>
                </w:p>
                <w:tbl>
                  <w:tblPr>
                    <w:tblStyle w:val="6"/>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003"/>
                    <w:gridCol w:w="1382"/>
                    <w:gridCol w:w="1762"/>
                    <w:gridCol w:w="1343"/>
                    <w:gridCol w:w="1141"/>
                    <w:gridCol w:w="1009"/>
                    <w:gridCol w:w="14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序号</w:t>
                        </w:r>
                      </w:p>
                    </w:tc>
                    <w:tc>
                      <w:tcPr>
                        <w:tcW w:w="762"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重点应急资源名称</w:t>
                        </w:r>
                      </w:p>
                    </w:tc>
                    <w:tc>
                      <w:tcPr>
                        <w:tcW w:w="971"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型号/规格</w:t>
                        </w:r>
                      </w:p>
                    </w:tc>
                    <w:tc>
                      <w:tcPr>
                        <w:tcW w:w="740"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储备量</w:t>
                        </w:r>
                      </w:p>
                    </w:tc>
                    <w:tc>
                      <w:tcPr>
                        <w:tcW w:w="629"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报废日期</w:t>
                        </w:r>
                      </w:p>
                    </w:tc>
                    <w:tc>
                      <w:tcPr>
                        <w:tcW w:w="556" w:type="pct"/>
                        <w:tcBorders>
                          <w:top w:val="single" w:color="auto" w:sz="12"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val="en-US" w:eastAsia="zh-CN"/>
                          </w:rPr>
                          <w:t>主要功能</w:t>
                        </w:r>
                      </w:p>
                    </w:tc>
                    <w:tc>
                      <w:tcPr>
                        <w:tcW w:w="786"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消防栓箱</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应急灭火</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2</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室内消火栓</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DN65</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消防水带</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8-65-25</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4</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消防水枪</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KY65</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5</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消火栓按钮</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J-SGP-M-2</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6</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消火栓泵</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XBD5.2/25G-L</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2</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7</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室外消火栓</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SS100/65-1.6</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4</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8</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稳压装置</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WXQ-600</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9</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干粉灭火器</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MFZ/ABC4手提干粉</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20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10</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急救药箱</w:t>
                        </w:r>
                      </w:p>
                    </w:tc>
                    <w:tc>
                      <w:tcPr>
                        <w:tcW w:w="97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安全防护</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11</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应急照明灯具</w:t>
                        </w:r>
                      </w:p>
                    </w:tc>
                    <w:tc>
                      <w:tcPr>
                        <w:tcW w:w="97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2</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12</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rPr>
                          <w:t>简易防毒面具</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5</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13</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口罩</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20</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14</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备用发电机</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1</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15</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rPr>
                          <w:t>警戒线</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2</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16</w:t>
                        </w:r>
                      </w:p>
                    </w:tc>
                    <w:tc>
                      <w:tcPr>
                        <w:tcW w:w="762"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预警装置</w:t>
                        </w:r>
                      </w:p>
                    </w:tc>
                    <w:tc>
                      <w:tcPr>
                        <w:tcW w:w="971"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kern w:val="0"/>
                            <w:sz w:val="21"/>
                            <w:szCs w:val="21"/>
                            <w:highlight w:val="none"/>
                            <w:lang w:val="en-US" w:eastAsia="zh-CN"/>
                          </w:rPr>
                          <w:t>1</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17</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阻热防护服</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kern w:val="0"/>
                            <w:sz w:val="21"/>
                            <w:szCs w:val="21"/>
                            <w:highlight w:val="none"/>
                            <w:lang w:val="en-US" w:eastAsia="zh-CN"/>
                          </w:rPr>
                          <w:t>5</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18</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空气呼吸器</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5</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19</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安全警示背心</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5</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20</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堵漏器；封漏套管、封漏剂</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kern w:val="0"/>
                            <w:sz w:val="21"/>
                            <w:szCs w:val="21"/>
                            <w:highlight w:val="none"/>
                            <w:lang w:val="en-US" w:eastAsia="zh-CN"/>
                          </w:rPr>
                          <w:t>2</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rPr>
                          <w:t>污染源切断</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21</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固定式气体检测报警器</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3</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环境监测</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22</w:t>
                        </w:r>
                      </w:p>
                    </w:tc>
                    <w:tc>
                      <w:tcPr>
                        <w:tcW w:w="762"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应急指挥及信息系统</w:t>
                        </w:r>
                      </w:p>
                    </w:tc>
                    <w:tc>
                      <w:tcPr>
                        <w:tcW w:w="971"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1</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restart"/>
                        <w:tcBorders>
                          <w:right w:val="single" w:color="auto" w:sz="4" w:space="0"/>
                        </w:tcBorders>
                        <w:noWrap w:val="0"/>
                        <w:vAlign w:val="center"/>
                      </w:tcPr>
                      <w:p>
                        <w:pPr>
                          <w:widowControl/>
                          <w:adjustRightInd w:val="0"/>
                          <w:snapToGrid w:val="0"/>
                          <w:jc w:val="center"/>
                          <w:rPr>
                            <w:rFonts w:hint="default" w:ascii="Times New Roman" w:hAnsi="Times New Roman" w:eastAsia="仿宋" w:cs="Times New Roman"/>
                            <w:color w:val="000000"/>
                            <w:kern w:val="0"/>
                            <w:sz w:val="21"/>
                            <w:szCs w:val="21"/>
                            <w:highlight w:val="none"/>
                          </w:rPr>
                        </w:pPr>
                        <w:r>
                          <w:rPr>
                            <w:rFonts w:hint="default" w:ascii="Times New Roman" w:hAnsi="Times New Roman" w:eastAsia="仿宋" w:cs="Times New Roman"/>
                            <w:color w:val="000000"/>
                            <w:kern w:val="0"/>
                            <w:sz w:val="21"/>
                            <w:szCs w:val="21"/>
                            <w:highlight w:val="none"/>
                          </w:rPr>
                          <w:t>应急通信</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rPr>
                          <w:t>和指挥</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23</w:t>
                        </w:r>
                      </w:p>
                    </w:tc>
                    <w:tc>
                      <w:tcPr>
                        <w:tcW w:w="762"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对讲机</w:t>
                        </w:r>
                      </w:p>
                    </w:tc>
                    <w:tc>
                      <w:tcPr>
                        <w:tcW w:w="971"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4</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24</w:t>
                        </w:r>
                      </w:p>
                    </w:tc>
                    <w:tc>
                      <w:tcPr>
                        <w:tcW w:w="762"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吸油毡、吸油棉</w:t>
                        </w:r>
                      </w:p>
                    </w:tc>
                    <w:tc>
                      <w:tcPr>
                        <w:tcW w:w="971"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1</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rPr>
                          <w:t>污染物收集</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25</w:t>
                        </w:r>
                      </w:p>
                    </w:tc>
                    <w:tc>
                      <w:tcPr>
                        <w:tcW w:w="762"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color w:val="000000"/>
                            <w:kern w:val="0"/>
                            <w:sz w:val="21"/>
                            <w:szCs w:val="21"/>
                            <w:highlight w:val="none"/>
                            <w:lang w:val="en-US" w:eastAsia="zh-CN"/>
                          </w:rPr>
                          <w:t>备用空桶</w:t>
                        </w:r>
                      </w:p>
                    </w:tc>
                    <w:tc>
                      <w:tcPr>
                        <w:tcW w:w="971"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5</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26</w:t>
                        </w:r>
                      </w:p>
                    </w:tc>
                    <w:tc>
                      <w:tcPr>
                        <w:tcW w:w="762"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接油盘</w:t>
                        </w:r>
                      </w:p>
                    </w:tc>
                    <w:tc>
                      <w:tcPr>
                        <w:tcW w:w="971"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5</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bl>
                <w:p>
                  <w:pPr>
                    <w:widowControl w:val="0"/>
                    <w:ind w:left="0" w:leftChars="0" w:firstLine="0" w:firstLineChars="0"/>
                    <w:jc w:val="both"/>
                    <w:rPr>
                      <w:rFonts w:hint="default" w:ascii="Times New Roman" w:hAnsi="Times New Roman" w:eastAsia="仿宋" w:cs="Times New Roman"/>
                      <w:color w:val="FF0000"/>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6"/>
                  <w:noWrap w:val="0"/>
                  <w:vAlign w:val="center"/>
                </w:tcPr>
                <w:p>
                  <w:pPr>
                    <w:jc w:val="center"/>
                    <w:rPr>
                      <w:rFonts w:hint="eastAsia" w:ascii="仿宋" w:hAnsi="仿宋" w:eastAsia="仿宋" w:cs="仿宋"/>
                      <w:b/>
                      <w:bCs/>
                    </w:rPr>
                  </w:pPr>
                  <w:r>
                    <w:rPr>
                      <w:rFonts w:hint="eastAsia" w:ascii="仿宋" w:hAnsi="仿宋" w:eastAsia="仿宋" w:cs="仿宋"/>
                      <w:b/>
                      <w:bCs/>
                    </w:rPr>
                    <w:t>应急救援指挥组织名单</w:t>
                  </w:r>
                </w:p>
                <w:tbl>
                  <w:tblPr>
                    <w:tblStyle w:val="6"/>
                    <w:tblW w:w="90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024"/>
                    <w:gridCol w:w="1536"/>
                    <w:gridCol w:w="1205"/>
                    <w:gridCol w:w="2314"/>
                    <w:gridCol w:w="1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560" w:type="dxa"/>
                        <w:gridSpan w:val="2"/>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应急救援组织机构职务</w:t>
                        </w:r>
                      </w:p>
                    </w:tc>
                    <w:tc>
                      <w:tcPr>
                        <w:tcW w:w="120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姓名</w:t>
                        </w:r>
                      </w:p>
                    </w:tc>
                    <w:tc>
                      <w:tcPr>
                        <w:tcW w:w="2314"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单位职务</w:t>
                        </w:r>
                      </w:p>
                    </w:tc>
                    <w:tc>
                      <w:tcPr>
                        <w:tcW w:w="1992"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指挥部</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总指挥</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孙岩</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总经理</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17795748363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副总指挥</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周立宽</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副总经理</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18009287618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办公室主任</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王耸</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行政经理</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13892059269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消防抢险组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sz w:val="21"/>
                            <w:szCs w:val="21"/>
                            <w:highlight w:val="none"/>
                            <w:lang w:eastAsia="zh-CN"/>
                          </w:rPr>
                          <w:t>陈钢超</w:t>
                        </w:r>
                      </w:p>
                    </w:tc>
                    <w:tc>
                      <w:tcPr>
                        <w:tcW w:w="2314" w:type="dxa"/>
                        <w:noWrap w:val="0"/>
                        <w:vAlign w:val="center"/>
                      </w:tcPr>
                      <w:p>
                        <w:pPr>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sz w:val="21"/>
                            <w:szCs w:val="21"/>
                            <w:highlight w:val="none"/>
                            <w:lang w:eastAsia="zh-CN"/>
                          </w:rPr>
                          <w:t>生产部</w:t>
                        </w:r>
                        <w:r>
                          <w:rPr>
                            <w:rFonts w:hint="default" w:ascii="Times New Roman" w:hAnsi="Times New Roman" w:eastAsia="仿宋" w:cs="Times New Roman"/>
                            <w:b/>
                            <w:bCs/>
                            <w:sz w:val="21"/>
                            <w:szCs w:val="21"/>
                            <w:highlight w:val="none"/>
                          </w:rPr>
                          <w:t>员工</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13087555082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葛奎</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生产部员工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17792624853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翟笑冬</w:t>
                        </w:r>
                      </w:p>
                    </w:tc>
                    <w:tc>
                      <w:tcPr>
                        <w:tcW w:w="2314"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生产部</w:t>
                        </w:r>
                        <w:r>
                          <w:rPr>
                            <w:rFonts w:hint="default" w:ascii="Times New Roman" w:hAnsi="Times New Roman" w:eastAsia="仿宋" w:cs="Times New Roman"/>
                            <w:sz w:val="21"/>
                            <w:szCs w:val="21"/>
                            <w:highlight w:val="none"/>
                          </w:rPr>
                          <w:t>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15398055762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治安警戒组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刘超</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副总经理</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13319253001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李联平</w:t>
                        </w:r>
                      </w:p>
                    </w:tc>
                    <w:tc>
                      <w:tcPr>
                        <w:tcW w:w="2314"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生产部</w:t>
                        </w:r>
                        <w:r>
                          <w:rPr>
                            <w:rFonts w:hint="default" w:ascii="Times New Roman" w:hAnsi="Times New Roman" w:eastAsia="仿宋" w:cs="Times New Roman"/>
                            <w:sz w:val="21"/>
                            <w:szCs w:val="21"/>
                            <w:highlight w:val="none"/>
                          </w:rPr>
                          <w:t>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13008563687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陈亮</w:t>
                        </w:r>
                      </w:p>
                    </w:tc>
                    <w:tc>
                      <w:tcPr>
                        <w:tcW w:w="2314"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生产部</w:t>
                        </w:r>
                        <w:r>
                          <w:rPr>
                            <w:rFonts w:hint="default" w:ascii="Times New Roman" w:hAnsi="Times New Roman" w:eastAsia="仿宋" w:cs="Times New Roman"/>
                            <w:sz w:val="21"/>
                            <w:szCs w:val="21"/>
                            <w:highlight w:val="none"/>
                          </w:rPr>
                          <w:t>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13649291423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物资供应组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梁向鹏</w:t>
                        </w:r>
                      </w:p>
                    </w:tc>
                    <w:tc>
                      <w:tcPr>
                        <w:tcW w:w="2314" w:type="dxa"/>
                        <w:noWrap w:val="0"/>
                        <w:vAlign w:val="center"/>
                      </w:tcPr>
                      <w:p>
                        <w:pPr>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sz w:val="21"/>
                            <w:szCs w:val="21"/>
                            <w:highlight w:val="none"/>
                            <w:lang w:eastAsia="zh-CN"/>
                          </w:rPr>
                          <w:t>后勤主管</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17729109660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刘明明</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物料部员工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18699666141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薛若鑫</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物料部员工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13347400270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医疗救护组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bCs/>
                            <w:sz w:val="21"/>
                            <w:szCs w:val="21"/>
                            <w:highlight w:val="none"/>
                            <w:lang w:eastAsia="zh-CN"/>
                          </w:rPr>
                          <w:t>黄红轩</w:t>
                        </w:r>
                      </w:p>
                    </w:tc>
                    <w:tc>
                      <w:tcPr>
                        <w:tcW w:w="2314"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bCs/>
                            <w:sz w:val="21"/>
                            <w:szCs w:val="21"/>
                            <w:highlight w:val="none"/>
                            <w:lang w:eastAsia="zh-CN"/>
                          </w:rPr>
                          <w:t>财务总监</w:t>
                        </w:r>
                      </w:p>
                    </w:tc>
                    <w:tc>
                      <w:tcPr>
                        <w:tcW w:w="1992"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bCs/>
                            <w:sz w:val="21"/>
                            <w:szCs w:val="21"/>
                            <w:highlight w:val="none"/>
                            <w:lang w:val="en-US" w:eastAsia="zh-CN"/>
                          </w:rPr>
                          <w:t>13891082299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王甜</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财务主管</w:t>
                        </w:r>
                      </w:p>
                    </w:tc>
                    <w:tc>
                      <w:tcPr>
                        <w:tcW w:w="1992"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val="en-US" w:eastAsia="zh-CN"/>
                          </w:rPr>
                          <w:t>18681979092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朱潘菲</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出纳</w:t>
                        </w:r>
                      </w:p>
                    </w:tc>
                    <w:tc>
                      <w:tcPr>
                        <w:tcW w:w="1992" w:type="dxa"/>
                        <w:noWrap w:val="0"/>
                        <w:vAlign w:val="center"/>
                      </w:tcPr>
                      <w:p>
                        <w:pPr>
                          <w:jc w:val="center"/>
                          <w:rPr>
                            <w:rFonts w:hint="default" w:ascii="Times New Roman" w:hAnsi="Times New Roman" w:eastAsia="仿宋" w:cs="Times New Roman"/>
                            <w:color w:val="auto"/>
                            <w:sz w:val="21"/>
                            <w:szCs w:val="21"/>
                            <w:highlight w:val="none"/>
                            <w:lang w:val="en-US"/>
                          </w:rPr>
                        </w:pPr>
                        <w:r>
                          <w:rPr>
                            <w:rFonts w:hint="eastAsia" w:ascii="Times New Roman" w:hAnsi="Times New Roman" w:eastAsia="仿宋" w:cs="Times New Roman"/>
                            <w:sz w:val="21"/>
                            <w:szCs w:val="21"/>
                            <w:highlight w:val="none"/>
                            <w:lang w:val="en-US" w:eastAsia="zh-CN"/>
                          </w:rPr>
                          <w:t>18829241741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通讯联络组组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王丹</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商务经理</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18710396071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马丹</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商务部员工</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15909284243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应急环境监测组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毛传宝</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物料主管</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18092703800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赵珊</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物料部员工</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15929553363</w:t>
                        </w:r>
                      </w:p>
                    </w:tc>
                  </w:tr>
                </w:tbl>
                <w:p>
                  <w:pPr>
                    <w:rPr>
                      <w:rFonts w:hint="default" w:ascii="Times New Roman" w:hAnsi="Times New Roman" w:cs="Times New Roman"/>
                    </w:rPr>
                  </w:pPr>
                </w:p>
              </w:tc>
            </w:tr>
          </w:tbl>
          <w:p>
            <w:pPr>
              <w:spacing w:line="360" w:lineRule="auto"/>
              <w:jc w:val="center"/>
              <w:rPr>
                <w:rFonts w:hint="default" w:ascii="Times New Roman" w:hAnsi="Times New Roman" w:eastAsia="仿宋" w:cs="Times New Roman"/>
                <w:b/>
                <w:bCs/>
              </w:rPr>
            </w:pPr>
            <w:r>
              <w:rPr>
                <w:rFonts w:hint="default" w:ascii="Times New Roman" w:hAnsi="Times New Roman" w:eastAsia="仿宋" w:cs="Times New Roman"/>
                <w:b/>
                <w:bCs/>
              </w:rPr>
              <w:t>环境应急支持单位信息</w:t>
            </w:r>
          </w:p>
          <w:tbl>
            <w:tblPr>
              <w:tblStyle w:val="6"/>
              <w:tblpPr w:leftFromText="180" w:rightFromText="180" w:vertAnchor="text" w:horzAnchor="page" w:tblpX="1769" w:tblpY="35"/>
              <w:tblOverlap w:val="never"/>
              <w:tblW w:w="4925" w:type="pct"/>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828"/>
              <w:gridCol w:w="1818"/>
              <w:gridCol w:w="3586"/>
              <w:gridCol w:w="2926"/>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28"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序号</w:t>
                  </w:r>
                </w:p>
              </w:tc>
              <w:tc>
                <w:tcPr>
                  <w:tcW w:w="99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类别</w:t>
                  </w:r>
                </w:p>
              </w:tc>
              <w:tc>
                <w:tcPr>
                  <w:tcW w:w="1957"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单位名称</w:t>
                  </w:r>
                </w:p>
              </w:tc>
              <w:tc>
                <w:tcPr>
                  <w:tcW w:w="1596"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应急电话</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59"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1</w:t>
                  </w:r>
                </w:p>
              </w:tc>
              <w:tc>
                <w:tcPr>
                  <w:tcW w:w="99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firstLine="420" w:firstLineChars="200"/>
                    <w:jc w:val="both"/>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西咸新区秦汉新城管委会</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029-33185000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7"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2</w:t>
                  </w:r>
                </w:p>
              </w:tc>
              <w:tc>
                <w:tcPr>
                  <w:tcW w:w="99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市生态环境局西咸新区分局</w:t>
                  </w:r>
                </w:p>
              </w:tc>
              <w:tc>
                <w:tcPr>
                  <w:tcW w:w="1596" w:type="pct"/>
                  <w:tcBorders>
                    <w:tl2br w:val="nil"/>
                    <w:tr2bl w:val="nil"/>
                  </w:tcBorders>
                  <w:noWrap w:val="0"/>
                  <w:vAlign w:val="center"/>
                </w:tcPr>
                <w:p>
                  <w:pPr>
                    <w:keepNext w:val="0"/>
                    <w:keepLines w:val="0"/>
                    <w:widowControl/>
                    <w:suppressLineNumbers w:val="0"/>
                    <w:spacing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029-33585034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14"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3</w:t>
                  </w:r>
                </w:p>
              </w:tc>
              <w:tc>
                <w:tcPr>
                  <w:tcW w:w="99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西咸新区生态环境局</w:t>
                  </w:r>
                </w:p>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（秦汉）工作部</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029-33585034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4</w:t>
                  </w:r>
                </w:p>
              </w:tc>
              <w:tc>
                <w:tcPr>
                  <w:tcW w:w="99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西咸新区秦汉新城消防大队</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119/029-33185703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5</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西咸新区秦汉新城应急管理局</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029-33185321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127"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6</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咸阳市气象局</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w:t>
                  </w:r>
                  <w:r>
                    <w:rPr>
                      <w:rFonts w:hint="eastAsia" w:ascii="Times New Roman" w:hAnsi="Times New Roman" w:eastAsia="仿宋" w:cs="Times New Roman"/>
                      <w:color w:val="auto"/>
                      <w:kern w:val="2"/>
                      <w:sz w:val="21"/>
                      <w:szCs w:val="21"/>
                      <w:lang w:val="en-US" w:eastAsia="zh-CN" w:bidi="ar"/>
                    </w:rPr>
                    <w:t>-</w:t>
                  </w:r>
                  <w:r>
                    <w:rPr>
                      <w:rFonts w:hint="default" w:ascii="Times New Roman" w:hAnsi="Times New Roman" w:eastAsia="仿宋" w:cs="Times New Roman"/>
                      <w:color w:val="auto"/>
                      <w:kern w:val="2"/>
                      <w:sz w:val="21"/>
                      <w:szCs w:val="21"/>
                      <w:lang w:val="en-US" w:eastAsia="zh-CN" w:bidi="ar"/>
                    </w:rPr>
                    <w:t>33316329</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7</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咸阳市环境监测站</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029-32036359</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8</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秦汉新城交通警察支队</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029-33185688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9</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咸阳市中心医院东郊分院</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w:t>
                  </w:r>
                  <w:r>
                    <w:rPr>
                      <w:rFonts w:hint="eastAsia" w:ascii="Times New Roman" w:hAnsi="Times New Roman" w:eastAsia="仿宋" w:cs="Times New Roman"/>
                      <w:color w:val="auto"/>
                      <w:kern w:val="2"/>
                      <w:sz w:val="21"/>
                      <w:szCs w:val="21"/>
                      <w:lang w:val="en-US" w:eastAsia="zh-CN" w:bidi="ar"/>
                    </w:rPr>
                    <w:t>-</w:t>
                  </w:r>
                  <w:r>
                    <w:rPr>
                      <w:rFonts w:hint="default" w:ascii="Times New Roman" w:hAnsi="Times New Roman" w:eastAsia="仿宋" w:cs="Times New Roman"/>
                      <w:color w:val="auto"/>
                      <w:kern w:val="2"/>
                      <w:sz w:val="21"/>
                      <w:szCs w:val="21"/>
                      <w:lang w:val="en-US" w:eastAsia="zh-CN" w:bidi="ar"/>
                    </w:rPr>
                    <w:t>33253932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28"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12</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四邻单位</w:t>
                  </w:r>
                </w:p>
              </w:tc>
              <w:tc>
                <w:tcPr>
                  <w:tcW w:w="195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eastAsia"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44"/>
                      <w:sz w:val="21"/>
                      <w:szCs w:val="21"/>
                      <w:highlight w:val="none"/>
                      <w:lang w:eastAsia="zh-CN"/>
                    </w:rPr>
                    <w:t>陕西三毅有岩材料科技有限公司</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029-</w:t>
                  </w:r>
                  <w:r>
                    <w:rPr>
                      <w:rFonts w:hint="default" w:ascii="Times New Roman" w:hAnsi="Times New Roman" w:eastAsia="仿宋" w:cs="Times New Roman"/>
                      <w:i w:val="0"/>
                      <w:caps w:val="0"/>
                      <w:color w:val="auto"/>
                      <w:spacing w:val="0"/>
                      <w:sz w:val="21"/>
                      <w:szCs w:val="21"/>
                      <w:highlight w:val="none"/>
                      <w:shd w:val="clear" w:color="auto" w:fill="FFFFFF"/>
                    </w:rPr>
                    <w:t>86670362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67"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cs="Times New Roman"/>
                      <w:color w:val="auto"/>
                      <w:kern w:val="2"/>
                      <w:sz w:val="21"/>
                      <w:szCs w:val="21"/>
                      <w:lang w:val="en-US" w:eastAsia="zh-CN" w:bidi="ar"/>
                    </w:rPr>
                    <w:t>13</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四邻单位</w:t>
                  </w:r>
                </w:p>
              </w:tc>
              <w:tc>
                <w:tcPr>
                  <w:tcW w:w="195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eastAsia"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sz w:val="21"/>
                      <w:szCs w:val="21"/>
                      <w:lang w:val="en-US" w:eastAsia="zh-CN"/>
                    </w:rPr>
                    <w:t>陕西优顿系统门窗加工中心</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029-38109333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67"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cs="Times New Roman"/>
                      <w:color w:val="auto"/>
                      <w:kern w:val="2"/>
                      <w:sz w:val="21"/>
                      <w:szCs w:val="21"/>
                      <w:lang w:val="en-US" w:eastAsia="zh-CN" w:bidi="ar"/>
                    </w:rPr>
                  </w:pPr>
                  <w:r>
                    <w:rPr>
                      <w:rFonts w:hint="eastAsia" w:ascii="Times New Roman" w:hAnsi="Times New Roman" w:cs="Times New Roman"/>
                      <w:color w:val="auto"/>
                      <w:kern w:val="2"/>
                      <w:sz w:val="21"/>
                      <w:szCs w:val="21"/>
                      <w:lang w:val="en-US" w:eastAsia="zh-CN" w:bidi="ar"/>
                    </w:rPr>
                    <w:t>14</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周边单位</w:t>
                  </w:r>
                </w:p>
              </w:tc>
              <w:tc>
                <w:tcPr>
                  <w:tcW w:w="195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新庄村</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i w:val="0"/>
                      <w:caps w:val="0"/>
                      <w:color w:val="auto"/>
                      <w:spacing w:val="0"/>
                      <w:sz w:val="21"/>
                      <w:szCs w:val="21"/>
                      <w:highlight w:val="none"/>
                      <w:shd w:val="clear" w:color="auto" w:fill="FFFFFF"/>
                      <w:lang w:val="en-US" w:eastAsia="zh-CN"/>
                    </w:rPr>
                  </w:pPr>
                  <w:r>
                    <w:rPr>
                      <w:rFonts w:hint="eastAsia" w:ascii="Times New Roman" w:hAnsi="Times New Roman" w:eastAsia="仿宋" w:cs="Times New Roman"/>
                      <w:i w:val="0"/>
                      <w:caps w:val="0"/>
                      <w:color w:val="auto"/>
                      <w:spacing w:val="0"/>
                      <w:sz w:val="21"/>
                      <w:szCs w:val="21"/>
                      <w:highlight w:val="none"/>
                      <w:shd w:val="clear" w:color="auto" w:fill="FFFFFF"/>
                      <w:lang w:val="en-US" w:eastAsia="zh-CN"/>
                    </w:rPr>
                    <w:t>029-</w:t>
                  </w: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3220748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67"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cs="Times New Roman"/>
                      <w:color w:val="auto"/>
                      <w:kern w:val="2"/>
                      <w:sz w:val="21"/>
                      <w:szCs w:val="21"/>
                      <w:lang w:val="en-US" w:eastAsia="zh-CN" w:bidi="ar"/>
                    </w:rPr>
                  </w:pPr>
                  <w:r>
                    <w:rPr>
                      <w:rFonts w:hint="eastAsia" w:ascii="Times New Roman" w:hAnsi="Times New Roman" w:cs="Times New Roman"/>
                      <w:color w:val="auto"/>
                      <w:kern w:val="2"/>
                      <w:sz w:val="21"/>
                      <w:szCs w:val="21"/>
                      <w:lang w:val="en-US" w:eastAsia="zh-CN" w:bidi="ar"/>
                    </w:rPr>
                    <w:t>15</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周边单位</w:t>
                  </w:r>
                </w:p>
              </w:tc>
              <w:tc>
                <w:tcPr>
                  <w:tcW w:w="32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jc w:val="center"/>
                    <w:textAlignment w:val="auto"/>
                    <w:rPr>
                      <w:rFonts w:hint="eastAsia" w:ascii="Times New Roman" w:hAnsi="Times New Roman" w:eastAsia="仿宋" w:cs="Times New Roman"/>
                      <w:color w:val="auto"/>
                      <w:sz w:val="21"/>
                      <w:szCs w:val="21"/>
                      <w:lang w:val="en-US" w:eastAsia="zh-CN"/>
                    </w:rPr>
                  </w:pPr>
                  <w:r>
                    <w:rPr>
                      <w:rFonts w:hint="default" w:ascii="Times New Roman" w:hAnsi="Times New Roman" w:eastAsia="仿宋" w:cs="Times New Roman"/>
                      <w:iCs/>
                      <w:sz w:val="21"/>
                      <w:szCs w:val="21"/>
                      <w:highlight w:val="none"/>
                      <w:lang w:eastAsia="zh-CN" w:bidi="ar-BH"/>
                    </w:rPr>
                    <w:t>周礼佳苑安居小区</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i w:val="0"/>
                      <w:caps w:val="0"/>
                      <w:color w:val="auto"/>
                      <w:spacing w:val="0"/>
                      <w:sz w:val="21"/>
                      <w:szCs w:val="21"/>
                      <w:highlight w:val="none"/>
                      <w:shd w:val="clear" w:color="auto" w:fill="FFFFFF"/>
                      <w:lang w:val="en-US" w:eastAsia="zh-CN"/>
                    </w:rPr>
                  </w:pP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029-33713399</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67" w:hRule="exact"/>
              </w:trPr>
              <w:tc>
                <w:tcPr>
                  <w:tcW w:w="452" w:type="pct"/>
                  <w:tcBorders>
                    <w:tl2br w:val="nil"/>
                    <w:tr2bl w:val="nil"/>
                  </w:tcBorders>
                  <w:noWrap w:val="0"/>
                  <w:vAlign w:val="center"/>
                </w:tcPr>
                <w:p>
                  <w:pPr>
                    <w:pStyle w:val="5"/>
                    <w:widowControl w:val="0"/>
                    <w:adjustRightInd w:val="0"/>
                    <w:snapToGrid w:val="0"/>
                    <w:spacing w:before="0" w:beforeAutospacing="0" w:after="0" w:afterAutospacing="0" w:line="240" w:lineRule="auto"/>
                    <w:ind w:firstLine="0" w:firstLineChars="0"/>
                    <w:jc w:val="center"/>
                    <w:rPr>
                      <w:rFonts w:hint="default" w:ascii="Times New Roman" w:hAnsi="Times New Roman" w:cs="Times New Roman"/>
                      <w:color w:val="auto"/>
                      <w:kern w:val="2"/>
                      <w:sz w:val="21"/>
                      <w:szCs w:val="21"/>
                      <w:lang w:val="en-US" w:eastAsia="zh-CN" w:bidi="ar"/>
                    </w:rPr>
                  </w:pPr>
                  <w:r>
                    <w:rPr>
                      <w:rFonts w:hint="eastAsia" w:ascii="Times New Roman" w:hAnsi="Times New Roman" w:cs="Times New Roman"/>
                      <w:color w:val="auto"/>
                      <w:kern w:val="2"/>
                      <w:sz w:val="21"/>
                      <w:szCs w:val="21"/>
                      <w:lang w:val="en-US" w:eastAsia="zh-CN" w:bidi="ar"/>
                    </w:rPr>
                    <w:t>16</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周边单位</w:t>
                  </w:r>
                </w:p>
              </w:tc>
              <w:tc>
                <w:tcPr>
                  <w:tcW w:w="3215" w:type="dxa"/>
                  <w:tcBorders>
                    <w:tl2br w:val="nil"/>
                    <w:tr2bl w:val="nil"/>
                  </w:tcBorders>
                  <w:noWrap w:val="0"/>
                  <w:vAlign w:val="center"/>
                </w:tcPr>
                <w:p>
                  <w:pPr>
                    <w:spacing w:line="240" w:lineRule="exact"/>
                    <w:jc w:val="center"/>
                    <w:rPr>
                      <w:rFonts w:hint="eastAsia" w:ascii="Times New Roman" w:hAnsi="Times New Roman" w:eastAsia="仿宋" w:cs="Times New Roman"/>
                      <w:color w:val="auto"/>
                      <w:sz w:val="21"/>
                      <w:szCs w:val="21"/>
                      <w:lang w:val="en-US" w:eastAsia="zh-CN"/>
                    </w:rPr>
                  </w:pPr>
                  <w:r>
                    <w:rPr>
                      <w:rFonts w:hint="default" w:ascii="Times New Roman" w:hAnsi="Times New Roman" w:eastAsia="仿宋" w:cs="Times New Roman"/>
                      <w:iCs/>
                      <w:sz w:val="21"/>
                      <w:szCs w:val="21"/>
                      <w:highlight w:val="none"/>
                      <w:lang w:eastAsia="zh-CN" w:bidi="ar-BH"/>
                    </w:rPr>
                    <w:t>南贺村</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i w:val="0"/>
                      <w:caps w:val="0"/>
                      <w:color w:val="auto"/>
                      <w:spacing w:val="0"/>
                      <w:sz w:val="21"/>
                      <w:szCs w:val="21"/>
                      <w:highlight w:val="none"/>
                      <w:shd w:val="clear" w:color="auto" w:fill="FFFFFF"/>
                      <w:lang w:val="en-US" w:eastAsia="zh-CN"/>
                    </w:rPr>
                  </w:pP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13892055591</w:t>
                  </w:r>
                </w:p>
              </w:tc>
            </w:tr>
          </w:tbl>
          <w:p>
            <w:pPr>
              <w:adjustRightInd w:val="0"/>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t>5.3环境应急资源管理维护更新等制度</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color w:val="auto"/>
                <w:sz w:val="28"/>
                <w:szCs w:val="28"/>
                <w:lang w:val="en-US" w:eastAsia="zh-CN"/>
              </w:rPr>
              <w:t>咸阳三毅优源投资有限公司</w:t>
            </w:r>
            <w:r>
              <w:rPr>
                <w:rFonts w:hint="eastAsia" w:ascii="仿宋" w:hAnsi="仿宋" w:eastAsia="仿宋" w:cs="仿宋"/>
                <w:color w:val="auto"/>
                <w:sz w:val="28"/>
                <w:szCs w:val="28"/>
              </w:rPr>
              <w:t>按照应</w:t>
            </w:r>
            <w:r>
              <w:rPr>
                <w:rFonts w:hint="eastAsia" w:ascii="仿宋" w:hAnsi="仿宋" w:eastAsia="仿宋" w:cs="仿宋"/>
                <w:sz w:val="28"/>
                <w:szCs w:val="28"/>
              </w:rPr>
              <w:t>急需要，建立科学规划、统一建设、平时分开管理、用时统一调度的应急物资储备保障体系，由物资保障组具体负责全厂区应急物资储备的综合管理工作，各相关部门对本公司的应急物资要加强保管和维护，确保正常使用，</w:t>
            </w:r>
            <w:r>
              <w:rPr>
                <w:rFonts w:hint="default" w:ascii="仿宋" w:hAnsi="仿宋" w:eastAsia="仿宋" w:cs="仿宋"/>
                <w:sz w:val="28"/>
                <w:szCs w:val="28"/>
                <w:lang w:val="en-US" w:eastAsia="zh-CN"/>
              </w:rPr>
              <w:t>物资供应组</w:t>
            </w:r>
            <w:r>
              <w:rPr>
                <w:rFonts w:hint="eastAsia" w:ascii="仿宋" w:hAnsi="仿宋" w:eastAsia="仿宋" w:cs="仿宋"/>
                <w:sz w:val="28"/>
                <w:szCs w:val="28"/>
              </w:rPr>
              <w:t>和各个现场应急救援组定期检查配备物资质量是否完好、数量是否足够，能否满足应急状态时的需要，应急资源不足或过期时应及时上报物资保障组更新过期物资。</w:t>
            </w:r>
          </w:p>
          <w:p>
            <w:pPr>
              <w:adjustRightInd w:val="0"/>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t>5.4环境应急专项经费调查</w:t>
            </w:r>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应急经费是在突发事件发生时能迅速开展应急行动的前提保障，没有可靠的资金渠道和充足的应急经费，必然无法保证有效开展应急救援行动和维护应急管理体系的正常运转，为</w:t>
            </w:r>
            <w:r>
              <w:rPr>
                <w:rFonts w:hint="eastAsia" w:ascii="仿宋" w:hAnsi="仿宋" w:eastAsia="仿宋" w:cs="仿宋"/>
                <w:color w:val="auto"/>
                <w:sz w:val="28"/>
                <w:szCs w:val="28"/>
              </w:rPr>
              <w:t>此</w:t>
            </w:r>
            <w:r>
              <w:rPr>
                <w:rFonts w:hint="eastAsia" w:ascii="仿宋" w:hAnsi="仿宋" w:eastAsia="仿宋" w:cs="仿宋"/>
                <w:color w:val="auto"/>
                <w:sz w:val="28"/>
                <w:szCs w:val="28"/>
                <w:lang w:val="en-US" w:eastAsia="zh-CN"/>
              </w:rPr>
              <w:t>咸阳三毅优源投资有限公司</w:t>
            </w:r>
            <w:r>
              <w:rPr>
                <w:rFonts w:hint="eastAsia" w:ascii="仿宋" w:hAnsi="仿宋" w:eastAsia="仿宋" w:cs="仿宋"/>
                <w:color w:val="auto"/>
                <w:sz w:val="28"/>
                <w:szCs w:val="28"/>
              </w:rPr>
              <w:t>制</w:t>
            </w:r>
            <w:r>
              <w:rPr>
                <w:rFonts w:hint="eastAsia" w:ascii="仿宋" w:hAnsi="仿宋" w:eastAsia="仿宋" w:cs="仿宋"/>
                <w:sz w:val="28"/>
                <w:szCs w:val="28"/>
              </w:rPr>
              <w:t>定应急救援专项经费保障措施，具体如下：</w:t>
            </w:r>
          </w:p>
          <w:p>
            <w:pPr>
              <w:adjustRightInd w:val="0"/>
              <w:snapToGrid w:val="0"/>
              <w:spacing w:line="360" w:lineRule="auto"/>
              <w:ind w:firstLine="523" w:firstLineChars="187"/>
              <w:rPr>
                <w:rFonts w:hint="eastAsia" w:ascii="仿宋" w:hAnsi="仿宋" w:eastAsia="仿宋" w:cs="仿宋"/>
                <w:sz w:val="28"/>
                <w:szCs w:val="28"/>
              </w:rPr>
            </w:pPr>
            <w:bookmarkStart w:id="0" w:name="_Toc31177"/>
            <w:bookmarkStart w:id="1" w:name="_Toc443993630"/>
            <w:r>
              <w:rPr>
                <w:rFonts w:hint="eastAsia" w:ascii="仿宋" w:hAnsi="仿宋" w:eastAsia="仿宋" w:cs="仿宋"/>
                <w:sz w:val="28"/>
                <w:szCs w:val="28"/>
              </w:rPr>
              <w:t>（1）建立应急经费保障机制</w:t>
            </w:r>
            <w:bookmarkEnd w:id="0"/>
            <w:bookmarkEnd w:id="1"/>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着眼应对多种安全威胁，考虑多样化应急救援任务的能力需要，将</w:t>
            </w:r>
            <w:r>
              <w:rPr>
                <w:rFonts w:hint="eastAsia" w:ascii="仿宋" w:hAnsi="仿宋" w:eastAsia="仿宋" w:cs="仿宋"/>
                <w:sz w:val="28"/>
                <w:szCs w:val="28"/>
                <w:lang w:eastAsia="zh-CN"/>
              </w:rPr>
              <w:t>西安永安建筑科技有限责任公司</w:t>
            </w:r>
            <w:r>
              <w:rPr>
                <w:rFonts w:hint="eastAsia" w:ascii="仿宋" w:hAnsi="仿宋" w:eastAsia="仿宋" w:cs="仿宋"/>
                <w:sz w:val="28"/>
                <w:szCs w:val="28"/>
              </w:rPr>
              <w:t>应急管理体系中的各部门有机结合起来，形成应急救援财力保障小组，把抢险救灾经费、物资装备经费等项目进行整合和统一管理。主要职责是：</w:t>
            </w:r>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①平时做好应急培训、演练的经费保障，以及防灾抗灾经费管理等基础工作，监督管理包括应急投入和应急专项资金在内的所有保障基金；</w:t>
            </w:r>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②制定应对各种自然灾害和突发事件的应急经费保障预案以及紧急状态下执行的财务制度；</w:t>
            </w:r>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③一旦发生自然灾害或突发事件，应急救援财力保障小组即成为应急救援经费管理指挥部，负责召集相关人员进行灾情分析和项目论证、救灾资金的紧急动员，根据资金需求统计与协调、救灾物资的采购与统一支付，以及阶段性资金投入使用。</w:t>
            </w:r>
          </w:p>
          <w:p>
            <w:pPr>
              <w:adjustRightInd w:val="0"/>
              <w:snapToGrid w:val="0"/>
              <w:spacing w:line="360" w:lineRule="auto"/>
              <w:ind w:firstLine="523" w:firstLineChars="187"/>
              <w:rPr>
                <w:rFonts w:hint="eastAsia" w:ascii="仿宋" w:hAnsi="仿宋" w:eastAsia="仿宋" w:cs="仿宋"/>
                <w:sz w:val="28"/>
                <w:szCs w:val="28"/>
              </w:rPr>
            </w:pPr>
            <w:bookmarkStart w:id="2" w:name="_Toc443993631"/>
            <w:bookmarkStart w:id="3" w:name="_Toc16528"/>
            <w:r>
              <w:rPr>
                <w:rFonts w:hint="eastAsia" w:ascii="仿宋" w:hAnsi="仿宋" w:eastAsia="仿宋" w:cs="仿宋"/>
                <w:sz w:val="28"/>
                <w:szCs w:val="28"/>
              </w:rPr>
              <w:t>（2）建立有机统一的协调机制</w:t>
            </w:r>
            <w:bookmarkEnd w:id="2"/>
            <w:bookmarkEnd w:id="3"/>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首先明确经费保障的协调主体及其职责。总体依托应急</w:t>
            </w:r>
            <w:r>
              <w:rPr>
                <w:rFonts w:hint="eastAsia" w:ascii="仿宋" w:hAnsi="仿宋" w:eastAsia="仿宋" w:cs="仿宋"/>
                <w:sz w:val="28"/>
                <w:szCs w:val="28"/>
                <w:lang w:val="en-US" w:eastAsia="zh-CN"/>
              </w:rPr>
              <w:t>领导办公室</w:t>
            </w:r>
            <w:r>
              <w:rPr>
                <w:rFonts w:hint="eastAsia" w:ascii="仿宋" w:hAnsi="仿宋" w:eastAsia="仿宋" w:cs="仿宋"/>
                <w:sz w:val="28"/>
                <w:szCs w:val="28"/>
              </w:rPr>
              <w:t>统一管理调度，发生重大自然灾害和突发事件时，积极响应抗灾救灾经费保障的组织工作；由</w:t>
            </w:r>
            <w:r>
              <w:rPr>
                <w:rFonts w:hint="eastAsia" w:ascii="仿宋" w:hAnsi="仿宋" w:eastAsia="仿宋" w:cs="仿宋"/>
                <w:sz w:val="28"/>
                <w:szCs w:val="28"/>
                <w:lang w:eastAsia="zh-CN"/>
              </w:rPr>
              <w:t>咸阳三毅优源投资有限公司</w:t>
            </w:r>
            <w:r>
              <w:rPr>
                <w:rFonts w:hint="eastAsia" w:ascii="仿宋" w:hAnsi="仿宋" w:eastAsia="仿宋" w:cs="仿宋"/>
                <w:sz w:val="28"/>
                <w:szCs w:val="28"/>
              </w:rPr>
              <w:t>组织抗灾救援时，总指挥对口协调</w:t>
            </w:r>
            <w:r>
              <w:rPr>
                <w:rFonts w:hint="eastAsia" w:ascii="仿宋" w:hAnsi="仿宋" w:eastAsia="仿宋" w:cs="仿宋"/>
                <w:sz w:val="28"/>
                <w:szCs w:val="28"/>
                <w:lang w:val="en-US" w:eastAsia="zh-CN"/>
              </w:rPr>
              <w:t>该公司</w:t>
            </w:r>
            <w:r>
              <w:rPr>
                <w:rFonts w:hint="eastAsia" w:ascii="仿宋" w:hAnsi="仿宋" w:eastAsia="仿宋" w:cs="仿宋"/>
                <w:sz w:val="28"/>
                <w:szCs w:val="28"/>
              </w:rPr>
              <w:t>抗灾救援经费保障的统管，由</w:t>
            </w:r>
            <w:r>
              <w:rPr>
                <w:rFonts w:hint="eastAsia" w:ascii="仿宋" w:hAnsi="仿宋" w:eastAsia="仿宋" w:cs="仿宋"/>
                <w:sz w:val="28"/>
                <w:szCs w:val="28"/>
                <w:lang w:eastAsia="zh-CN"/>
              </w:rPr>
              <w:t>西安永安建筑科技有限责任公</w:t>
            </w:r>
            <w:r>
              <w:rPr>
                <w:rFonts w:hint="eastAsia" w:ascii="仿宋" w:hAnsi="仿宋" w:eastAsia="仿宋" w:cs="仿宋"/>
                <w:color w:val="auto"/>
                <w:sz w:val="28"/>
                <w:szCs w:val="28"/>
                <w:lang w:eastAsia="zh-CN"/>
              </w:rPr>
              <w:t>司</w:t>
            </w:r>
            <w:r>
              <w:rPr>
                <w:rFonts w:hint="eastAsia" w:ascii="仿宋" w:hAnsi="仿宋" w:eastAsia="仿宋" w:cs="仿宋"/>
                <w:color w:val="auto"/>
                <w:sz w:val="28"/>
                <w:szCs w:val="28"/>
              </w:rPr>
              <w:t>财务及时</w:t>
            </w:r>
            <w:r>
              <w:rPr>
                <w:rFonts w:hint="eastAsia" w:ascii="仿宋" w:hAnsi="仿宋" w:eastAsia="仿宋" w:cs="仿宋"/>
                <w:sz w:val="28"/>
                <w:szCs w:val="28"/>
              </w:rPr>
              <w:t>划拨应急经费。</w:t>
            </w:r>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其次是理</w:t>
            </w:r>
            <w:r>
              <w:rPr>
                <w:rFonts w:hint="eastAsia" w:ascii="仿宋" w:hAnsi="仿宋" w:eastAsia="仿宋" w:cs="仿宋"/>
                <w:color w:val="auto"/>
                <w:sz w:val="28"/>
                <w:szCs w:val="28"/>
              </w:rPr>
              <w:t>顺</w:t>
            </w:r>
            <w:r>
              <w:rPr>
                <w:rFonts w:hint="eastAsia" w:ascii="仿宋" w:hAnsi="仿宋" w:eastAsia="仿宋" w:cs="仿宋"/>
                <w:color w:val="auto"/>
                <w:sz w:val="28"/>
                <w:szCs w:val="28"/>
                <w:lang w:val="en-US" w:eastAsia="zh-CN"/>
              </w:rPr>
              <w:t>咸阳三毅优源投资有限公司</w:t>
            </w:r>
            <w:r>
              <w:rPr>
                <w:rFonts w:hint="eastAsia" w:ascii="仿宋" w:hAnsi="仿宋" w:eastAsia="仿宋" w:cs="仿宋"/>
                <w:color w:val="auto"/>
                <w:sz w:val="28"/>
                <w:szCs w:val="28"/>
              </w:rPr>
              <w:t>内部需求上</w:t>
            </w:r>
            <w:r>
              <w:rPr>
                <w:rFonts w:hint="eastAsia" w:ascii="仿宋" w:hAnsi="仿宋" w:eastAsia="仿宋" w:cs="仿宋"/>
                <w:sz w:val="28"/>
                <w:szCs w:val="28"/>
              </w:rPr>
              <w:t>报渠道。经费保障跟着需求走，</w:t>
            </w:r>
            <w:r>
              <w:rPr>
                <w:rFonts w:hint="eastAsia" w:ascii="仿宋" w:hAnsi="仿宋" w:eastAsia="仿宋" w:cs="仿宋"/>
                <w:sz w:val="28"/>
                <w:szCs w:val="28"/>
                <w:lang w:val="en-US" w:eastAsia="zh-CN"/>
              </w:rPr>
              <w:t>公司</w:t>
            </w:r>
            <w:r>
              <w:rPr>
                <w:rFonts w:hint="eastAsia" w:ascii="仿宋" w:hAnsi="仿宋" w:eastAsia="仿宋" w:cs="仿宋"/>
                <w:sz w:val="28"/>
                <w:szCs w:val="28"/>
              </w:rPr>
              <w:t>内部需求提不出来，经费申请和下达就缺乏相应依据。公司进行抗灾救援行动要逐渐形成统计上报制度，并保证公司内部信息渠道顺畅，应急小组组长负责将所需经费数额上报至公司应急指挥部，经由财务主管汇总后及时报送应急救援财力保障小组审核。</w:t>
            </w:r>
          </w:p>
          <w:p>
            <w:pPr>
              <w:adjustRightInd w:val="0"/>
              <w:snapToGrid w:val="0"/>
              <w:spacing w:line="360" w:lineRule="auto"/>
              <w:ind w:firstLine="523" w:firstLineChars="187"/>
              <w:rPr>
                <w:rFonts w:hint="eastAsia" w:ascii="仿宋" w:hAnsi="仿宋" w:eastAsia="仿宋" w:cs="仿宋"/>
                <w:sz w:val="28"/>
                <w:szCs w:val="28"/>
              </w:rPr>
            </w:pPr>
            <w:bookmarkStart w:id="4" w:name="_Toc443993632"/>
            <w:bookmarkStart w:id="5" w:name="_Toc8824"/>
            <w:r>
              <w:rPr>
                <w:rFonts w:hint="eastAsia" w:ascii="仿宋" w:hAnsi="仿宋" w:eastAsia="仿宋" w:cs="仿宋"/>
                <w:sz w:val="28"/>
                <w:szCs w:val="28"/>
              </w:rPr>
              <w:t>（3）建立可靠的资金保障体系</w:t>
            </w:r>
            <w:bookmarkEnd w:id="4"/>
            <w:bookmarkEnd w:id="5"/>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公司要建立一定规模的应急资金。</w:t>
            </w:r>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公司每年在制定安全生产投入计划时要预留部分应急资金，并把这部分应急资金列入公司预算。</w:t>
            </w:r>
          </w:p>
          <w:p>
            <w:pPr>
              <w:adjustRightInd w:val="0"/>
              <w:snapToGrid w:val="0"/>
              <w:spacing w:line="360" w:lineRule="auto"/>
              <w:ind w:firstLine="523" w:firstLineChars="187"/>
              <w:rPr>
                <w:rFonts w:hint="eastAsia" w:ascii="仿宋" w:hAnsi="仿宋" w:eastAsia="仿宋" w:cs="仿宋"/>
                <w:sz w:val="28"/>
                <w:szCs w:val="28"/>
              </w:rPr>
            </w:pPr>
            <w:bookmarkStart w:id="6" w:name="_Toc2236"/>
            <w:bookmarkStart w:id="7" w:name="_Toc443993633"/>
            <w:r>
              <w:rPr>
                <w:rFonts w:hint="eastAsia" w:ascii="仿宋" w:hAnsi="仿宋" w:eastAsia="仿宋" w:cs="仿宋"/>
                <w:sz w:val="28"/>
                <w:szCs w:val="28"/>
              </w:rPr>
              <w:t>（4）强化应急经费保障监管力度</w:t>
            </w:r>
            <w:bookmarkEnd w:id="6"/>
            <w:bookmarkEnd w:id="7"/>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首先要建立健全全方位监管制度。建立健全应急经费管理的规章制度和管理办法，使应急经费监管工作有章可循。其次要建立全过程全方位监控机制。监督管理工作应当覆盖应急经费筹措募集、申请划拨、采购支付全过程。</w:t>
            </w:r>
          </w:p>
          <w:p>
            <w:pPr>
              <w:adjustRightInd w:val="0"/>
              <w:snapToGrid w:val="0"/>
              <w:spacing w:line="360" w:lineRule="auto"/>
              <w:ind w:firstLine="523" w:firstLineChars="187"/>
              <w:rPr>
                <w:rFonts w:hint="eastAsia" w:ascii="仿宋" w:hAnsi="仿宋" w:eastAsia="仿宋" w:cs="仿宋"/>
                <w:sz w:val="28"/>
                <w:szCs w:val="28"/>
              </w:rPr>
            </w:pPr>
            <w:bookmarkStart w:id="8" w:name="_Toc26090"/>
            <w:bookmarkStart w:id="9" w:name="_Toc443993634"/>
            <w:r>
              <w:rPr>
                <w:rFonts w:hint="eastAsia" w:ascii="仿宋" w:hAnsi="仿宋" w:eastAsia="仿宋" w:cs="仿宋"/>
                <w:sz w:val="28"/>
                <w:szCs w:val="28"/>
              </w:rPr>
              <w:t>（5）完善应急经费保障体系</w:t>
            </w:r>
            <w:bookmarkEnd w:id="8"/>
            <w:bookmarkEnd w:id="9"/>
          </w:p>
          <w:p>
            <w:pPr>
              <w:adjustRightInd w:val="0"/>
              <w:snapToGrid w:val="0"/>
              <w:spacing w:line="360" w:lineRule="auto"/>
              <w:ind w:firstLine="523" w:firstLineChars="187"/>
              <w:rPr>
                <w:rFonts w:hint="eastAsia" w:ascii="仿宋" w:hAnsi="仿宋" w:eastAsia="仿宋" w:cs="仿宋"/>
                <w:sz w:val="28"/>
                <w:szCs w:val="28"/>
              </w:rPr>
            </w:pPr>
            <w:r>
              <w:rPr>
                <w:rFonts w:hint="eastAsia" w:ascii="仿宋" w:hAnsi="仿宋" w:eastAsia="仿宋" w:cs="仿宋"/>
                <w:sz w:val="28"/>
                <w:szCs w:val="28"/>
              </w:rPr>
              <w:t>根据</w:t>
            </w:r>
            <w:r>
              <w:rPr>
                <w:rFonts w:hint="eastAsia" w:ascii="仿宋" w:hAnsi="仿宋" w:eastAsia="仿宋" w:cs="仿宋"/>
                <w:sz w:val="28"/>
                <w:szCs w:val="28"/>
                <w:lang w:val="en-US" w:eastAsia="zh-CN"/>
              </w:rPr>
              <w:t>咸阳三毅优源投资有限公司</w:t>
            </w:r>
            <w:r>
              <w:rPr>
                <w:rFonts w:hint="eastAsia" w:ascii="仿宋" w:hAnsi="仿宋" w:eastAsia="仿宋" w:cs="仿宋"/>
                <w:sz w:val="28"/>
                <w:szCs w:val="28"/>
              </w:rPr>
              <w:t>的安全形势变化以及可能发生的突发事件，对应急经费保障规定和相关标准应当及时修订完善，使应对突发事件的经费保障制度更加体系化、规范化、条理化。此外，还应制定针对性和操作性强的工作规章，明确相关人员的职责、任务、行动方式、协作办法，形成一套条款详细、操作性强的管理办法。</w:t>
            </w:r>
          </w:p>
          <w:p>
            <w:pPr>
              <w:adjustRightInd w:val="0"/>
              <w:snapToGrid w:val="0"/>
              <w:spacing w:line="360" w:lineRule="auto"/>
              <w:ind w:firstLine="523" w:firstLineChars="187"/>
              <w:rPr>
                <w:rFonts w:hint="default" w:ascii="Times New Roman" w:hAnsi="Times New Roman" w:eastAsia="仿宋" w:cs="Times New Roman"/>
              </w:rPr>
            </w:pPr>
            <w:r>
              <w:rPr>
                <w:rFonts w:hint="eastAsia" w:ascii="仿宋" w:hAnsi="仿宋" w:eastAsia="仿宋" w:cs="仿宋"/>
                <w:sz w:val="28"/>
                <w:szCs w:val="28"/>
              </w:rPr>
              <w:t>经研究上述情况，应急指挥部办公室对应急工作的费用</w:t>
            </w:r>
            <w:r>
              <w:rPr>
                <w:rFonts w:hint="eastAsia" w:ascii="仿宋" w:hAnsi="仿宋" w:eastAsia="仿宋" w:cs="仿宋"/>
                <w:color w:val="000000"/>
                <w:sz w:val="28"/>
                <w:szCs w:val="28"/>
              </w:rPr>
              <w:t>作出预算，预算为</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万元，经公</w:t>
            </w:r>
            <w:r>
              <w:rPr>
                <w:rFonts w:hint="eastAsia" w:ascii="仿宋" w:hAnsi="仿宋" w:eastAsia="仿宋" w:cs="仿宋"/>
                <w:sz w:val="28"/>
                <w:szCs w:val="28"/>
              </w:rPr>
              <w:t>司审定后，列入年度预算；突发环境事件应急处置结束后，财务部会同应急指挥部办公室对应急处置费用进行如实核销。</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thinThickSmallGap" w:color="auto" w:sz="12" w:space="0"/>
      </w:pBd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eastAsia="仿宋"/>
        <w:sz w:val="21"/>
        <w:szCs w:val="21"/>
        <w:lang w:eastAsia="zh-CN"/>
      </w:rPr>
    </w:pPr>
  </w:p>
  <w:p>
    <w:pPr>
      <w:keepNext w:val="0"/>
      <w:keepLines w:val="0"/>
      <w:pageBreakBefore w:val="0"/>
      <w:widowControl w:val="0"/>
      <w:pBdr>
        <w:bottom w:val="thinThickSmallGap" w:color="auto" w:sz="12" w:space="0"/>
      </w:pBd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eastAsia="仿宋"/>
        <w:sz w:val="21"/>
        <w:szCs w:val="21"/>
        <w:lang w:eastAsia="zh-CN"/>
      </w:rPr>
    </w:pPr>
    <w:r>
      <w:rPr>
        <w:rFonts w:hint="eastAsia" w:ascii="Times New Roman" w:hAnsi="Times New Roman" w:eastAsia="仿宋"/>
        <w:sz w:val="21"/>
        <w:szCs w:val="21"/>
        <w:lang w:eastAsia="zh-CN"/>
      </w:rPr>
      <w:t>咸阳三毅优源投资有限公司</w:t>
    </w:r>
    <w:r>
      <w:rPr>
        <w:rFonts w:hint="eastAsia"/>
      </w:rPr>
      <w:t xml:space="preserve">      </w:t>
    </w:r>
    <w:r>
      <w:rPr>
        <w:rFonts w:hint="eastAsia"/>
        <w:lang w:val="en-US" w:eastAsia="zh-CN"/>
      </w:rPr>
      <w:t xml:space="preserve">                          </w:t>
    </w:r>
    <w:r>
      <w:rPr>
        <w:rFonts w:hint="eastAsia" w:ascii="Times New Roman" w:hAnsi="Times New Roman" w:eastAsia="仿宋"/>
        <w:sz w:val="21"/>
        <w:szCs w:val="21"/>
        <w:lang w:val="en-US" w:eastAsia="zh-CN"/>
      </w:rPr>
      <w:t xml:space="preserve">  </w:t>
    </w:r>
    <w:r>
      <w:rPr>
        <w:rFonts w:hint="eastAsia" w:ascii="Times New Roman" w:hAnsi="Times New Roman" w:eastAsia="仿宋"/>
        <w:sz w:val="21"/>
        <w:szCs w:val="21"/>
        <w:lang w:eastAsia="zh-CN"/>
      </w:rPr>
      <w:t>环境应急资源调查报告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00000000"/>
    <w:rsid w:val="0E1917C3"/>
    <w:rsid w:val="1706088C"/>
    <w:rsid w:val="1EA22341"/>
    <w:rsid w:val="2008454B"/>
    <w:rsid w:val="26541D41"/>
    <w:rsid w:val="3ECF5BA6"/>
    <w:rsid w:val="437256F9"/>
    <w:rsid w:val="71186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qFormat/>
    <w:uiPriority w:val="0"/>
    <w:pPr>
      <w:adjustRightInd/>
      <w:snapToGrid/>
      <w:spacing w:after="120" w:line="240" w:lineRule="auto"/>
      <w:ind w:left="420" w:leftChars="200" w:firstLine="420"/>
    </w:pPr>
    <w:rPr>
      <w:rFonts w:ascii="宋体" w:hAnsi="宋体"/>
    </w:rPr>
  </w:style>
  <w:style w:type="paragraph" w:styleId="4">
    <w:name w:val="annotation text"/>
    <w:basedOn w:val="1"/>
    <w:qFormat/>
    <w:uiPriority w:val="0"/>
    <w:pPr>
      <w:jc w:val="left"/>
    </w:pPr>
  </w:style>
  <w:style w:type="paragraph" w:styleId="5">
    <w:name w:val="Normal (Web)"/>
    <w:basedOn w:val="1"/>
    <w:unhideWhenUsed/>
    <w:qFormat/>
    <w:uiPriority w:val="0"/>
    <w:pPr>
      <w:widowControl/>
      <w:spacing w:before="100" w:beforeAutospacing="1" w:after="100" w:afterAutospacing="1"/>
      <w:jc w:val="left"/>
    </w:pPr>
    <w:rPr>
      <w:rFonts w:ascii="宋体" w:hAnsi="宋体" w:cs="宋体"/>
      <w:color w:val="6600CC"/>
      <w:kern w:val="0"/>
      <w:sz w:val="24"/>
      <w:szCs w:val="20"/>
    </w:rPr>
  </w:style>
  <w:style w:type="character" w:styleId="8">
    <w:name w:val="Emphasis"/>
    <w:basedOn w:val="7"/>
    <w:qFormat/>
    <w:uiPriority w:val="0"/>
    <w:rPr>
      <w:i/>
    </w:rPr>
  </w:style>
  <w:style w:type="character" w:styleId="9">
    <w:name w:val="Hyperlink"/>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2927</Words>
  <Characters>3435</Characters>
  <Lines>0</Lines>
  <Paragraphs>0</Paragraphs>
  <TotalTime>2</TotalTime>
  <ScaleCrop>false</ScaleCrop>
  <LinksUpToDate>false</LinksUpToDate>
  <CharactersWithSpaces>3439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2022-08-25T07:53:00Z</dcterms:created>
  <dc:creator>Administrator</dc:creator>
  <cp:lastModifiedBy>汉斯小木屋</cp:lastModifiedBy>
  <cp:lastPrinted>2022-10-13T03:54:11Z</cp:lastPrinted>
  <dcterms:modified xsi:type="dcterms:W3CDTF">2022-10-13T03:55:27Z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CD414C1E29544BCFAD154E327D597A1A</vt:lpwstr>
  </property>
</Properties>
</file>