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156" w:beforeLines="50" w:beforeAutospacing="0" w:after="0" w:afterAutospacing="0"/>
        <w:jc w:val="both"/>
        <w:rPr>
          <w:rFonts w:hint="default" w:ascii="Times New Roman" w:hAnsi="Times New Roman" w:eastAsia="仿宋" w:cs="Times New Roman"/>
          <w:bCs/>
          <w:sz w:val="28"/>
          <w:szCs w:val="28"/>
          <w:highlight w:val="none"/>
          <w:lang w:val="zh-CN"/>
        </w:rPr>
      </w:pPr>
    </w:p>
    <w:p>
      <w:pPr>
        <w:spacing w:line="720" w:lineRule="auto"/>
        <w:jc w:val="center"/>
        <w:rPr>
          <w:rFonts w:hint="default" w:ascii="Times New Roman" w:hAnsi="Times New Roman" w:eastAsia="仿宋" w:cs="Times New Roman"/>
          <w:b/>
          <w:bCs/>
          <w:color w:val="000000"/>
          <w:sz w:val="44"/>
          <w:szCs w:val="44"/>
          <w:highlight w:val="none"/>
          <w:lang w:eastAsia="zh-CN"/>
        </w:rPr>
      </w:pPr>
    </w:p>
    <w:p>
      <w:pPr>
        <w:spacing w:line="720" w:lineRule="auto"/>
        <w:jc w:val="center"/>
        <w:rPr>
          <w:rFonts w:hint="default" w:ascii="Times New Roman" w:hAnsi="Times New Roman" w:eastAsia="仿宋" w:cs="Times New Roman"/>
          <w:b/>
          <w:bCs/>
          <w:color w:val="000000"/>
          <w:sz w:val="44"/>
          <w:szCs w:val="44"/>
          <w:highlight w:val="none"/>
          <w:lang w:eastAsia="zh-CN"/>
        </w:rPr>
      </w:pPr>
    </w:p>
    <w:p>
      <w:pPr>
        <w:spacing w:line="720" w:lineRule="auto"/>
        <w:jc w:val="center"/>
        <w:outlineLvl w:val="0"/>
        <w:rPr>
          <w:rFonts w:hint="default" w:ascii="Times New Roman" w:hAnsi="Times New Roman" w:eastAsia="仿宋" w:cs="Times New Roman"/>
          <w:b/>
          <w:bCs/>
          <w:color w:val="000000"/>
          <w:sz w:val="44"/>
          <w:szCs w:val="44"/>
          <w:highlight w:val="none"/>
          <w:lang w:eastAsia="zh-CN"/>
        </w:rPr>
      </w:pPr>
      <w:bookmarkStart w:id="0" w:name="_Toc7751"/>
      <w:r>
        <w:rPr>
          <w:rFonts w:hint="default" w:ascii="Times New Roman" w:hAnsi="Times New Roman" w:eastAsia="仿宋" w:cs="Times New Roman"/>
          <w:b/>
          <w:bCs/>
          <w:color w:val="000000"/>
          <w:sz w:val="44"/>
          <w:szCs w:val="44"/>
          <w:highlight w:val="none"/>
          <w:lang w:eastAsia="zh-CN"/>
        </w:rPr>
        <w:t>咸阳三毅优源投资有限公司</w:t>
      </w:r>
      <w:bookmarkEnd w:id="0"/>
    </w:p>
    <w:p>
      <w:pPr>
        <w:spacing w:line="720" w:lineRule="auto"/>
        <w:jc w:val="center"/>
        <w:outlineLvl w:val="0"/>
        <w:rPr>
          <w:rFonts w:hint="default" w:ascii="Times New Roman" w:hAnsi="Times New Roman" w:eastAsia="仿宋" w:cs="Times New Roman"/>
          <w:b/>
          <w:bCs/>
          <w:color w:val="000000"/>
          <w:sz w:val="44"/>
          <w:szCs w:val="44"/>
          <w:highlight w:val="none"/>
        </w:rPr>
      </w:pPr>
      <w:bookmarkStart w:id="1" w:name="_Toc12782"/>
      <w:r>
        <w:rPr>
          <w:rFonts w:hint="default" w:ascii="Times New Roman" w:hAnsi="Times New Roman" w:eastAsia="仿宋" w:cs="Times New Roman"/>
          <w:b/>
          <w:bCs/>
          <w:color w:val="000000"/>
          <w:sz w:val="44"/>
          <w:szCs w:val="44"/>
          <w:highlight w:val="none"/>
        </w:rPr>
        <w:t>突发环境事件风险评估报告</w:t>
      </w:r>
      <w:bookmarkEnd w:id="1"/>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pStyle w:val="2"/>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pStyle w:val="2"/>
        <w:rPr>
          <w:rFonts w:hint="default" w:ascii="Times New Roman" w:hAnsi="Times New Roman" w:eastAsia="仿宋" w:cs="Times New Roman"/>
          <w:highlight w:val="none"/>
        </w:rPr>
      </w:pPr>
    </w:p>
    <w:p>
      <w:pPr>
        <w:spacing w:line="720" w:lineRule="auto"/>
        <w:jc w:val="center"/>
        <w:outlineLvl w:val="0"/>
        <w:rPr>
          <w:rFonts w:hint="default" w:ascii="Times New Roman" w:hAnsi="Times New Roman" w:eastAsia="仿宋" w:cs="Times New Roman"/>
          <w:b/>
          <w:color w:val="000000"/>
          <w:sz w:val="36"/>
          <w:szCs w:val="36"/>
          <w:highlight w:val="none"/>
        </w:rPr>
      </w:pPr>
      <w:bookmarkStart w:id="2" w:name="_Toc3879"/>
      <w:r>
        <w:rPr>
          <w:rFonts w:hint="default" w:ascii="Times New Roman" w:hAnsi="Times New Roman" w:eastAsia="仿宋" w:cs="Times New Roman"/>
          <w:b/>
          <w:color w:val="000000"/>
          <w:sz w:val="36"/>
          <w:szCs w:val="36"/>
          <w:highlight w:val="none"/>
        </w:rPr>
        <w:t>编制单位：</w:t>
      </w:r>
      <w:r>
        <w:rPr>
          <w:rFonts w:hint="default" w:ascii="Times New Roman" w:hAnsi="Times New Roman" w:eastAsia="仿宋" w:cs="Times New Roman"/>
          <w:b/>
          <w:color w:val="000000"/>
          <w:sz w:val="36"/>
          <w:szCs w:val="36"/>
          <w:highlight w:val="none"/>
          <w:lang w:eastAsia="zh-CN"/>
        </w:rPr>
        <w:t>咸阳三毅优源投资有限公司</w:t>
      </w:r>
      <w:bookmarkEnd w:id="2"/>
    </w:p>
    <w:p>
      <w:pPr>
        <w:pStyle w:val="11"/>
        <w:widowControl w:val="0"/>
        <w:spacing w:before="0" w:beforeAutospacing="0" w:after="0" w:afterAutospacing="0" w:line="480" w:lineRule="auto"/>
        <w:ind w:firstLine="1807" w:firstLineChars="500"/>
        <w:jc w:val="both"/>
        <w:rPr>
          <w:rFonts w:hint="default" w:ascii="Times New Roman" w:hAnsi="Times New Roman" w:eastAsia="仿宋" w:cs="Times New Roman"/>
          <w:b/>
          <w:color w:val="000000"/>
          <w:kern w:val="2"/>
          <w:sz w:val="36"/>
          <w:szCs w:val="36"/>
          <w:highlight w:val="none"/>
        </w:rPr>
      </w:pPr>
      <w:r>
        <w:rPr>
          <w:rFonts w:hint="default" w:ascii="Times New Roman" w:hAnsi="Times New Roman" w:eastAsia="仿宋" w:cs="Times New Roman"/>
          <w:b/>
          <w:color w:val="000000"/>
          <w:kern w:val="2"/>
          <w:sz w:val="36"/>
          <w:szCs w:val="36"/>
          <w:highlight w:val="none"/>
        </w:rPr>
        <w:t>编制时间：二O</w:t>
      </w:r>
      <w:r>
        <w:rPr>
          <w:rFonts w:hint="default" w:ascii="Times New Roman" w:hAnsi="Times New Roman" w:eastAsia="仿宋" w:cs="Times New Roman"/>
          <w:b/>
          <w:color w:val="000000"/>
          <w:kern w:val="2"/>
          <w:sz w:val="36"/>
          <w:szCs w:val="36"/>
          <w:highlight w:val="none"/>
          <w:lang w:eastAsia="zh-CN"/>
        </w:rPr>
        <w:t>二二</w:t>
      </w:r>
      <w:r>
        <w:rPr>
          <w:rFonts w:hint="default" w:ascii="Times New Roman" w:hAnsi="Times New Roman" w:eastAsia="仿宋" w:cs="Times New Roman"/>
          <w:b/>
          <w:color w:val="000000"/>
          <w:kern w:val="2"/>
          <w:sz w:val="36"/>
          <w:szCs w:val="36"/>
          <w:highlight w:val="none"/>
        </w:rPr>
        <w:t>年</w:t>
      </w:r>
      <w:r>
        <w:rPr>
          <w:rFonts w:hint="eastAsia" w:ascii="Times New Roman" w:hAnsi="Times New Roman" w:eastAsia="仿宋" w:cs="Times New Roman"/>
          <w:b/>
          <w:color w:val="000000"/>
          <w:kern w:val="2"/>
          <w:sz w:val="36"/>
          <w:szCs w:val="36"/>
          <w:highlight w:val="none"/>
          <w:lang w:eastAsia="zh-CN"/>
        </w:rPr>
        <w:t>九</w:t>
      </w:r>
      <w:r>
        <w:rPr>
          <w:rFonts w:hint="default" w:ascii="Times New Roman" w:hAnsi="Times New Roman" w:eastAsia="仿宋" w:cs="Times New Roman"/>
          <w:b/>
          <w:color w:val="000000"/>
          <w:kern w:val="2"/>
          <w:sz w:val="36"/>
          <w:szCs w:val="36"/>
          <w:highlight w:val="none"/>
        </w:rPr>
        <w:t>月</w:t>
      </w:r>
    </w:p>
    <w:p>
      <w:pPr>
        <w:rPr>
          <w:rFonts w:hint="default" w:ascii="Times New Roman" w:hAnsi="Times New Roman" w:eastAsia="仿宋" w:cs="Times New Roman"/>
        </w:rPr>
      </w:pPr>
      <w:r>
        <w:rPr>
          <w:rFonts w:hint="default" w:ascii="Times New Roman" w:hAnsi="Times New Roman" w:eastAsia="仿宋" w:cs="Times New Roman"/>
        </w:rPr>
        <w:br w:type="page"/>
      </w:r>
    </w:p>
    <w:sdt>
      <w:sdtPr>
        <w:rPr>
          <w:rFonts w:ascii="宋体" w:hAnsi="宋体" w:eastAsia="宋体" w:cs="Times New Roman"/>
          <w:kern w:val="2"/>
          <w:sz w:val="21"/>
          <w:szCs w:val="22"/>
          <w:lang w:val="en-US" w:eastAsia="zh-CN" w:bidi="ar-SA"/>
        </w:rPr>
        <w:id w:val="147468168"/>
        <w15:color w:val="DBDBDB"/>
        <w:docPartObj>
          <w:docPartGallery w:val="Table of Contents"/>
          <w:docPartUnique/>
        </w:docPartObj>
      </w:sdtPr>
      <w:sdtEndPr>
        <w:rPr>
          <w:rFonts w:hint="default" w:ascii="Times New Roman" w:hAnsi="Times New Roman" w:eastAsia="宋体" w:cs="Times New Roman"/>
          <w:b/>
          <w:kern w:val="2"/>
          <w:sz w:val="21"/>
          <w:szCs w:val="22"/>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28"/>
              <w:szCs w:val="28"/>
            </w:rPr>
          </w:pPr>
          <w:bookmarkStart w:id="3" w:name="_Toc23389"/>
          <w:r>
            <w:rPr>
              <w:rFonts w:hint="eastAsia" w:ascii="仿宋" w:hAnsi="仿宋" w:eastAsia="仿宋" w:cs="仿宋"/>
              <w:b/>
              <w:bCs/>
              <w:sz w:val="28"/>
              <w:szCs w:val="28"/>
            </w:rPr>
            <w:t>目录</w:t>
          </w:r>
        </w:p>
        <w:p>
          <w:pPr>
            <w:pStyle w:val="25"/>
            <w:tabs>
              <w:tab w:val="right" w:leader="dot" w:pos="8306"/>
            </w:tabs>
            <w:rPr>
              <w:rFonts w:hint="default" w:ascii="Times New Roman" w:hAnsi="Times New Roman" w:eastAsia="仿宋" w:cs="Times New Roman"/>
              <w:b/>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TOC \o "1-2" \h \u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HYPERLINK \l _Toc10334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sz w:val="28"/>
              <w:szCs w:val="28"/>
            </w:rPr>
            <w:t>1前</w:t>
          </w:r>
          <w:r>
            <w:rPr>
              <w:rFonts w:hint="default" w:ascii="Times New Roman" w:hAnsi="Times New Roman" w:eastAsia="仿宋" w:cs="Times New Roman"/>
              <w:b/>
              <w:sz w:val="28"/>
              <w:szCs w:val="28"/>
              <w:lang w:val="en-US" w:eastAsia="zh-CN"/>
            </w:rPr>
            <w:t xml:space="preserve">  </w:t>
          </w:r>
          <w:r>
            <w:rPr>
              <w:rFonts w:hint="default" w:ascii="Times New Roman" w:hAnsi="Times New Roman" w:eastAsia="仿宋" w:cs="Times New Roman"/>
              <w:b/>
              <w:sz w:val="28"/>
              <w:szCs w:val="28"/>
            </w:rPr>
            <w:t>言</w:t>
          </w:r>
          <w:r>
            <w:rPr>
              <w:rFonts w:hint="default" w:ascii="Times New Roman" w:hAnsi="Times New Roman" w:eastAsia="仿宋" w:cs="Times New Roman"/>
              <w:b/>
              <w:sz w:val="28"/>
              <w:szCs w:val="28"/>
            </w:rPr>
            <w:tab/>
          </w: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PAGEREF _Toc10334 \h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sz w:val="28"/>
              <w:szCs w:val="28"/>
            </w:rPr>
            <w:t>1</w:t>
          </w:r>
          <w:r>
            <w:rPr>
              <w:rFonts w:hint="default" w:ascii="Times New Roman" w:hAnsi="Times New Roman" w:eastAsia="仿宋" w:cs="Times New Roman"/>
              <w:b/>
              <w:sz w:val="28"/>
              <w:szCs w:val="28"/>
            </w:rPr>
            <w:fldChar w:fldCharType="end"/>
          </w:r>
          <w:r>
            <w:rPr>
              <w:rFonts w:hint="default" w:ascii="Times New Roman" w:hAnsi="Times New Roman" w:eastAsia="仿宋" w:cs="Times New Roman"/>
              <w:b/>
              <w:sz w:val="28"/>
              <w:szCs w:val="28"/>
            </w:rPr>
            <w:fldChar w:fldCharType="end"/>
          </w:r>
        </w:p>
        <w:p>
          <w:pPr>
            <w:pStyle w:val="25"/>
            <w:tabs>
              <w:tab w:val="right" w:leader="dot" w:pos="8306"/>
            </w:tabs>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HYPERLINK \l _Toc7620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bCs/>
              <w:kern w:val="44"/>
              <w:sz w:val="28"/>
              <w:szCs w:val="28"/>
              <w:lang w:val="en-US" w:eastAsia="zh-CN" w:bidi="ar-SA"/>
            </w:rPr>
            <w:t>2总  则</w:t>
          </w:r>
          <w:r>
            <w:rPr>
              <w:rFonts w:hint="default" w:ascii="Times New Roman" w:hAnsi="Times New Roman" w:eastAsia="仿宋" w:cs="Times New Roman"/>
              <w:b/>
              <w:sz w:val="28"/>
              <w:szCs w:val="28"/>
            </w:rPr>
            <w:tab/>
          </w: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PAGEREF _Toc7620 \h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sz w:val="28"/>
              <w:szCs w:val="28"/>
            </w:rPr>
            <w:t>2</w:t>
          </w:r>
          <w:r>
            <w:rPr>
              <w:rFonts w:hint="default" w:ascii="Times New Roman" w:hAnsi="Times New Roman" w:eastAsia="仿宋" w:cs="Times New Roman"/>
              <w:b/>
              <w:sz w:val="28"/>
              <w:szCs w:val="28"/>
            </w:rPr>
            <w:fldChar w:fldCharType="end"/>
          </w:r>
          <w:r>
            <w:rPr>
              <w:rFonts w:hint="default" w:ascii="Times New Roman" w:hAnsi="Times New Roman" w:eastAsia="仿宋" w:cs="Times New Roman"/>
              <w:b/>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_Toc16221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2.1编制原则</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_Toc16221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2</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_Toc18019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2.2编制依据</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_Toc18019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2</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_Toc23119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2.3企业突发环境事件风险评估程序</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_Toc23119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6</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5"/>
            <w:tabs>
              <w:tab w:val="right" w:leader="dot" w:pos="8306"/>
            </w:tabs>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HYPERLINK \l _Toc7744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bCs/>
              <w:kern w:val="44"/>
              <w:sz w:val="28"/>
              <w:szCs w:val="28"/>
              <w:lang w:val="en-US" w:eastAsia="zh-CN" w:bidi="ar-SA"/>
            </w:rPr>
            <w:t>3资料准备与环境风险识别</w:t>
          </w:r>
          <w:r>
            <w:rPr>
              <w:rFonts w:hint="default" w:ascii="Times New Roman" w:hAnsi="Times New Roman" w:eastAsia="仿宋" w:cs="Times New Roman"/>
              <w:b/>
              <w:sz w:val="28"/>
              <w:szCs w:val="28"/>
            </w:rPr>
            <w:tab/>
          </w: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PAGEREF _Toc7744 \h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sz w:val="28"/>
              <w:szCs w:val="28"/>
            </w:rPr>
            <w:t>7</w:t>
          </w:r>
          <w:r>
            <w:rPr>
              <w:rFonts w:hint="default" w:ascii="Times New Roman" w:hAnsi="Times New Roman" w:eastAsia="仿宋" w:cs="Times New Roman"/>
              <w:b/>
              <w:sz w:val="28"/>
              <w:szCs w:val="28"/>
            </w:rPr>
            <w:fldChar w:fldCharType="end"/>
          </w:r>
          <w:r>
            <w:rPr>
              <w:rFonts w:hint="default" w:ascii="Times New Roman" w:hAnsi="Times New Roman" w:eastAsia="仿宋" w:cs="Times New Roman"/>
              <w:b/>
              <w:sz w:val="28"/>
              <w:szCs w:val="28"/>
            </w:rPr>
            <w:fldChar w:fldCharType="end"/>
          </w:r>
        </w:p>
        <w:p>
          <w:pPr>
            <w:pStyle w:val="26"/>
            <w:tabs>
              <w:tab w:val="right" w:leader="dot" w:pos="8306"/>
            </w:tabs>
            <w:rPr>
              <w:rFonts w:hint="default" w:ascii="Times New Roman" w:hAnsi="Times New Roman" w:eastAsia="仿宋" w:cs="Times New Roman"/>
              <w:b/>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_Toc9028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3.1企业基本信息</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_Toc9028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_Toc18869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3.2企业周边环境风险受体情况</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_Toc18869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11</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_Toc1973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3.3涉及环境风险物质情况</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_Toc1973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12</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_Toc15840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3.4企业工艺流程及设备</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_Toc15840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16</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_Toc25420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3.5现有环境风险防控与应急措施</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_Toc25420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19</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_Toc4591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3.7现有应急物资与装备、救援队伍情况</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_Toc4591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20</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5"/>
            <w:tabs>
              <w:tab w:val="right" w:leader="dot" w:pos="8306"/>
            </w:tabs>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HYPERLINK \l _Toc22976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bCs/>
              <w:kern w:val="44"/>
              <w:sz w:val="28"/>
              <w:szCs w:val="28"/>
              <w:lang w:val="en-US" w:eastAsia="zh-CN" w:bidi="ar-SA"/>
            </w:rPr>
            <w:t>4突发环境事件及其后果分析</w:t>
          </w:r>
          <w:r>
            <w:rPr>
              <w:rFonts w:hint="default" w:ascii="Times New Roman" w:hAnsi="Times New Roman" w:eastAsia="仿宋" w:cs="Times New Roman"/>
              <w:b/>
              <w:sz w:val="28"/>
              <w:szCs w:val="28"/>
            </w:rPr>
            <w:tab/>
          </w: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PAGEREF _Toc22976 \h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sz w:val="28"/>
              <w:szCs w:val="28"/>
            </w:rPr>
            <w:t>24</w:t>
          </w:r>
          <w:r>
            <w:rPr>
              <w:rFonts w:hint="default" w:ascii="Times New Roman" w:hAnsi="Times New Roman" w:eastAsia="仿宋" w:cs="Times New Roman"/>
              <w:b/>
              <w:sz w:val="28"/>
              <w:szCs w:val="28"/>
            </w:rPr>
            <w:fldChar w:fldCharType="end"/>
          </w:r>
          <w:r>
            <w:rPr>
              <w:rFonts w:hint="default" w:ascii="Times New Roman" w:hAnsi="Times New Roman" w:eastAsia="仿宋" w:cs="Times New Roman"/>
              <w:b/>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_Toc3152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4.1突发环境事件情景分析</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_Toc3152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24</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_Toc24229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4.2最大可信事故及后果分析</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_Toc24229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25</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_Toc14881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4.3释放环境风险物质的扩散途径、涉及环境风险防控</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_Toc14881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26</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_Toc5081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4.4具体应急措施</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_Toc5081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28</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_Toc5849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lang w:val="en-US" w:eastAsia="zh-CN"/>
            </w:rPr>
            <w:t>4.5突发环境事件危害后果分析</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_Toc5849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31</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5"/>
            <w:tabs>
              <w:tab w:val="right" w:leader="dot" w:pos="8306"/>
            </w:tabs>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HYPERLINK \l _Toc8019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bCs/>
              <w:kern w:val="44"/>
              <w:sz w:val="28"/>
              <w:szCs w:val="28"/>
              <w:lang w:val="en-US" w:eastAsia="zh-CN" w:bidi="ar-SA"/>
            </w:rPr>
            <w:t>5现有环境风险防控和应急措施差距分析</w:t>
          </w:r>
          <w:r>
            <w:rPr>
              <w:rFonts w:hint="default" w:ascii="Times New Roman" w:hAnsi="Times New Roman" w:eastAsia="仿宋" w:cs="Times New Roman"/>
              <w:b/>
              <w:sz w:val="28"/>
              <w:szCs w:val="28"/>
            </w:rPr>
            <w:tab/>
          </w: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PAGEREF _Toc8019 \h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sz w:val="28"/>
              <w:szCs w:val="28"/>
            </w:rPr>
            <w:t>32</w:t>
          </w:r>
          <w:r>
            <w:rPr>
              <w:rFonts w:hint="default" w:ascii="Times New Roman" w:hAnsi="Times New Roman" w:eastAsia="仿宋" w:cs="Times New Roman"/>
              <w:b/>
              <w:sz w:val="28"/>
              <w:szCs w:val="28"/>
            </w:rPr>
            <w:fldChar w:fldCharType="end"/>
          </w:r>
          <w:r>
            <w:rPr>
              <w:rFonts w:hint="default" w:ascii="Times New Roman" w:hAnsi="Times New Roman" w:eastAsia="仿宋" w:cs="Times New Roman"/>
              <w:b/>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_Toc19370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zh-CN" w:eastAsia="zh-CN" w:bidi="ar-SA"/>
            </w:rPr>
            <w:t>5.1环境风险管理制度</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_Toc19370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32</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_Toc18115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zh-CN" w:eastAsia="zh-CN" w:bidi="ar-SA"/>
            </w:rPr>
            <w:t>5.2环境风险防控与应急措施</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_Toc18115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32</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_Toc8394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zh-CN" w:eastAsia="zh-CN" w:bidi="ar-SA"/>
            </w:rPr>
            <w:t>5.3环境应急资源</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_Toc8394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32</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_Toc3503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zh-CN" w:eastAsia="zh-CN" w:bidi="ar-SA"/>
            </w:rPr>
            <w:t>5.4历史经验教训总结</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_Toc3503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33</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_Toc32582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zh-CN" w:eastAsia="zh-CN" w:bidi="ar-SA"/>
            </w:rPr>
            <w:t>5.5需要整改的短期、中期和长期项目内容</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_Toc32582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33</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5"/>
            <w:tabs>
              <w:tab w:val="right" w:leader="dot" w:pos="8306"/>
            </w:tabs>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HYPERLINK \l _Toc17951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bCs/>
              <w:kern w:val="44"/>
              <w:sz w:val="28"/>
              <w:szCs w:val="28"/>
              <w:lang w:val="en-US" w:eastAsia="zh-CN" w:bidi="ar-SA"/>
            </w:rPr>
            <w:t>6完善环境风险防控和应急措施的实施计划</w:t>
          </w:r>
          <w:r>
            <w:rPr>
              <w:rFonts w:hint="default" w:ascii="Times New Roman" w:hAnsi="Times New Roman" w:eastAsia="仿宋" w:cs="Times New Roman"/>
              <w:b/>
              <w:sz w:val="28"/>
              <w:szCs w:val="28"/>
            </w:rPr>
            <w:tab/>
          </w: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PAGEREF _Toc17951 \h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sz w:val="28"/>
              <w:szCs w:val="28"/>
            </w:rPr>
            <w:t>35</w:t>
          </w:r>
          <w:r>
            <w:rPr>
              <w:rFonts w:hint="default" w:ascii="Times New Roman" w:hAnsi="Times New Roman" w:eastAsia="仿宋" w:cs="Times New Roman"/>
              <w:b/>
              <w:sz w:val="28"/>
              <w:szCs w:val="28"/>
            </w:rPr>
            <w:fldChar w:fldCharType="end"/>
          </w:r>
          <w:r>
            <w:rPr>
              <w:rFonts w:hint="default" w:ascii="Times New Roman" w:hAnsi="Times New Roman" w:eastAsia="仿宋" w:cs="Times New Roman"/>
              <w:b/>
              <w:sz w:val="28"/>
              <w:szCs w:val="28"/>
            </w:rPr>
            <w:fldChar w:fldCharType="end"/>
          </w:r>
        </w:p>
        <w:p>
          <w:pPr>
            <w:pStyle w:val="25"/>
            <w:tabs>
              <w:tab w:val="right" w:leader="dot" w:pos="8306"/>
            </w:tabs>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HYPERLINK \l _Toc4460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bCs/>
              <w:kern w:val="44"/>
              <w:sz w:val="28"/>
              <w:szCs w:val="28"/>
              <w:lang w:val="en-US" w:eastAsia="zh-CN" w:bidi="ar-SA"/>
            </w:rPr>
            <w:t>7企业突发环境事件风险等级</w:t>
          </w:r>
          <w:r>
            <w:rPr>
              <w:rFonts w:hint="default" w:ascii="Times New Roman" w:hAnsi="Times New Roman" w:eastAsia="仿宋" w:cs="Times New Roman"/>
              <w:b/>
              <w:sz w:val="28"/>
              <w:szCs w:val="28"/>
            </w:rPr>
            <w:tab/>
          </w: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PAGEREF _Toc4460 \h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sz w:val="28"/>
              <w:szCs w:val="28"/>
            </w:rPr>
            <w:t>36</w:t>
          </w:r>
          <w:r>
            <w:rPr>
              <w:rFonts w:hint="default" w:ascii="Times New Roman" w:hAnsi="Times New Roman" w:eastAsia="仿宋" w:cs="Times New Roman"/>
              <w:b/>
              <w:sz w:val="28"/>
              <w:szCs w:val="28"/>
            </w:rPr>
            <w:fldChar w:fldCharType="end"/>
          </w:r>
          <w:r>
            <w:rPr>
              <w:rFonts w:hint="default" w:ascii="Times New Roman" w:hAnsi="Times New Roman" w:eastAsia="仿宋" w:cs="Times New Roman"/>
              <w:b/>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_Toc14312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7.1企业突发环境事件风险等级划分方法</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_Toc14312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36</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_Toc13175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7.2风险物质识别</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_Toc13175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37</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_Toc6963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lang w:val="en-US" w:eastAsia="zh-CN"/>
            </w:rPr>
            <w:t>7.3 风险分级</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_Toc6963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37</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_Toc18413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7.4企业突发环境事件风险等级确定</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_Toc18413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40</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_Toc19649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bCs/>
              <w:kern w:val="2"/>
              <w:sz w:val="28"/>
              <w:szCs w:val="28"/>
              <w:lang w:val="en-US" w:eastAsia="zh-CN" w:bidi="ar-SA"/>
            </w:rPr>
            <w:t>7.5风险等级调整</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_Toc19649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40</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6"/>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HYPERLINK \l _Toc573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lang w:val="en-US" w:eastAsia="zh-CN"/>
            </w:rPr>
            <w:t>7.6风险等级表征</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_Toc573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40</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sz w:val="28"/>
              <w:szCs w:val="28"/>
            </w:rPr>
            <w:fldChar w:fldCharType="end"/>
          </w:r>
        </w:p>
        <w:p>
          <w:pPr>
            <w:pStyle w:val="25"/>
            <w:tabs>
              <w:tab w:val="right" w:leader="dot" w:pos="8306"/>
            </w:tabs>
            <w:rPr>
              <w:rFonts w:hint="default" w:ascii="Times New Roman" w:hAnsi="Times New Roman" w:cs="Times New Roman"/>
            </w:rPr>
          </w:pP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HYPERLINK \l _Toc25545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bCs/>
              <w:kern w:val="44"/>
              <w:sz w:val="28"/>
              <w:szCs w:val="28"/>
              <w:lang w:val="en-US" w:eastAsia="zh-CN" w:bidi="ar-SA"/>
            </w:rPr>
            <w:t>8修订说明</w:t>
          </w:r>
          <w:r>
            <w:rPr>
              <w:rFonts w:hint="default" w:ascii="Times New Roman" w:hAnsi="Times New Roman" w:eastAsia="仿宋" w:cs="Times New Roman"/>
              <w:b/>
              <w:sz w:val="28"/>
              <w:szCs w:val="28"/>
            </w:rPr>
            <w:tab/>
          </w:r>
          <w:r>
            <w:rPr>
              <w:rFonts w:hint="default" w:ascii="Times New Roman" w:hAnsi="Times New Roman" w:eastAsia="仿宋" w:cs="Times New Roman"/>
              <w:b/>
              <w:sz w:val="28"/>
              <w:szCs w:val="28"/>
            </w:rPr>
            <w:fldChar w:fldCharType="begin"/>
          </w:r>
          <w:r>
            <w:rPr>
              <w:rFonts w:hint="default" w:ascii="Times New Roman" w:hAnsi="Times New Roman" w:eastAsia="仿宋" w:cs="Times New Roman"/>
              <w:b/>
              <w:sz w:val="28"/>
              <w:szCs w:val="28"/>
            </w:rPr>
            <w:instrText xml:space="preserve"> PAGEREF _Toc25545 \h </w:instrText>
          </w:r>
          <w:r>
            <w:rPr>
              <w:rFonts w:hint="default" w:ascii="Times New Roman" w:hAnsi="Times New Roman" w:eastAsia="仿宋" w:cs="Times New Roman"/>
              <w:b/>
              <w:sz w:val="28"/>
              <w:szCs w:val="28"/>
            </w:rPr>
            <w:fldChar w:fldCharType="separate"/>
          </w:r>
          <w:r>
            <w:rPr>
              <w:rFonts w:hint="default" w:ascii="Times New Roman" w:hAnsi="Times New Roman" w:eastAsia="仿宋" w:cs="Times New Roman"/>
              <w:b/>
              <w:sz w:val="28"/>
              <w:szCs w:val="28"/>
            </w:rPr>
            <w:t>41</w:t>
          </w:r>
          <w:r>
            <w:rPr>
              <w:rFonts w:hint="default" w:ascii="Times New Roman" w:hAnsi="Times New Roman" w:eastAsia="仿宋" w:cs="Times New Roman"/>
              <w:b/>
              <w:sz w:val="28"/>
              <w:szCs w:val="28"/>
            </w:rPr>
            <w:fldChar w:fldCharType="end"/>
          </w:r>
          <w:r>
            <w:rPr>
              <w:rFonts w:hint="default" w:ascii="Times New Roman" w:hAnsi="Times New Roman" w:eastAsia="仿宋" w:cs="Times New Roman"/>
              <w:b/>
              <w:sz w:val="28"/>
              <w:szCs w:val="28"/>
            </w:rPr>
            <w:fldChar w:fldCharType="end"/>
          </w:r>
          <w:r>
            <w:rPr>
              <w:rFonts w:hint="default" w:ascii="Times New Roman" w:hAnsi="Times New Roman" w:eastAsia="仿宋" w:cs="Times New Roman"/>
              <w:b/>
              <w:sz w:val="28"/>
              <w:szCs w:val="28"/>
            </w:rPr>
            <w:fldChar w:fldCharType="end"/>
          </w:r>
        </w:p>
      </w:sdtContent>
    </w:sdt>
    <w:p>
      <w:pPr>
        <w:pStyle w:val="3"/>
        <w:bidi w:val="0"/>
        <w:ind w:firstLine="643" w:firstLineChars="200"/>
        <w:rPr>
          <w:rFonts w:hint="default" w:ascii="Times New Roman" w:hAnsi="Times New Roman" w:eastAsia="仿宋" w:cs="Times New Roma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4" w:name="_Toc10334"/>
    </w:p>
    <w:p>
      <w:pPr>
        <w:pStyle w:val="3"/>
        <w:bidi w:val="0"/>
        <w:ind w:firstLine="643" w:firstLineChars="200"/>
        <w:rPr>
          <w:rFonts w:hint="default" w:ascii="Times New Roman" w:hAnsi="Times New Roman" w:eastAsia="仿宋" w:cs="Times New Roman"/>
        </w:rPr>
      </w:pPr>
      <w:r>
        <w:rPr>
          <w:rFonts w:hint="default" w:ascii="Times New Roman" w:hAnsi="Times New Roman" w:eastAsia="仿宋" w:cs="Times New Roman"/>
        </w:rPr>
        <w:t>1前</w:t>
      </w:r>
      <w:r>
        <w:rPr>
          <w:rFonts w:hint="default" w:ascii="Times New Roman" w:hAnsi="Times New Roman" w:eastAsia="仿宋" w:cs="Times New Roman"/>
          <w:lang w:val="en-US" w:eastAsia="zh-CN"/>
        </w:rPr>
        <w:t xml:space="preserve">  </w:t>
      </w:r>
      <w:r>
        <w:rPr>
          <w:rFonts w:hint="default" w:ascii="Times New Roman" w:hAnsi="Times New Roman" w:eastAsia="仿宋" w:cs="Times New Roman"/>
        </w:rPr>
        <w:t>言</w:t>
      </w:r>
      <w:bookmarkEnd w:id="3"/>
      <w:bookmarkEnd w:id="4"/>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为贯彻落实“十三五”环境风险防控任务，保障人民群众的身体健康和环境安全，规范企业突发环境事件风险评估行为，为提高环境风险防控能力提供切实指导，为环保部门根据环境风险等级实施分级差别化管理提供技术支持，环保部于2018年2月5日发布了《企业突发环境事件风险分级方法》（HJ 941-2018），适用于对可能发生突发环境事件的企业进行环境风险分级。</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根据环保部2015年1月8日出台的《关于印发&lt;企业事业单位突发环境事件应急预案备案管理办法（试行）&gt;的通知》（环办[2015]4号），企业环境应急预案首次备案，需提交风险评估报告的纸质文件和电子文件。根据《企业事业单位突发环境事件应急预案评审工作指南（试行）》（环办应急[2018]8号），环境应急预案及其相关文件包括环境应急预案及其编制说明、环境风险评估报告、环境应急资源调查报告等文本。</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为有效防范环境风险和妥善处理突发环境事件，完善以预防为主的环境风险管理制度，严格落实企业环境安全主体责任，贯彻落实《突发事件应急预案管理办法》（国办发〔2013〕101号），根据环境保护部发布的《企业突发环境事件风险分级方法》（HJ 941-2018）要求，企业推进环境风险全过程管理，开展环境风险调查与评估。通过风险评估，有利于企业掌握自身环境风险状况，明确环境风险防护措施，提高企业应对突发环境事件的能力，同时减少事故发生。</w:t>
      </w:r>
    </w:p>
    <w:p>
      <w:pPr>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br w:type="page"/>
      </w:r>
    </w:p>
    <w:p>
      <w:pPr>
        <w:keepNext/>
        <w:keepLines/>
        <w:pageBreakBefore/>
        <w:widowControl w:val="0"/>
        <w:bidi w:val="0"/>
        <w:spacing w:beforeLines="0" w:afterLines="0" w:line="480" w:lineRule="auto"/>
        <w:ind w:firstLine="643" w:firstLineChars="200"/>
        <w:jc w:val="left"/>
        <w:outlineLvl w:val="0"/>
        <w:rPr>
          <w:rFonts w:hint="default" w:ascii="Times New Roman" w:hAnsi="Times New Roman" w:eastAsia="仿宋" w:cs="Times New Roman"/>
          <w:b/>
          <w:bCs/>
          <w:kern w:val="44"/>
          <w:sz w:val="32"/>
          <w:szCs w:val="44"/>
          <w:lang w:val="en-US" w:eastAsia="zh-CN" w:bidi="ar-SA"/>
        </w:rPr>
      </w:pPr>
      <w:bookmarkStart w:id="5" w:name="_Toc2282_WPSOffice_Level1"/>
      <w:bookmarkStart w:id="6" w:name="_Toc7620"/>
      <w:bookmarkStart w:id="7" w:name="_Toc30701_WPSOffice_Level1"/>
      <w:bookmarkStart w:id="8" w:name="_Toc944_WPSOffice_Level1"/>
      <w:bookmarkStart w:id="9" w:name="_Toc2679_WPSOffice_Level1"/>
      <w:bookmarkStart w:id="10" w:name="_Toc21906"/>
      <w:r>
        <w:rPr>
          <w:rFonts w:hint="default" w:ascii="Times New Roman" w:hAnsi="Times New Roman" w:eastAsia="仿宋" w:cs="Times New Roman"/>
          <w:b/>
          <w:bCs/>
          <w:kern w:val="44"/>
          <w:sz w:val="32"/>
          <w:szCs w:val="44"/>
          <w:lang w:val="en-US" w:eastAsia="zh-CN" w:bidi="ar-SA"/>
        </w:rPr>
        <w:t>2总  则</w:t>
      </w:r>
      <w:bookmarkEnd w:id="5"/>
      <w:bookmarkEnd w:id="6"/>
      <w:bookmarkEnd w:id="7"/>
      <w:bookmarkEnd w:id="8"/>
      <w:bookmarkEnd w:id="9"/>
      <w:bookmarkEnd w:id="10"/>
    </w:p>
    <w:p>
      <w:pPr>
        <w:bidi w:val="0"/>
        <w:spacing w:line="360" w:lineRule="auto"/>
        <w:ind w:firstLine="560" w:firstLineChars="200"/>
        <w:rPr>
          <w:rFonts w:hint="default" w:ascii="Times New Roman" w:hAnsi="Times New Roman" w:eastAsia="仿宋" w:cs="Times New Roman"/>
          <w:sz w:val="28"/>
          <w:szCs w:val="24"/>
        </w:rPr>
      </w:pPr>
      <w:bookmarkStart w:id="11" w:name="_Toc8083"/>
      <w:bookmarkStart w:id="12" w:name="_Toc2282_WPSOffice_Level2"/>
      <w:bookmarkStart w:id="13" w:name="_Toc2679_WPSOffice_Level2"/>
      <w:bookmarkStart w:id="14" w:name="_Toc30701_WPSOffice_Level2"/>
      <w:bookmarkStart w:id="15" w:name="_Toc944_WPSOffice_Level2"/>
      <w:r>
        <w:rPr>
          <w:rFonts w:hint="default" w:ascii="Times New Roman" w:hAnsi="Times New Roman" w:eastAsia="仿宋" w:cs="Times New Roman"/>
          <w:sz w:val="28"/>
          <w:szCs w:val="24"/>
        </w:rPr>
        <w:t>按照“以人为本”的宗旨，合理保障人民群众的身体健康和环境安全，严格规范企业突发环境事件风险评估行为，提高突发环境事件防控能力，全面落实企业环境风险防控主体，并遵循以下原则开展环境风险评估工作</w:t>
      </w:r>
      <w:r>
        <w:rPr>
          <w:rFonts w:hint="default" w:ascii="Times New Roman" w:hAnsi="Times New Roman" w:eastAsia="仿宋" w:cs="Times New Roman"/>
          <w:sz w:val="28"/>
          <w:szCs w:val="24"/>
          <w:lang w:eastAsia="zh-CN"/>
        </w:rPr>
        <w:t>：</w:t>
      </w:r>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16" w:name="_Toc16221"/>
      <w:bookmarkStart w:id="17" w:name="_Toc20595"/>
      <w:r>
        <w:rPr>
          <w:rFonts w:hint="default" w:ascii="Times New Roman" w:hAnsi="Times New Roman" w:eastAsia="仿宋" w:cs="Times New Roman"/>
          <w:b/>
          <w:bCs/>
          <w:kern w:val="2"/>
          <w:sz w:val="32"/>
          <w:szCs w:val="32"/>
          <w:lang w:val="en-US" w:eastAsia="zh-CN" w:bidi="ar-SA"/>
        </w:rPr>
        <w:t>2.1</w:t>
      </w:r>
      <w:bookmarkEnd w:id="11"/>
      <w:r>
        <w:rPr>
          <w:rFonts w:hint="default" w:ascii="Times New Roman" w:hAnsi="Times New Roman" w:eastAsia="仿宋" w:cs="Times New Roman"/>
          <w:b/>
          <w:bCs/>
          <w:kern w:val="2"/>
          <w:sz w:val="32"/>
          <w:szCs w:val="32"/>
          <w:lang w:val="en-US" w:eastAsia="zh-CN" w:bidi="ar-SA"/>
        </w:rPr>
        <w:t>编制原则</w:t>
      </w:r>
      <w:bookmarkEnd w:id="12"/>
      <w:bookmarkEnd w:id="13"/>
      <w:bookmarkEnd w:id="14"/>
      <w:bookmarkEnd w:id="15"/>
      <w:bookmarkEnd w:id="16"/>
      <w:bookmarkEnd w:id="17"/>
    </w:p>
    <w:p>
      <w:pPr>
        <w:bidi w:val="0"/>
        <w:spacing w:line="360" w:lineRule="auto"/>
        <w:ind w:firstLine="560" w:firstLineChars="200"/>
        <w:rPr>
          <w:rFonts w:hint="default" w:ascii="Times New Roman" w:hAnsi="Times New Roman" w:eastAsia="仿宋" w:cs="Times New Roman"/>
          <w:sz w:val="28"/>
          <w:szCs w:val="24"/>
        </w:rPr>
      </w:pPr>
      <w:bookmarkStart w:id="18" w:name="_Toc4042_WPSOffice_Level2"/>
      <w:bookmarkStart w:id="19" w:name="_Toc7512_WPSOffice_Level2"/>
      <w:bookmarkStart w:id="20" w:name="_Toc3532_WPSOffice_Level2"/>
      <w:bookmarkStart w:id="21" w:name="_Toc5881_WPSOffice_Level2"/>
      <w:r>
        <w:rPr>
          <w:rFonts w:hint="default" w:ascii="Times New Roman" w:hAnsi="Times New Roman" w:eastAsia="仿宋" w:cs="Times New Roman"/>
          <w:sz w:val="28"/>
          <w:szCs w:val="24"/>
        </w:rPr>
        <w:t>环境风险评估编制应体现科学性、规范性、客观性和真实性的原则。</w:t>
      </w:r>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环境风险评估过程中应贯彻执行我国环保相关的法律法规、标准、政策，分析企业自身环境风险状况，明确环境风险防控措施。</w:t>
      </w:r>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22" w:name="_Toc12968"/>
      <w:bookmarkStart w:id="23" w:name="_Toc18019"/>
      <w:r>
        <w:rPr>
          <w:rFonts w:hint="default" w:ascii="Times New Roman" w:hAnsi="Times New Roman" w:eastAsia="仿宋" w:cs="Times New Roman"/>
          <w:b/>
          <w:bCs/>
          <w:kern w:val="2"/>
          <w:sz w:val="32"/>
          <w:szCs w:val="32"/>
          <w:lang w:val="en-US" w:eastAsia="zh-CN" w:bidi="ar-SA"/>
        </w:rPr>
        <w:t>2.2编制依据</w:t>
      </w:r>
      <w:bookmarkEnd w:id="18"/>
      <w:bookmarkEnd w:id="19"/>
      <w:bookmarkEnd w:id="20"/>
      <w:bookmarkEnd w:id="21"/>
      <w:bookmarkEnd w:id="22"/>
      <w:bookmarkEnd w:id="23"/>
    </w:p>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bookmarkStart w:id="24" w:name="_Toc8886"/>
      <w:bookmarkStart w:id="25" w:name="_Toc21844"/>
      <w:bookmarkStart w:id="26" w:name="_Toc26181"/>
      <w:bookmarkStart w:id="27" w:name="_Toc25635"/>
      <w:bookmarkStart w:id="28" w:name="_Toc8863"/>
      <w:r>
        <w:rPr>
          <w:rFonts w:hint="default" w:ascii="Times New Roman" w:hAnsi="Times New Roman" w:eastAsia="仿宋" w:cs="Times New Roman"/>
          <w:b/>
          <w:bCs/>
          <w:kern w:val="2"/>
          <w:sz w:val="30"/>
          <w:szCs w:val="32"/>
          <w:lang w:val="en-US" w:eastAsia="zh-CN" w:bidi="ar-SA"/>
        </w:rPr>
        <w:t>2.2.1法律法规、政策</w:t>
      </w:r>
      <w:bookmarkEnd w:id="24"/>
      <w:bookmarkEnd w:id="25"/>
      <w:bookmarkEnd w:id="26"/>
      <w:bookmarkEnd w:id="27"/>
      <w:bookmarkEnd w:id="28"/>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《中华人民共和国环境保护法》（中华人民共和国主席令第 9号，自 2015年1月1日起施行）；</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《中华人民共和国突发事件应对法》（中华人民共和国主席令第69号，自2007年11年1日）；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《中华人民共和国水污染防治法》（中华人民共和国主席令第87 号，2018年1月1日）；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《中华人民共和国固体废物污染环境防治法》（中华人民共和国主席令第43号，2020年4月29日）；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《中华人民共和国大气污染防治法》（中华人民共和国主席令第31号，2016年1月1日）；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《危险化学品安全管理条例》（中华人民共和国国务院令第 591号，2011年12月1日）；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《突发事件应急预案管理办法》的通知（国办发</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2013</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101号，2013年10月25日）；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《国家突发环境事件应急预案》（国办函[2014]119号，2014年12月29日）；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《突发环境事件应急管理办法》（环保部令第34号，2015年6月5日）；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《企业事业单位突发环境事件应急预案备案管理办法（试行）》的通知（环发[2015]4 号，2015 年1月8日）；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《突发环境事件信息报告办法》（环境保护部令第17号， 2011年5月1日）；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《陕西省环境保护厅突发环境事件应急预案》的通知（陕环发[2016]45号，2016年10月21日）；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陕西省人民政府办公厅《关于印发省突发环境事件应急预案的通知》（陕政办函[2015]128号，2015年6月19日）；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陕西省人民政府办公厅《关于印发省突发事件应急预案管理办法的通知》（陕政办发[2014]24号，2014年5月1日）；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《关于进一步加强突发环境事件应急预案工作的通知》陕西省环保厅办公室（陕环办发</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2012</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126号，2012年9月17日）；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关于发布《企业突发环境事件隐患排查和治理工作指南（试行）》的公告（环境保护部公告2016年第74号，2016年12月6日）；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关于印发《企业事业单位突发环境事件应急预案评审工作指南（试行）的通知》（环办应急[2018]8号</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2018年1月30日）；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《建设项目环境风险评价技术导则》（HJ/T169-2004）；</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《企业突发环境事件风险分级方法》（HJ941-2018），环办</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2018</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14号；</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w:t>
      </w:r>
      <w:r>
        <w:rPr>
          <w:rFonts w:hint="default" w:ascii="Times New Roman" w:hAnsi="Times New Roman" w:eastAsia="仿宋" w:cs="Times New Roman"/>
          <w:sz w:val="28"/>
          <w:szCs w:val="24"/>
          <w:lang w:eastAsia="zh-CN"/>
        </w:rPr>
        <w:t>国家</w:t>
      </w:r>
      <w:r>
        <w:rPr>
          <w:rFonts w:hint="default" w:ascii="Times New Roman" w:hAnsi="Times New Roman" w:eastAsia="仿宋" w:cs="Times New Roman"/>
          <w:sz w:val="28"/>
          <w:szCs w:val="24"/>
        </w:rPr>
        <w:t>危险</w:t>
      </w:r>
      <w:r>
        <w:rPr>
          <w:rFonts w:hint="default" w:ascii="Times New Roman" w:hAnsi="Times New Roman" w:eastAsia="仿宋" w:cs="Times New Roman"/>
          <w:sz w:val="28"/>
          <w:szCs w:val="24"/>
          <w:lang w:eastAsia="zh-CN"/>
        </w:rPr>
        <w:t>废物名录</w:t>
      </w:r>
      <w:r>
        <w:rPr>
          <w:rFonts w:hint="default" w:ascii="Times New Roman" w:hAnsi="Times New Roman" w:eastAsia="仿宋" w:cs="Times New Roman"/>
          <w:sz w:val="28"/>
          <w:szCs w:val="24"/>
        </w:rPr>
        <w:t>（</w:t>
      </w:r>
      <w:r>
        <w:rPr>
          <w:rFonts w:hint="default" w:ascii="Times New Roman" w:hAnsi="Times New Roman" w:eastAsia="仿宋" w:cs="Times New Roman"/>
          <w:sz w:val="28"/>
          <w:szCs w:val="24"/>
          <w:lang w:val="en-US" w:eastAsia="zh-CN"/>
        </w:rPr>
        <w:t>2021</w:t>
      </w:r>
      <w:r>
        <w:rPr>
          <w:rFonts w:hint="default" w:ascii="Times New Roman" w:hAnsi="Times New Roman" w:eastAsia="仿宋" w:cs="Times New Roman"/>
          <w:sz w:val="28"/>
          <w:szCs w:val="24"/>
        </w:rPr>
        <w:t>年版）》（20</w:t>
      </w:r>
      <w:r>
        <w:rPr>
          <w:rFonts w:hint="default" w:ascii="Times New Roman" w:hAnsi="Times New Roman" w:eastAsia="仿宋" w:cs="Times New Roman"/>
          <w:sz w:val="28"/>
          <w:szCs w:val="24"/>
          <w:lang w:val="en-US" w:eastAsia="zh-CN"/>
        </w:rPr>
        <w:t>21</w:t>
      </w:r>
      <w:r>
        <w:rPr>
          <w:rFonts w:hint="default" w:ascii="Times New Roman" w:hAnsi="Times New Roman" w:eastAsia="仿宋" w:cs="Times New Roman"/>
          <w:sz w:val="28"/>
          <w:szCs w:val="24"/>
        </w:rPr>
        <w:t>年</w:t>
      </w:r>
      <w:r>
        <w:rPr>
          <w:rFonts w:hint="default" w:ascii="Times New Roman" w:hAnsi="Times New Roman" w:eastAsia="仿宋" w:cs="Times New Roman"/>
          <w:sz w:val="28"/>
          <w:szCs w:val="24"/>
          <w:lang w:val="en-US" w:eastAsia="zh-CN"/>
        </w:rPr>
        <w:t>1</w:t>
      </w:r>
      <w:r>
        <w:rPr>
          <w:rFonts w:hint="default" w:ascii="Times New Roman" w:hAnsi="Times New Roman" w:eastAsia="仿宋" w:cs="Times New Roman"/>
          <w:sz w:val="28"/>
          <w:szCs w:val="24"/>
        </w:rPr>
        <w:t>月</w:t>
      </w:r>
      <w:r>
        <w:rPr>
          <w:rFonts w:hint="default" w:ascii="Times New Roman" w:hAnsi="Times New Roman" w:eastAsia="仿宋" w:cs="Times New Roman"/>
          <w:sz w:val="28"/>
          <w:szCs w:val="24"/>
          <w:lang w:val="en-US" w:eastAsia="zh-CN"/>
        </w:rPr>
        <w:t>1</w:t>
      </w:r>
      <w:r>
        <w:rPr>
          <w:rFonts w:hint="default" w:ascii="Times New Roman" w:hAnsi="Times New Roman" w:eastAsia="仿宋" w:cs="Times New Roman"/>
          <w:sz w:val="28"/>
          <w:szCs w:val="24"/>
        </w:rPr>
        <w:t>日）；</w:t>
      </w:r>
    </w:p>
    <w:p>
      <w:pPr>
        <w:numPr>
          <w:ilvl w:val="0"/>
          <w:numId w:val="2"/>
        </w:num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关于印发《突发环境事件应急预案管理暂行办法》的通知（环发[2010]113号，2010年9月28日）；</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imes New Roman" w:hAnsi="Times New Roman" w:eastAsia="仿宋" w:cs="Times New Roman"/>
          <w:b w:val="0"/>
          <w:bCs w:val="0"/>
          <w:color w:val="000000" w:themeColor="text1"/>
          <w:kern w:val="0"/>
          <w:sz w:val="28"/>
          <w:szCs w:val="28"/>
          <w14:textFill>
            <w14:solidFill>
              <w14:schemeClr w14:val="tx1"/>
            </w14:solidFill>
          </w14:textFill>
        </w:rPr>
      </w:pPr>
      <w:r>
        <w:rPr>
          <w:rFonts w:hint="default" w:ascii="Times New Roman" w:hAnsi="Times New Roman" w:eastAsia="仿宋" w:cs="Times New Roman"/>
          <w:b w:val="0"/>
          <w:bCs w:val="0"/>
          <w:color w:val="000000" w:themeColor="text1"/>
          <w:kern w:val="0"/>
          <w:sz w:val="28"/>
          <w:szCs w:val="28"/>
          <w14:textFill>
            <w14:solidFill>
              <w14:schemeClr w14:val="tx1"/>
            </w14:solidFill>
          </w14:textFill>
        </w:rPr>
        <w:t>《关于加强企业应急管理工作的意见》（国办发[2007]13号，2007年2月28日）；</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imes New Roman" w:hAnsi="Times New Roman" w:eastAsia="仿宋" w:cs="Times New Roman"/>
          <w:b w:val="0"/>
          <w:bCs w:val="0"/>
          <w:color w:val="000000" w:themeColor="text1"/>
          <w:kern w:val="0"/>
          <w:sz w:val="28"/>
          <w:szCs w:val="28"/>
          <w14:textFill>
            <w14:solidFill>
              <w14:schemeClr w14:val="tx1"/>
            </w14:solidFill>
          </w14:textFill>
        </w:rPr>
      </w:pPr>
      <w:r>
        <w:rPr>
          <w:rFonts w:hint="default" w:ascii="Times New Roman" w:hAnsi="Times New Roman" w:eastAsia="仿宋" w:cs="Times New Roman"/>
          <w:b w:val="0"/>
          <w:bCs w:val="0"/>
          <w:color w:val="000000" w:themeColor="text1"/>
          <w:kern w:val="0"/>
          <w:sz w:val="28"/>
          <w:szCs w:val="28"/>
          <w14:textFill>
            <w14:solidFill>
              <w14:schemeClr w14:val="tx1"/>
            </w14:solidFill>
          </w14:textFill>
        </w:rPr>
        <w:t>《突发环境事件调查处理办法》（部令第32号，2015年3月1日）；</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imes New Roman" w:hAnsi="Times New Roman" w:eastAsia="仿宋" w:cs="Times New Roman"/>
          <w:b w:val="0"/>
          <w:bCs w:val="0"/>
          <w:color w:val="000000" w:themeColor="text1"/>
          <w:kern w:val="0"/>
          <w:sz w:val="28"/>
          <w:szCs w:val="28"/>
          <w14:textFill>
            <w14:solidFill>
              <w14:schemeClr w14:val="tx1"/>
            </w14:solidFill>
          </w14:textFill>
        </w:rPr>
      </w:pPr>
      <w:r>
        <w:rPr>
          <w:rFonts w:hint="default" w:ascii="Times New Roman" w:hAnsi="Times New Roman" w:eastAsia="仿宋" w:cs="Times New Roman"/>
          <w:b w:val="0"/>
          <w:bCs w:val="0"/>
          <w:color w:val="000000" w:themeColor="text1"/>
          <w:kern w:val="0"/>
          <w:sz w:val="28"/>
          <w:szCs w:val="28"/>
          <w14:textFill>
            <w14:solidFill>
              <w14:schemeClr w14:val="tx1"/>
            </w14:solidFill>
          </w14:textFill>
        </w:rPr>
        <w:t>《突发环境事件应急监测技术规范》（HJ589-2010）（2011年1月1日）；</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imes New Roman" w:hAnsi="Times New Roman" w:eastAsia="仿宋" w:cs="Times New Roman"/>
          <w:b w:val="0"/>
          <w:bCs w:val="0"/>
          <w:color w:val="000000" w:themeColor="text1"/>
          <w:kern w:val="0"/>
          <w:sz w:val="28"/>
          <w:szCs w:val="28"/>
          <w:lang w:eastAsia="zh-CN"/>
          <w14:textFill>
            <w14:solidFill>
              <w14:schemeClr w14:val="tx1"/>
            </w14:solidFill>
          </w14:textFill>
        </w:rPr>
      </w:pPr>
      <w:r>
        <w:rPr>
          <w:rFonts w:hint="default" w:ascii="Times New Roman" w:hAnsi="Times New Roman" w:eastAsia="仿宋" w:cs="Times New Roman"/>
          <w:b w:val="0"/>
          <w:bCs w:val="0"/>
          <w:color w:val="000000" w:themeColor="text1"/>
          <w:kern w:val="0"/>
          <w:sz w:val="28"/>
          <w:szCs w:val="28"/>
          <w14:textFill>
            <w14:solidFill>
              <w14:schemeClr w14:val="tx1"/>
            </w14:solidFill>
          </w14:textFill>
        </w:rPr>
        <w:t>《企业突发环境事件风险评估指南（试行）》（环办[2014]34号）。</w:t>
      </w:r>
    </w:p>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bookmarkStart w:id="29" w:name="_Toc23349"/>
      <w:bookmarkStart w:id="30" w:name="_Toc10227"/>
      <w:r>
        <w:rPr>
          <w:rFonts w:hint="default" w:ascii="Times New Roman" w:hAnsi="Times New Roman" w:eastAsia="仿宋" w:cs="Times New Roman"/>
          <w:b/>
          <w:bCs/>
          <w:kern w:val="2"/>
          <w:sz w:val="30"/>
          <w:szCs w:val="32"/>
          <w:lang w:val="en-US" w:eastAsia="zh-CN" w:bidi="ar-SA"/>
        </w:rPr>
        <w:t>2.3.2标准、技术规范</w:t>
      </w:r>
      <w:bookmarkEnd w:id="29"/>
      <w:bookmarkEnd w:id="30"/>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1</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《危险化学品重大危险源辨识》（GB18218-20</w:t>
      </w:r>
      <w:r>
        <w:rPr>
          <w:rFonts w:hint="default" w:ascii="Times New Roman" w:hAnsi="Times New Roman" w:eastAsia="仿宋" w:cs="Times New Roman"/>
          <w:sz w:val="28"/>
          <w:szCs w:val="24"/>
          <w:lang w:val="en-US" w:eastAsia="zh-CN"/>
        </w:rPr>
        <w:t>18</w:t>
      </w:r>
      <w:r>
        <w:rPr>
          <w:rFonts w:hint="default" w:ascii="Times New Roman" w:hAnsi="Times New Roman" w:eastAsia="仿宋" w:cs="Times New Roman"/>
          <w:sz w:val="28"/>
          <w:szCs w:val="24"/>
        </w:rPr>
        <w:t>）；</w:t>
      </w:r>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2</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《建筑设计防火规范》（GB50016-20</w:t>
      </w:r>
      <w:r>
        <w:rPr>
          <w:rFonts w:hint="default" w:ascii="Times New Roman" w:hAnsi="Times New Roman" w:eastAsia="仿宋" w:cs="Times New Roman"/>
          <w:sz w:val="28"/>
          <w:szCs w:val="24"/>
          <w:lang w:val="en-US" w:eastAsia="zh-CN"/>
        </w:rPr>
        <w:t>14</w:t>
      </w:r>
      <w:r>
        <w:rPr>
          <w:rFonts w:hint="default" w:ascii="Times New Roman" w:hAnsi="Times New Roman" w:eastAsia="仿宋" w:cs="Times New Roman"/>
          <w:sz w:val="28"/>
          <w:szCs w:val="24"/>
        </w:rPr>
        <w:t>）</w:t>
      </w:r>
      <w:r>
        <w:rPr>
          <w:rFonts w:hint="default" w:ascii="Times New Roman" w:hAnsi="Times New Roman" w:eastAsia="仿宋" w:cs="Times New Roman"/>
          <w:sz w:val="28"/>
          <w:szCs w:val="24"/>
          <w:lang w:eastAsia="zh-CN"/>
        </w:rPr>
        <w:t>；</w:t>
      </w:r>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lang w:val="en-US" w:eastAsia="zh-CN"/>
        </w:rPr>
        <w:t>（3）《消防给水及消火栓系统技术规范》（GB50974-2014）</w:t>
      </w:r>
      <w:r>
        <w:rPr>
          <w:rFonts w:hint="default" w:ascii="Times New Roman" w:hAnsi="Times New Roman" w:eastAsia="仿宋" w:cs="Times New Roman"/>
          <w:sz w:val="28"/>
          <w:szCs w:val="24"/>
        </w:rPr>
        <w:t>；</w:t>
      </w:r>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4</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《化学品分类和标签规范（2~29部分）》</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GB30000-2013</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w:t>
      </w:r>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5</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《环境影响评价技术导则 地下水环境》（HJ610-201</w:t>
      </w:r>
      <w:r>
        <w:rPr>
          <w:rFonts w:hint="default" w:ascii="Times New Roman" w:hAnsi="Times New Roman" w:eastAsia="仿宋" w:cs="Times New Roman"/>
          <w:sz w:val="28"/>
          <w:szCs w:val="24"/>
          <w:lang w:val="en-US" w:eastAsia="zh-CN"/>
        </w:rPr>
        <w:t>6</w:t>
      </w:r>
      <w:r>
        <w:rPr>
          <w:rFonts w:hint="default" w:ascii="Times New Roman" w:hAnsi="Times New Roman" w:eastAsia="仿宋" w:cs="Times New Roman"/>
          <w:sz w:val="28"/>
          <w:szCs w:val="24"/>
        </w:rPr>
        <w:t>）；</w:t>
      </w:r>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6</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rPr>
        <w:t>《环境影响评价技术导则 大气环境》（HJ2.2-20</w:t>
      </w:r>
      <w:r>
        <w:rPr>
          <w:rFonts w:hint="default" w:ascii="Times New Roman" w:hAnsi="Times New Roman" w:eastAsia="仿宋" w:cs="Times New Roman"/>
          <w:sz w:val="28"/>
          <w:szCs w:val="24"/>
          <w:lang w:val="en-US" w:eastAsia="zh-CN"/>
        </w:rPr>
        <w:t>1</w:t>
      </w:r>
      <w:r>
        <w:rPr>
          <w:rFonts w:hint="default" w:ascii="Times New Roman" w:hAnsi="Times New Roman" w:eastAsia="仿宋" w:cs="Times New Roman"/>
          <w:sz w:val="28"/>
          <w:szCs w:val="24"/>
        </w:rPr>
        <w:t>8）；</w:t>
      </w:r>
    </w:p>
    <w:p>
      <w:pPr>
        <w:bidi w:val="0"/>
        <w:spacing w:line="360" w:lineRule="auto"/>
        <w:ind w:firstLine="560" w:firstLineChars="200"/>
        <w:rPr>
          <w:rFonts w:hint="default" w:ascii="Times New Roman" w:hAnsi="Times New Roman" w:eastAsia="仿宋" w:cs="Times New Roman"/>
          <w:sz w:val="28"/>
          <w:szCs w:val="24"/>
          <w:lang w:eastAsia="zh-CN"/>
        </w:rPr>
      </w:pP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7</w:t>
      </w:r>
      <w:r>
        <w:rPr>
          <w:rFonts w:hint="default" w:ascii="Times New Roman" w:hAnsi="Times New Roman" w:eastAsia="仿宋" w:cs="Times New Roman"/>
          <w:sz w:val="28"/>
          <w:szCs w:val="24"/>
          <w:lang w:eastAsia="zh-CN"/>
        </w:rPr>
        <w:t>）《建设项目环境风险评价技术导则》（HJ/T169-20</w:t>
      </w:r>
      <w:r>
        <w:rPr>
          <w:rFonts w:hint="default" w:ascii="Times New Roman" w:hAnsi="Times New Roman" w:eastAsia="仿宋" w:cs="Times New Roman"/>
          <w:sz w:val="28"/>
          <w:szCs w:val="24"/>
          <w:lang w:val="en-US" w:eastAsia="zh-CN"/>
        </w:rPr>
        <w:t>18</w:t>
      </w:r>
      <w:r>
        <w:rPr>
          <w:rFonts w:hint="default" w:ascii="Times New Roman" w:hAnsi="Times New Roman" w:eastAsia="仿宋" w:cs="Times New Roman"/>
          <w:sz w:val="28"/>
          <w:szCs w:val="24"/>
          <w:lang w:eastAsia="zh-CN"/>
        </w:rPr>
        <w:t>）；</w:t>
      </w:r>
    </w:p>
    <w:p>
      <w:pPr>
        <w:bidi w:val="0"/>
        <w:spacing w:line="360" w:lineRule="auto"/>
        <w:ind w:firstLine="560" w:firstLineChars="200"/>
        <w:rPr>
          <w:rFonts w:hint="default" w:ascii="Times New Roman" w:hAnsi="Times New Roman" w:eastAsia="仿宋" w:cs="Times New Roman"/>
          <w:sz w:val="28"/>
          <w:szCs w:val="24"/>
          <w:lang w:eastAsia="zh-CN"/>
        </w:rPr>
      </w:pP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8</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事故状态下水体污染物的预防及控制技术要求</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Q/SY1190-2013</w:t>
      </w:r>
      <w:r>
        <w:rPr>
          <w:rFonts w:hint="default" w:ascii="Times New Roman" w:hAnsi="Times New Roman" w:eastAsia="仿宋" w:cs="Times New Roman"/>
          <w:sz w:val="28"/>
          <w:szCs w:val="24"/>
          <w:lang w:eastAsia="zh-CN"/>
        </w:rPr>
        <w:t>）；</w:t>
      </w:r>
    </w:p>
    <w:p>
      <w:pPr>
        <w:bidi w:val="0"/>
        <w:spacing w:line="360" w:lineRule="auto"/>
        <w:ind w:firstLine="560" w:firstLineChars="200"/>
        <w:rPr>
          <w:rFonts w:hint="default" w:ascii="Times New Roman" w:hAnsi="Times New Roman" w:eastAsia="仿宋" w:cs="Times New Roman"/>
          <w:sz w:val="28"/>
          <w:szCs w:val="24"/>
          <w:lang w:eastAsia="zh-CN"/>
        </w:rPr>
      </w:pP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9</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化学品毒性鉴定技术规范</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卫监督发〔2005〕272号</w:t>
      </w:r>
      <w:r>
        <w:rPr>
          <w:rFonts w:hint="default" w:ascii="Times New Roman" w:hAnsi="Times New Roman" w:eastAsia="仿宋" w:cs="Times New Roman"/>
          <w:sz w:val="28"/>
          <w:szCs w:val="24"/>
          <w:lang w:eastAsia="zh-CN"/>
        </w:rPr>
        <w:t>）；</w:t>
      </w:r>
    </w:p>
    <w:p>
      <w:pPr>
        <w:bidi w:val="0"/>
        <w:spacing w:line="360" w:lineRule="auto"/>
        <w:ind w:firstLine="560" w:firstLineChars="200"/>
        <w:rPr>
          <w:rFonts w:hint="default" w:ascii="Times New Roman" w:hAnsi="Times New Roman" w:eastAsia="仿宋" w:cs="Times New Roman"/>
          <w:sz w:val="28"/>
          <w:szCs w:val="24"/>
          <w:lang w:val="en-US" w:eastAsia="zh-CN"/>
        </w:rPr>
      </w:pP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10</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危险废物贮存污染控制标准</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GB18597-2001</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w:t>
      </w:r>
    </w:p>
    <w:p>
      <w:pPr>
        <w:bidi w:val="0"/>
        <w:spacing w:line="360" w:lineRule="auto"/>
        <w:ind w:firstLine="560" w:firstLineChars="200"/>
        <w:rPr>
          <w:rFonts w:hint="default" w:ascii="Times New Roman" w:hAnsi="Times New Roman" w:eastAsia="仿宋" w:cs="Times New Roman"/>
          <w:sz w:val="28"/>
          <w:szCs w:val="24"/>
          <w:lang w:eastAsia="zh-CN"/>
        </w:rPr>
      </w:pP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11</w:t>
      </w:r>
      <w:r>
        <w:rPr>
          <w:rFonts w:hint="default" w:ascii="Times New Roman" w:hAnsi="Times New Roman" w:eastAsia="仿宋" w:cs="Times New Roman"/>
          <w:sz w:val="28"/>
          <w:szCs w:val="24"/>
          <w:lang w:eastAsia="zh-CN"/>
        </w:rPr>
        <w:t>）《企业突发环境事件风险分级方法》（</w:t>
      </w:r>
      <w:r>
        <w:rPr>
          <w:rFonts w:hint="default" w:ascii="Times New Roman" w:hAnsi="Times New Roman" w:eastAsia="仿宋" w:cs="Times New Roman"/>
          <w:sz w:val="28"/>
          <w:szCs w:val="24"/>
          <w:lang w:val="en-US" w:eastAsia="zh-CN"/>
        </w:rPr>
        <w:t>HJ941-2018</w:t>
      </w:r>
      <w:r>
        <w:rPr>
          <w:rFonts w:hint="default" w:ascii="Times New Roman" w:hAnsi="Times New Roman" w:eastAsia="仿宋" w:cs="Times New Roman"/>
          <w:sz w:val="28"/>
          <w:szCs w:val="24"/>
          <w:lang w:eastAsia="zh-CN"/>
        </w:rPr>
        <w:t>）；</w:t>
      </w:r>
    </w:p>
    <w:p>
      <w:pPr>
        <w:keepNext w:val="0"/>
        <w:keepLines w:val="0"/>
        <w:widowControl/>
        <w:suppressLineNumbers w:val="0"/>
        <w:ind w:firstLine="560" w:firstLineChars="200"/>
        <w:jc w:val="left"/>
        <w:rPr>
          <w:rFonts w:hint="default" w:ascii="Times New Roman" w:hAnsi="Times New Roman" w:eastAsia="仿宋" w:cs="Times New Roman"/>
        </w:rPr>
      </w:pPr>
      <w:r>
        <w:rPr>
          <w:rFonts w:hint="default" w:ascii="Times New Roman" w:hAnsi="Times New Roman" w:eastAsia="仿宋" w:cs="Times New Roman"/>
          <w:sz w:val="28"/>
          <w:szCs w:val="24"/>
          <w:lang w:eastAsia="zh-CN"/>
        </w:rPr>
        <w:t>（</w:t>
      </w:r>
      <w:r>
        <w:rPr>
          <w:rFonts w:hint="default" w:ascii="Times New Roman" w:hAnsi="Times New Roman" w:eastAsia="仿宋" w:cs="Times New Roman"/>
          <w:sz w:val="28"/>
          <w:szCs w:val="24"/>
          <w:lang w:val="en-US" w:eastAsia="zh-CN"/>
        </w:rPr>
        <w:t>12</w:t>
      </w:r>
      <w:r>
        <w:rPr>
          <w:rFonts w:hint="default" w:ascii="Times New Roman" w:hAnsi="Times New Roman" w:eastAsia="仿宋" w:cs="Times New Roman"/>
          <w:sz w:val="28"/>
          <w:szCs w:val="24"/>
          <w:lang w:eastAsia="zh-CN"/>
        </w:rPr>
        <w:t>）</w:t>
      </w:r>
      <w:r>
        <w:rPr>
          <w:rFonts w:hint="default" w:ascii="Times New Roman" w:hAnsi="Times New Roman" w:eastAsia="仿宋" w:cs="Times New Roman"/>
          <w:color w:val="000000"/>
          <w:kern w:val="0"/>
          <w:sz w:val="28"/>
          <w:szCs w:val="28"/>
          <w:lang w:val="en-US" w:eastAsia="zh-CN" w:bidi="ar"/>
        </w:rPr>
        <w:t>《产业结构调整指导目录》（2013年本）；</w:t>
      </w:r>
    </w:p>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bookmarkStart w:id="31" w:name="_Toc8583"/>
      <w:r>
        <w:rPr>
          <w:rFonts w:hint="default" w:ascii="Times New Roman" w:hAnsi="Times New Roman" w:eastAsia="仿宋" w:cs="Times New Roman"/>
          <w:b/>
          <w:bCs/>
          <w:kern w:val="2"/>
          <w:sz w:val="30"/>
          <w:szCs w:val="32"/>
          <w:lang w:val="en-US" w:eastAsia="zh-CN" w:bidi="ar-SA"/>
        </w:rPr>
        <w:t>2.2.3本企业资料</w:t>
      </w:r>
      <w:bookmarkEnd w:id="31"/>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1</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《咸阳三毅优源投资有限公司LED基片配套的铱坩埚暨汽车火花塞铱合金电极材料加工生产建设项目环境影响报告书》（江苏久力环境工程有限公司，2013.09）；</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2</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陕西省西咸新区秦汉新城规划建设环保和房屋管理局《关于咸阳三毅优源投资有限公司LED基片配套的铱坩埚暨汽车火花塞铱合金电极材料加工生产建设项目环境影响报告书的批复》（秦汉管规函〔2013〕132号）；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3</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陕西省西咸新区秦汉新城</w:t>
      </w:r>
      <w:r>
        <w:rPr>
          <w:rFonts w:hint="default" w:ascii="Times New Roman" w:hAnsi="Times New Roman" w:eastAsia="仿宋" w:cs="Times New Roman"/>
          <w:color w:val="000000"/>
          <w:sz w:val="28"/>
          <w:szCs w:val="28"/>
          <w:highlight w:val="none"/>
          <w:lang w:eastAsia="zh-CN"/>
        </w:rPr>
        <w:t>环境保护</w:t>
      </w:r>
      <w:r>
        <w:rPr>
          <w:rFonts w:hint="default" w:ascii="Times New Roman" w:hAnsi="Times New Roman" w:eastAsia="仿宋" w:cs="Times New Roman"/>
          <w:color w:val="000000"/>
          <w:sz w:val="28"/>
          <w:szCs w:val="28"/>
          <w:highlight w:val="none"/>
        </w:rPr>
        <w:t>局《关于咸阳三毅优源投资有限公司LED基片配套的铱坩埚暨汽车火花塞铱合金电极材料加工生产建设项目</w:t>
      </w:r>
      <w:r>
        <w:rPr>
          <w:rFonts w:hint="default" w:ascii="Times New Roman" w:hAnsi="Times New Roman" w:eastAsia="仿宋" w:cs="Times New Roman"/>
          <w:color w:val="000000"/>
          <w:sz w:val="28"/>
          <w:szCs w:val="28"/>
          <w:highlight w:val="none"/>
          <w:lang w:eastAsia="zh-CN"/>
        </w:rPr>
        <w:t>噪声、固体废物污染防治设施竣工环境保护验收的批复</w:t>
      </w:r>
      <w:r>
        <w:rPr>
          <w:rFonts w:hint="default" w:ascii="Times New Roman" w:hAnsi="Times New Roman" w:eastAsia="仿宋" w:cs="Times New Roman"/>
          <w:color w:val="000000"/>
          <w:sz w:val="28"/>
          <w:szCs w:val="28"/>
          <w:highlight w:val="none"/>
        </w:rPr>
        <w:t>》（秦汉</w:t>
      </w:r>
      <w:r>
        <w:rPr>
          <w:rFonts w:hint="default" w:ascii="Times New Roman" w:hAnsi="Times New Roman" w:eastAsia="仿宋" w:cs="Times New Roman"/>
          <w:color w:val="000000"/>
          <w:sz w:val="28"/>
          <w:szCs w:val="28"/>
          <w:highlight w:val="none"/>
          <w:lang w:eastAsia="zh-CN"/>
        </w:rPr>
        <w:t>环批复</w:t>
      </w:r>
      <w:r>
        <w:rPr>
          <w:rFonts w:hint="default" w:ascii="Times New Roman" w:hAnsi="Times New Roman" w:eastAsia="仿宋" w:cs="Times New Roman"/>
          <w:color w:val="000000"/>
          <w:sz w:val="28"/>
          <w:szCs w:val="28"/>
          <w:highlight w:val="none"/>
        </w:rPr>
        <w:t>〔201</w:t>
      </w:r>
      <w:r>
        <w:rPr>
          <w:rFonts w:hint="default" w:ascii="Times New Roman" w:hAnsi="Times New Roman" w:eastAsia="仿宋" w:cs="Times New Roman"/>
          <w:color w:val="000000"/>
          <w:sz w:val="28"/>
          <w:szCs w:val="28"/>
          <w:highlight w:val="none"/>
          <w:lang w:val="en-US" w:eastAsia="zh-CN"/>
        </w:rPr>
        <w:t>8</w:t>
      </w:r>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color w:val="000000"/>
          <w:sz w:val="28"/>
          <w:szCs w:val="28"/>
          <w:highlight w:val="none"/>
          <w:lang w:val="en-US" w:eastAsia="zh-CN"/>
        </w:rPr>
        <w:t>20</w:t>
      </w:r>
      <w:r>
        <w:rPr>
          <w:rFonts w:hint="default" w:ascii="Times New Roman" w:hAnsi="Times New Roman" w:eastAsia="仿宋" w:cs="Times New Roman"/>
          <w:color w:val="000000"/>
          <w:sz w:val="28"/>
          <w:szCs w:val="28"/>
          <w:highlight w:val="none"/>
        </w:rPr>
        <w:t>号）；</w:t>
      </w:r>
    </w:p>
    <w:p>
      <w:pPr>
        <w:pStyle w:val="2"/>
        <w:ind w:left="0" w:leftChars="0" w:firstLine="560" w:firstLineChars="200"/>
        <w:rPr>
          <w:rFonts w:hint="default" w:ascii="Times New Roman" w:hAnsi="Times New Roman" w:eastAsia="仿宋" w:cs="Times New Roman"/>
          <w:lang w:eastAsia="zh-CN"/>
        </w:rPr>
      </w:pPr>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color w:val="000000"/>
          <w:sz w:val="28"/>
          <w:szCs w:val="28"/>
          <w:highlight w:val="none"/>
          <w:lang w:val="en-US" w:eastAsia="zh-CN"/>
        </w:rPr>
        <w:t>4</w:t>
      </w:r>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sz w:val="28"/>
          <w:szCs w:val="28"/>
          <w:highlight w:val="none"/>
          <w:lang w:eastAsia="zh-CN"/>
        </w:rPr>
        <w:t>咸阳三毅优源投资有限公司</w:t>
      </w:r>
      <w:r>
        <w:rPr>
          <w:rFonts w:hint="default" w:ascii="Times New Roman" w:hAnsi="Times New Roman" w:eastAsia="仿宋" w:cs="Times New Roman"/>
          <w:color w:val="000000"/>
          <w:sz w:val="28"/>
          <w:szCs w:val="28"/>
          <w:highlight w:val="none"/>
        </w:rPr>
        <w:t>提供的原辅材料清单、生产设备清单、生产工艺图、平面布置图等资料。</w:t>
      </w:r>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32" w:name="_Toc23119"/>
      <w:bookmarkStart w:id="33" w:name="_Toc23538"/>
      <w:r>
        <w:rPr>
          <w:rFonts w:hint="default" w:ascii="Times New Roman" w:hAnsi="Times New Roman" w:eastAsia="仿宋" w:cs="Times New Roman"/>
          <w:b/>
          <w:bCs/>
          <w:kern w:val="2"/>
          <w:sz w:val="32"/>
          <w:szCs w:val="32"/>
          <w:lang w:val="en-US" w:eastAsia="zh-CN" w:bidi="ar-SA"/>
        </w:rPr>
        <w:t>2.3</w:t>
      </w:r>
      <w:bookmarkStart w:id="34" w:name="_Toc12548"/>
      <w:r>
        <w:rPr>
          <w:rFonts w:hint="default" w:ascii="Times New Roman" w:hAnsi="Times New Roman" w:eastAsia="仿宋" w:cs="Times New Roman"/>
          <w:b/>
          <w:bCs/>
          <w:kern w:val="2"/>
          <w:sz w:val="32"/>
          <w:szCs w:val="32"/>
          <w:lang w:val="en-US" w:eastAsia="zh-CN" w:bidi="ar-SA"/>
        </w:rPr>
        <w:t>企业突发环境事件风险评估程序</w:t>
      </w:r>
      <w:bookmarkEnd w:id="32"/>
      <w:bookmarkEnd w:id="33"/>
      <w:bookmarkEnd w:id="34"/>
    </w:p>
    <w:p>
      <w:pPr>
        <w:bidi w:val="0"/>
        <w:spacing w:line="360" w:lineRule="auto"/>
        <w:ind w:firstLine="560" w:firstLineChars="200"/>
        <w:rPr>
          <w:rFonts w:hint="default" w:ascii="Times New Roman" w:hAnsi="Times New Roman" w:eastAsia="仿宋" w:cs="Times New Roman"/>
        </w:rPr>
      </w:pPr>
      <w:r>
        <w:rPr>
          <w:rFonts w:hint="default" w:ascii="Times New Roman" w:hAnsi="Times New Roman" w:eastAsia="仿宋" w:cs="Times New Roman"/>
          <w:sz w:val="28"/>
          <w:szCs w:val="24"/>
        </w:rPr>
        <w:t>企业突发环境事件风险等级划分流程示意图见2-1。</w:t>
      </w:r>
    </w:p>
    <w:p>
      <w:pPr>
        <w:pStyle w:val="2"/>
        <w:ind w:left="0" w:leftChars="0" w:firstLine="0" w:firstLineChars="0"/>
        <w:jc w:val="center"/>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rPr>
        <w:t>图2-1   企业突发环境事件风险等级划分流程示意图</w:t>
      </w:r>
    </w:p>
    <w:p>
      <w:pPr>
        <w:pStyle w:val="2"/>
        <w:ind w:left="0" w:leftChars="0" w:firstLine="0" w:firstLineChars="0"/>
        <w:jc w:val="both"/>
        <w:rPr>
          <w:rFonts w:hint="default" w:ascii="Times New Roman" w:hAnsi="Times New Roman" w:eastAsia="仿宋" w:cs="Times New Roman"/>
        </w:rPr>
      </w:pPr>
      <w:r>
        <w:rPr>
          <w:rFonts w:hint="default" w:ascii="Times New Roman" w:hAnsi="Times New Roman" w:eastAsia="仿宋" w:cs="Times New Roman"/>
        </w:rPr>
        <w:drawing>
          <wp:anchor distT="0" distB="0" distL="114300" distR="114300" simplePos="0" relativeHeight="251660288" behindDoc="0" locked="0" layoutInCell="1" allowOverlap="1">
            <wp:simplePos x="0" y="0"/>
            <wp:positionH relativeFrom="column">
              <wp:posOffset>54610</wp:posOffset>
            </wp:positionH>
            <wp:positionV relativeFrom="paragraph">
              <wp:posOffset>12700</wp:posOffset>
            </wp:positionV>
            <wp:extent cx="5053965" cy="5372735"/>
            <wp:effectExtent l="0" t="0" r="13335" b="18415"/>
            <wp:wrapTopAndBottom/>
            <wp:docPr id="1" name="图片 10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2" descr="1"/>
                    <pic:cNvPicPr>
                      <a:picLocks noChangeAspect="1"/>
                    </pic:cNvPicPr>
                  </pic:nvPicPr>
                  <pic:blipFill>
                    <a:blip r:embed="rId6"/>
                    <a:srcRect l="10992" r="10474" b="2690"/>
                    <a:stretch>
                      <a:fillRect/>
                    </a:stretch>
                  </pic:blipFill>
                  <pic:spPr>
                    <a:xfrm>
                      <a:off x="0" y="0"/>
                      <a:ext cx="5053965" cy="5372735"/>
                    </a:xfrm>
                    <a:prstGeom prst="rect">
                      <a:avLst/>
                    </a:prstGeom>
                    <a:noFill/>
                    <a:ln>
                      <a:noFill/>
                    </a:ln>
                  </pic:spPr>
                </pic:pic>
              </a:graphicData>
            </a:graphic>
          </wp:anchor>
        </w:drawing>
      </w:r>
    </w:p>
    <w:p>
      <w:pPr>
        <w:pStyle w:val="2"/>
        <w:ind w:left="0" w:leftChars="0" w:firstLine="0" w:firstLineChars="0"/>
        <w:jc w:val="both"/>
        <w:rPr>
          <w:rFonts w:hint="default" w:ascii="Times New Roman" w:hAnsi="Times New Roman" w:eastAsia="仿宋" w:cs="Times New Roman"/>
        </w:rPr>
      </w:pPr>
    </w:p>
    <w:p>
      <w:pPr>
        <w:pStyle w:val="2"/>
        <w:ind w:left="0" w:leftChars="0" w:firstLine="0" w:firstLineChars="0"/>
        <w:jc w:val="both"/>
        <w:rPr>
          <w:rFonts w:hint="default" w:ascii="Times New Roman" w:hAnsi="Times New Roman" w:eastAsia="仿宋" w:cs="Times New Roman"/>
        </w:rPr>
      </w:pPr>
    </w:p>
    <w:p>
      <w:pPr>
        <w:rPr>
          <w:rFonts w:hint="default" w:ascii="Times New Roman" w:hAnsi="Times New Roman" w:eastAsia="仿宋" w:cs="Times New Roman"/>
        </w:rPr>
      </w:pPr>
      <w:r>
        <w:rPr>
          <w:rFonts w:hint="default" w:ascii="Times New Roman" w:hAnsi="Times New Roman" w:eastAsia="仿宋" w:cs="Times New Roman"/>
        </w:rPr>
        <w:br w:type="page"/>
      </w:r>
    </w:p>
    <w:p>
      <w:pPr>
        <w:keepNext/>
        <w:keepLines/>
        <w:pageBreakBefore/>
        <w:widowControl w:val="0"/>
        <w:bidi w:val="0"/>
        <w:spacing w:beforeLines="0" w:afterLines="0" w:line="480" w:lineRule="auto"/>
        <w:ind w:firstLine="643" w:firstLineChars="200"/>
        <w:jc w:val="left"/>
        <w:outlineLvl w:val="0"/>
        <w:rPr>
          <w:rFonts w:hint="default" w:ascii="Times New Roman" w:hAnsi="Times New Roman" w:eastAsia="仿宋" w:cs="Times New Roman"/>
          <w:b/>
          <w:bCs/>
          <w:kern w:val="44"/>
          <w:sz w:val="32"/>
          <w:szCs w:val="44"/>
          <w:lang w:val="en-US" w:eastAsia="zh-CN" w:bidi="ar-SA"/>
        </w:rPr>
      </w:pPr>
      <w:bookmarkStart w:id="35" w:name="_Toc7744"/>
      <w:bookmarkStart w:id="36" w:name="_Toc22277"/>
      <w:r>
        <w:rPr>
          <w:rFonts w:hint="default" w:ascii="Times New Roman" w:hAnsi="Times New Roman" w:eastAsia="仿宋" w:cs="Times New Roman"/>
          <w:b/>
          <w:bCs/>
          <w:kern w:val="44"/>
          <w:sz w:val="32"/>
          <w:szCs w:val="44"/>
          <w:lang w:val="en-US" w:eastAsia="zh-CN" w:bidi="ar-SA"/>
        </w:rPr>
        <w:t>3资料准备与环境风险识别</w:t>
      </w:r>
      <w:bookmarkEnd w:id="35"/>
      <w:bookmarkEnd w:id="36"/>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37" w:name="_Toc9028"/>
      <w:bookmarkStart w:id="38" w:name="_Toc3300"/>
      <w:r>
        <w:rPr>
          <w:rFonts w:hint="default" w:ascii="Times New Roman" w:hAnsi="Times New Roman" w:eastAsia="仿宋" w:cs="Times New Roman"/>
          <w:b/>
          <w:bCs/>
          <w:kern w:val="2"/>
          <w:sz w:val="32"/>
          <w:szCs w:val="32"/>
          <w:lang w:val="en-US" w:eastAsia="zh-CN" w:bidi="ar-SA"/>
        </w:rPr>
        <w:t>3.1企业基本信息</w:t>
      </w:r>
      <w:bookmarkEnd w:id="37"/>
      <w:bookmarkEnd w:id="38"/>
    </w:p>
    <w:tbl>
      <w:tblPr>
        <w:tblStyle w:val="12"/>
        <w:tblpPr w:leftFromText="180" w:rightFromText="180" w:vertAnchor="text" w:horzAnchor="page" w:tblpX="1203" w:tblpY="2017"/>
        <w:tblOverlap w:val="never"/>
        <w:tblW w:w="9033" w:type="dxa"/>
        <w:tblInd w:w="0" w:type="dxa"/>
        <w:tblBorders>
          <w:top w:val="thickThinLargeGap" w:color="000000" w:sz="24" w:space="0"/>
          <w:left w:val="thickThinLargeGap" w:color="000000" w:sz="24" w:space="0"/>
          <w:bottom w:val="thickThinLargeGap" w:color="000000" w:sz="24" w:space="0"/>
          <w:right w:val="thickThinLargeGap" w:color="000000" w:sz="24" w:space="0"/>
          <w:insideH w:val="single" w:color="000000" w:sz="4" w:space="0"/>
          <w:insideV w:val="single" w:color="000000" w:sz="4" w:space="0"/>
        </w:tblBorders>
        <w:tblLayout w:type="fixed"/>
        <w:tblCellMar>
          <w:top w:w="0" w:type="dxa"/>
          <w:left w:w="108" w:type="dxa"/>
          <w:bottom w:w="0" w:type="dxa"/>
          <w:right w:w="108" w:type="dxa"/>
        </w:tblCellMar>
      </w:tblPr>
      <w:tblGrid>
        <w:gridCol w:w="1717"/>
        <w:gridCol w:w="3266"/>
        <w:gridCol w:w="1884"/>
        <w:gridCol w:w="2166"/>
      </w:tblGrid>
      <w:tr>
        <w:tblPrEx>
          <w:tblBorders>
            <w:top w:val="thickThinLargeGap" w:color="000000" w:sz="24" w:space="0"/>
            <w:left w:val="thickThin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717" w:type="dxa"/>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4"/>
                <w:szCs w:val="24"/>
              </w:rPr>
            </w:pPr>
            <w:bookmarkStart w:id="39" w:name="_Toc25345"/>
            <w:r>
              <w:rPr>
                <w:rFonts w:hint="default" w:ascii="Times New Roman" w:hAnsi="Times New Roman" w:eastAsia="仿宋" w:cs="Times New Roman"/>
                <w:b/>
                <w:bCs/>
                <w:color w:val="auto"/>
                <w:sz w:val="24"/>
                <w:szCs w:val="24"/>
              </w:rPr>
              <w:t>单位名称</w:t>
            </w:r>
          </w:p>
        </w:tc>
        <w:tc>
          <w:tcPr>
            <w:tcW w:w="7316" w:type="dxa"/>
            <w:gridSpan w:val="3"/>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color w:val="auto"/>
                <w:sz w:val="24"/>
                <w:szCs w:val="24"/>
                <w:lang w:eastAsia="zh-CN"/>
              </w:rPr>
            </w:pPr>
            <w:r>
              <w:rPr>
                <w:rFonts w:hint="default" w:ascii="Times New Roman" w:hAnsi="Times New Roman" w:eastAsia="仿宋" w:cs="Times New Roman"/>
                <w:color w:val="auto"/>
                <w:sz w:val="24"/>
                <w:szCs w:val="24"/>
                <w:lang w:val="en-US" w:eastAsia="zh-CN"/>
              </w:rPr>
              <w:t>咸阳三毅优源投资有限公司</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1717" w:type="dxa"/>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单位地址</w:t>
            </w:r>
          </w:p>
        </w:tc>
        <w:tc>
          <w:tcPr>
            <w:tcW w:w="3266" w:type="dxa"/>
            <w:tcBorders>
              <w:tl2br w:val="nil"/>
              <w:tr2bl w:val="nil"/>
            </w:tcBorders>
            <w:vAlign w:val="center"/>
          </w:tcPr>
          <w:p>
            <w:pPr>
              <w:spacing w:line="360" w:lineRule="auto"/>
              <w:ind w:left="0" w:leftChars="0" w:firstLine="0" w:firstLineChars="0"/>
              <w:jc w:val="center"/>
              <w:rPr>
                <w:rFonts w:hint="default" w:ascii="Times New Roman" w:hAnsi="Times New Roman" w:eastAsia="仿宋" w:cs="Times New Roman"/>
                <w:color w:val="000000" w:themeColor="text1"/>
                <w:sz w:val="24"/>
                <w:szCs w:val="24"/>
                <w:lang w:val="en-US" w:eastAsia="zh-CN"/>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陕西省西咸新区秦汉新城周陵新兴产业园区天工一路东段6号-4</w:t>
            </w:r>
          </w:p>
        </w:tc>
        <w:tc>
          <w:tcPr>
            <w:tcW w:w="1884" w:type="dxa"/>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中心经度坐标</w:t>
            </w:r>
          </w:p>
        </w:tc>
        <w:tc>
          <w:tcPr>
            <w:tcW w:w="2166" w:type="dxa"/>
            <w:tcBorders>
              <w:tl2br w:val="nil"/>
              <w:tr2bl w:val="nil"/>
            </w:tcBorders>
            <w:vAlign w:val="center"/>
          </w:tcPr>
          <w:p>
            <w:pPr>
              <w:spacing w:line="360" w:lineRule="auto"/>
              <w:ind w:left="0" w:leftChars="0"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1"/>
                <w:szCs w:val="21"/>
                <w:lang w:val="en-US" w:eastAsia="zh-CN"/>
              </w:rPr>
              <w:t>E 108°44'36.34"</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717" w:type="dxa"/>
            <w:vMerge w:val="restart"/>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统一社会信用代码</w:t>
            </w:r>
          </w:p>
        </w:tc>
        <w:tc>
          <w:tcPr>
            <w:tcW w:w="3266" w:type="dxa"/>
            <w:vMerge w:val="restart"/>
            <w:tcBorders>
              <w:tl2br w:val="nil"/>
              <w:tr2bl w:val="nil"/>
            </w:tcBorders>
            <w:vAlign w:val="center"/>
          </w:tcPr>
          <w:p>
            <w:pPr>
              <w:spacing w:line="360" w:lineRule="auto"/>
              <w:ind w:left="0" w:leftChars="0" w:firstLine="0" w:firstLineChars="0"/>
              <w:jc w:val="center"/>
              <w:rPr>
                <w:rFonts w:hint="default" w:ascii="Times New Roman" w:hAnsi="Times New Roman" w:eastAsia="仿宋" w:cs="Times New Roman"/>
                <w:color w:val="000000" w:themeColor="text1"/>
                <w:sz w:val="24"/>
                <w:szCs w:val="24"/>
                <w:lang w:val="en-US" w:eastAsia="zh-CN"/>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916111035735256561</w:t>
            </w:r>
          </w:p>
        </w:tc>
        <w:tc>
          <w:tcPr>
            <w:tcW w:w="1884" w:type="dxa"/>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中心纬度坐标</w:t>
            </w:r>
          </w:p>
        </w:tc>
        <w:tc>
          <w:tcPr>
            <w:tcW w:w="2166" w:type="dxa"/>
            <w:tcBorders>
              <w:tl2br w:val="nil"/>
              <w:tr2bl w:val="nil"/>
            </w:tcBorders>
            <w:vAlign w:val="center"/>
          </w:tcPr>
          <w:p>
            <w:pPr>
              <w:spacing w:line="360" w:lineRule="auto"/>
              <w:ind w:left="0" w:leftChars="0"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1"/>
                <w:szCs w:val="21"/>
                <w:lang w:val="en-US" w:eastAsia="zh-CN"/>
              </w:rPr>
              <w:t>N 34°23'57.09"</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717" w:type="dxa"/>
            <w:vMerge w:val="continue"/>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4"/>
                <w:szCs w:val="24"/>
              </w:rPr>
            </w:pPr>
          </w:p>
        </w:tc>
        <w:tc>
          <w:tcPr>
            <w:tcW w:w="3266" w:type="dxa"/>
            <w:vMerge w:val="continue"/>
            <w:tcBorders>
              <w:tl2br w:val="nil"/>
              <w:tr2bl w:val="nil"/>
            </w:tcBorders>
            <w:vAlign w:val="center"/>
          </w:tcPr>
          <w:p>
            <w:pPr>
              <w:spacing w:line="360" w:lineRule="auto"/>
              <w:ind w:left="0" w:leftChars="0" w:firstLine="0" w:firstLineChars="0"/>
              <w:jc w:val="center"/>
              <w:rPr>
                <w:rFonts w:hint="default" w:ascii="Times New Roman" w:hAnsi="Times New Roman" w:eastAsia="仿宋" w:cs="Times New Roman"/>
                <w:color w:val="000000" w:themeColor="text1"/>
                <w:sz w:val="24"/>
                <w:szCs w:val="24"/>
                <w:lang w:val="en-US" w:eastAsia="zh-CN"/>
                <w14:textFill>
                  <w14:solidFill>
                    <w14:schemeClr w14:val="tx1"/>
                  </w14:solidFill>
                </w14:textFill>
              </w:rPr>
            </w:pPr>
          </w:p>
        </w:tc>
        <w:tc>
          <w:tcPr>
            <w:tcW w:w="1884" w:type="dxa"/>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lang w:eastAsia="zh-CN"/>
              </w:rPr>
              <w:t>法定代表人</w:t>
            </w:r>
          </w:p>
        </w:tc>
        <w:tc>
          <w:tcPr>
            <w:tcW w:w="2166" w:type="dxa"/>
            <w:tcBorders>
              <w:tl2br w:val="nil"/>
              <w:tr2bl w:val="nil"/>
            </w:tcBorders>
            <w:vAlign w:val="center"/>
          </w:tcPr>
          <w:p>
            <w:pPr>
              <w:spacing w:line="360" w:lineRule="auto"/>
              <w:ind w:left="0" w:leftChars="0" w:firstLine="0" w:firstLineChars="0"/>
              <w:jc w:val="center"/>
              <w:rPr>
                <w:rFonts w:hint="default" w:ascii="Times New Roman" w:hAnsi="Times New Roman" w:eastAsia="仿宋" w:cs="Times New Roman"/>
                <w:color w:val="000000" w:themeColor="text1"/>
                <w:sz w:val="24"/>
                <w:szCs w:val="24"/>
                <w:lang w:val="en-US" w:eastAsia="zh-CN"/>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杨德江</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717" w:type="dxa"/>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所属行业</w:t>
            </w:r>
          </w:p>
        </w:tc>
        <w:tc>
          <w:tcPr>
            <w:tcW w:w="3266" w:type="dxa"/>
            <w:tcBorders>
              <w:tl2br w:val="nil"/>
              <w:tr2bl w:val="nil"/>
            </w:tcBorders>
            <w:vAlign w:val="center"/>
          </w:tcPr>
          <w:p>
            <w:pPr>
              <w:spacing w:line="360" w:lineRule="auto"/>
              <w:ind w:left="0" w:leftChars="0" w:firstLine="0" w:firstLineChars="0"/>
              <w:jc w:val="center"/>
              <w:rPr>
                <w:rFonts w:hint="default" w:ascii="Times New Roman" w:hAnsi="Times New Roman" w:eastAsia="仿宋" w:cs="Times New Roman"/>
                <w:color w:val="000000" w:themeColor="text1"/>
                <w:sz w:val="24"/>
                <w:szCs w:val="24"/>
                <w:lang w:val="en-US" w:eastAsia="zh-CN"/>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稀有稀土金属压延（C3254）</w:t>
            </w:r>
          </w:p>
        </w:tc>
        <w:tc>
          <w:tcPr>
            <w:tcW w:w="1884" w:type="dxa"/>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厂区面积</w:t>
            </w:r>
          </w:p>
        </w:tc>
        <w:tc>
          <w:tcPr>
            <w:tcW w:w="2166" w:type="dxa"/>
            <w:tcBorders>
              <w:tl2br w:val="nil"/>
              <w:tr2bl w:val="nil"/>
            </w:tcBorders>
            <w:vAlign w:val="center"/>
          </w:tcPr>
          <w:p>
            <w:pPr>
              <w:spacing w:line="360" w:lineRule="auto"/>
              <w:ind w:left="0" w:leftChars="0" w:firstLine="0" w:firstLineChars="0"/>
              <w:jc w:val="center"/>
              <w:rPr>
                <w:rFonts w:hint="default" w:ascii="Times New Roman" w:hAnsi="Times New Roman" w:eastAsia="仿宋" w:cs="Times New Roman"/>
                <w:color w:val="000000" w:themeColor="text1"/>
                <w:sz w:val="24"/>
                <w:szCs w:val="24"/>
                <w:lang w:val="en-US" w:eastAsia="zh-CN"/>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25000m</w:t>
            </w:r>
            <w:r>
              <w:rPr>
                <w:rFonts w:hint="default" w:ascii="Times New Roman" w:hAnsi="Times New Roman" w:eastAsia="仿宋" w:cs="Times New Roman"/>
                <w:color w:val="000000" w:themeColor="text1"/>
                <w:sz w:val="24"/>
                <w:szCs w:val="24"/>
                <w:vertAlign w:val="superscript"/>
                <w:lang w:val="en-US" w:eastAsia="zh-CN"/>
                <w14:textFill>
                  <w14:solidFill>
                    <w14:schemeClr w14:val="tx1"/>
                  </w14:solidFill>
                </w14:textFill>
              </w:rPr>
              <w:t>2</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717" w:type="dxa"/>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0D0D0D" w:themeColor="text1" w:themeTint="F2"/>
                <w:sz w:val="24"/>
                <w:szCs w:val="24"/>
                <w14:textFill>
                  <w14:solidFill>
                    <w14:schemeClr w14:val="tx1">
                      <w14:lumMod w14:val="95000"/>
                      <w14:lumOff w14:val="5000"/>
                    </w14:schemeClr>
                  </w14:solidFill>
                </w14:textFill>
              </w:rPr>
            </w:pPr>
            <w:r>
              <w:rPr>
                <w:rFonts w:hint="default" w:ascii="Times New Roman" w:hAnsi="Times New Roman" w:eastAsia="仿宋" w:cs="Times New Roman"/>
                <w:b/>
                <w:bCs/>
                <w:color w:val="0D0D0D" w:themeColor="text1" w:themeTint="F2"/>
                <w:sz w:val="24"/>
                <w:szCs w:val="24"/>
                <w14:textFill>
                  <w14:solidFill>
                    <w14:schemeClr w14:val="tx1">
                      <w14:lumMod w14:val="95000"/>
                      <w14:lumOff w14:val="5000"/>
                    </w14:schemeClr>
                  </w14:solidFill>
                </w14:textFill>
              </w:rPr>
              <w:t>建</w:t>
            </w:r>
            <w:r>
              <w:rPr>
                <w:rFonts w:hint="default" w:ascii="Times New Roman" w:hAnsi="Times New Roman" w:eastAsia="仿宋" w:cs="Times New Roman"/>
                <w:b/>
                <w:bCs/>
                <w:color w:val="0D0D0D" w:themeColor="text1" w:themeTint="F2"/>
                <w:sz w:val="24"/>
                <w:szCs w:val="24"/>
                <w:lang w:val="en-US" w:eastAsia="zh-CN"/>
                <w14:textFill>
                  <w14:solidFill>
                    <w14:schemeClr w14:val="tx1">
                      <w14:lumMod w14:val="95000"/>
                      <w14:lumOff w14:val="5000"/>
                    </w14:schemeClr>
                  </w14:solidFill>
                </w14:textFill>
              </w:rPr>
              <w:t>成</w:t>
            </w:r>
            <w:r>
              <w:rPr>
                <w:rFonts w:hint="default" w:ascii="Times New Roman" w:hAnsi="Times New Roman" w:eastAsia="仿宋" w:cs="Times New Roman"/>
                <w:b/>
                <w:bCs/>
                <w:color w:val="0D0D0D" w:themeColor="text1" w:themeTint="F2"/>
                <w:sz w:val="24"/>
                <w:szCs w:val="24"/>
                <w14:textFill>
                  <w14:solidFill>
                    <w14:schemeClr w14:val="tx1">
                      <w14:lumMod w14:val="95000"/>
                      <w14:lumOff w14:val="5000"/>
                    </w14:schemeClr>
                  </w14:solidFill>
                </w14:textFill>
              </w:rPr>
              <w:t>年月</w:t>
            </w:r>
          </w:p>
        </w:tc>
        <w:tc>
          <w:tcPr>
            <w:tcW w:w="3266" w:type="dxa"/>
            <w:tcBorders>
              <w:tl2br w:val="nil"/>
              <w:tr2bl w:val="nil"/>
            </w:tcBorders>
            <w:vAlign w:val="center"/>
          </w:tcPr>
          <w:p>
            <w:pPr>
              <w:spacing w:line="360" w:lineRule="auto"/>
              <w:ind w:left="0" w:leftChars="0" w:firstLine="0" w:firstLineChars="0"/>
              <w:jc w:val="center"/>
              <w:rPr>
                <w:rFonts w:hint="default" w:ascii="Times New Roman" w:hAnsi="Times New Roman" w:eastAsia="仿宋" w:cs="Times New Roman"/>
                <w:color w:val="000000" w:themeColor="text1"/>
                <w:sz w:val="24"/>
                <w:szCs w:val="24"/>
                <w:lang w:val="en-US" w:eastAsia="zh-CN"/>
                <w14:textFill>
                  <w14:solidFill>
                    <w14:schemeClr w14:val="tx1"/>
                  </w14:solidFill>
                </w14:textFill>
              </w:rPr>
            </w:pPr>
            <w:r>
              <w:rPr>
                <w:rFonts w:hint="default" w:ascii="Times New Roman" w:hAnsi="Times New Roman" w:eastAsia="仿宋" w:cs="Times New Roman"/>
                <w:color w:val="000000" w:themeColor="text1"/>
                <w:sz w:val="24"/>
                <w:szCs w:val="24"/>
                <w:highlight w:val="none"/>
                <w:lang w:val="en-US" w:eastAsia="zh-CN"/>
                <w14:textFill>
                  <w14:solidFill>
                    <w14:schemeClr w14:val="tx1"/>
                  </w14:solidFill>
                </w14:textFill>
              </w:rPr>
              <w:t>2015年5月</w:t>
            </w:r>
          </w:p>
        </w:tc>
        <w:tc>
          <w:tcPr>
            <w:tcW w:w="1884" w:type="dxa"/>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0D0D0D" w:themeColor="text1" w:themeTint="F2"/>
                <w:sz w:val="24"/>
                <w:szCs w:val="24"/>
                <w14:textFill>
                  <w14:solidFill>
                    <w14:schemeClr w14:val="tx1">
                      <w14:lumMod w14:val="95000"/>
                      <w14:lumOff w14:val="5000"/>
                    </w14:schemeClr>
                  </w14:solidFill>
                </w14:textFill>
              </w:rPr>
            </w:pPr>
            <w:r>
              <w:rPr>
                <w:rFonts w:hint="default" w:ascii="Times New Roman" w:hAnsi="Times New Roman" w:eastAsia="仿宋" w:cs="Times New Roman"/>
                <w:b/>
                <w:bCs/>
                <w:color w:val="0D0D0D" w:themeColor="text1" w:themeTint="F2"/>
                <w:sz w:val="24"/>
                <w:szCs w:val="24"/>
                <w14:textFill>
                  <w14:solidFill>
                    <w14:schemeClr w14:val="tx1">
                      <w14:lumMod w14:val="95000"/>
                      <w14:lumOff w14:val="5000"/>
                    </w14:schemeClr>
                  </w14:solidFill>
                </w14:textFill>
              </w:rPr>
              <w:t>职工人数</w:t>
            </w:r>
          </w:p>
        </w:tc>
        <w:tc>
          <w:tcPr>
            <w:tcW w:w="2166" w:type="dxa"/>
            <w:tcBorders>
              <w:tl2br w:val="nil"/>
              <w:tr2bl w:val="nil"/>
            </w:tcBorders>
            <w:vAlign w:val="center"/>
          </w:tcPr>
          <w:p>
            <w:pPr>
              <w:spacing w:line="360" w:lineRule="auto"/>
              <w:ind w:left="0" w:leftChars="0" w:firstLine="0" w:firstLineChars="0"/>
              <w:jc w:val="center"/>
              <w:rPr>
                <w:rFonts w:hint="default" w:ascii="Times New Roman" w:hAnsi="Times New Roman" w:eastAsia="仿宋" w:cs="Times New Roman"/>
                <w:color w:val="000000" w:themeColor="text1"/>
                <w:sz w:val="24"/>
                <w:szCs w:val="24"/>
                <w:lang w:val="en-US" w:eastAsia="zh-CN"/>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32人</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717" w:type="dxa"/>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注册资本</w:t>
            </w:r>
          </w:p>
        </w:tc>
        <w:tc>
          <w:tcPr>
            <w:tcW w:w="3266" w:type="dxa"/>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3180万</w:t>
            </w:r>
          </w:p>
        </w:tc>
        <w:tc>
          <w:tcPr>
            <w:tcW w:w="1884" w:type="dxa"/>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联系电话</w:t>
            </w:r>
          </w:p>
        </w:tc>
        <w:tc>
          <w:tcPr>
            <w:tcW w:w="2166" w:type="dxa"/>
            <w:tcBorders>
              <w:tl2br w:val="nil"/>
              <w:tr2bl w:val="nil"/>
            </w:tcBorders>
            <w:vAlign w:val="center"/>
          </w:tcPr>
          <w:p>
            <w:pPr>
              <w:spacing w:line="360" w:lineRule="auto"/>
              <w:ind w:left="0" w:leftChars="0" w:firstLine="0" w:firstLineChars="0"/>
              <w:jc w:val="center"/>
              <w:rPr>
                <w:rFonts w:hint="default" w:ascii="Times New Roman" w:hAnsi="Times New Roman" w:eastAsia="仿宋" w:cs="Times New Roman"/>
                <w:color w:val="000000" w:themeColor="text1"/>
                <w:sz w:val="24"/>
                <w:szCs w:val="24"/>
                <w:lang w:val="en-US" w:eastAsia="zh-CN"/>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029-86670362</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77" w:hRule="atLeast"/>
        </w:trPr>
        <w:tc>
          <w:tcPr>
            <w:tcW w:w="1717" w:type="dxa"/>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企业网站</w:t>
            </w:r>
          </w:p>
        </w:tc>
        <w:tc>
          <w:tcPr>
            <w:tcW w:w="7316" w:type="dxa"/>
            <w:gridSpan w:val="3"/>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1717" w:type="dxa"/>
            <w:vMerge w:val="restart"/>
            <w:tcBorders>
              <w:tl2br w:val="nil"/>
              <w:tr2bl w:val="nil"/>
            </w:tcBorders>
            <w:vAlign w:val="center"/>
          </w:tcPr>
          <w:p>
            <w:pPr>
              <w:adjustRightInd w:val="0"/>
              <w:snapToGrid w:val="0"/>
              <w:spacing w:line="300" w:lineRule="exact"/>
              <w:ind w:firstLine="0" w:firstLineChars="0"/>
              <w:jc w:val="center"/>
              <w:rPr>
                <w:rFonts w:hint="eastAsia" w:ascii="Times New Roman" w:hAnsi="Times New Roman" w:eastAsia="仿宋" w:cs="Times New Roman"/>
                <w:color w:val="auto"/>
                <w:sz w:val="24"/>
                <w:szCs w:val="24"/>
                <w:lang w:eastAsia="zh-CN"/>
              </w:rPr>
            </w:pPr>
            <w:r>
              <w:rPr>
                <w:rFonts w:hint="eastAsia" w:ascii="Times New Roman" w:hAnsi="Times New Roman" w:eastAsia="仿宋" w:cs="Times New Roman"/>
                <w:color w:val="auto"/>
                <w:sz w:val="24"/>
                <w:szCs w:val="24"/>
                <w:lang w:eastAsia="zh-CN"/>
              </w:rPr>
              <w:t>四邻关系</w:t>
            </w:r>
          </w:p>
        </w:tc>
        <w:tc>
          <w:tcPr>
            <w:tcW w:w="3266" w:type="dxa"/>
            <w:tcBorders>
              <w:tl2br w:val="nil"/>
              <w:tr2bl w:val="nil"/>
            </w:tcBorders>
            <w:vAlign w:val="center"/>
          </w:tcPr>
          <w:p>
            <w:pPr>
              <w:ind w:left="0" w:leftChars="0"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color w:val="auto"/>
                <w:sz w:val="21"/>
                <w:szCs w:val="21"/>
                <w:lang w:val="en-US" w:eastAsia="zh-CN"/>
              </w:rPr>
              <w:t>西</w:t>
            </w:r>
          </w:p>
        </w:tc>
        <w:tc>
          <w:tcPr>
            <w:tcW w:w="4050" w:type="dxa"/>
            <w:gridSpan w:val="2"/>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color w:val="auto"/>
                <w:kern w:val="2"/>
                <w:sz w:val="24"/>
                <w:szCs w:val="24"/>
                <w:lang w:val="en-US" w:eastAsia="zh-CN" w:bidi="ar"/>
              </w:rPr>
            </w:pPr>
            <w:r>
              <w:rPr>
                <w:rFonts w:hint="default" w:ascii="Times New Roman" w:hAnsi="Times New Roman" w:eastAsia="仿宋" w:cs="Times New Roman"/>
                <w:color w:val="auto"/>
                <w:sz w:val="21"/>
                <w:szCs w:val="21"/>
                <w:lang w:val="en-US" w:eastAsia="zh-CN"/>
              </w:rPr>
              <w:t>陕西优顿系统门窗加工中心</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1717" w:type="dxa"/>
            <w:vMerge w:val="continue"/>
            <w:tcBorders>
              <w:tl2br w:val="nil"/>
              <w:tr2bl w:val="nil"/>
            </w:tcBorders>
            <w:vAlign w:val="center"/>
          </w:tcPr>
          <w:p>
            <w:pPr>
              <w:adjustRightInd w:val="0"/>
              <w:snapToGrid w:val="0"/>
              <w:spacing w:line="300" w:lineRule="exact"/>
              <w:ind w:firstLine="0" w:firstLineChars="0"/>
              <w:jc w:val="center"/>
              <w:rPr>
                <w:rFonts w:hint="default" w:ascii="Times New Roman" w:hAnsi="Times New Roman" w:eastAsia="仿宋" w:cs="Times New Roman"/>
                <w:color w:val="auto"/>
                <w:sz w:val="24"/>
                <w:szCs w:val="24"/>
              </w:rPr>
            </w:pPr>
          </w:p>
        </w:tc>
        <w:tc>
          <w:tcPr>
            <w:tcW w:w="3266" w:type="dxa"/>
            <w:tcBorders>
              <w:tl2br w:val="nil"/>
              <w:tr2bl w:val="nil"/>
            </w:tcBorders>
            <w:vAlign w:val="center"/>
          </w:tcPr>
          <w:p>
            <w:pPr>
              <w:ind w:left="0" w:leftChars="0" w:firstLine="0" w:firstLineChars="0"/>
              <w:jc w:val="center"/>
              <w:rPr>
                <w:rFonts w:hint="eastAsia"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南</w:t>
            </w:r>
          </w:p>
        </w:tc>
        <w:tc>
          <w:tcPr>
            <w:tcW w:w="4050" w:type="dxa"/>
            <w:gridSpan w:val="2"/>
            <w:tcBorders>
              <w:tl2br w:val="nil"/>
              <w:tr2bl w:val="nil"/>
            </w:tcBorders>
            <w:vAlign w:val="center"/>
          </w:tcPr>
          <w:p>
            <w:pPr>
              <w:adjustRightInd w:val="0"/>
              <w:snapToGrid w:val="0"/>
              <w:spacing w:line="300" w:lineRule="exact"/>
              <w:ind w:firstLine="0" w:firstLineChars="0"/>
              <w:jc w:val="center"/>
              <w:rPr>
                <w:rFonts w:hint="eastAsia"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陕西三毅有岩材料有限公司</w:t>
            </w:r>
          </w:p>
        </w:tc>
      </w:tr>
    </w:tbl>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r>
        <w:rPr>
          <w:rFonts w:hint="default" w:ascii="Times New Roman" w:hAnsi="Times New Roman" w:eastAsia="仿宋" w:cs="Times New Roman"/>
          <w:b/>
          <w:bCs/>
          <w:kern w:val="2"/>
          <w:sz w:val="30"/>
          <w:szCs w:val="32"/>
          <w:lang w:val="en-US" w:eastAsia="zh-CN" w:bidi="ar-SA"/>
        </w:rPr>
        <w:t>3.1.1企业简况</w:t>
      </w:r>
      <w:bookmarkEnd w:id="39"/>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本企业基本信息见表3-1。</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default" w:ascii="Times New Roman" w:hAnsi="Times New Roman" w:eastAsia="仿宋" w:cs="Times New Roman"/>
        </w:rPr>
      </w:pPr>
      <w:r>
        <w:rPr>
          <w:rFonts w:hint="default" w:ascii="Times New Roman" w:hAnsi="Times New Roman" w:eastAsia="仿宋" w:cs="Times New Roman"/>
          <w:b/>
          <w:snapToGrid w:val="0"/>
          <w:color w:val="auto"/>
          <w:kern w:val="0"/>
          <w:sz w:val="24"/>
          <w:szCs w:val="24"/>
        </w:rPr>
        <w:t>表3-1  企业简况表</w:t>
      </w:r>
    </w:p>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r>
        <w:rPr>
          <w:rFonts w:hint="default" w:ascii="Times New Roman" w:hAnsi="Times New Roman" w:eastAsia="仿宋" w:cs="Times New Roman"/>
          <w:b/>
          <w:bCs/>
          <w:kern w:val="2"/>
          <w:sz w:val="30"/>
          <w:szCs w:val="32"/>
          <w:lang w:val="en-US" w:eastAsia="zh-CN" w:bidi="ar-SA"/>
        </w:rPr>
        <w:t>3.1.2自然地理概况</w:t>
      </w:r>
    </w:p>
    <w:p>
      <w:pPr>
        <w:bidi w:val="0"/>
        <w:spacing w:line="360" w:lineRule="auto"/>
        <w:ind w:firstLine="562" w:firstLineChars="200"/>
        <w:rPr>
          <w:rFonts w:hint="default" w:ascii="Times New Roman" w:hAnsi="Times New Roman" w:eastAsia="仿宋" w:cs="Times New Roman"/>
          <w:b/>
          <w:bCs/>
          <w:sz w:val="28"/>
          <w:szCs w:val="24"/>
          <w:lang w:val="zh-CN"/>
        </w:rPr>
      </w:pPr>
      <w:bookmarkStart w:id="40" w:name="_Toc24017"/>
      <w:bookmarkStart w:id="41" w:name="_Toc3914"/>
      <w:r>
        <w:rPr>
          <w:rFonts w:hint="default" w:ascii="Times New Roman" w:hAnsi="Times New Roman" w:eastAsia="仿宋" w:cs="Times New Roman"/>
          <w:b/>
          <w:bCs/>
          <w:sz w:val="28"/>
          <w:szCs w:val="24"/>
          <w:lang w:val="zh-CN" w:eastAsia="zh-CN"/>
        </w:rPr>
        <w:t>（</w:t>
      </w:r>
      <w:r>
        <w:rPr>
          <w:rFonts w:hint="default" w:ascii="Times New Roman" w:hAnsi="Times New Roman" w:eastAsia="仿宋" w:cs="Times New Roman"/>
          <w:b/>
          <w:bCs/>
          <w:sz w:val="28"/>
          <w:szCs w:val="24"/>
          <w:lang w:val="en-US" w:eastAsia="zh-CN"/>
        </w:rPr>
        <w:t>1</w:t>
      </w:r>
      <w:r>
        <w:rPr>
          <w:rFonts w:hint="default" w:ascii="Times New Roman" w:hAnsi="Times New Roman" w:eastAsia="仿宋" w:cs="Times New Roman"/>
          <w:b/>
          <w:bCs/>
          <w:sz w:val="28"/>
          <w:szCs w:val="24"/>
          <w:lang w:val="zh-CN" w:eastAsia="zh-CN"/>
        </w:rPr>
        <w:t>）地</w:t>
      </w:r>
      <w:r>
        <w:rPr>
          <w:rFonts w:hint="default" w:ascii="Times New Roman" w:hAnsi="Times New Roman" w:eastAsia="仿宋" w:cs="Times New Roman"/>
          <w:b/>
          <w:bCs/>
          <w:sz w:val="28"/>
          <w:szCs w:val="24"/>
          <w:lang w:val="zh-CN"/>
        </w:rPr>
        <w:t>理位置</w:t>
      </w:r>
      <w:bookmarkEnd w:id="40"/>
      <w:bookmarkEnd w:id="41"/>
    </w:p>
    <w:p>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outlineLvl w:val="9"/>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西咸新区在西安、咸阳两市建成区之间，位于渭河地断陷地中部，地势西北高，东南低，构成台阶式现代河谷较为平坦开阔的地貌景观。南部属关中平原区，北部属黄土高原沟壑区，城市规划区位于渭河南北两岸二、三级阶地上，阶地上部覆盖黄土和亚粘土、亚砂土，下部为砂层及砾石、卵石层。秦汉新城位于渭河地堑北缘中段，岐山至富平断裂带两侧。地势西北高、东南低。东西长约 20km，南北宽约15km。</w:t>
      </w:r>
    </w:p>
    <w:p>
      <w:pPr>
        <w:bidi w:val="0"/>
        <w:spacing w:line="360" w:lineRule="auto"/>
        <w:ind w:firstLine="562" w:firstLineChars="200"/>
        <w:rPr>
          <w:rFonts w:hint="default" w:ascii="Times New Roman" w:hAnsi="Times New Roman" w:eastAsia="仿宋" w:cs="Times New Roman"/>
          <w:b/>
          <w:bCs/>
          <w:sz w:val="28"/>
          <w:szCs w:val="24"/>
          <w:lang w:val="zh-CN" w:eastAsia="zh-CN"/>
        </w:rPr>
      </w:pPr>
      <w:r>
        <w:rPr>
          <w:rFonts w:hint="default" w:ascii="Times New Roman" w:hAnsi="Times New Roman" w:eastAsia="仿宋" w:cs="Times New Roman"/>
          <w:b/>
          <w:bCs/>
          <w:sz w:val="28"/>
          <w:szCs w:val="24"/>
          <w:lang w:val="zh-CN" w:eastAsia="zh-CN"/>
        </w:rPr>
        <w:t>（2）地形地貌</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outlineLvl w:val="9"/>
        <w:rPr>
          <w:rFonts w:hint="default" w:ascii="Times New Roman" w:hAnsi="Times New Roman" w:eastAsia="仿宋" w:cs="Times New Roman"/>
          <w:sz w:val="28"/>
          <w:szCs w:val="28"/>
          <w:highlight w:val="none"/>
        </w:rPr>
      </w:pPr>
      <w:r>
        <w:rPr>
          <w:rFonts w:hint="default" w:ascii="Times New Roman" w:hAnsi="Times New Roman" w:eastAsia="仿宋" w:cs="Times New Roman"/>
          <w:sz w:val="28"/>
          <w:szCs w:val="28"/>
          <w:highlight w:val="none"/>
        </w:rPr>
        <w:t>秦汉新城地貌类型由北向南划分为三类：北部为泾河冲积平原，中部黄土台塬，南部为渭河冲积平原。中部黄土台塬大致以宝鸡峡高干渠以及渭城区与泾阳县分界的台塬为界，根据地形高差又可分为一级台塬地和二级台塬地。区内地势中部高，南北两侧低，由南、北两侧向中部呈阶梯状倾斜。</w:t>
      </w:r>
    </w:p>
    <w:p>
      <w:pPr>
        <w:bidi w:val="0"/>
        <w:spacing w:line="360" w:lineRule="auto"/>
        <w:ind w:firstLine="562" w:firstLineChars="200"/>
        <w:rPr>
          <w:rFonts w:hint="default" w:ascii="Times New Roman" w:hAnsi="Times New Roman" w:eastAsia="仿宋" w:cs="Times New Roman"/>
          <w:b/>
          <w:bCs/>
          <w:sz w:val="28"/>
          <w:szCs w:val="24"/>
          <w:lang w:val="zh-CN" w:eastAsia="zh-CN"/>
        </w:rPr>
      </w:pPr>
      <w:r>
        <w:rPr>
          <w:rFonts w:hint="default" w:ascii="Times New Roman" w:hAnsi="Times New Roman" w:eastAsia="仿宋" w:cs="Times New Roman"/>
          <w:b/>
          <w:bCs/>
          <w:sz w:val="28"/>
          <w:szCs w:val="24"/>
          <w:lang w:val="zh-CN" w:eastAsia="zh-CN"/>
        </w:rPr>
        <w:t>（</w:t>
      </w:r>
      <w:r>
        <w:rPr>
          <w:rFonts w:hint="default" w:ascii="Times New Roman" w:hAnsi="Times New Roman" w:eastAsia="仿宋" w:cs="Times New Roman"/>
          <w:b/>
          <w:bCs/>
          <w:sz w:val="28"/>
          <w:szCs w:val="24"/>
          <w:lang w:val="en-US" w:eastAsia="zh-CN"/>
        </w:rPr>
        <w:t>3</w:t>
      </w:r>
      <w:r>
        <w:rPr>
          <w:rFonts w:hint="default" w:ascii="Times New Roman" w:hAnsi="Times New Roman" w:eastAsia="仿宋" w:cs="Times New Roman"/>
          <w:b/>
          <w:bCs/>
          <w:sz w:val="28"/>
          <w:szCs w:val="24"/>
          <w:lang w:val="zh-CN" w:eastAsia="zh-CN"/>
        </w:rPr>
        <w:t>）气候、气象特征</w:t>
      </w:r>
    </w:p>
    <w:p>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outlineLvl w:val="9"/>
        <w:rPr>
          <w:rFonts w:hint="default" w:ascii="Times New Roman" w:hAnsi="Times New Roman" w:eastAsia="仿宋" w:cs="Times New Roman"/>
          <w:sz w:val="28"/>
          <w:szCs w:val="28"/>
          <w:highlight w:val="none"/>
        </w:rPr>
      </w:pPr>
      <w:r>
        <w:rPr>
          <w:rFonts w:hint="default" w:ascii="Times New Roman" w:hAnsi="Times New Roman" w:eastAsia="仿宋" w:cs="Times New Roman"/>
          <w:sz w:val="28"/>
          <w:szCs w:val="28"/>
          <w:highlight w:val="none"/>
        </w:rPr>
        <w:t>秦汉新城地处暖温带，属大陆性季风气候，四季冷热干湿分明。气候温和，光、热、水资源丰富，利于农、林、牧、副、渔各业发展。年平均温度9.0</w:t>
      </w:r>
      <w:r>
        <w:rPr>
          <w:rFonts w:hint="default" w:ascii="Times New Roman" w:hAnsi="Times New Roman" w:eastAsia="仿宋" w:cs="Times New Roman"/>
          <w:sz w:val="28"/>
          <w:szCs w:val="28"/>
          <w:highlight w:val="none"/>
          <w:lang w:val="en-US" w:eastAsia="zh-CN"/>
        </w:rPr>
        <w:t>-</w:t>
      </w:r>
      <w:r>
        <w:rPr>
          <w:rFonts w:hint="default" w:ascii="Times New Roman" w:hAnsi="Times New Roman" w:eastAsia="仿宋" w:cs="Times New Roman"/>
          <w:sz w:val="28"/>
          <w:szCs w:val="28"/>
          <w:highlight w:val="none"/>
        </w:rPr>
        <w:t>13.2℃，年极端最低气温-18.6℃，年极端最高气温41.2℃。全年太阳辐射4.61×10</w:t>
      </w:r>
      <w:r>
        <w:rPr>
          <w:rFonts w:hint="default" w:ascii="Times New Roman" w:hAnsi="Times New Roman" w:eastAsia="仿宋" w:cs="Times New Roman"/>
          <w:sz w:val="28"/>
          <w:szCs w:val="28"/>
          <w:highlight w:val="none"/>
          <w:vertAlign w:val="superscript"/>
        </w:rPr>
        <w:t>9</w:t>
      </w:r>
      <w:r>
        <w:rPr>
          <w:rFonts w:hint="default" w:ascii="Times New Roman" w:hAnsi="Times New Roman" w:eastAsia="仿宋" w:cs="Times New Roman"/>
          <w:sz w:val="28"/>
          <w:szCs w:val="28"/>
          <w:highlight w:val="none"/>
          <w:lang w:val="en-US" w:eastAsia="zh-CN"/>
        </w:rPr>
        <w:t>-</w:t>
      </w:r>
      <w:r>
        <w:rPr>
          <w:rFonts w:hint="default" w:ascii="Times New Roman" w:hAnsi="Times New Roman" w:eastAsia="仿宋" w:cs="Times New Roman"/>
          <w:sz w:val="28"/>
          <w:szCs w:val="28"/>
          <w:highlight w:val="none"/>
        </w:rPr>
        <w:t>4.99×10</w:t>
      </w:r>
      <w:r>
        <w:rPr>
          <w:rFonts w:hint="default" w:ascii="Times New Roman" w:hAnsi="Times New Roman" w:eastAsia="仿宋" w:cs="Times New Roman"/>
          <w:sz w:val="28"/>
          <w:szCs w:val="28"/>
          <w:highlight w:val="none"/>
          <w:vertAlign w:val="superscript"/>
        </w:rPr>
        <w:t>9</w:t>
      </w:r>
      <w:r>
        <w:rPr>
          <w:rFonts w:hint="default" w:ascii="Times New Roman" w:hAnsi="Times New Roman" w:eastAsia="仿宋" w:cs="Times New Roman"/>
          <w:sz w:val="28"/>
          <w:szCs w:val="28"/>
          <w:highlight w:val="none"/>
        </w:rPr>
        <w:t>焦耳/平方米。年累计光照时数平均为2017.2</w:t>
      </w:r>
      <w:r>
        <w:rPr>
          <w:rFonts w:hint="default" w:ascii="Times New Roman" w:hAnsi="Times New Roman" w:eastAsia="仿宋" w:cs="Times New Roman"/>
          <w:sz w:val="28"/>
          <w:szCs w:val="28"/>
          <w:highlight w:val="none"/>
          <w:lang w:val="en-US" w:eastAsia="zh-CN"/>
        </w:rPr>
        <w:t>-</w:t>
      </w:r>
      <w:r>
        <w:rPr>
          <w:rFonts w:hint="default" w:ascii="Times New Roman" w:hAnsi="Times New Roman" w:eastAsia="仿宋" w:cs="Times New Roman"/>
          <w:sz w:val="28"/>
          <w:szCs w:val="28"/>
          <w:highlight w:val="none"/>
        </w:rPr>
        <w:t>2346.9小时，六、七、八三个月的日照时数约占全年的32%，对夏季作物的成熟和秋季作物的生长发育很有利。地区气候温和，四季分明。年平均气温12℃，无霜期213天。全境年均降水量500</w:t>
      </w:r>
      <w:r>
        <w:rPr>
          <w:rFonts w:hint="default" w:ascii="Times New Roman" w:hAnsi="Times New Roman" w:eastAsia="仿宋" w:cs="Times New Roman"/>
          <w:sz w:val="28"/>
          <w:szCs w:val="28"/>
          <w:highlight w:val="none"/>
          <w:lang w:val="en-US" w:eastAsia="zh-CN"/>
        </w:rPr>
        <w:t>-</w:t>
      </w:r>
      <w:r>
        <w:rPr>
          <w:rFonts w:hint="default" w:ascii="Times New Roman" w:hAnsi="Times New Roman" w:eastAsia="仿宋" w:cs="Times New Roman"/>
          <w:sz w:val="28"/>
          <w:szCs w:val="28"/>
          <w:highlight w:val="none"/>
        </w:rPr>
        <w:t>600毫米，由南向北递增，50%集中在7、8、9月，常常秋雨连绵，久阴不晴。受季风环境影响，冬季多北风和西北风，夏季多南风和东南风，市区全年的主导风向为东北风，频率16.2%，次主导风向为东北东，频率14.4%，静风频率23%，年平均风速2.1m/s。</w:t>
      </w:r>
    </w:p>
    <w:p>
      <w:pPr>
        <w:bidi w:val="0"/>
        <w:spacing w:line="360" w:lineRule="auto"/>
        <w:ind w:firstLine="562" w:firstLineChars="200"/>
        <w:rPr>
          <w:rFonts w:hint="default" w:ascii="Times New Roman" w:hAnsi="Times New Roman" w:eastAsia="仿宋" w:cs="Times New Roman"/>
          <w:b/>
          <w:bCs/>
          <w:sz w:val="28"/>
          <w:szCs w:val="24"/>
          <w:lang w:val="zh-CN" w:eastAsia="zh-CN"/>
        </w:rPr>
      </w:pPr>
      <w:r>
        <w:rPr>
          <w:rFonts w:hint="default" w:ascii="Times New Roman" w:hAnsi="Times New Roman" w:eastAsia="仿宋" w:cs="Times New Roman"/>
          <w:b/>
          <w:bCs/>
          <w:sz w:val="28"/>
          <w:szCs w:val="24"/>
          <w:lang w:val="zh-CN" w:eastAsia="zh-CN"/>
        </w:rPr>
        <w:t>（</w:t>
      </w:r>
      <w:r>
        <w:rPr>
          <w:rFonts w:hint="default" w:ascii="Times New Roman" w:hAnsi="Times New Roman" w:eastAsia="仿宋" w:cs="Times New Roman"/>
          <w:b/>
          <w:bCs/>
          <w:sz w:val="28"/>
          <w:szCs w:val="24"/>
          <w:lang w:val="en-US" w:eastAsia="zh-CN"/>
        </w:rPr>
        <w:t>4</w:t>
      </w:r>
      <w:r>
        <w:rPr>
          <w:rFonts w:hint="default" w:ascii="Times New Roman" w:hAnsi="Times New Roman" w:eastAsia="仿宋" w:cs="Times New Roman"/>
          <w:b/>
          <w:bCs/>
          <w:sz w:val="28"/>
          <w:szCs w:val="24"/>
          <w:lang w:val="zh-CN" w:eastAsia="zh-CN"/>
        </w:rPr>
        <w:t>）水文特征</w:t>
      </w:r>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bookmarkStart w:id="42" w:name="_Toc29157"/>
      <w:r>
        <w:rPr>
          <w:rFonts w:hint="default" w:ascii="Times New Roman" w:hAnsi="Times New Roman" w:eastAsia="仿宋" w:cs="Times New Roman"/>
          <w:color w:val="000000"/>
          <w:kern w:val="0"/>
          <w:sz w:val="28"/>
          <w:szCs w:val="28"/>
          <w:lang w:val="en-US" w:eastAsia="zh-CN" w:bidi="ar"/>
        </w:rPr>
        <w:t>1）地表水</w:t>
      </w:r>
      <w:bookmarkEnd w:id="42"/>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bookmarkStart w:id="43" w:name="_Toc15466"/>
      <w:r>
        <w:rPr>
          <w:rFonts w:hint="default" w:ascii="Times New Roman" w:hAnsi="Times New Roman" w:eastAsia="仿宋" w:cs="Times New Roman"/>
          <w:color w:val="000000"/>
          <w:kern w:val="0"/>
          <w:sz w:val="28"/>
          <w:szCs w:val="28"/>
          <w:lang w:val="en-US" w:eastAsia="zh-CN" w:bidi="ar"/>
        </w:rPr>
        <w:t>秦汉新城境内有泾河、渭河两条过境河流，均属渭河水系。</w:t>
      </w:r>
      <w:bookmarkEnd w:id="43"/>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bookmarkStart w:id="44" w:name="_Toc2897"/>
      <w:r>
        <w:rPr>
          <w:rFonts w:hint="default" w:ascii="Times New Roman" w:hAnsi="Times New Roman" w:eastAsia="仿宋" w:cs="Times New Roman"/>
          <w:color w:val="000000"/>
          <w:kern w:val="0"/>
          <w:sz w:val="28"/>
          <w:szCs w:val="28"/>
          <w:lang w:val="en-US" w:eastAsia="zh-CN" w:bidi="ar"/>
        </w:rPr>
        <w:t>渭河为本区最大的地表水系。为黄河的一级支流，发源于甘肃渭源县，经甘肃陇西、天水流入陕西省，穿越宝鸡、咸阳、西安及渭南部分县（市）后在潼关县注入黄河，全长818km。</w:t>
      </w:r>
      <w:bookmarkEnd w:id="44"/>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bookmarkStart w:id="45" w:name="_Toc24105"/>
      <w:r>
        <w:rPr>
          <w:rFonts w:hint="default" w:ascii="Times New Roman" w:hAnsi="Times New Roman" w:eastAsia="仿宋" w:cs="Times New Roman"/>
          <w:color w:val="000000"/>
          <w:kern w:val="0"/>
          <w:sz w:val="28"/>
          <w:szCs w:val="28"/>
          <w:lang w:val="en-US" w:eastAsia="zh-CN" w:bidi="ar"/>
        </w:rPr>
        <w:t>渭河自西向东沿秦汉新城南缘流过，境内长度约10km。水量季节性变化大，最大流量6220m</w:t>
      </w:r>
      <w:r>
        <w:rPr>
          <w:rFonts w:hint="default" w:ascii="Times New Roman" w:hAnsi="Times New Roman" w:eastAsia="仿宋" w:cs="Times New Roman"/>
          <w:color w:val="000000"/>
          <w:kern w:val="0"/>
          <w:sz w:val="28"/>
          <w:szCs w:val="28"/>
          <w:vertAlign w:val="superscript"/>
          <w:lang w:val="en-US" w:eastAsia="zh-CN" w:bidi="ar"/>
        </w:rPr>
        <w:t>3</w:t>
      </w:r>
      <w:r>
        <w:rPr>
          <w:rFonts w:hint="default" w:ascii="Times New Roman" w:hAnsi="Times New Roman" w:eastAsia="仿宋" w:cs="Times New Roman"/>
          <w:color w:val="000000"/>
          <w:kern w:val="0"/>
          <w:sz w:val="28"/>
          <w:szCs w:val="28"/>
          <w:lang w:val="en-US" w:eastAsia="zh-CN" w:bidi="ar"/>
        </w:rPr>
        <w:t>/s，最小流量3.4m</w:t>
      </w:r>
      <w:r>
        <w:rPr>
          <w:rFonts w:hint="default" w:ascii="Times New Roman" w:hAnsi="Times New Roman" w:eastAsia="仿宋" w:cs="Times New Roman"/>
          <w:color w:val="000000"/>
          <w:kern w:val="0"/>
          <w:sz w:val="28"/>
          <w:szCs w:val="28"/>
          <w:vertAlign w:val="superscript"/>
          <w:lang w:val="en-US" w:eastAsia="zh-CN" w:bidi="ar"/>
        </w:rPr>
        <w:t>3</w:t>
      </w:r>
      <w:r>
        <w:rPr>
          <w:rFonts w:hint="default" w:ascii="Times New Roman" w:hAnsi="Times New Roman" w:eastAsia="仿宋" w:cs="Times New Roman"/>
          <w:color w:val="000000"/>
          <w:kern w:val="0"/>
          <w:sz w:val="28"/>
          <w:szCs w:val="28"/>
          <w:lang w:val="en-US" w:eastAsia="zh-CN" w:bidi="ar"/>
        </w:rPr>
        <w:t>/s，平均流量173m</w:t>
      </w:r>
      <w:r>
        <w:rPr>
          <w:rFonts w:hint="default" w:ascii="Times New Roman" w:hAnsi="Times New Roman" w:eastAsia="仿宋" w:cs="Times New Roman"/>
          <w:color w:val="000000"/>
          <w:kern w:val="0"/>
          <w:sz w:val="28"/>
          <w:szCs w:val="28"/>
          <w:vertAlign w:val="superscript"/>
          <w:lang w:val="en-US" w:eastAsia="zh-CN" w:bidi="ar"/>
        </w:rPr>
        <w:t>3</w:t>
      </w:r>
      <w:r>
        <w:rPr>
          <w:rFonts w:hint="default" w:ascii="Times New Roman" w:hAnsi="Times New Roman" w:eastAsia="仿宋" w:cs="Times New Roman"/>
          <w:color w:val="000000"/>
          <w:kern w:val="0"/>
          <w:sz w:val="28"/>
          <w:szCs w:val="28"/>
          <w:lang w:val="en-US" w:eastAsia="zh-CN" w:bidi="ar"/>
        </w:rPr>
        <w:t>/s。百年一遇洪水流量9920m</w:t>
      </w:r>
      <w:r>
        <w:rPr>
          <w:rFonts w:hint="default" w:ascii="Times New Roman" w:hAnsi="Times New Roman" w:eastAsia="仿宋" w:cs="Times New Roman"/>
          <w:color w:val="000000"/>
          <w:kern w:val="0"/>
          <w:sz w:val="28"/>
          <w:szCs w:val="28"/>
          <w:vertAlign w:val="superscript"/>
          <w:lang w:val="en-US" w:eastAsia="zh-CN" w:bidi="ar"/>
        </w:rPr>
        <w:t>3</w:t>
      </w:r>
      <w:r>
        <w:rPr>
          <w:rFonts w:hint="default" w:ascii="Times New Roman" w:hAnsi="Times New Roman" w:eastAsia="仿宋" w:cs="Times New Roman"/>
          <w:color w:val="000000"/>
          <w:kern w:val="0"/>
          <w:sz w:val="28"/>
          <w:szCs w:val="28"/>
          <w:lang w:val="en-US" w:eastAsia="zh-CN" w:bidi="ar"/>
        </w:rPr>
        <w:t>/s，相应水位386.5m（铁路桥处）；河床宽浅，平水期水深3.0m，河床比降约1‰，河流南岸有沣河等支流汇入。</w:t>
      </w:r>
      <w:bookmarkEnd w:id="45"/>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bookmarkStart w:id="46" w:name="_Toc1576"/>
      <w:r>
        <w:rPr>
          <w:rFonts w:hint="default" w:ascii="Times New Roman" w:hAnsi="Times New Roman" w:eastAsia="仿宋" w:cs="Times New Roman"/>
          <w:color w:val="000000"/>
          <w:kern w:val="0"/>
          <w:sz w:val="28"/>
          <w:szCs w:val="28"/>
          <w:lang w:val="en-US" w:eastAsia="zh-CN" w:bidi="ar"/>
        </w:rPr>
        <w:t>据区域水文地质资料，水位年变幅约1.5米左右。场地地下水对硂结构无腐蚀性；对钢筋全结构中的钢筋在干湿交替的情况下具有弱腐蚀性。</w:t>
      </w:r>
      <w:bookmarkEnd w:id="46"/>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bookmarkStart w:id="47" w:name="_Toc20231"/>
      <w:r>
        <w:rPr>
          <w:rFonts w:hint="default" w:ascii="Times New Roman" w:hAnsi="Times New Roman" w:eastAsia="仿宋" w:cs="Times New Roman"/>
          <w:color w:val="000000"/>
          <w:kern w:val="0"/>
          <w:sz w:val="28"/>
          <w:szCs w:val="28"/>
          <w:lang w:val="en-US" w:eastAsia="zh-CN" w:bidi="ar"/>
        </w:rPr>
        <w:t>2）地下水</w:t>
      </w:r>
      <w:bookmarkEnd w:id="47"/>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bookmarkStart w:id="48" w:name="_Toc2688"/>
      <w:r>
        <w:rPr>
          <w:rFonts w:hint="default" w:ascii="Times New Roman" w:hAnsi="Times New Roman" w:eastAsia="仿宋" w:cs="Times New Roman"/>
          <w:color w:val="000000"/>
          <w:kern w:val="0"/>
          <w:sz w:val="28"/>
          <w:szCs w:val="28"/>
          <w:lang w:val="en-US" w:eastAsia="zh-CN" w:bidi="ar"/>
        </w:rPr>
        <w:t>本地区属于关中冲积、洪积平原，具有以松散岩类孔隙水为主的河谷盆地型水文地质特征，其动态主要受渭河的影响，补给主要依靠大气降水渗入和河流渗漏，含水层沿渭河呈条带状分布，面积广大，水量丰富。渭河平原区为强富水区，潜水总流向南东，埋深4～11m与19～40m之间，开采深度17～50m，单井涌水量10～20m</w:t>
      </w:r>
      <w:r>
        <w:rPr>
          <w:rFonts w:hint="default" w:ascii="Times New Roman" w:hAnsi="Times New Roman" w:eastAsia="仿宋" w:cs="Times New Roman"/>
          <w:color w:val="000000"/>
          <w:kern w:val="0"/>
          <w:sz w:val="28"/>
          <w:szCs w:val="28"/>
          <w:vertAlign w:val="superscript"/>
          <w:lang w:val="en-US" w:eastAsia="zh-CN" w:bidi="ar"/>
        </w:rPr>
        <w:t>3</w:t>
      </w:r>
      <w:r>
        <w:rPr>
          <w:rFonts w:hint="default" w:ascii="Times New Roman" w:hAnsi="Times New Roman" w:eastAsia="仿宋" w:cs="Times New Roman"/>
          <w:color w:val="000000"/>
          <w:kern w:val="0"/>
          <w:sz w:val="28"/>
          <w:szCs w:val="28"/>
          <w:lang w:val="en-US" w:eastAsia="zh-CN" w:bidi="ar"/>
        </w:rPr>
        <w:t>/h；承压水总流向南东，埋深200～250m。</w:t>
      </w:r>
      <w:bookmarkEnd w:id="48"/>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bookmarkStart w:id="49" w:name="_Toc19399"/>
      <w:r>
        <w:rPr>
          <w:rFonts w:hint="default" w:ascii="Times New Roman" w:hAnsi="Times New Roman" w:eastAsia="仿宋" w:cs="Times New Roman"/>
          <w:color w:val="000000"/>
          <w:kern w:val="0"/>
          <w:sz w:val="28"/>
          <w:szCs w:val="28"/>
          <w:lang w:val="en-US" w:eastAsia="zh-CN" w:bidi="ar"/>
        </w:rPr>
        <w:t>秦汉新城处于渭河南北两岸阶地区，属于西安凹陷北部。新生代以来堆积了巨厚的松散沉积物，地下300m以内皆为第四纪松散堆积物，含水岩性为砂、砂砾卵石和部分黄土。各含水层在垂直方向与弱透水层成不等厚互层或夹层重叠。尤其是数十米的粗粒相冲积层，蕴藏着丰富的水资源。根据地下水的赋存条件和水力特征，分为潜水和承压水两类。</w:t>
      </w:r>
      <w:bookmarkEnd w:id="49"/>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bookmarkStart w:id="50" w:name="_Toc19212"/>
      <w:r>
        <w:rPr>
          <w:rFonts w:hint="default" w:ascii="Times New Roman" w:hAnsi="Times New Roman" w:eastAsia="仿宋" w:cs="Times New Roman"/>
          <w:color w:val="000000"/>
          <w:kern w:val="0"/>
          <w:sz w:val="28"/>
          <w:szCs w:val="28"/>
          <w:lang w:val="en-US" w:eastAsia="zh-CN" w:bidi="ar"/>
        </w:rPr>
        <w:t>渭河河漫滩区属强富水区，潜水埋深一般小于10m；渭河一级阶地区为强富水区，潜水埋深一般在10～20m之间；渭河二级阶地区为较强富水区，从阶地前缘向后缘，富水性逐渐变弱，潜水埋深一般为10～20m；渭河三级阶地区为中等富水区，潜水埋深为30～60m；黄土塬区为极弱富水区，潜水埋深大于60m。</w:t>
      </w:r>
      <w:bookmarkEnd w:id="50"/>
    </w:p>
    <w:p>
      <w:pPr>
        <w:keepNext w:val="0"/>
        <w:keepLines w:val="0"/>
        <w:widowControl/>
        <w:suppressLineNumbers w:val="0"/>
        <w:ind w:firstLine="562" w:firstLineChars="200"/>
        <w:jc w:val="left"/>
        <w:outlineLvl w:val="0"/>
        <w:rPr>
          <w:rFonts w:hint="default" w:ascii="Times New Roman" w:hAnsi="Times New Roman" w:eastAsia="仿宋" w:cs="Times New Roman"/>
        </w:rPr>
      </w:pPr>
      <w:bookmarkStart w:id="51" w:name="_Toc26975"/>
      <w:r>
        <w:rPr>
          <w:rFonts w:hint="default" w:ascii="Times New Roman" w:hAnsi="Times New Roman" w:eastAsia="仿宋" w:cs="Times New Roman"/>
          <w:b/>
          <w:bCs/>
          <w:color w:val="000000"/>
          <w:kern w:val="0"/>
          <w:sz w:val="28"/>
          <w:szCs w:val="28"/>
          <w:lang w:val="en-US" w:eastAsia="zh-CN" w:bidi="ar"/>
        </w:rPr>
        <w:t>（5）植被及生物多样性</w:t>
      </w:r>
      <w:bookmarkEnd w:id="51"/>
    </w:p>
    <w:p>
      <w:pPr>
        <w:keepNext w:val="0"/>
        <w:keepLines w:val="0"/>
        <w:pageBreakBefore w:val="0"/>
        <w:widowControl/>
        <w:tabs>
          <w:tab w:val="left" w:pos="1134"/>
        </w:tabs>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outlineLvl w:val="9"/>
        <w:rPr>
          <w:rFonts w:hint="default" w:ascii="Times New Roman" w:hAnsi="Times New Roman" w:eastAsia="仿宋" w:cs="Times New Roman"/>
          <w:color w:val="000000"/>
          <w:kern w:val="0"/>
          <w:sz w:val="28"/>
          <w:szCs w:val="28"/>
          <w:highlight w:val="none"/>
          <w:lang w:val="en-US" w:eastAsia="zh-CN" w:bidi="ar-SA"/>
        </w:rPr>
      </w:pPr>
      <w:r>
        <w:rPr>
          <w:rFonts w:hint="default" w:ascii="Times New Roman" w:hAnsi="Times New Roman" w:eastAsia="仿宋" w:cs="Times New Roman"/>
          <w:color w:val="000000"/>
          <w:kern w:val="0"/>
          <w:sz w:val="28"/>
          <w:szCs w:val="28"/>
          <w:highlight w:val="none"/>
          <w:lang w:val="en-US" w:eastAsia="zh-CN" w:bidi="ar-SA"/>
        </w:rPr>
        <w:t>项目所在地的地表植被属暖温带落叶阔叶林区，天然植被大多已被农作物小麦、玉米、蔬菜等所替代，人工栽培主要树种有杨树、泡桐、榆树、柳树、臭椿、松、柏等。灌木主要分布在地埂、河岸滩地上，种类有酸枣、悬钩子、杠柳，荆条等。草木植物主要有长芒草、阿尔泰紫苑、雀麦等。农作物主要有小麦、玉米、谷子、红薯、大豆等，经济作物主要有苹果、梨、花椒、油菜、花生、甜瓜等。本项目评价范围内人类活动频繁，项目区域无列入《国家重点保护野生植物名录》和《国家重点保护野生动物名录》的野生动植物。</w:t>
      </w:r>
    </w:p>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r>
        <w:rPr>
          <w:rFonts w:hint="default" w:ascii="Times New Roman" w:hAnsi="Times New Roman" w:eastAsia="仿宋" w:cs="Times New Roman"/>
          <w:b/>
          <w:bCs/>
          <w:kern w:val="2"/>
          <w:sz w:val="30"/>
          <w:szCs w:val="32"/>
          <w:lang w:val="en-US" w:eastAsia="zh-CN" w:bidi="ar-SA"/>
        </w:rPr>
        <w:t>3.1.3环境功能分区</w:t>
      </w:r>
    </w:p>
    <w:p>
      <w:pPr>
        <w:bidi w:val="0"/>
        <w:spacing w:line="360" w:lineRule="auto"/>
        <w:ind w:firstLine="562" w:firstLineChars="200"/>
        <w:rPr>
          <w:rFonts w:hint="default" w:ascii="Times New Roman" w:hAnsi="Times New Roman" w:eastAsia="仿宋" w:cs="Times New Roman"/>
          <w:b/>
          <w:bCs/>
          <w:sz w:val="28"/>
          <w:szCs w:val="24"/>
          <w:lang w:val="zh-CN" w:eastAsia="zh-CN"/>
        </w:rPr>
      </w:pPr>
      <w:bookmarkStart w:id="52" w:name="_Toc12591"/>
      <w:bookmarkStart w:id="53" w:name="_Toc22477"/>
      <w:r>
        <w:rPr>
          <w:rFonts w:hint="default" w:ascii="Times New Roman" w:hAnsi="Times New Roman" w:eastAsia="仿宋" w:cs="Times New Roman"/>
          <w:b/>
          <w:bCs/>
          <w:sz w:val="28"/>
          <w:szCs w:val="24"/>
          <w:lang w:val="zh-CN" w:eastAsia="zh-CN"/>
        </w:rPr>
        <w:t>（1）环境空气功能区划</w:t>
      </w:r>
      <w:bookmarkEnd w:id="52"/>
      <w:bookmarkEnd w:id="53"/>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企业所在区域，周边无自然保护区、风景名胜区等特殊保护区，依据环境空气质量功能区的分类，属二类区。本项目环境空气质量执行GB3095-2012《环境空气质量标准》中二级标准。无组织废气颗粒物排放执行GB16297-1996《大气污染物综合排放标准》中二级标准。</w:t>
      </w:r>
    </w:p>
    <w:p>
      <w:pPr>
        <w:bidi w:val="0"/>
        <w:spacing w:line="360" w:lineRule="auto"/>
        <w:ind w:firstLine="562" w:firstLineChars="200"/>
        <w:rPr>
          <w:rFonts w:hint="default" w:ascii="Times New Roman" w:hAnsi="Times New Roman" w:eastAsia="仿宋" w:cs="Times New Roman"/>
          <w:b/>
          <w:bCs/>
          <w:sz w:val="28"/>
          <w:szCs w:val="24"/>
          <w:lang w:val="zh-CN" w:eastAsia="zh-CN"/>
        </w:rPr>
      </w:pPr>
      <w:r>
        <w:rPr>
          <w:rFonts w:hint="default" w:ascii="Times New Roman" w:hAnsi="Times New Roman" w:eastAsia="仿宋" w:cs="Times New Roman"/>
          <w:b/>
          <w:bCs/>
          <w:sz w:val="28"/>
          <w:szCs w:val="24"/>
          <w:lang w:val="zh-CN" w:eastAsia="zh-CN"/>
        </w:rPr>
        <w:t>（2）地表水环境</w:t>
      </w:r>
    </w:p>
    <w:p>
      <w:pPr>
        <w:keepNext w:val="0"/>
        <w:keepLines w:val="0"/>
        <w:widowControl/>
        <w:suppressLineNumbers w:val="0"/>
        <w:ind w:firstLine="560" w:firstLineChars="200"/>
        <w:jc w:val="left"/>
        <w:rPr>
          <w:rFonts w:hint="default" w:ascii="Times New Roman" w:hAnsi="Times New Roman" w:eastAsia="仿宋" w:cs="Times New Roman"/>
        </w:rPr>
      </w:pPr>
      <w:r>
        <w:rPr>
          <w:rFonts w:hint="default" w:ascii="Times New Roman" w:hAnsi="Times New Roman" w:eastAsia="仿宋" w:cs="Times New Roman"/>
          <w:color w:val="000000"/>
          <w:kern w:val="0"/>
          <w:sz w:val="28"/>
          <w:szCs w:val="28"/>
          <w:lang w:val="en-US" w:eastAsia="zh-CN" w:bidi="ar"/>
        </w:rPr>
        <w:t>根据《地表水环境质量标准》（GB3838-2002）和《陕西省水功能区划》（陕政办发〔2004〕100 号），企业最近地表水体为渭河，根据《陕西省水功能区划》，渭河地表水环境质量功能为Ⅳ类。本项目废水仅为生活污水，</w:t>
      </w:r>
      <w:r>
        <w:rPr>
          <w:rFonts w:hint="default" w:ascii="Times New Roman" w:hAnsi="Times New Roman" w:eastAsia="仿宋" w:cs="Times New Roman"/>
          <w:kern w:val="2"/>
          <w:sz w:val="28"/>
          <w:szCs w:val="28"/>
          <w:highlight w:val="none"/>
          <w:lang w:eastAsia="zh-CN"/>
        </w:rPr>
        <w:t>生活污水经化粪池处理后排入市政污水管网，进入秦汉新城朝阳污水处理厂，</w:t>
      </w:r>
      <w:r>
        <w:rPr>
          <w:rFonts w:hint="default" w:ascii="Times New Roman" w:hAnsi="Times New Roman" w:eastAsia="仿宋" w:cs="Times New Roman"/>
          <w:b w:val="0"/>
          <w:bCs w:val="0"/>
          <w:sz w:val="28"/>
          <w:szCs w:val="28"/>
          <w:highlight w:val="none"/>
        </w:rPr>
        <w:t>排放执行《污水综合排放标准》（GB8978-1996）中</w:t>
      </w:r>
      <w:r>
        <w:rPr>
          <w:rFonts w:hint="default" w:ascii="Times New Roman" w:hAnsi="Times New Roman" w:eastAsia="仿宋" w:cs="Times New Roman"/>
          <w:b w:val="0"/>
          <w:bCs w:val="0"/>
          <w:sz w:val="28"/>
          <w:szCs w:val="28"/>
          <w:highlight w:val="none"/>
          <w:lang w:eastAsia="zh-CN"/>
        </w:rPr>
        <w:t>三</w:t>
      </w:r>
      <w:r>
        <w:rPr>
          <w:rFonts w:hint="default" w:ascii="Times New Roman" w:hAnsi="Times New Roman" w:eastAsia="仿宋" w:cs="Times New Roman"/>
          <w:b w:val="0"/>
          <w:bCs w:val="0"/>
          <w:sz w:val="28"/>
          <w:szCs w:val="28"/>
          <w:highlight w:val="none"/>
        </w:rPr>
        <w:t>级标准</w:t>
      </w:r>
      <w:r>
        <w:rPr>
          <w:rFonts w:hint="default" w:ascii="Times New Roman" w:hAnsi="Times New Roman" w:eastAsia="仿宋" w:cs="Times New Roman"/>
          <w:b w:val="0"/>
          <w:bCs w:val="0"/>
          <w:sz w:val="28"/>
          <w:szCs w:val="28"/>
          <w:highlight w:val="none"/>
          <w:lang w:eastAsia="zh-CN"/>
        </w:rPr>
        <w:t>。</w:t>
      </w:r>
    </w:p>
    <w:p>
      <w:pPr>
        <w:bidi w:val="0"/>
        <w:spacing w:line="360" w:lineRule="auto"/>
        <w:ind w:firstLine="562" w:firstLineChars="200"/>
        <w:rPr>
          <w:rFonts w:hint="default" w:ascii="Times New Roman" w:hAnsi="Times New Roman" w:eastAsia="仿宋" w:cs="Times New Roman"/>
          <w:b/>
          <w:bCs/>
          <w:sz w:val="28"/>
          <w:szCs w:val="24"/>
          <w:lang w:val="zh-CN" w:eastAsia="zh-CN"/>
        </w:rPr>
      </w:pPr>
      <w:r>
        <w:rPr>
          <w:rFonts w:hint="default" w:ascii="Times New Roman" w:hAnsi="Times New Roman" w:eastAsia="仿宋" w:cs="Times New Roman"/>
          <w:b/>
          <w:bCs/>
          <w:sz w:val="28"/>
          <w:szCs w:val="24"/>
          <w:lang w:val="zh-CN" w:eastAsia="zh-CN"/>
        </w:rPr>
        <w:t>（</w:t>
      </w:r>
      <w:r>
        <w:rPr>
          <w:rFonts w:hint="default" w:ascii="Times New Roman" w:hAnsi="Times New Roman" w:eastAsia="仿宋" w:cs="Times New Roman"/>
          <w:b/>
          <w:bCs/>
          <w:sz w:val="28"/>
          <w:szCs w:val="24"/>
          <w:lang w:val="en-US" w:eastAsia="zh-CN"/>
        </w:rPr>
        <w:t>3</w:t>
      </w:r>
      <w:r>
        <w:rPr>
          <w:rFonts w:hint="default" w:ascii="Times New Roman" w:hAnsi="Times New Roman" w:eastAsia="仿宋" w:cs="Times New Roman"/>
          <w:b/>
          <w:bCs/>
          <w:sz w:val="28"/>
          <w:szCs w:val="24"/>
          <w:lang w:val="zh-CN" w:eastAsia="zh-CN"/>
        </w:rPr>
        <w:t>）地下水环境质量功能区划</w:t>
      </w:r>
    </w:p>
    <w:p>
      <w:pPr>
        <w:keepNext w:val="0"/>
        <w:keepLines w:val="0"/>
        <w:widowControl/>
        <w:suppressLineNumbers w:val="0"/>
        <w:ind w:firstLine="560" w:firstLineChars="200"/>
        <w:jc w:val="left"/>
        <w:rPr>
          <w:rFonts w:hint="default" w:ascii="Times New Roman" w:hAnsi="Times New Roman" w:eastAsia="仿宋" w:cs="Times New Roman"/>
        </w:rPr>
      </w:pPr>
      <w:r>
        <w:rPr>
          <w:rFonts w:hint="default" w:ascii="Times New Roman" w:hAnsi="Times New Roman" w:eastAsia="仿宋" w:cs="Times New Roman"/>
          <w:color w:val="000000"/>
          <w:kern w:val="0"/>
          <w:sz w:val="28"/>
          <w:szCs w:val="28"/>
          <w:lang w:val="en-US" w:eastAsia="zh-CN" w:bidi="ar"/>
        </w:rPr>
        <w:t>根据《地下水质量标准》（GB/T14848-2017），地下水质量分类“以人体健康基准值为依据”的要求，主要适用于集中式生活饮用水水源及工、农业用水的地下水为Ⅲ类水质，执行《地下水质量标准》（GB/T14848-2017）中的Ⅲ类标准。项目地下水满足Ⅲ类标准。</w:t>
      </w:r>
    </w:p>
    <w:p>
      <w:pPr>
        <w:bidi w:val="0"/>
        <w:spacing w:line="360" w:lineRule="auto"/>
        <w:ind w:firstLine="562" w:firstLineChars="200"/>
        <w:rPr>
          <w:rFonts w:hint="default" w:ascii="Times New Roman" w:hAnsi="Times New Roman" w:eastAsia="仿宋" w:cs="Times New Roman"/>
          <w:b/>
          <w:bCs/>
          <w:sz w:val="28"/>
          <w:szCs w:val="24"/>
          <w:lang w:val="zh-CN" w:eastAsia="zh-CN"/>
        </w:rPr>
      </w:pPr>
      <w:r>
        <w:rPr>
          <w:rFonts w:hint="default" w:ascii="Times New Roman" w:hAnsi="Times New Roman" w:eastAsia="仿宋" w:cs="Times New Roman"/>
          <w:b/>
          <w:bCs/>
          <w:sz w:val="28"/>
          <w:szCs w:val="24"/>
          <w:lang w:val="zh-CN" w:eastAsia="zh-CN"/>
        </w:rPr>
        <w:t>（</w:t>
      </w:r>
      <w:r>
        <w:rPr>
          <w:rFonts w:hint="default" w:ascii="Times New Roman" w:hAnsi="Times New Roman" w:eastAsia="仿宋" w:cs="Times New Roman"/>
          <w:b/>
          <w:bCs/>
          <w:sz w:val="28"/>
          <w:szCs w:val="24"/>
          <w:lang w:val="en-US" w:eastAsia="zh-CN"/>
        </w:rPr>
        <w:t>4</w:t>
      </w:r>
      <w:r>
        <w:rPr>
          <w:rFonts w:hint="default" w:ascii="Times New Roman" w:hAnsi="Times New Roman" w:eastAsia="仿宋" w:cs="Times New Roman"/>
          <w:b/>
          <w:bCs/>
          <w:sz w:val="28"/>
          <w:szCs w:val="24"/>
          <w:lang w:val="zh-CN" w:eastAsia="zh-CN"/>
        </w:rPr>
        <w:t>）土壤环境</w:t>
      </w:r>
    </w:p>
    <w:p>
      <w:pPr>
        <w:bidi w:val="0"/>
        <w:spacing w:line="360" w:lineRule="auto"/>
        <w:ind w:firstLine="560" w:firstLineChars="200"/>
        <w:rPr>
          <w:rFonts w:hint="default" w:ascii="Times New Roman" w:hAnsi="Times New Roman" w:eastAsia="仿宋" w:cs="Times New Roman"/>
          <w:sz w:val="28"/>
          <w:szCs w:val="24"/>
          <w:lang w:val="en-US" w:eastAsia="zh-CN"/>
        </w:rPr>
      </w:pPr>
      <w:r>
        <w:rPr>
          <w:rFonts w:hint="default" w:ascii="Times New Roman" w:hAnsi="Times New Roman" w:eastAsia="仿宋" w:cs="Times New Roman"/>
          <w:sz w:val="28"/>
          <w:szCs w:val="24"/>
          <w:lang w:val="en-US" w:eastAsia="zh-CN"/>
        </w:rPr>
        <w:t>根据《土壤环境质量建设用地土壤污染风险管控标准》（GB36600-2018），本企业土壤环境执行筛选值第二类用地。</w:t>
      </w:r>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54" w:name="_Toc18869"/>
      <w:bookmarkStart w:id="55" w:name="_Toc4652"/>
      <w:r>
        <w:rPr>
          <w:rFonts w:hint="default" w:ascii="Times New Roman" w:hAnsi="Times New Roman" w:eastAsia="仿宋" w:cs="Times New Roman"/>
          <w:b/>
          <w:bCs/>
          <w:kern w:val="2"/>
          <w:sz w:val="32"/>
          <w:szCs w:val="32"/>
          <w:lang w:val="en-US" w:eastAsia="zh-CN" w:bidi="ar-SA"/>
        </w:rPr>
        <w:t>3.2企业周边环境风险受体情况</w:t>
      </w:r>
      <w:bookmarkEnd w:id="54"/>
      <w:bookmarkEnd w:id="55"/>
    </w:p>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bookmarkStart w:id="56" w:name="_Toc9278"/>
      <w:r>
        <w:rPr>
          <w:rFonts w:hint="default" w:ascii="Times New Roman" w:hAnsi="Times New Roman" w:eastAsia="仿宋" w:cs="Times New Roman"/>
          <w:b/>
          <w:bCs/>
          <w:kern w:val="2"/>
          <w:sz w:val="30"/>
          <w:szCs w:val="32"/>
          <w:lang w:val="en-US" w:eastAsia="zh-CN" w:bidi="ar-SA"/>
        </w:rPr>
        <w:t>3.2.1环境保护目标</w:t>
      </w:r>
      <w:bookmarkEnd w:id="56"/>
    </w:p>
    <w:p>
      <w:pPr>
        <w:autoSpaceDE w:val="0"/>
        <w:autoSpaceDN w:val="0"/>
        <w:spacing w:line="360" w:lineRule="auto"/>
        <w:ind w:firstLine="560" w:firstLineChars="200"/>
        <w:rPr>
          <w:rFonts w:hint="default" w:ascii="Times New Roman" w:hAnsi="Times New Roman" w:eastAsia="仿宋" w:cs="Times New Roman"/>
          <w:bCs/>
          <w:sz w:val="28"/>
          <w:szCs w:val="28"/>
          <w:highlight w:val="none"/>
          <w:lang w:val="en-GB"/>
        </w:rPr>
      </w:pPr>
      <w:r>
        <w:rPr>
          <w:rFonts w:hint="default" w:ascii="Times New Roman" w:hAnsi="Times New Roman" w:eastAsia="仿宋" w:cs="Times New Roman"/>
          <w:bCs/>
          <w:sz w:val="28"/>
          <w:szCs w:val="28"/>
          <w:highlight w:val="none"/>
          <w:lang w:val="en-GB"/>
        </w:rPr>
        <w:t>根据《企业突发环境事件风险分级方法》（HJ 941-2018）表4、7中列出的企业周边所有环境风险受体的划分标准，环境风险受体分为大气环境风险受体和水环境风险受体。</w:t>
      </w:r>
    </w:p>
    <w:p>
      <w:pPr>
        <w:pStyle w:val="2"/>
        <w:ind w:left="0" w:leftChars="0" w:firstLine="0" w:firstLineChars="0"/>
        <w:jc w:val="both"/>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lang w:val="en-GB"/>
        </w:rPr>
        <w:t>项目周边环境风险受体见表</w:t>
      </w:r>
      <w:r>
        <w:rPr>
          <w:rFonts w:hint="default" w:ascii="Times New Roman" w:hAnsi="Times New Roman" w:eastAsia="仿宋" w:cs="Times New Roman"/>
          <w:bCs/>
          <w:sz w:val="28"/>
          <w:szCs w:val="28"/>
          <w:highlight w:val="none"/>
        </w:rPr>
        <w:t>3-3</w:t>
      </w:r>
      <w:r>
        <w:rPr>
          <w:rFonts w:hint="default" w:ascii="Times New Roman" w:hAnsi="Times New Roman" w:eastAsia="仿宋" w:cs="Times New Roman"/>
          <w:bCs/>
          <w:sz w:val="28"/>
          <w:szCs w:val="28"/>
          <w:highlight w:val="none"/>
          <w:lang w:val="en-GB"/>
        </w:rPr>
        <w:t>，敏感目标分布图见附图</w:t>
      </w:r>
      <w:r>
        <w:rPr>
          <w:rFonts w:hint="default" w:ascii="Times New Roman" w:hAnsi="Times New Roman" w:eastAsia="仿宋" w:cs="Times New Roman"/>
          <w:bCs/>
          <w:sz w:val="28"/>
          <w:szCs w:val="28"/>
          <w:highlight w:val="none"/>
        </w:rPr>
        <w:t>4。</w:t>
      </w:r>
    </w:p>
    <w:p>
      <w:pPr>
        <w:widowControl w:val="0"/>
        <w:spacing w:line="360" w:lineRule="auto"/>
        <w:ind w:left="0" w:leftChars="0" w:firstLine="0" w:firstLineChars="0"/>
        <w:jc w:val="center"/>
        <w:rPr>
          <w:rFonts w:hint="default" w:ascii="Times New Roman" w:hAnsi="Times New Roman" w:eastAsia="仿宋" w:cs="Times New Roman"/>
          <w:b/>
          <w:bCs/>
          <w:color w:val="000000"/>
          <w:kern w:val="2"/>
          <w:sz w:val="24"/>
          <w:szCs w:val="24"/>
          <w:lang w:val="en-US" w:eastAsia="zh-CN" w:bidi="ar-SA"/>
        </w:rPr>
      </w:pPr>
    </w:p>
    <w:p>
      <w:pPr>
        <w:widowControl w:val="0"/>
        <w:spacing w:line="360" w:lineRule="auto"/>
        <w:ind w:left="0" w:leftChars="0" w:firstLine="0" w:firstLineChars="0"/>
        <w:jc w:val="center"/>
        <w:rPr>
          <w:rFonts w:hint="default" w:ascii="Times New Roman" w:hAnsi="Times New Roman" w:eastAsia="仿宋" w:cs="Times New Roman"/>
          <w:b/>
          <w:bCs/>
          <w:color w:val="000000"/>
          <w:kern w:val="2"/>
          <w:sz w:val="24"/>
          <w:szCs w:val="24"/>
          <w:lang w:val="en-US" w:eastAsia="zh-CN" w:bidi="ar-SA"/>
        </w:rPr>
      </w:pPr>
      <w:r>
        <w:rPr>
          <w:rFonts w:hint="default" w:ascii="Times New Roman" w:hAnsi="Times New Roman" w:eastAsia="仿宋" w:cs="Times New Roman"/>
          <w:b/>
          <w:bCs/>
          <w:color w:val="000000"/>
          <w:kern w:val="2"/>
          <w:sz w:val="24"/>
          <w:szCs w:val="24"/>
          <w:lang w:val="en-US" w:eastAsia="zh-CN" w:bidi="ar-SA"/>
        </w:rPr>
        <w:t>表3-3  企业周围环境风险受体</w:t>
      </w:r>
    </w:p>
    <w:tbl>
      <w:tblPr>
        <w:tblStyle w:val="12"/>
        <w:tblW w:w="90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1823"/>
        <w:gridCol w:w="945"/>
        <w:gridCol w:w="1080"/>
        <w:gridCol w:w="1230"/>
        <w:gridCol w:w="1230"/>
        <w:gridCol w:w="16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6" w:type="dxa"/>
            <w:vMerge w:val="restart"/>
            <w:tcBorders>
              <w:tl2br w:val="nil"/>
              <w:tr2bl w:val="nil"/>
            </w:tcBorders>
            <w:noWrap w:val="0"/>
            <w:vAlign w:val="center"/>
          </w:tcPr>
          <w:p>
            <w:pPr>
              <w:spacing w:line="276" w:lineRule="auto"/>
              <w:ind w:firstLine="0" w:firstLineChars="0"/>
              <w:jc w:val="center"/>
              <w:rPr>
                <w:rFonts w:hint="default" w:ascii="Times New Roman" w:hAnsi="Times New Roman" w:eastAsia="仿宋" w:cs="Times New Roman"/>
                <w:b/>
                <w:bCs/>
                <w:color w:val="000000"/>
                <w:sz w:val="21"/>
                <w:szCs w:val="21"/>
              </w:rPr>
            </w:pPr>
            <w:r>
              <w:rPr>
                <w:rFonts w:hint="default" w:ascii="Times New Roman" w:hAnsi="Times New Roman" w:eastAsia="仿宋" w:cs="Times New Roman"/>
                <w:b/>
                <w:bCs/>
                <w:color w:val="000000"/>
                <w:sz w:val="21"/>
                <w:szCs w:val="21"/>
              </w:rPr>
              <w:t>环境要素</w:t>
            </w:r>
          </w:p>
        </w:tc>
        <w:tc>
          <w:tcPr>
            <w:tcW w:w="1823" w:type="dxa"/>
            <w:vMerge w:val="restart"/>
            <w:tcBorders>
              <w:tl2br w:val="nil"/>
              <w:tr2bl w:val="nil"/>
            </w:tcBorders>
            <w:noWrap w:val="0"/>
            <w:vAlign w:val="center"/>
          </w:tcPr>
          <w:p>
            <w:pPr>
              <w:spacing w:line="276" w:lineRule="auto"/>
              <w:ind w:firstLine="0" w:firstLineChars="0"/>
              <w:jc w:val="center"/>
              <w:rPr>
                <w:rFonts w:hint="default" w:ascii="Times New Roman" w:hAnsi="Times New Roman" w:eastAsia="仿宋" w:cs="Times New Roman"/>
                <w:b/>
                <w:bCs/>
                <w:color w:val="000000"/>
                <w:sz w:val="21"/>
                <w:szCs w:val="21"/>
              </w:rPr>
            </w:pPr>
            <w:r>
              <w:rPr>
                <w:rFonts w:hint="default" w:ascii="Times New Roman" w:hAnsi="Times New Roman" w:eastAsia="仿宋" w:cs="Times New Roman"/>
                <w:b/>
                <w:bCs/>
                <w:color w:val="000000"/>
                <w:sz w:val="21"/>
                <w:szCs w:val="21"/>
              </w:rPr>
              <w:t>敏感目标</w:t>
            </w:r>
          </w:p>
        </w:tc>
        <w:tc>
          <w:tcPr>
            <w:tcW w:w="2025" w:type="dxa"/>
            <w:gridSpan w:val="2"/>
            <w:tcBorders>
              <w:tl2br w:val="nil"/>
              <w:tr2bl w:val="nil"/>
            </w:tcBorders>
            <w:noWrap w:val="0"/>
            <w:vAlign w:val="center"/>
          </w:tcPr>
          <w:p>
            <w:pPr>
              <w:spacing w:line="276" w:lineRule="auto"/>
              <w:ind w:firstLine="0" w:firstLineChars="0"/>
              <w:jc w:val="center"/>
              <w:rPr>
                <w:rFonts w:hint="default" w:ascii="Times New Roman" w:hAnsi="Times New Roman" w:eastAsia="仿宋" w:cs="Times New Roman"/>
                <w:b/>
                <w:bCs/>
                <w:color w:val="000000"/>
                <w:sz w:val="21"/>
                <w:szCs w:val="21"/>
              </w:rPr>
            </w:pPr>
            <w:r>
              <w:rPr>
                <w:rFonts w:hint="default" w:ascii="Times New Roman" w:hAnsi="Times New Roman" w:eastAsia="仿宋" w:cs="Times New Roman"/>
                <w:b/>
                <w:bCs/>
                <w:color w:val="000000"/>
                <w:sz w:val="21"/>
                <w:szCs w:val="21"/>
              </w:rPr>
              <w:t>相对本项目位置</w:t>
            </w:r>
          </w:p>
        </w:tc>
        <w:tc>
          <w:tcPr>
            <w:tcW w:w="1230" w:type="dxa"/>
            <w:tcBorders>
              <w:tl2br w:val="nil"/>
              <w:tr2bl w:val="nil"/>
            </w:tcBorders>
            <w:noWrap w:val="0"/>
            <w:vAlign w:val="center"/>
          </w:tcPr>
          <w:p>
            <w:pPr>
              <w:spacing w:line="276" w:lineRule="auto"/>
              <w:ind w:firstLine="0" w:firstLineChars="0"/>
              <w:jc w:val="center"/>
              <w:rPr>
                <w:rFonts w:hint="default" w:ascii="Times New Roman" w:hAnsi="Times New Roman" w:eastAsia="仿宋" w:cs="Times New Roman"/>
                <w:b/>
                <w:bCs/>
                <w:color w:val="000000"/>
                <w:sz w:val="21"/>
                <w:szCs w:val="21"/>
              </w:rPr>
            </w:pPr>
            <w:r>
              <w:rPr>
                <w:rFonts w:hint="default" w:ascii="Times New Roman" w:hAnsi="Times New Roman" w:eastAsia="仿宋" w:cs="Times New Roman"/>
                <w:b/>
                <w:bCs/>
                <w:color w:val="000000"/>
                <w:sz w:val="21"/>
                <w:szCs w:val="21"/>
              </w:rPr>
              <w:t>基本情况</w:t>
            </w:r>
          </w:p>
        </w:tc>
        <w:tc>
          <w:tcPr>
            <w:tcW w:w="1230" w:type="dxa"/>
            <w:vMerge w:val="restart"/>
            <w:tcBorders>
              <w:tl2br w:val="nil"/>
              <w:tr2bl w:val="nil"/>
            </w:tcBorders>
            <w:noWrap w:val="0"/>
            <w:vAlign w:val="center"/>
          </w:tcPr>
          <w:p>
            <w:pPr>
              <w:spacing w:line="276" w:lineRule="auto"/>
              <w:ind w:firstLine="0" w:firstLineChars="0"/>
              <w:jc w:val="center"/>
              <w:rPr>
                <w:rFonts w:hint="default" w:ascii="Times New Roman" w:hAnsi="Times New Roman" w:eastAsia="仿宋" w:cs="Times New Roman"/>
                <w:b/>
                <w:bCs/>
                <w:color w:val="000000"/>
                <w:sz w:val="21"/>
                <w:szCs w:val="21"/>
              </w:rPr>
            </w:pPr>
            <w:r>
              <w:rPr>
                <w:rFonts w:hint="default" w:ascii="Times New Roman" w:hAnsi="Times New Roman" w:eastAsia="仿宋" w:cs="Times New Roman"/>
                <w:b/>
                <w:bCs/>
                <w:color w:val="000000"/>
                <w:sz w:val="21"/>
                <w:szCs w:val="21"/>
              </w:rPr>
              <w:t>保护</w:t>
            </w:r>
          </w:p>
          <w:p>
            <w:pPr>
              <w:spacing w:line="276" w:lineRule="auto"/>
              <w:ind w:firstLine="0" w:firstLineChars="0"/>
              <w:jc w:val="center"/>
              <w:rPr>
                <w:rFonts w:hint="default" w:ascii="Times New Roman" w:hAnsi="Times New Roman" w:eastAsia="仿宋" w:cs="Times New Roman"/>
                <w:b/>
                <w:bCs/>
                <w:color w:val="000000"/>
                <w:sz w:val="21"/>
                <w:szCs w:val="21"/>
              </w:rPr>
            </w:pPr>
            <w:r>
              <w:rPr>
                <w:rFonts w:hint="default" w:ascii="Times New Roman" w:hAnsi="Times New Roman" w:eastAsia="仿宋" w:cs="Times New Roman"/>
                <w:b/>
                <w:bCs/>
                <w:color w:val="000000"/>
                <w:sz w:val="21"/>
                <w:szCs w:val="21"/>
              </w:rPr>
              <w:t>内容</w:t>
            </w:r>
          </w:p>
        </w:tc>
        <w:tc>
          <w:tcPr>
            <w:tcW w:w="1647" w:type="dxa"/>
            <w:vMerge w:val="restart"/>
            <w:tcBorders>
              <w:tl2br w:val="nil"/>
              <w:tr2bl w:val="nil"/>
            </w:tcBorders>
            <w:noWrap w:val="0"/>
            <w:vAlign w:val="center"/>
          </w:tcPr>
          <w:p>
            <w:pPr>
              <w:spacing w:line="276" w:lineRule="auto"/>
              <w:ind w:firstLine="0" w:firstLineChars="0"/>
              <w:jc w:val="center"/>
              <w:rPr>
                <w:rFonts w:hint="default" w:ascii="Times New Roman" w:hAnsi="Times New Roman" w:eastAsia="仿宋" w:cs="Times New Roman"/>
                <w:b/>
                <w:bCs/>
                <w:color w:val="000000"/>
                <w:sz w:val="21"/>
                <w:szCs w:val="21"/>
              </w:rPr>
            </w:pPr>
            <w:r>
              <w:rPr>
                <w:rFonts w:hint="default" w:ascii="Times New Roman" w:hAnsi="Times New Roman" w:eastAsia="仿宋" w:cs="Times New Roman"/>
                <w:b/>
                <w:bCs/>
                <w:color w:val="000000"/>
                <w:sz w:val="21"/>
                <w:szCs w:val="21"/>
              </w:rPr>
              <w:t>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6" w:type="dxa"/>
            <w:vMerge w:val="continue"/>
            <w:tcBorders>
              <w:tl2br w:val="nil"/>
              <w:tr2bl w:val="nil"/>
            </w:tcBorders>
            <w:noWrap w:val="0"/>
            <w:vAlign w:val="center"/>
          </w:tcPr>
          <w:p>
            <w:pPr>
              <w:snapToGrid w:val="0"/>
              <w:ind w:firstLine="210"/>
              <w:jc w:val="center"/>
              <w:rPr>
                <w:rFonts w:hint="default" w:ascii="Times New Roman" w:hAnsi="Times New Roman" w:eastAsia="仿宋" w:cs="Times New Roman"/>
                <w:sz w:val="24"/>
                <w:szCs w:val="24"/>
                <w:highlight w:val="none"/>
              </w:rPr>
            </w:pPr>
          </w:p>
        </w:tc>
        <w:tc>
          <w:tcPr>
            <w:tcW w:w="1823" w:type="dxa"/>
            <w:vMerge w:val="continue"/>
            <w:tcBorders>
              <w:tl2br w:val="nil"/>
              <w:tr2bl w:val="nil"/>
            </w:tcBorders>
            <w:noWrap w:val="0"/>
            <w:vAlign w:val="center"/>
          </w:tcPr>
          <w:p>
            <w:pPr>
              <w:snapToGrid w:val="0"/>
              <w:ind w:firstLine="210"/>
              <w:jc w:val="center"/>
              <w:rPr>
                <w:rFonts w:hint="default" w:ascii="Times New Roman" w:hAnsi="Times New Roman" w:eastAsia="仿宋" w:cs="Times New Roman"/>
                <w:sz w:val="24"/>
                <w:szCs w:val="24"/>
                <w:highlight w:val="none"/>
              </w:rPr>
            </w:pPr>
          </w:p>
        </w:tc>
        <w:tc>
          <w:tcPr>
            <w:tcW w:w="945" w:type="dxa"/>
            <w:tcBorders>
              <w:tl2br w:val="nil"/>
              <w:tr2bl w:val="nil"/>
            </w:tcBorders>
            <w:noWrap w:val="0"/>
            <w:vAlign w:val="center"/>
          </w:tcPr>
          <w:p>
            <w:pPr>
              <w:spacing w:line="276" w:lineRule="auto"/>
              <w:ind w:firstLine="0" w:firstLineChars="0"/>
              <w:jc w:val="center"/>
              <w:rPr>
                <w:rFonts w:hint="default" w:ascii="Times New Roman" w:hAnsi="Times New Roman" w:eastAsia="仿宋" w:cs="Times New Roman"/>
                <w:b/>
                <w:bCs/>
                <w:color w:val="000000"/>
                <w:sz w:val="21"/>
                <w:szCs w:val="21"/>
              </w:rPr>
            </w:pPr>
            <w:r>
              <w:rPr>
                <w:rFonts w:hint="default" w:ascii="Times New Roman" w:hAnsi="Times New Roman" w:eastAsia="仿宋" w:cs="Times New Roman"/>
                <w:b/>
                <w:bCs/>
                <w:color w:val="000000"/>
                <w:sz w:val="21"/>
                <w:szCs w:val="21"/>
              </w:rPr>
              <w:t>方位</w:t>
            </w:r>
          </w:p>
        </w:tc>
        <w:tc>
          <w:tcPr>
            <w:tcW w:w="1080" w:type="dxa"/>
            <w:tcBorders>
              <w:tl2br w:val="nil"/>
              <w:tr2bl w:val="nil"/>
            </w:tcBorders>
            <w:noWrap w:val="0"/>
            <w:vAlign w:val="center"/>
          </w:tcPr>
          <w:p>
            <w:pPr>
              <w:spacing w:line="276" w:lineRule="auto"/>
              <w:ind w:firstLine="0" w:firstLineChars="0"/>
              <w:jc w:val="center"/>
              <w:rPr>
                <w:rFonts w:hint="default" w:ascii="Times New Roman" w:hAnsi="Times New Roman" w:eastAsia="仿宋" w:cs="Times New Roman"/>
                <w:b/>
                <w:bCs/>
                <w:color w:val="000000"/>
                <w:sz w:val="21"/>
                <w:szCs w:val="21"/>
              </w:rPr>
            </w:pPr>
            <w:r>
              <w:rPr>
                <w:rFonts w:hint="default" w:ascii="Times New Roman" w:hAnsi="Times New Roman" w:eastAsia="仿宋" w:cs="Times New Roman"/>
                <w:b/>
                <w:bCs/>
                <w:color w:val="000000"/>
                <w:sz w:val="21"/>
                <w:szCs w:val="21"/>
              </w:rPr>
              <w:t>距离（m）</w:t>
            </w:r>
          </w:p>
        </w:tc>
        <w:tc>
          <w:tcPr>
            <w:tcW w:w="1230" w:type="dxa"/>
            <w:tcBorders>
              <w:tl2br w:val="nil"/>
              <w:tr2bl w:val="nil"/>
            </w:tcBorders>
            <w:noWrap w:val="0"/>
            <w:vAlign w:val="center"/>
          </w:tcPr>
          <w:p>
            <w:pPr>
              <w:spacing w:line="276" w:lineRule="auto"/>
              <w:ind w:firstLine="0" w:firstLineChars="0"/>
              <w:jc w:val="center"/>
              <w:rPr>
                <w:rFonts w:hint="default" w:ascii="Times New Roman" w:hAnsi="Times New Roman" w:eastAsia="仿宋" w:cs="Times New Roman"/>
                <w:b/>
                <w:bCs/>
                <w:color w:val="000000"/>
                <w:sz w:val="21"/>
                <w:szCs w:val="21"/>
              </w:rPr>
            </w:pPr>
            <w:r>
              <w:rPr>
                <w:rFonts w:hint="default" w:ascii="Times New Roman" w:hAnsi="Times New Roman" w:eastAsia="仿宋" w:cs="Times New Roman"/>
                <w:b/>
                <w:bCs/>
                <w:color w:val="000000"/>
                <w:sz w:val="21"/>
                <w:szCs w:val="21"/>
              </w:rPr>
              <w:t>人数</w:t>
            </w:r>
          </w:p>
        </w:tc>
        <w:tc>
          <w:tcPr>
            <w:tcW w:w="1230" w:type="dxa"/>
            <w:vMerge w:val="continue"/>
            <w:tcBorders>
              <w:tl2br w:val="nil"/>
              <w:tr2bl w:val="nil"/>
            </w:tcBorders>
            <w:noWrap w:val="0"/>
            <w:vAlign w:val="center"/>
          </w:tcPr>
          <w:p>
            <w:pPr>
              <w:snapToGrid w:val="0"/>
              <w:ind w:firstLine="210"/>
              <w:jc w:val="center"/>
              <w:rPr>
                <w:rFonts w:hint="default" w:ascii="Times New Roman" w:hAnsi="Times New Roman" w:eastAsia="仿宋" w:cs="Times New Roman"/>
                <w:sz w:val="24"/>
                <w:szCs w:val="24"/>
                <w:highlight w:val="none"/>
              </w:rPr>
            </w:pPr>
          </w:p>
        </w:tc>
        <w:tc>
          <w:tcPr>
            <w:tcW w:w="1647" w:type="dxa"/>
            <w:vMerge w:val="continue"/>
            <w:tcBorders>
              <w:tl2br w:val="nil"/>
              <w:tr2bl w:val="nil"/>
            </w:tcBorders>
            <w:noWrap w:val="0"/>
            <w:vAlign w:val="center"/>
          </w:tcPr>
          <w:p>
            <w:pPr>
              <w:snapToGrid w:val="0"/>
              <w:ind w:firstLine="210"/>
              <w:jc w:val="center"/>
              <w:rPr>
                <w:rFonts w:hint="default" w:ascii="Times New Roman" w:hAnsi="Times New Roman" w:eastAsia="仿宋"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6" w:type="dxa"/>
            <w:vMerge w:val="restart"/>
            <w:tcBorders>
              <w:tl2br w:val="nil"/>
              <w:tr2bl w:val="nil"/>
            </w:tcBorders>
            <w:noWrap w:val="0"/>
            <w:vAlign w:val="center"/>
          </w:tcPr>
          <w:p>
            <w:pPr>
              <w:snapToGrid w:val="0"/>
              <w:jc w:val="both"/>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大气环境风险受体</w:t>
            </w:r>
          </w:p>
        </w:tc>
        <w:tc>
          <w:tcPr>
            <w:tcW w:w="1823" w:type="dxa"/>
            <w:tcBorders>
              <w:tl2br w:val="nil"/>
              <w:tr2bl w:val="nil"/>
            </w:tcBorders>
            <w:noWrap w:val="0"/>
            <w:vAlign w:val="center"/>
          </w:tcPr>
          <w:p>
            <w:pPr>
              <w:spacing w:line="240" w:lineRule="exact"/>
              <w:jc w:val="center"/>
              <w:rPr>
                <w:rFonts w:hint="default" w:ascii="Times New Roman" w:hAnsi="Times New Roman" w:eastAsia="仿宋" w:cs="Times New Roman"/>
                <w:iCs/>
                <w:sz w:val="21"/>
                <w:szCs w:val="21"/>
                <w:highlight w:val="none"/>
                <w:lang w:eastAsia="zh-CN" w:bidi="ar-BH"/>
              </w:rPr>
            </w:pPr>
            <w:r>
              <w:rPr>
                <w:rFonts w:hint="default" w:ascii="Times New Roman" w:hAnsi="Times New Roman" w:eastAsia="仿宋" w:cs="Times New Roman"/>
                <w:iCs/>
                <w:sz w:val="21"/>
                <w:szCs w:val="21"/>
                <w:highlight w:val="none"/>
                <w:lang w:eastAsia="zh-CN" w:bidi="ar-BH"/>
              </w:rPr>
              <w:t>新庄村</w:t>
            </w:r>
          </w:p>
        </w:tc>
        <w:tc>
          <w:tcPr>
            <w:tcW w:w="945" w:type="dxa"/>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rPr>
              <w:t>东南侧</w:t>
            </w:r>
          </w:p>
        </w:tc>
        <w:tc>
          <w:tcPr>
            <w:tcW w:w="1080" w:type="dxa"/>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276</w:t>
            </w:r>
          </w:p>
        </w:tc>
        <w:tc>
          <w:tcPr>
            <w:tcW w:w="1230" w:type="dxa"/>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1350</w:t>
            </w:r>
          </w:p>
        </w:tc>
        <w:tc>
          <w:tcPr>
            <w:tcW w:w="1230" w:type="dxa"/>
            <w:vMerge w:val="restart"/>
            <w:tcBorders>
              <w:tl2br w:val="nil"/>
              <w:tr2bl w:val="nil"/>
            </w:tcBorders>
            <w:noWrap w:val="0"/>
            <w:vAlign w:val="center"/>
          </w:tcPr>
          <w:p>
            <w:pPr>
              <w:snapToGrid w:val="0"/>
              <w:jc w:val="center"/>
              <w:rPr>
                <w:rFonts w:hint="default" w:ascii="Times New Roman" w:hAnsi="Times New Roman" w:eastAsia="仿宋" w:cs="Times New Roman"/>
                <w:kern w:val="2"/>
                <w:sz w:val="21"/>
                <w:szCs w:val="21"/>
                <w:highlight w:val="none"/>
                <w:lang w:val="en-US" w:eastAsia="zh-CN" w:bidi="ar-SA"/>
              </w:rPr>
            </w:pPr>
            <w:r>
              <w:rPr>
                <w:rFonts w:hint="default" w:ascii="Times New Roman" w:hAnsi="Times New Roman" w:eastAsia="仿宋" w:cs="Times New Roman"/>
                <w:sz w:val="21"/>
                <w:szCs w:val="21"/>
                <w:highlight w:val="none"/>
              </w:rPr>
              <w:t>人群安全、健康与环境空气</w:t>
            </w:r>
          </w:p>
        </w:tc>
        <w:tc>
          <w:tcPr>
            <w:tcW w:w="1647" w:type="dxa"/>
            <w:vMerge w:val="restart"/>
            <w:tcBorders>
              <w:tl2br w:val="nil"/>
              <w:tr2bl w:val="nil"/>
            </w:tcBorders>
            <w:noWrap w:val="0"/>
            <w:vAlign w:val="center"/>
          </w:tcPr>
          <w:p>
            <w:pPr>
              <w:snapToGrid w:val="0"/>
              <w:jc w:val="both"/>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《环境空气质量标准》（GB3095-2012）二级标准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6" w:type="dxa"/>
            <w:vMerge w:val="continue"/>
            <w:tcBorders>
              <w:tl2br w:val="nil"/>
              <w:tr2bl w:val="nil"/>
            </w:tcBorders>
            <w:noWrap w:val="0"/>
            <w:vAlign w:val="center"/>
          </w:tcPr>
          <w:p>
            <w:pPr>
              <w:snapToGrid w:val="0"/>
              <w:ind w:firstLine="210"/>
              <w:jc w:val="center"/>
              <w:rPr>
                <w:rFonts w:hint="default" w:ascii="Times New Roman" w:hAnsi="Times New Roman" w:eastAsia="仿宋" w:cs="Times New Roman"/>
                <w:sz w:val="21"/>
                <w:szCs w:val="21"/>
                <w:highlight w:val="none"/>
              </w:rPr>
            </w:pPr>
          </w:p>
        </w:tc>
        <w:tc>
          <w:tcPr>
            <w:tcW w:w="182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105" w:leftChars="-50"/>
              <w:jc w:val="center"/>
              <w:textAlignment w:val="auto"/>
              <w:rPr>
                <w:rFonts w:hint="default" w:ascii="Times New Roman" w:hAnsi="Times New Roman" w:eastAsia="仿宋" w:cs="Times New Roman"/>
                <w:iCs/>
                <w:sz w:val="21"/>
                <w:szCs w:val="21"/>
                <w:highlight w:val="none"/>
                <w:lang w:eastAsia="zh-CN" w:bidi="ar-BH"/>
              </w:rPr>
            </w:pPr>
            <w:r>
              <w:rPr>
                <w:rFonts w:hint="default" w:ascii="Times New Roman" w:hAnsi="Times New Roman" w:eastAsia="仿宋" w:cs="Times New Roman"/>
                <w:iCs/>
                <w:sz w:val="21"/>
                <w:szCs w:val="21"/>
                <w:highlight w:val="none"/>
                <w:lang w:eastAsia="zh-CN" w:bidi="ar-BH"/>
              </w:rPr>
              <w:t>周礼佳苑安居小区</w:t>
            </w:r>
          </w:p>
        </w:tc>
        <w:tc>
          <w:tcPr>
            <w:tcW w:w="945" w:type="dxa"/>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西北侧</w:t>
            </w:r>
          </w:p>
        </w:tc>
        <w:tc>
          <w:tcPr>
            <w:tcW w:w="1080" w:type="dxa"/>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724</w:t>
            </w:r>
          </w:p>
        </w:tc>
        <w:tc>
          <w:tcPr>
            <w:tcW w:w="1230" w:type="dxa"/>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1248</w:t>
            </w:r>
          </w:p>
        </w:tc>
        <w:tc>
          <w:tcPr>
            <w:tcW w:w="1230" w:type="dxa"/>
            <w:vMerge w:val="continue"/>
            <w:tcBorders>
              <w:tl2br w:val="nil"/>
              <w:tr2bl w:val="nil"/>
            </w:tcBorders>
            <w:noWrap w:val="0"/>
            <w:vAlign w:val="center"/>
          </w:tcPr>
          <w:p>
            <w:pPr>
              <w:snapToGrid w:val="0"/>
              <w:ind w:firstLine="210"/>
              <w:jc w:val="center"/>
              <w:rPr>
                <w:rFonts w:hint="default" w:ascii="Times New Roman" w:hAnsi="Times New Roman" w:eastAsia="仿宋" w:cs="Times New Roman"/>
                <w:sz w:val="21"/>
                <w:szCs w:val="21"/>
                <w:highlight w:val="none"/>
              </w:rPr>
            </w:pPr>
          </w:p>
        </w:tc>
        <w:tc>
          <w:tcPr>
            <w:tcW w:w="1647" w:type="dxa"/>
            <w:vMerge w:val="continue"/>
            <w:tcBorders>
              <w:tl2br w:val="nil"/>
              <w:tr2bl w:val="nil"/>
            </w:tcBorders>
            <w:noWrap w:val="0"/>
            <w:vAlign w:val="center"/>
          </w:tcPr>
          <w:p>
            <w:pPr>
              <w:snapToGrid w:val="0"/>
              <w:ind w:firstLine="210"/>
              <w:jc w:val="center"/>
              <w:rPr>
                <w:rFonts w:hint="default" w:ascii="Times New Roman" w:hAnsi="Times New Roman" w:eastAsia="仿宋" w:cs="Times New Roman"/>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6" w:type="dxa"/>
            <w:vMerge w:val="continue"/>
            <w:tcBorders>
              <w:tl2br w:val="nil"/>
              <w:tr2bl w:val="nil"/>
            </w:tcBorders>
            <w:noWrap w:val="0"/>
            <w:vAlign w:val="center"/>
          </w:tcPr>
          <w:p>
            <w:pPr>
              <w:snapToGrid w:val="0"/>
              <w:ind w:firstLine="210"/>
              <w:jc w:val="center"/>
              <w:rPr>
                <w:rFonts w:hint="default" w:ascii="Times New Roman" w:hAnsi="Times New Roman" w:eastAsia="仿宋" w:cs="Times New Roman"/>
                <w:sz w:val="21"/>
                <w:szCs w:val="21"/>
                <w:highlight w:val="none"/>
              </w:rPr>
            </w:pPr>
          </w:p>
        </w:tc>
        <w:tc>
          <w:tcPr>
            <w:tcW w:w="1823" w:type="dxa"/>
            <w:tcBorders>
              <w:tl2br w:val="nil"/>
              <w:tr2bl w:val="nil"/>
            </w:tcBorders>
            <w:noWrap w:val="0"/>
            <w:vAlign w:val="center"/>
          </w:tcPr>
          <w:p>
            <w:pPr>
              <w:spacing w:line="240" w:lineRule="exact"/>
              <w:jc w:val="center"/>
              <w:rPr>
                <w:rFonts w:hint="default" w:ascii="Times New Roman" w:hAnsi="Times New Roman" w:eastAsia="仿宋" w:cs="Times New Roman"/>
                <w:iCs/>
                <w:sz w:val="21"/>
                <w:szCs w:val="21"/>
                <w:highlight w:val="none"/>
                <w:lang w:eastAsia="zh-CN" w:bidi="ar-BH"/>
              </w:rPr>
            </w:pPr>
            <w:r>
              <w:rPr>
                <w:rFonts w:hint="default" w:ascii="Times New Roman" w:hAnsi="Times New Roman" w:eastAsia="仿宋" w:cs="Times New Roman"/>
                <w:iCs/>
                <w:sz w:val="21"/>
                <w:szCs w:val="21"/>
                <w:highlight w:val="none"/>
                <w:lang w:eastAsia="zh-CN" w:bidi="ar-BH"/>
              </w:rPr>
              <w:t>南贺村</w:t>
            </w:r>
          </w:p>
        </w:tc>
        <w:tc>
          <w:tcPr>
            <w:tcW w:w="945" w:type="dxa"/>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rPr>
              <w:t>东</w:t>
            </w:r>
            <w:r>
              <w:rPr>
                <w:rFonts w:hint="default" w:ascii="Times New Roman" w:hAnsi="Times New Roman" w:eastAsia="仿宋" w:cs="Times New Roman"/>
                <w:sz w:val="21"/>
                <w:szCs w:val="21"/>
                <w:highlight w:val="none"/>
                <w:lang w:eastAsia="zh-CN"/>
              </w:rPr>
              <w:t>北</w:t>
            </w:r>
            <w:r>
              <w:rPr>
                <w:rFonts w:hint="default" w:ascii="Times New Roman" w:hAnsi="Times New Roman" w:eastAsia="仿宋" w:cs="Times New Roman"/>
                <w:sz w:val="21"/>
                <w:szCs w:val="21"/>
                <w:highlight w:val="none"/>
              </w:rPr>
              <w:t>侧</w:t>
            </w:r>
          </w:p>
        </w:tc>
        <w:tc>
          <w:tcPr>
            <w:tcW w:w="1080" w:type="dxa"/>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1017</w:t>
            </w:r>
          </w:p>
        </w:tc>
        <w:tc>
          <w:tcPr>
            <w:tcW w:w="1230" w:type="dxa"/>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1440</w:t>
            </w:r>
          </w:p>
        </w:tc>
        <w:tc>
          <w:tcPr>
            <w:tcW w:w="1230" w:type="dxa"/>
            <w:vMerge w:val="continue"/>
            <w:tcBorders>
              <w:tl2br w:val="nil"/>
              <w:tr2bl w:val="nil"/>
            </w:tcBorders>
            <w:noWrap w:val="0"/>
            <w:vAlign w:val="center"/>
          </w:tcPr>
          <w:p>
            <w:pPr>
              <w:snapToGrid w:val="0"/>
              <w:ind w:firstLine="210"/>
              <w:jc w:val="center"/>
              <w:rPr>
                <w:rFonts w:hint="default" w:ascii="Times New Roman" w:hAnsi="Times New Roman" w:eastAsia="仿宋" w:cs="Times New Roman"/>
                <w:sz w:val="21"/>
                <w:szCs w:val="21"/>
                <w:highlight w:val="none"/>
              </w:rPr>
            </w:pPr>
          </w:p>
        </w:tc>
        <w:tc>
          <w:tcPr>
            <w:tcW w:w="1647" w:type="dxa"/>
            <w:vMerge w:val="continue"/>
            <w:tcBorders>
              <w:tl2br w:val="nil"/>
              <w:tr2bl w:val="nil"/>
            </w:tcBorders>
            <w:noWrap w:val="0"/>
            <w:vAlign w:val="center"/>
          </w:tcPr>
          <w:p>
            <w:pPr>
              <w:snapToGrid w:val="0"/>
              <w:ind w:firstLine="210"/>
              <w:jc w:val="center"/>
              <w:rPr>
                <w:rFonts w:hint="default" w:ascii="Times New Roman" w:hAnsi="Times New Roman" w:eastAsia="仿宋" w:cs="Times New Roman"/>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6" w:type="dxa"/>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水环境风险受体</w:t>
            </w:r>
          </w:p>
        </w:tc>
        <w:tc>
          <w:tcPr>
            <w:tcW w:w="1823" w:type="dxa"/>
            <w:tcBorders>
              <w:tl2br w:val="nil"/>
              <w:tr2bl w:val="nil"/>
            </w:tcBorders>
            <w:noWrap w:val="0"/>
            <w:vAlign w:val="center"/>
          </w:tcPr>
          <w:p>
            <w:pPr>
              <w:spacing w:line="240" w:lineRule="exact"/>
              <w:jc w:val="center"/>
              <w:rPr>
                <w:rFonts w:hint="default" w:ascii="Times New Roman" w:hAnsi="Times New Roman" w:eastAsia="仿宋" w:cs="Times New Roman"/>
                <w:iCs/>
                <w:spacing w:val="-4"/>
                <w:sz w:val="21"/>
                <w:szCs w:val="21"/>
                <w:highlight w:val="none"/>
                <w:lang w:eastAsia="zh-CN" w:bidi="ar-BH"/>
              </w:rPr>
            </w:pPr>
            <w:r>
              <w:rPr>
                <w:rFonts w:hint="default" w:ascii="Times New Roman" w:hAnsi="Times New Roman" w:eastAsia="仿宋" w:cs="Times New Roman"/>
                <w:iCs/>
                <w:spacing w:val="-4"/>
                <w:sz w:val="21"/>
                <w:szCs w:val="21"/>
                <w:highlight w:val="none"/>
                <w:lang w:eastAsia="zh-CN" w:bidi="ar-BH"/>
              </w:rPr>
              <w:t>渭河</w:t>
            </w:r>
          </w:p>
        </w:tc>
        <w:tc>
          <w:tcPr>
            <w:tcW w:w="945" w:type="dxa"/>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lang w:eastAsia="zh-CN"/>
              </w:rPr>
              <w:t>南</w:t>
            </w:r>
            <w:r>
              <w:rPr>
                <w:rFonts w:hint="default" w:ascii="Times New Roman" w:hAnsi="Times New Roman" w:eastAsia="仿宋" w:cs="Times New Roman"/>
                <w:sz w:val="21"/>
                <w:szCs w:val="21"/>
                <w:highlight w:val="none"/>
              </w:rPr>
              <w:t>侧</w:t>
            </w:r>
          </w:p>
        </w:tc>
        <w:tc>
          <w:tcPr>
            <w:tcW w:w="1080" w:type="dxa"/>
            <w:tcBorders>
              <w:tl2br w:val="nil"/>
              <w:tr2bl w:val="nil"/>
            </w:tcBorders>
            <w:noWrap w:val="0"/>
            <w:vAlign w:val="center"/>
          </w:tcPr>
          <w:p>
            <w:pPr>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5500</w:t>
            </w:r>
          </w:p>
        </w:tc>
        <w:tc>
          <w:tcPr>
            <w:tcW w:w="1230" w:type="dxa"/>
            <w:tcBorders>
              <w:tl2br w:val="nil"/>
              <w:tr2bl w:val="nil"/>
            </w:tcBorders>
            <w:noWrap w:val="0"/>
            <w:vAlign w:val="center"/>
          </w:tcPr>
          <w:p>
            <w:pPr>
              <w:snapToGrid w:val="0"/>
              <w:ind w:firstLine="210"/>
              <w:jc w:val="center"/>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大河</w:t>
            </w:r>
          </w:p>
        </w:tc>
        <w:tc>
          <w:tcPr>
            <w:tcW w:w="1230" w:type="dxa"/>
            <w:tcBorders>
              <w:tl2br w:val="nil"/>
              <w:tr2bl w:val="nil"/>
            </w:tcBorders>
            <w:noWrap w:val="0"/>
            <w:vAlign w:val="center"/>
          </w:tcPr>
          <w:p>
            <w:pPr>
              <w:snapToGrid w:val="0"/>
              <w:jc w:val="both"/>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rPr>
              <w:t>地表</w:t>
            </w:r>
            <w:r>
              <w:rPr>
                <w:rFonts w:hint="default" w:ascii="Times New Roman" w:hAnsi="Times New Roman" w:eastAsia="仿宋" w:cs="Times New Roman"/>
                <w:sz w:val="21"/>
                <w:szCs w:val="21"/>
                <w:highlight w:val="none"/>
                <w:lang w:eastAsia="zh-CN"/>
              </w:rPr>
              <w:t>水质</w:t>
            </w:r>
          </w:p>
        </w:tc>
        <w:tc>
          <w:tcPr>
            <w:tcW w:w="1647" w:type="dxa"/>
            <w:tcBorders>
              <w:tl2br w:val="nil"/>
              <w:tr2bl w:val="nil"/>
            </w:tcBorders>
            <w:noWrap w:val="0"/>
            <w:vAlign w:val="center"/>
          </w:tcPr>
          <w:p>
            <w:pPr>
              <w:snapToGrid w:val="0"/>
              <w:jc w:val="both"/>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《地表水环境质量标准》（GB3838-2002）Ⅳ类</w:t>
            </w:r>
          </w:p>
        </w:tc>
      </w:tr>
    </w:tbl>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57" w:name="_Toc1973"/>
      <w:bookmarkStart w:id="58" w:name="_Toc31001"/>
      <w:r>
        <w:rPr>
          <w:rFonts w:hint="default" w:ascii="Times New Roman" w:hAnsi="Times New Roman" w:eastAsia="仿宋" w:cs="Times New Roman"/>
          <w:b/>
          <w:bCs/>
          <w:kern w:val="2"/>
          <w:sz w:val="32"/>
          <w:szCs w:val="32"/>
          <w:lang w:val="en-US" w:eastAsia="zh-CN" w:bidi="ar-SA"/>
        </w:rPr>
        <w:t>3.3涉及环境风险物质情况</w:t>
      </w:r>
      <w:bookmarkEnd w:id="57"/>
      <w:bookmarkEnd w:id="58"/>
    </w:p>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bookmarkStart w:id="59" w:name="_Toc21370"/>
      <w:r>
        <w:rPr>
          <w:rFonts w:hint="default" w:ascii="Times New Roman" w:hAnsi="Times New Roman" w:eastAsia="仿宋" w:cs="Times New Roman"/>
          <w:b/>
          <w:bCs/>
          <w:kern w:val="2"/>
          <w:sz w:val="30"/>
          <w:szCs w:val="32"/>
          <w:lang w:val="en-US" w:eastAsia="zh-CN" w:bidi="ar-SA"/>
        </w:rPr>
        <w:t>3.3.1危险化学品识别</w:t>
      </w:r>
      <w:bookmarkEnd w:id="59"/>
    </w:p>
    <w:p>
      <w:pPr>
        <w:tabs>
          <w:tab w:val="left" w:pos="294"/>
        </w:tabs>
        <w:spacing w:line="360" w:lineRule="auto"/>
        <w:ind w:firstLine="560" w:firstLineChars="200"/>
        <w:rPr>
          <w:rFonts w:hint="default" w:ascii="Times New Roman" w:hAnsi="Times New Roman" w:eastAsia="仿宋" w:cs="Times New Roman"/>
          <w:color w:val="000000"/>
          <w:sz w:val="28"/>
          <w:szCs w:val="28"/>
          <w:highlight w:val="none"/>
          <w:lang w:val="zh-CN"/>
        </w:rPr>
      </w:pPr>
      <w:r>
        <w:rPr>
          <w:rFonts w:hint="default" w:ascii="Times New Roman" w:hAnsi="Times New Roman" w:eastAsia="仿宋" w:cs="Times New Roman"/>
          <w:color w:val="000000"/>
          <w:sz w:val="28"/>
          <w:szCs w:val="28"/>
          <w:highlight w:val="none"/>
        </w:rPr>
        <w:t>根据《建设项目环境风险评价技术导则》（HJ169-2018）物质的危险性识别，结合</w:t>
      </w:r>
      <w:r>
        <w:rPr>
          <w:rFonts w:hint="default" w:ascii="Times New Roman" w:hAnsi="Times New Roman" w:eastAsia="仿宋" w:cs="Times New Roman"/>
          <w:color w:val="000000"/>
          <w:sz w:val="28"/>
          <w:szCs w:val="28"/>
          <w:highlight w:val="none"/>
          <w:lang w:val="zh-CN"/>
        </w:rPr>
        <w:t>《危险化学品</w:t>
      </w:r>
      <w:r>
        <w:rPr>
          <w:rFonts w:hint="default" w:ascii="Times New Roman" w:hAnsi="Times New Roman" w:eastAsia="仿宋" w:cs="Times New Roman"/>
          <w:color w:val="000000"/>
          <w:sz w:val="28"/>
          <w:szCs w:val="28"/>
          <w:highlight w:val="none"/>
        </w:rPr>
        <w:t>重大危险源辨识</w:t>
      </w:r>
      <w:r>
        <w:rPr>
          <w:rFonts w:hint="default" w:ascii="Times New Roman" w:hAnsi="Times New Roman" w:eastAsia="仿宋" w:cs="Times New Roman"/>
          <w:color w:val="000000"/>
          <w:sz w:val="28"/>
          <w:szCs w:val="28"/>
          <w:highlight w:val="none"/>
          <w:lang w:val="zh-CN"/>
        </w:rPr>
        <w:t>》</w:t>
      </w:r>
      <w:r>
        <w:rPr>
          <w:rFonts w:hint="default" w:ascii="Times New Roman" w:hAnsi="Times New Roman" w:eastAsia="仿宋" w:cs="Times New Roman"/>
          <w:color w:val="000000"/>
          <w:sz w:val="28"/>
          <w:szCs w:val="28"/>
          <w:highlight w:val="none"/>
        </w:rPr>
        <w:t>（GB18218-2018）表1</w:t>
      </w:r>
      <w:r>
        <w:rPr>
          <w:rFonts w:hint="default" w:ascii="Times New Roman" w:hAnsi="Times New Roman" w:eastAsia="仿宋" w:cs="Times New Roman"/>
          <w:color w:val="000000"/>
          <w:sz w:val="28"/>
          <w:szCs w:val="28"/>
          <w:highlight w:val="none"/>
          <w:lang w:val="en-US" w:eastAsia="zh-CN"/>
        </w:rPr>
        <w:t>以及建设单位提供的原、辅材料名称用量和固体废物名称产生量资料</w:t>
      </w:r>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color w:val="000000"/>
          <w:sz w:val="28"/>
          <w:szCs w:val="28"/>
          <w:highlight w:val="none"/>
          <w:lang w:val="en-US" w:eastAsia="zh-CN"/>
        </w:rPr>
        <w:t>分析项目</w:t>
      </w:r>
      <w:r>
        <w:rPr>
          <w:rFonts w:hint="default" w:ascii="Times New Roman" w:hAnsi="Times New Roman" w:eastAsia="仿宋" w:cs="Times New Roman"/>
          <w:color w:val="000000"/>
          <w:sz w:val="28"/>
          <w:szCs w:val="28"/>
          <w:highlight w:val="none"/>
          <w:lang w:val="zh-CN"/>
        </w:rPr>
        <w:t>突发环境事件风险物质情况见表</w:t>
      </w:r>
      <w:r>
        <w:rPr>
          <w:rFonts w:hint="default" w:ascii="Times New Roman" w:hAnsi="Times New Roman" w:eastAsia="仿宋" w:cs="Times New Roman"/>
          <w:color w:val="000000"/>
          <w:sz w:val="28"/>
          <w:szCs w:val="28"/>
          <w:highlight w:val="none"/>
        </w:rPr>
        <w:t>结果见表</w:t>
      </w:r>
      <w:r>
        <w:rPr>
          <w:rFonts w:hint="default" w:ascii="Times New Roman" w:hAnsi="Times New Roman" w:eastAsia="仿宋" w:cs="Times New Roman"/>
          <w:color w:val="000000"/>
          <w:sz w:val="28"/>
          <w:szCs w:val="28"/>
          <w:highlight w:val="none"/>
          <w:lang w:val="en-US" w:eastAsia="zh-CN"/>
        </w:rPr>
        <w:t>3-4</w:t>
      </w:r>
      <w:r>
        <w:rPr>
          <w:rFonts w:hint="default" w:ascii="Times New Roman" w:hAnsi="Times New Roman" w:eastAsia="仿宋" w:cs="Times New Roman"/>
          <w:color w:val="000000"/>
          <w:sz w:val="28"/>
          <w:szCs w:val="28"/>
          <w:highlight w:val="none"/>
          <w:lang w:val="zh-CN"/>
        </w:rPr>
        <w:t>。</w:t>
      </w:r>
    </w:p>
    <w:p>
      <w:pPr>
        <w:widowControl w:val="0"/>
        <w:spacing w:line="360" w:lineRule="auto"/>
        <w:ind w:left="0" w:leftChars="0" w:firstLine="0" w:firstLineChars="0"/>
        <w:jc w:val="center"/>
        <w:rPr>
          <w:rFonts w:hint="default" w:ascii="Times New Roman" w:hAnsi="Times New Roman" w:eastAsia="仿宋" w:cs="Times New Roman"/>
          <w:b/>
          <w:bCs/>
          <w:color w:val="000000"/>
          <w:kern w:val="2"/>
          <w:sz w:val="24"/>
          <w:szCs w:val="24"/>
          <w:lang w:val="en-US" w:eastAsia="zh-CN" w:bidi="ar-SA"/>
        </w:rPr>
      </w:pPr>
      <w:r>
        <w:rPr>
          <w:rFonts w:hint="default" w:ascii="Times New Roman" w:hAnsi="Times New Roman" w:eastAsia="仿宋" w:cs="Times New Roman"/>
          <w:b/>
          <w:bCs/>
          <w:color w:val="000000"/>
          <w:kern w:val="2"/>
          <w:sz w:val="24"/>
          <w:szCs w:val="24"/>
          <w:lang w:val="en-US" w:eastAsia="zh-CN" w:bidi="ar-SA"/>
        </w:rPr>
        <w:t>表3-4 突发环境事件风险物质情况</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65"/>
        <w:gridCol w:w="2505"/>
        <w:gridCol w:w="1300"/>
        <w:gridCol w:w="1749"/>
        <w:gridCol w:w="1378"/>
        <w:gridCol w:w="13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序号</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物质名称</w:t>
            </w:r>
          </w:p>
        </w:tc>
        <w:tc>
          <w:tcPr>
            <w:tcW w:w="1300"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CAS号</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lang w:val="en-US" w:eastAsia="zh-CN"/>
              </w:rPr>
              <w:t>最大存放</w:t>
            </w:r>
            <w:r>
              <w:rPr>
                <w:rFonts w:hint="default" w:ascii="Times New Roman" w:hAnsi="Times New Roman" w:eastAsia="仿宋" w:cs="Times New Roman"/>
                <w:b w:val="0"/>
                <w:bCs w:val="0"/>
                <w:color w:val="000000"/>
                <w:kern w:val="0"/>
                <w:sz w:val="24"/>
                <w:szCs w:val="24"/>
                <w:highlight w:val="none"/>
              </w:rPr>
              <w:t>量（t）</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eastAsia="zh-CN"/>
              </w:rPr>
            </w:pPr>
            <w:r>
              <w:rPr>
                <w:rFonts w:hint="default" w:ascii="Times New Roman" w:hAnsi="Times New Roman" w:eastAsia="仿宋" w:cs="Times New Roman"/>
                <w:b w:val="0"/>
                <w:bCs w:val="0"/>
                <w:color w:val="000000"/>
                <w:kern w:val="0"/>
                <w:sz w:val="24"/>
                <w:szCs w:val="24"/>
                <w:highlight w:val="none"/>
                <w:lang w:val="en-US" w:eastAsia="zh-CN"/>
              </w:rPr>
              <w:t>存储位置</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存储方式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1</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lang w:eastAsia="zh-CN"/>
              </w:rPr>
              <w:t>油类物质（废乳化液）</w:t>
            </w:r>
          </w:p>
        </w:tc>
        <w:tc>
          <w:tcPr>
            <w:tcW w:w="1300"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Cs/>
                <w:sz w:val="24"/>
                <w:szCs w:val="24"/>
                <w:highlight w:val="none"/>
              </w:rPr>
              <w:t>68916-43-8</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0.008</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危废间</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桶装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2</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eastAsia="zh-CN"/>
              </w:rPr>
              <w:t>油类物质（乳化液）</w:t>
            </w:r>
          </w:p>
        </w:tc>
        <w:tc>
          <w:tcPr>
            <w:tcW w:w="1300"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bidi="ar"/>
              </w:rPr>
            </w:pPr>
            <w:r>
              <w:rPr>
                <w:rFonts w:hint="default" w:ascii="Times New Roman" w:hAnsi="Times New Roman" w:eastAsia="仿宋" w:cs="Times New Roman"/>
                <w:b/>
                <w:bCs/>
                <w:sz w:val="24"/>
                <w:szCs w:val="24"/>
                <w:highlight w:val="none"/>
              </w:rPr>
              <w:t>68916-43-8</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0.018</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原料库</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桶装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3</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eastAsia="zh-CN"/>
              </w:rPr>
            </w:pPr>
            <w:r>
              <w:rPr>
                <w:rFonts w:hint="default" w:ascii="Times New Roman" w:hAnsi="Times New Roman" w:eastAsia="仿宋" w:cs="Times New Roman"/>
                <w:b w:val="0"/>
                <w:bCs w:val="0"/>
                <w:color w:val="000000"/>
                <w:kern w:val="0"/>
                <w:sz w:val="24"/>
                <w:szCs w:val="24"/>
                <w:highlight w:val="none"/>
                <w:lang w:eastAsia="zh-CN"/>
              </w:rPr>
              <w:t>油类物质（废机油）</w:t>
            </w:r>
          </w:p>
        </w:tc>
        <w:tc>
          <w:tcPr>
            <w:tcW w:w="1300"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bidi="ar"/>
              </w:rPr>
            </w:pPr>
            <w:r>
              <w:rPr>
                <w:rFonts w:hint="default" w:ascii="Times New Roman" w:hAnsi="Times New Roman" w:eastAsia="仿宋" w:cs="Times New Roman"/>
                <w:b w:val="0"/>
                <w:bCs w:val="0"/>
                <w:color w:val="000000"/>
                <w:kern w:val="0"/>
                <w:sz w:val="24"/>
                <w:szCs w:val="24"/>
                <w:highlight w:val="none"/>
                <w:lang w:val="en-US" w:eastAsia="zh-CN" w:bidi="ar"/>
              </w:rPr>
              <w:t>/</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0.002</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危废间</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桶装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4</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eastAsia="zh-CN"/>
              </w:rPr>
            </w:pPr>
            <w:r>
              <w:rPr>
                <w:rFonts w:hint="default" w:ascii="Times New Roman" w:hAnsi="Times New Roman" w:eastAsia="仿宋" w:cs="Times New Roman"/>
                <w:b/>
                <w:bCs/>
                <w:color w:val="000000"/>
                <w:kern w:val="0"/>
                <w:sz w:val="24"/>
                <w:szCs w:val="24"/>
                <w:highlight w:val="none"/>
                <w:lang w:eastAsia="zh-CN"/>
              </w:rPr>
              <w:t>油类物质（机油）</w:t>
            </w:r>
          </w:p>
        </w:tc>
        <w:tc>
          <w:tcPr>
            <w:tcW w:w="1300" w:type="dxa"/>
            <w:noWrap w:val="0"/>
            <w:vAlign w:val="center"/>
          </w:tcPr>
          <w:p>
            <w:pPr>
              <w:widowControl/>
              <w:jc w:val="center"/>
              <w:rPr>
                <w:rFonts w:hint="default" w:ascii="Times New Roman" w:hAnsi="Times New Roman" w:eastAsia="仿宋" w:cs="Times New Roman"/>
                <w:i w:val="0"/>
                <w:caps w:val="0"/>
                <w:color w:val="333333"/>
                <w:spacing w:val="0"/>
                <w:sz w:val="24"/>
                <w:szCs w:val="24"/>
                <w:highlight w:val="none"/>
                <w:shd w:val="clear" w:color="auto" w:fill="FFFFFF"/>
              </w:rPr>
            </w:pPr>
            <w:r>
              <w:rPr>
                <w:rFonts w:hint="default" w:ascii="Times New Roman" w:hAnsi="Times New Roman" w:eastAsia="仿宋" w:cs="Times New Roman"/>
                <w:b/>
                <w:bCs/>
                <w:color w:val="000000"/>
                <w:kern w:val="0"/>
                <w:sz w:val="24"/>
                <w:szCs w:val="24"/>
                <w:highlight w:val="none"/>
                <w:lang w:val="en-US" w:eastAsia="zh-CN" w:bidi="ar"/>
              </w:rPr>
              <w:t>/</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0.000182</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原料库</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桶装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5</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eastAsia="zh-CN"/>
              </w:rPr>
            </w:pPr>
            <w:r>
              <w:rPr>
                <w:rFonts w:hint="default" w:ascii="Times New Roman" w:hAnsi="Times New Roman" w:eastAsia="仿宋" w:cs="Times New Roman"/>
                <w:b w:val="0"/>
                <w:bCs w:val="0"/>
                <w:color w:val="000000"/>
                <w:kern w:val="0"/>
                <w:sz w:val="24"/>
                <w:szCs w:val="24"/>
                <w:highlight w:val="none"/>
                <w:lang w:eastAsia="zh-CN"/>
              </w:rPr>
              <w:t>钼及其化合物（废钼丝）</w:t>
            </w:r>
          </w:p>
        </w:tc>
        <w:tc>
          <w:tcPr>
            <w:tcW w:w="1300" w:type="dxa"/>
            <w:noWrap w:val="0"/>
            <w:vAlign w:val="center"/>
          </w:tcPr>
          <w:p>
            <w:pPr>
              <w:widowControl/>
              <w:jc w:val="center"/>
              <w:rPr>
                <w:rFonts w:hint="default" w:ascii="Times New Roman" w:hAnsi="Times New Roman" w:eastAsia="仿宋" w:cs="Times New Roman"/>
                <w:i w:val="0"/>
                <w:caps w:val="0"/>
                <w:color w:val="333333"/>
                <w:spacing w:val="0"/>
                <w:sz w:val="24"/>
                <w:szCs w:val="24"/>
                <w:highlight w:val="none"/>
                <w:shd w:val="clear" w:color="auto" w:fill="FFFFFF"/>
              </w:rPr>
            </w:pPr>
            <w:r>
              <w:rPr>
                <w:rFonts w:hint="default" w:ascii="Times New Roman" w:hAnsi="Times New Roman" w:eastAsia="仿宋" w:cs="Times New Roman"/>
                <w:i w:val="0"/>
                <w:caps w:val="0"/>
                <w:color w:val="333333"/>
                <w:spacing w:val="0"/>
                <w:sz w:val="24"/>
                <w:szCs w:val="24"/>
                <w:highlight w:val="none"/>
                <w:shd w:val="clear" w:color="auto" w:fill="FFFFFF"/>
              </w:rPr>
              <w:t>7439-98-7</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0.001</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危废间</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箱装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6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6</w:t>
            </w:r>
          </w:p>
        </w:tc>
        <w:tc>
          <w:tcPr>
            <w:tcW w:w="2505"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eastAsia="zh-CN"/>
              </w:rPr>
            </w:pPr>
            <w:r>
              <w:rPr>
                <w:rFonts w:hint="default" w:ascii="Times New Roman" w:hAnsi="Times New Roman" w:eastAsia="仿宋" w:cs="Times New Roman"/>
                <w:b/>
                <w:bCs/>
                <w:color w:val="000000"/>
                <w:kern w:val="0"/>
                <w:sz w:val="24"/>
                <w:szCs w:val="24"/>
                <w:highlight w:val="none"/>
                <w:lang w:eastAsia="zh-CN"/>
              </w:rPr>
              <w:t>钼及其化合物（钼丝）</w:t>
            </w:r>
          </w:p>
        </w:tc>
        <w:tc>
          <w:tcPr>
            <w:tcW w:w="1300" w:type="dxa"/>
            <w:noWrap w:val="0"/>
            <w:vAlign w:val="center"/>
          </w:tcPr>
          <w:p>
            <w:pPr>
              <w:widowControl/>
              <w:jc w:val="center"/>
              <w:rPr>
                <w:rFonts w:hint="default" w:ascii="Times New Roman" w:hAnsi="Times New Roman" w:eastAsia="仿宋" w:cs="Times New Roman"/>
                <w:i w:val="0"/>
                <w:caps w:val="0"/>
                <w:color w:val="333333"/>
                <w:spacing w:val="0"/>
                <w:sz w:val="24"/>
                <w:szCs w:val="24"/>
                <w:highlight w:val="none"/>
                <w:shd w:val="clear" w:color="auto" w:fill="FFFFFF"/>
              </w:rPr>
            </w:pPr>
            <w:r>
              <w:rPr>
                <w:rFonts w:hint="default" w:ascii="Times New Roman" w:hAnsi="Times New Roman" w:eastAsia="仿宋" w:cs="Times New Roman"/>
                <w:b/>
                <w:bCs/>
                <w:i w:val="0"/>
                <w:caps w:val="0"/>
                <w:color w:val="333333"/>
                <w:spacing w:val="0"/>
                <w:sz w:val="24"/>
                <w:szCs w:val="24"/>
                <w:highlight w:val="none"/>
                <w:shd w:val="clear" w:color="auto" w:fill="FFFFFF"/>
              </w:rPr>
              <w:t>7439-98-7</w:t>
            </w:r>
          </w:p>
        </w:tc>
        <w:tc>
          <w:tcPr>
            <w:tcW w:w="174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0.0001</w:t>
            </w:r>
          </w:p>
        </w:tc>
        <w:tc>
          <w:tcPr>
            <w:tcW w:w="137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原料库</w:t>
            </w:r>
          </w:p>
        </w:tc>
        <w:tc>
          <w:tcPr>
            <w:tcW w:w="1374"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箱装</w:t>
            </w:r>
          </w:p>
        </w:tc>
      </w:tr>
    </w:tbl>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r>
        <w:rPr>
          <w:rFonts w:hint="default" w:ascii="Times New Roman" w:hAnsi="Times New Roman" w:eastAsia="仿宋" w:cs="Times New Roman"/>
          <w:b/>
          <w:bCs/>
          <w:kern w:val="2"/>
          <w:sz w:val="30"/>
          <w:szCs w:val="32"/>
          <w:lang w:val="en-US" w:eastAsia="zh-CN" w:bidi="ar-SA"/>
        </w:rPr>
        <w:t>3.3.2主要物质理化性质</w:t>
      </w:r>
    </w:p>
    <w:p>
      <w:pPr>
        <w:widowControl w:val="0"/>
        <w:spacing w:line="360" w:lineRule="auto"/>
        <w:ind w:left="0" w:leftChars="0" w:firstLine="0" w:firstLineChars="0"/>
        <w:jc w:val="center"/>
        <w:rPr>
          <w:rFonts w:hint="default" w:ascii="Times New Roman" w:hAnsi="Times New Roman" w:eastAsia="仿宋" w:cs="Times New Roman"/>
          <w:b/>
          <w:bCs/>
          <w:color w:val="000000"/>
          <w:kern w:val="2"/>
          <w:sz w:val="24"/>
          <w:szCs w:val="24"/>
          <w:lang w:val="en-US" w:eastAsia="zh-CN" w:bidi="ar-SA"/>
        </w:rPr>
      </w:pPr>
      <w:r>
        <w:rPr>
          <w:rFonts w:hint="default" w:ascii="Times New Roman" w:hAnsi="Times New Roman" w:eastAsia="仿宋" w:cs="Times New Roman"/>
          <w:b/>
          <w:bCs/>
          <w:color w:val="000000"/>
          <w:kern w:val="2"/>
          <w:sz w:val="24"/>
          <w:szCs w:val="24"/>
          <w:lang w:val="en-US" w:eastAsia="zh-CN" w:bidi="ar-SA"/>
        </w:rPr>
        <w:t>表3-5机油的理化性质及危险特性</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042"/>
        <w:gridCol w:w="38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34" w:type="dxa"/>
            <w:vMerge w:val="restar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标识</w:t>
            </w:r>
          </w:p>
        </w:tc>
        <w:tc>
          <w:tcPr>
            <w:tcW w:w="4042"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中文名：机油/润滑油</w:t>
            </w: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英文名：Lube oil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134" w:type="dxa"/>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p>
        </w:tc>
        <w:tc>
          <w:tcPr>
            <w:tcW w:w="4042"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CAS号：NA</w:t>
            </w: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分子量：230~500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134" w:type="dxa"/>
            <w:vMerge w:val="restar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理化</w:t>
            </w:r>
          </w:p>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性质</w:t>
            </w:r>
          </w:p>
        </w:tc>
        <w:tc>
          <w:tcPr>
            <w:tcW w:w="4042" w:type="dxa"/>
            <w:vMerge w:val="restart"/>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外观与形状：油状液体，淡黄色至褐色，无气味或略带异味</w:t>
            </w: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引燃温度（℃）：248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4" w:type="dxa"/>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p>
        </w:tc>
        <w:tc>
          <w:tcPr>
            <w:tcW w:w="4042" w:type="dxa"/>
            <w:vMerge w:val="continue"/>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闪点（℃）：76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134" w:type="dxa"/>
            <w:vMerge w:val="restar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危险</w:t>
            </w:r>
          </w:p>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特性</w:t>
            </w:r>
          </w:p>
        </w:tc>
        <w:tc>
          <w:tcPr>
            <w:tcW w:w="4042" w:type="dxa"/>
            <w:vMerge w:val="restart"/>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灭火方法：消防人员须佩戴防毒面具、穿全身消防服，在上风向灭火。尽可能将容器从火场移至空旷处。喷水保持火场容器冷却，直至灭火结束。处在火场中的容器若已变色或从安全泄压装置中产生声音，必须马上撤离。灭火剂：雾状水、泡沫、干粉、二氧化碳、砂土。</w:t>
            </w: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危险特性：遇明火、高温可燃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134" w:type="dxa"/>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p>
        </w:tc>
        <w:tc>
          <w:tcPr>
            <w:tcW w:w="4042" w:type="dxa"/>
            <w:vMerge w:val="continue"/>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燃烧性：可燃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134" w:type="dxa"/>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p>
        </w:tc>
        <w:tc>
          <w:tcPr>
            <w:tcW w:w="4042" w:type="dxa"/>
            <w:vMerge w:val="continue"/>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有害燃烧产物：一氧化碳、二氧化碳。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134" w:type="dxa"/>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highlight w:val="none"/>
              </w:rPr>
            </w:pPr>
          </w:p>
        </w:tc>
        <w:tc>
          <w:tcPr>
            <w:tcW w:w="4042" w:type="dxa"/>
            <w:vMerge w:val="continue"/>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color w:val="auto"/>
                <w:sz w:val="24"/>
                <w:szCs w:val="24"/>
                <w:highlight w:val="none"/>
              </w:rPr>
            </w:pP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禁配物：强氧化剂。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134" w:type="dxa"/>
            <w:vMerge w:val="restar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健康</w:t>
            </w:r>
          </w:p>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危害</w:t>
            </w:r>
          </w:p>
        </w:tc>
        <w:tc>
          <w:tcPr>
            <w:tcW w:w="7937"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侵入途径：皮肤接触、眼睛接触、吸入、食入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1134" w:type="dxa"/>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p>
        </w:tc>
        <w:tc>
          <w:tcPr>
            <w:tcW w:w="7937"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健康危害：急性吸入，可出现乏力、头晕、头痛、恶心，严重者可引起油脂性肺</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炎。慢接触者，暴露部位可发生油性痤疮和接触性皮炎。可引起神经</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衰弱综合征，呼吸道和眼刺激症状及慢性油脂性肺炎。有资料报道，</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接触石油润滑油类的工人，有致癌的病例报告。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1134" w:type="dxa"/>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急救</w:t>
            </w:r>
          </w:p>
        </w:tc>
        <w:tc>
          <w:tcPr>
            <w:tcW w:w="7937"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皮肤接触：脱去污染的衣着，用大量流动清水冲洗。就医。</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眼睛接触：提起眼睑，用流动清水或生理盐水冲洗。就医。</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吸入：迅速脱离现场至空气新鲜处。保持呼吸道通畅。如呼吸困难，给输氧。如呼吸停止，立即进行人工呼吸。就医。食入：饮足量温水，催吐。就医。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1134" w:type="dxa"/>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个体</w:t>
            </w:r>
          </w:p>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防护</w:t>
            </w:r>
          </w:p>
        </w:tc>
        <w:tc>
          <w:tcPr>
            <w:tcW w:w="7937"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工程控制：密闭操作，注意通风。</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呼吸系统防护：空气中浓度超标时，必须佩戴自吸过滤式防毒面具（半面罩）紧急事态抢救或撤离时，应该佩戴空气呼吸器。</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眼睛防护：戴化学安全防护眼镜。</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身体防护：穿防毒物渗透工作服。</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手防护：戴橡胶耐油手套。</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其他防护：工作现场严禁吸烟。避免长期反复接触。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1134" w:type="dxa"/>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操作处置与储存</w:t>
            </w:r>
          </w:p>
        </w:tc>
        <w:tc>
          <w:tcPr>
            <w:tcW w:w="7937"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操作注意事项：密闭操作，注意通风。操作人员必须经过专门培训，严格遵守操作规程。建议操作人员佩戴自吸过滤式防毒面具（半面罩），戴化学安全防护眼镜，穿防毒物渗透工作服，戴橡胶耐油手套。远离火种、热源，工作场所严禁吸烟。使用防爆型的通风系统和设备。防止蒸气泄漏到工作场所空气中。避免与氧化剂接触。搬运时要轻装轻卸，防止包装及容器损坏。配备相应品种和数量的消防器材及泄漏应急处理设备。倒空的容器可能残留有害物。</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储存注意事项：储存于阴凉、通风的库房。远离火种、热源。应与氧化剂分开存放，</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切忌混储。配备相应品种和数量的消防器材。储区应备有泄漏应急处</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理设备和合适的收容材料。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1134" w:type="dxa"/>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泄漏</w:t>
            </w:r>
          </w:p>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处理</w:t>
            </w:r>
          </w:p>
        </w:tc>
        <w:tc>
          <w:tcPr>
            <w:tcW w:w="7937"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迅速撤离泄漏污染区人员至安全区，并进行隔离，严格限制出入。切断火源。建议应急处理人员戴自给正压式呼吸器，穿防毒服。尽可能切断泄漏源。防止流入下水道、排洪沟等限制性空间。小量泄漏：用砂土或其它不燃材料吸附或吸收。大量泄漏：构筑围堤或挖坑收容。用泵转移至槽车或专用收集器内，回收或运至废物处理场所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1134" w:type="dxa"/>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运输</w:t>
            </w:r>
          </w:p>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信息</w:t>
            </w:r>
          </w:p>
        </w:tc>
        <w:tc>
          <w:tcPr>
            <w:tcW w:w="7937"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bCs/>
                <w:color w:val="auto"/>
                <w:sz w:val="24"/>
                <w:szCs w:val="24"/>
                <w:highlight w:val="none"/>
              </w:rPr>
              <w:t>危险货物编号：无资料</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包装类别：Z01</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包装方法：无资料</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运输注意事项：运输前应先检查包装容器是否完整、密封，运输过程中要确保容器不泄漏、不倒塌、不坠落、不损坏。严禁与氧化剂、食用化学品等混装混运。运输车船必须彻底清洗、消毒，否则不得装运其它物品。船运时，配装位置应远离卧室、厨房，并与机舱、电源、火源等部位隔离。公路运输时要按规定路线行驶。</w:t>
            </w:r>
          </w:p>
        </w:tc>
      </w:tr>
    </w:tbl>
    <w:p>
      <w:pPr>
        <w:widowControl w:val="0"/>
        <w:spacing w:line="360" w:lineRule="auto"/>
        <w:ind w:left="0" w:leftChars="0" w:firstLine="0" w:firstLineChars="0"/>
        <w:jc w:val="center"/>
        <w:rPr>
          <w:rFonts w:hint="default" w:ascii="Times New Roman" w:hAnsi="Times New Roman" w:eastAsia="仿宋" w:cs="Times New Roman"/>
          <w:b/>
          <w:bCs/>
          <w:color w:val="000000"/>
          <w:kern w:val="2"/>
          <w:sz w:val="24"/>
          <w:szCs w:val="24"/>
          <w:lang w:val="en-US" w:eastAsia="zh-CN" w:bidi="ar-SA"/>
        </w:rPr>
      </w:pPr>
      <w:r>
        <w:rPr>
          <w:rFonts w:hint="default" w:ascii="Times New Roman" w:hAnsi="Times New Roman" w:eastAsia="仿宋" w:cs="Times New Roman"/>
          <w:b/>
          <w:bCs/>
          <w:color w:val="000000"/>
          <w:kern w:val="2"/>
          <w:sz w:val="24"/>
          <w:szCs w:val="24"/>
          <w:lang w:val="en-US" w:eastAsia="zh-CN" w:bidi="ar-SA"/>
        </w:rPr>
        <w:t>表3-6乳化液的理化性质及危险特性</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042"/>
        <w:gridCol w:w="38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vMerge w:val="restart"/>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标识</w:t>
            </w:r>
          </w:p>
        </w:tc>
        <w:tc>
          <w:tcPr>
            <w:tcW w:w="4042"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中文名：乳化液/切削液</w:t>
            </w:r>
          </w:p>
        </w:tc>
        <w:tc>
          <w:tcPr>
            <w:tcW w:w="3895"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英文名：/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vMerge w:val="continue"/>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p>
        </w:tc>
        <w:tc>
          <w:tcPr>
            <w:tcW w:w="4042"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CAS号：68916-43-8</w:t>
            </w:r>
          </w:p>
        </w:tc>
        <w:tc>
          <w:tcPr>
            <w:tcW w:w="3895"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分子量：/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理化性质</w:t>
            </w:r>
          </w:p>
        </w:tc>
        <w:tc>
          <w:tcPr>
            <w:tcW w:w="4042"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外观与形状:黄棕色透明水溶液</w:t>
            </w:r>
          </w:p>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溶解性：与水混溶</w:t>
            </w:r>
          </w:p>
        </w:tc>
        <w:tc>
          <w:tcPr>
            <w:tcW w:w="3895"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沸点（℃）：1.02~1.15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危险特性</w:t>
            </w:r>
          </w:p>
        </w:tc>
        <w:tc>
          <w:tcPr>
            <w:tcW w:w="7937"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本品为水溶性，不易燃、不易爆，无放射性、无腐蚀性。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vMerge w:val="restart"/>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健康危害</w:t>
            </w:r>
          </w:p>
        </w:tc>
        <w:tc>
          <w:tcPr>
            <w:tcW w:w="7937"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侵入途径：误食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vMerge w:val="continue"/>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p>
        </w:tc>
        <w:tc>
          <w:tcPr>
            <w:tcW w:w="7937"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健康危害：本品挥发性低，大量食入会刺激中枢神经，引起呕吐等症状，严重时会导致 支气管炎、肺炎等病症。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环境危害</w:t>
            </w:r>
          </w:p>
        </w:tc>
        <w:tc>
          <w:tcPr>
            <w:tcW w:w="7937"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该物质对大气无影响，但应防止该物质对饮用水的污染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燃爆危险</w:t>
            </w:r>
          </w:p>
        </w:tc>
        <w:tc>
          <w:tcPr>
            <w:tcW w:w="7937"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本品不燃。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急救</w:t>
            </w:r>
          </w:p>
        </w:tc>
        <w:tc>
          <w:tcPr>
            <w:tcW w:w="7937"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皮肤接触：该品在应用条件下不会对皮肤引起刺激反应，个别情况若出现瘙痒症状，请 用清水冲洗，情况严重者可涂以硼酸软膏、皮炎平等。</w:t>
            </w:r>
          </w:p>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眼睛接触：立即用清水或生理盐水冲洗。</w:t>
            </w:r>
          </w:p>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吸入：误服者可催吐、就医。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操作处置与储存</w:t>
            </w:r>
          </w:p>
        </w:tc>
        <w:tc>
          <w:tcPr>
            <w:tcW w:w="7937"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操作注意事项：操作过程中应防止溅射。</w:t>
            </w:r>
          </w:p>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储存注意事项：可采用塑料桶和铁桶进行包装，存放于干净、干燥的地方，存放过程中应防止容器泄露，不要于强酸混合，分装时注意不要溅射到眼睛和口中。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泄漏处理</w:t>
            </w:r>
          </w:p>
        </w:tc>
        <w:tc>
          <w:tcPr>
            <w:tcW w:w="7937"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迅速撤离泄漏污染区人员至上风处，并进行隔离，严格限制出入。建议应急处理人员戴自给正压式呼吸器，穿一般作业工作服。尽可能切断泄漏源。合理通风，加速扩散。漏气容器要妥善处理，修复、检验后再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运输信息</w:t>
            </w:r>
          </w:p>
        </w:tc>
        <w:tc>
          <w:tcPr>
            <w:tcW w:w="7937"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包装方法：5公斤塑料桶或200公斤铁桶包装。</w:t>
            </w:r>
          </w:p>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运输注意事项：避免挤压，防止包装桶泄露，小心轻放。</w:t>
            </w:r>
          </w:p>
        </w:tc>
      </w:tr>
    </w:tbl>
    <w:p>
      <w:pPr>
        <w:widowControl w:val="0"/>
        <w:spacing w:line="360" w:lineRule="auto"/>
        <w:ind w:left="0" w:leftChars="0" w:firstLine="0" w:firstLineChars="0"/>
        <w:jc w:val="center"/>
        <w:rPr>
          <w:rFonts w:hint="default" w:ascii="Times New Roman" w:hAnsi="Times New Roman" w:eastAsia="仿宋" w:cs="Times New Roman"/>
          <w:b/>
          <w:bCs/>
          <w:color w:val="000000"/>
          <w:kern w:val="2"/>
          <w:sz w:val="24"/>
          <w:szCs w:val="24"/>
          <w:lang w:val="en-US" w:eastAsia="zh-CN" w:bidi="ar-SA"/>
        </w:rPr>
      </w:pPr>
      <w:r>
        <w:rPr>
          <w:rFonts w:hint="default" w:ascii="Times New Roman" w:hAnsi="Times New Roman" w:eastAsia="仿宋" w:cs="Times New Roman"/>
          <w:b/>
          <w:bCs/>
          <w:color w:val="000000"/>
          <w:kern w:val="2"/>
          <w:sz w:val="24"/>
          <w:szCs w:val="24"/>
          <w:lang w:val="en-US" w:eastAsia="zh-CN" w:bidi="ar-SA"/>
        </w:rPr>
        <w:t>表3-7钼的理化性质及危险特性</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042"/>
        <w:gridCol w:w="38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标识</w:t>
            </w:r>
          </w:p>
        </w:tc>
        <w:tc>
          <w:tcPr>
            <w:tcW w:w="4042"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lang w:eastAsia="zh-CN"/>
              </w:rPr>
            </w:pPr>
            <w:r>
              <w:rPr>
                <w:rFonts w:hint="default" w:ascii="Times New Roman" w:hAnsi="Times New Roman" w:eastAsia="仿宋" w:cs="Times New Roman"/>
                <w:bCs/>
                <w:color w:val="auto"/>
                <w:sz w:val="24"/>
                <w:szCs w:val="24"/>
                <w:highlight w:val="none"/>
              </w:rPr>
              <w:t>中文名：</w:t>
            </w:r>
            <w:r>
              <w:rPr>
                <w:rFonts w:hint="default" w:ascii="Times New Roman" w:hAnsi="Times New Roman" w:eastAsia="仿宋" w:cs="Times New Roman"/>
                <w:bCs/>
                <w:color w:val="auto"/>
                <w:sz w:val="24"/>
                <w:szCs w:val="24"/>
                <w:highlight w:val="none"/>
                <w:lang w:eastAsia="zh-CN"/>
              </w:rPr>
              <w:t>钼</w:t>
            </w: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英文名：</w:t>
            </w:r>
            <w:r>
              <w:rPr>
                <w:rFonts w:hint="default" w:ascii="Times New Roman" w:hAnsi="Times New Roman" w:eastAsia="仿宋" w:cs="Times New Roman"/>
                <w:i w:val="0"/>
                <w:caps w:val="0"/>
                <w:color w:val="auto"/>
                <w:spacing w:val="0"/>
                <w:sz w:val="24"/>
                <w:szCs w:val="24"/>
                <w:highlight w:val="none"/>
                <w:shd w:val="clear" w:color="auto" w:fill="FFFFFF"/>
              </w:rPr>
              <w:t>molybdenum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p>
        </w:tc>
        <w:tc>
          <w:tcPr>
            <w:tcW w:w="4042"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CAS号：</w:t>
            </w:r>
            <w:r>
              <w:rPr>
                <w:rFonts w:hint="default" w:ascii="Times New Roman" w:hAnsi="Times New Roman" w:eastAsia="仿宋" w:cs="Times New Roman"/>
                <w:i w:val="0"/>
                <w:caps w:val="0"/>
                <w:color w:val="auto"/>
                <w:spacing w:val="0"/>
                <w:sz w:val="24"/>
                <w:szCs w:val="24"/>
                <w:highlight w:val="none"/>
                <w:shd w:val="clear" w:color="auto" w:fill="FFFFFF"/>
              </w:rPr>
              <w:t>7439-98-7</w:t>
            </w: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分子量：</w:t>
            </w:r>
            <w:r>
              <w:rPr>
                <w:rFonts w:hint="default" w:ascii="Times New Roman" w:hAnsi="Times New Roman" w:eastAsia="仿宋" w:cs="Times New Roman"/>
                <w:i w:val="0"/>
                <w:caps w:val="0"/>
                <w:color w:val="auto"/>
                <w:spacing w:val="0"/>
                <w:sz w:val="24"/>
                <w:szCs w:val="24"/>
                <w:highlight w:val="none"/>
                <w:shd w:val="clear" w:color="auto" w:fill="FFFFFF"/>
              </w:rPr>
              <w:t>95.94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理化</w:t>
            </w:r>
          </w:p>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性质</w:t>
            </w:r>
          </w:p>
        </w:tc>
        <w:tc>
          <w:tcPr>
            <w:tcW w:w="4042" w:type="dxa"/>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外观与形状：</w:t>
            </w:r>
            <w:r>
              <w:rPr>
                <w:rFonts w:hint="default" w:ascii="Times New Roman" w:hAnsi="Times New Roman" w:eastAsia="仿宋" w:cs="Times New Roman"/>
                <w:i w:val="0"/>
                <w:caps w:val="0"/>
                <w:color w:val="auto"/>
                <w:spacing w:val="0"/>
                <w:sz w:val="24"/>
                <w:szCs w:val="24"/>
                <w:highlight w:val="none"/>
                <w:shd w:val="clear" w:color="auto" w:fill="FFFFFF"/>
              </w:rPr>
              <w:t>银白色金属</w:t>
            </w: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lang w:eastAsia="zh-CN"/>
              </w:rPr>
              <w:t>熔点</w:t>
            </w:r>
            <w:r>
              <w:rPr>
                <w:rFonts w:hint="default" w:ascii="Times New Roman" w:hAnsi="Times New Roman" w:eastAsia="仿宋" w:cs="Times New Roman"/>
                <w:bCs/>
                <w:color w:val="auto"/>
                <w:sz w:val="24"/>
                <w:szCs w:val="24"/>
                <w:highlight w:val="none"/>
              </w:rPr>
              <w:t>温度（℃）：</w:t>
            </w:r>
            <w:r>
              <w:rPr>
                <w:rFonts w:hint="default" w:ascii="Times New Roman" w:hAnsi="Times New Roman" w:eastAsia="仿宋" w:cs="Times New Roman"/>
                <w:i w:val="0"/>
                <w:caps w:val="0"/>
                <w:color w:val="auto"/>
                <w:spacing w:val="0"/>
                <w:sz w:val="24"/>
                <w:szCs w:val="24"/>
                <w:highlight w:val="none"/>
                <w:shd w:val="clear" w:color="auto" w:fill="FFFFFF"/>
              </w:rPr>
              <w:t>2622±10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p>
        </w:tc>
        <w:tc>
          <w:tcPr>
            <w:tcW w:w="4042"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lang w:eastAsia="zh-CN"/>
              </w:rPr>
              <w:t>沸点</w:t>
            </w:r>
            <w:r>
              <w:rPr>
                <w:rFonts w:hint="default" w:ascii="Times New Roman" w:hAnsi="Times New Roman" w:eastAsia="仿宋" w:cs="Times New Roman"/>
                <w:bCs/>
                <w:color w:val="auto"/>
                <w:sz w:val="24"/>
                <w:szCs w:val="24"/>
                <w:highlight w:val="none"/>
              </w:rPr>
              <w:t>（℃）：</w:t>
            </w:r>
            <w:r>
              <w:rPr>
                <w:rFonts w:hint="default" w:ascii="Times New Roman" w:hAnsi="Times New Roman" w:eastAsia="仿宋" w:cs="Times New Roman"/>
                <w:i w:val="0"/>
                <w:caps w:val="0"/>
                <w:color w:val="auto"/>
                <w:spacing w:val="0"/>
                <w:sz w:val="24"/>
                <w:szCs w:val="24"/>
                <w:highlight w:val="none"/>
                <w:shd w:val="clear" w:color="auto" w:fill="FFFFFF"/>
              </w:rPr>
              <w:t>5560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危险</w:t>
            </w:r>
          </w:p>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特性</w:t>
            </w:r>
          </w:p>
        </w:tc>
        <w:tc>
          <w:tcPr>
            <w:tcW w:w="4042" w:type="dxa"/>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i w:val="0"/>
                <w:caps w:val="0"/>
                <w:color w:val="auto"/>
                <w:spacing w:val="0"/>
                <w:sz w:val="24"/>
                <w:szCs w:val="24"/>
                <w:highlight w:val="none"/>
                <w:shd w:val="clear" w:color="auto" w:fill="FFFFFF"/>
              </w:rPr>
              <w:t>其粉体遇高热、明火能燃烧甚至爆炸。与氧化剂能发生强烈反应。</w:t>
            </w: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危险特性：遇明火、高温可燃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p>
        </w:tc>
        <w:tc>
          <w:tcPr>
            <w:tcW w:w="4042"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燃烧性：可燃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p>
        </w:tc>
        <w:tc>
          <w:tcPr>
            <w:tcW w:w="4042"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有害燃烧产物：</w:t>
            </w:r>
            <w:r>
              <w:rPr>
                <w:rFonts w:hint="default" w:ascii="Times New Roman" w:hAnsi="Times New Roman" w:eastAsia="仿宋" w:cs="Times New Roman"/>
                <w:i w:val="0"/>
                <w:caps w:val="0"/>
                <w:color w:val="auto"/>
                <w:spacing w:val="0"/>
                <w:sz w:val="24"/>
                <w:szCs w:val="24"/>
                <w:highlight w:val="none"/>
                <w:shd w:val="clear" w:color="auto" w:fill="FFFFFF"/>
              </w:rPr>
              <w:t>氧化钼</w:t>
            </w:r>
            <w:r>
              <w:rPr>
                <w:rFonts w:hint="default" w:ascii="Times New Roman" w:hAnsi="Times New Roman" w:eastAsia="仿宋" w:cs="Times New Roman"/>
                <w:bCs/>
                <w:color w:val="auto"/>
                <w:sz w:val="24"/>
                <w:szCs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color w:val="auto"/>
                <w:sz w:val="24"/>
                <w:szCs w:val="24"/>
                <w:highlight w:val="none"/>
              </w:rPr>
            </w:pPr>
          </w:p>
        </w:tc>
        <w:tc>
          <w:tcPr>
            <w:tcW w:w="4042"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color w:val="auto"/>
                <w:sz w:val="24"/>
                <w:szCs w:val="24"/>
                <w:highlight w:val="none"/>
              </w:rPr>
            </w:pP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禁配物：强氧化剂。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健康</w:t>
            </w:r>
          </w:p>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危害</w:t>
            </w:r>
          </w:p>
        </w:tc>
        <w:tc>
          <w:tcPr>
            <w:tcW w:w="7937" w:type="dxa"/>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侵入途径：</w:t>
            </w:r>
            <w:r>
              <w:rPr>
                <w:rFonts w:hint="default" w:ascii="Times New Roman" w:hAnsi="Times New Roman" w:eastAsia="仿宋" w:cs="Times New Roman"/>
                <w:i w:val="0"/>
                <w:caps w:val="0"/>
                <w:color w:val="auto"/>
                <w:spacing w:val="0"/>
                <w:sz w:val="24"/>
                <w:szCs w:val="24"/>
                <w:highlight w:val="none"/>
                <w:shd w:val="clear" w:color="auto" w:fill="FFFFFF"/>
              </w:rPr>
              <w:t>吸入、食入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p>
        </w:tc>
        <w:tc>
          <w:tcPr>
            <w:tcW w:w="7937" w:type="dxa"/>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健康危害：</w:t>
            </w:r>
            <w:r>
              <w:rPr>
                <w:rFonts w:hint="default" w:ascii="Times New Roman" w:hAnsi="Times New Roman" w:eastAsia="仿宋" w:cs="Times New Roman"/>
                <w:i w:val="0"/>
                <w:caps w:val="0"/>
                <w:color w:val="auto"/>
                <w:spacing w:val="0"/>
                <w:sz w:val="24"/>
                <w:szCs w:val="24"/>
                <w:highlight w:val="none"/>
                <w:shd w:val="clear" w:color="auto" w:fill="FFFFFF"/>
              </w:rPr>
              <w:t>对眼睛、皮肤有刺激作用。部分接触者出现尘肺病变，有自觉呼吸困难、全身疲倦、头晕、胸痛、咳嗽等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急救</w:t>
            </w:r>
          </w:p>
        </w:tc>
        <w:tc>
          <w:tcPr>
            <w:tcW w:w="7937" w:type="dxa"/>
            <w:gridSpan w:val="2"/>
            <w:tcBorders>
              <w:tl2br w:val="nil"/>
              <w:tr2bl w:val="nil"/>
            </w:tcBorders>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皮肤接触:用肥皂水及清水彻底冲洗。就医。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眼睛接触:拉开眼睑，用流动清水冲洗15分钟。就医。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吸入:脱离现场至空气新鲜处。就医。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食入:误服者饮适量温水，催吐。就医。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bCs/>
                <w:color w:val="auto"/>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灭火方法:干粉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个体</w:t>
            </w:r>
          </w:p>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防护</w:t>
            </w:r>
          </w:p>
        </w:tc>
        <w:tc>
          <w:tcPr>
            <w:tcW w:w="7937" w:type="dxa"/>
            <w:gridSpan w:val="2"/>
            <w:tcBorders>
              <w:tl2br w:val="nil"/>
              <w:tr2bl w:val="nil"/>
            </w:tcBorders>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呼吸系统防护:作业工人必须佩戴防毒口罩。必要时佩戴自给式呼吸器。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眼睛防护:戴化学</w:t>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fldChar w:fldCharType="begin"/>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instrText xml:space="preserve"> HYPERLINK "https://baike.so.com/doc/6910259-7132116.html" \t "https://baike.so.com/doc/_blank" </w:instrText>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fldChar w:fldCharType="separate"/>
            </w:r>
            <w:r>
              <w:rPr>
                <w:rStyle w:val="16"/>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t>安全防护眼镜</w:t>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fldChar w:fldCharType="end"/>
            </w: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防护服:穿</w:t>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fldChar w:fldCharType="begin"/>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instrText xml:space="preserve"> HYPERLINK "https://baike.so.com/doc/5632232-5844856.html" \t "https://baike.so.com/doc/_blank" </w:instrText>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fldChar w:fldCharType="separate"/>
            </w:r>
            <w:r>
              <w:rPr>
                <w:rStyle w:val="16"/>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t>防静电工作服</w:t>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fldChar w:fldCharType="end"/>
            </w: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手防护:戴防化学品手套。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bCs/>
                <w:color w:val="auto"/>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其它:工作现场禁止吸烟、进食和饮水。工作后，淋浴更衣。注意个人清洁卫生。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操作处置与储存</w:t>
            </w:r>
          </w:p>
        </w:tc>
        <w:tc>
          <w:tcPr>
            <w:tcW w:w="7937" w:type="dxa"/>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操作注意事项：密闭操作，注意通风。操作人员必须经过专门培训，严格遵守操作规程。建议操作人员佩戴自吸过滤式防毒面具（半面罩），戴化学安全防护眼镜，穿防毒物渗透工作服，戴橡胶耐油手套。远离火种、热源，工作场所严禁吸烟。使用防爆型的通风系统和设备。防止蒸气泄漏到工作场所空气中。避免与氧化剂接触。搬运时要轻装轻卸，防止包装及容器损坏。配备相应品种和数量的消防器材及泄漏应急处理设备。倒空的容器可能残留有害物。</w:t>
            </w:r>
          </w:p>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储存注意事项：储存于阴凉、通风的库房。远离火种、热源。应与氧化剂分开存放，</w:t>
            </w:r>
          </w:p>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切忌混储。配备相应品种和数量的消防器材。储区应备有泄漏应急处</w:t>
            </w:r>
          </w:p>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理设备和合适的收容材料。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泄漏</w:t>
            </w:r>
          </w:p>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处理</w:t>
            </w:r>
          </w:p>
        </w:tc>
        <w:tc>
          <w:tcPr>
            <w:tcW w:w="7937" w:type="dxa"/>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i w:val="0"/>
                <w:caps w:val="0"/>
                <w:color w:val="auto"/>
                <w:spacing w:val="0"/>
                <w:sz w:val="24"/>
                <w:szCs w:val="24"/>
                <w:highlight w:val="none"/>
                <w:shd w:val="clear" w:color="auto" w:fill="FFFFFF"/>
              </w:rPr>
              <w:t>隔离泄漏污染区，周围设警告标志，切断火源。建议应急处理人员戴自给式呼吸器，穿</w:t>
            </w:r>
            <w:r>
              <w:rPr>
                <w:rFonts w:hint="default" w:ascii="Times New Roman" w:hAnsi="Times New Roman" w:eastAsia="仿宋" w:cs="Times New Roman"/>
                <w:i w:val="0"/>
                <w:caps w:val="0"/>
                <w:color w:val="auto"/>
                <w:spacing w:val="0"/>
                <w:sz w:val="24"/>
                <w:szCs w:val="24"/>
                <w:highlight w:val="none"/>
                <w:u w:val="none"/>
                <w:shd w:val="clear" w:color="auto" w:fill="FFFFFF"/>
              </w:rPr>
              <w:fldChar w:fldCharType="begin"/>
            </w:r>
            <w:r>
              <w:rPr>
                <w:rFonts w:hint="default" w:ascii="Times New Roman" w:hAnsi="Times New Roman" w:eastAsia="仿宋" w:cs="Times New Roman"/>
                <w:i w:val="0"/>
                <w:caps w:val="0"/>
                <w:color w:val="auto"/>
                <w:spacing w:val="0"/>
                <w:sz w:val="24"/>
                <w:szCs w:val="24"/>
                <w:highlight w:val="none"/>
                <w:u w:val="none"/>
                <w:shd w:val="clear" w:color="auto" w:fill="FFFFFF"/>
              </w:rPr>
              <w:instrText xml:space="preserve"> HYPERLINK "https://baike.so.com/doc/2286230-2418516.html" \t "https://baike.so.com/doc/_blank" </w:instrText>
            </w:r>
            <w:r>
              <w:rPr>
                <w:rFonts w:hint="default" w:ascii="Times New Roman" w:hAnsi="Times New Roman" w:eastAsia="仿宋" w:cs="Times New Roman"/>
                <w:i w:val="0"/>
                <w:caps w:val="0"/>
                <w:color w:val="auto"/>
                <w:spacing w:val="0"/>
                <w:sz w:val="24"/>
                <w:szCs w:val="24"/>
                <w:highlight w:val="none"/>
                <w:u w:val="none"/>
                <w:shd w:val="clear" w:color="auto" w:fill="FFFFFF"/>
              </w:rPr>
              <w:fldChar w:fldCharType="separate"/>
            </w:r>
            <w:r>
              <w:rPr>
                <w:rStyle w:val="16"/>
                <w:rFonts w:hint="default" w:ascii="Times New Roman" w:hAnsi="Times New Roman" w:eastAsia="仿宋" w:cs="Times New Roman"/>
                <w:i w:val="0"/>
                <w:caps w:val="0"/>
                <w:color w:val="auto"/>
                <w:spacing w:val="0"/>
                <w:sz w:val="24"/>
                <w:szCs w:val="24"/>
                <w:highlight w:val="none"/>
                <w:u w:val="none"/>
                <w:shd w:val="clear" w:color="auto" w:fill="FFFFFF"/>
              </w:rPr>
              <w:t>化学防护服</w:t>
            </w:r>
            <w:r>
              <w:rPr>
                <w:rFonts w:hint="default" w:ascii="Times New Roman" w:hAnsi="Times New Roman" w:eastAsia="仿宋" w:cs="Times New Roman"/>
                <w:i w:val="0"/>
                <w:caps w:val="0"/>
                <w:color w:val="auto"/>
                <w:spacing w:val="0"/>
                <w:sz w:val="24"/>
                <w:szCs w:val="24"/>
                <w:highlight w:val="none"/>
                <w:u w:val="none"/>
                <w:shd w:val="clear" w:color="auto" w:fill="FFFFFF"/>
              </w:rPr>
              <w:fldChar w:fldCharType="end"/>
            </w:r>
            <w:r>
              <w:rPr>
                <w:rFonts w:hint="default" w:ascii="Times New Roman" w:hAnsi="Times New Roman" w:eastAsia="仿宋" w:cs="Times New Roman"/>
                <w:i w:val="0"/>
                <w:caps w:val="0"/>
                <w:color w:val="auto"/>
                <w:spacing w:val="0"/>
                <w:sz w:val="24"/>
                <w:szCs w:val="24"/>
                <w:highlight w:val="none"/>
                <w:shd w:val="clear" w:color="auto" w:fill="FFFFFF"/>
              </w:rPr>
              <w:t>。使用不产生火花的工具小心扫起，避免扬尘，运至废物处理场所。用水刷洗泄漏污染区，经稀释的洗水放入废水系统。如大量泄漏，收集回收或无害处理后废弃。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34"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运输</w:t>
            </w:r>
          </w:p>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信息</w:t>
            </w:r>
          </w:p>
        </w:tc>
        <w:tc>
          <w:tcPr>
            <w:tcW w:w="7937" w:type="dxa"/>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bCs/>
                <w:color w:val="auto"/>
                <w:sz w:val="24"/>
                <w:szCs w:val="24"/>
                <w:highlight w:val="none"/>
              </w:rPr>
              <w:t>危险货物编号：</w:t>
            </w:r>
            <w:r>
              <w:rPr>
                <w:rFonts w:hint="default" w:ascii="Times New Roman" w:hAnsi="Times New Roman" w:eastAsia="仿宋" w:cs="Times New Roman"/>
                <w:i w:val="0"/>
                <w:caps w:val="0"/>
                <w:color w:val="auto"/>
                <w:spacing w:val="0"/>
                <w:sz w:val="24"/>
                <w:szCs w:val="24"/>
                <w:highlight w:val="none"/>
                <w:shd w:val="clear" w:color="auto" w:fill="FFFFFF"/>
              </w:rPr>
              <w:t>32648/PG3</w:t>
            </w:r>
          </w:p>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包装</w:t>
            </w:r>
            <w:r>
              <w:rPr>
                <w:rFonts w:hint="default" w:ascii="Times New Roman" w:hAnsi="Times New Roman" w:eastAsia="仿宋" w:cs="Times New Roman"/>
                <w:bCs/>
                <w:color w:val="auto"/>
                <w:sz w:val="24"/>
                <w:szCs w:val="24"/>
                <w:highlight w:val="none"/>
                <w:lang w:eastAsia="zh-CN"/>
              </w:rPr>
              <w:t>等级</w:t>
            </w:r>
            <w:r>
              <w:rPr>
                <w:rFonts w:hint="default" w:ascii="Times New Roman" w:hAnsi="Times New Roman" w:eastAsia="仿宋" w:cs="Times New Roman"/>
                <w:bCs/>
                <w:color w:val="auto"/>
                <w:sz w:val="24"/>
                <w:szCs w:val="24"/>
                <w:highlight w:val="none"/>
              </w:rPr>
              <w:t>：</w:t>
            </w:r>
            <w:r>
              <w:rPr>
                <w:rFonts w:hint="default" w:ascii="Times New Roman" w:hAnsi="Times New Roman" w:eastAsia="仿宋" w:cs="Times New Roman"/>
                <w:i w:val="0"/>
                <w:caps w:val="0"/>
                <w:color w:val="auto"/>
                <w:spacing w:val="0"/>
                <w:sz w:val="24"/>
                <w:szCs w:val="24"/>
                <w:highlight w:val="none"/>
                <w:shd w:val="clear" w:color="auto" w:fill="FFFFFF"/>
              </w:rPr>
              <w:t>III</w:t>
            </w:r>
          </w:p>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包装方法：无资料</w:t>
            </w:r>
          </w:p>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运输注意事项：运输前应先检查包装容器是否完整、密封，运输过程中要确保容器不泄漏、不倒塌、不坠落、不损坏。严禁与氧化剂、食用化学品等混装混运。运输车船必须彻底清洗、消毒，否则不得装运其它物品。船运时，配装位置应远离卧室、厨房，并与机舱、电源、火源等部位隔离。公路运输时要按规定路线行驶。</w:t>
            </w:r>
          </w:p>
        </w:tc>
      </w:tr>
    </w:tbl>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60" w:name="_Toc23991"/>
      <w:bookmarkStart w:id="61" w:name="_Toc15840"/>
      <w:r>
        <w:rPr>
          <w:rFonts w:hint="default" w:ascii="Times New Roman" w:hAnsi="Times New Roman" w:eastAsia="仿宋" w:cs="Times New Roman"/>
          <w:b/>
          <w:bCs/>
          <w:kern w:val="2"/>
          <w:sz w:val="32"/>
          <w:szCs w:val="32"/>
          <w:lang w:val="en-US" w:eastAsia="zh-CN" w:bidi="ar-SA"/>
        </w:rPr>
        <w:t>3.4</w:t>
      </w:r>
      <w:bookmarkStart w:id="62" w:name="_Toc22201836"/>
      <w:bookmarkStart w:id="63" w:name="_Toc15477558"/>
      <w:r>
        <w:rPr>
          <w:rFonts w:hint="default" w:ascii="Times New Roman" w:hAnsi="Times New Roman" w:eastAsia="仿宋" w:cs="Times New Roman"/>
          <w:b/>
          <w:bCs/>
          <w:kern w:val="2"/>
          <w:sz w:val="32"/>
          <w:szCs w:val="32"/>
          <w:lang w:val="en-US" w:eastAsia="zh-CN" w:bidi="ar-SA"/>
        </w:rPr>
        <w:t>企业工艺流程及设备</w:t>
      </w:r>
      <w:bookmarkEnd w:id="60"/>
      <w:bookmarkEnd w:id="61"/>
      <w:bookmarkEnd w:id="62"/>
      <w:bookmarkEnd w:id="63"/>
    </w:p>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bookmarkStart w:id="64" w:name="_Toc27542"/>
      <w:bookmarkStart w:id="65" w:name="_Toc22201837"/>
      <w:r>
        <w:rPr>
          <w:rFonts w:hint="default" w:ascii="Times New Roman" w:hAnsi="Times New Roman" w:eastAsia="仿宋" w:cs="Times New Roman"/>
          <w:b/>
          <w:bCs/>
          <w:kern w:val="2"/>
          <w:sz w:val="30"/>
          <w:szCs w:val="32"/>
          <w:lang w:val="en-US" w:eastAsia="zh-CN" w:bidi="ar-SA"/>
        </w:rPr>
        <w:t>3.4.1工艺流程</w:t>
      </w:r>
      <w:bookmarkEnd w:id="64"/>
      <w:bookmarkEnd w:id="65"/>
    </w:p>
    <w:p>
      <w:pPr>
        <w:pStyle w:val="2"/>
        <w:ind w:left="0" w:leftChars="0" w:firstLine="0" w:firstLineChars="0"/>
        <w:rPr>
          <w:rFonts w:hint="default" w:ascii="Times New Roman" w:hAnsi="Times New Roman" w:eastAsia="仿宋" w:cs="Times New Roman"/>
          <w:highlight w:val="none"/>
        </w:rPr>
      </w:pPr>
      <w:r>
        <w:rPr>
          <w:rFonts w:hint="default" w:ascii="Times New Roman" w:hAnsi="Times New Roman" w:eastAsia="仿宋" w:cs="Times New Roman"/>
          <w:highlight w:val="none"/>
        </w:rPr>
        <w:drawing>
          <wp:inline distT="0" distB="0" distL="114300" distR="114300">
            <wp:extent cx="5375910" cy="2145665"/>
            <wp:effectExtent l="0" t="0" r="15240" b="698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5375910" cy="2145665"/>
                    </a:xfrm>
                    <a:prstGeom prst="rect">
                      <a:avLst/>
                    </a:prstGeom>
                    <a:noFill/>
                    <a:ln>
                      <a:noFill/>
                    </a:ln>
                  </pic:spPr>
                </pic:pic>
              </a:graphicData>
            </a:graphic>
          </wp:inline>
        </w:drawing>
      </w:r>
    </w:p>
    <w:p>
      <w:pPr>
        <w:jc w:val="center"/>
        <w:rPr>
          <w:rFonts w:hint="default" w:ascii="Times New Roman" w:hAnsi="Times New Roman" w:eastAsia="仿宋" w:cs="Times New Roman"/>
        </w:rPr>
      </w:pPr>
      <w:r>
        <w:rPr>
          <w:rFonts w:hint="default" w:ascii="Times New Roman" w:hAnsi="Times New Roman" w:eastAsia="仿宋" w:cs="Times New Roman"/>
          <w:b/>
          <w:bCs/>
          <w:color w:val="000000"/>
          <w:kern w:val="0"/>
          <w:sz w:val="24"/>
          <w:highlight w:val="none"/>
        </w:rPr>
        <w:t>图</w:t>
      </w:r>
      <w:r>
        <w:rPr>
          <w:rFonts w:hint="default" w:ascii="Times New Roman" w:hAnsi="Times New Roman" w:eastAsia="仿宋" w:cs="Times New Roman"/>
          <w:b/>
          <w:bCs/>
          <w:color w:val="000000"/>
          <w:kern w:val="0"/>
          <w:sz w:val="24"/>
          <w:highlight w:val="none"/>
          <w:lang w:val="en-US" w:eastAsia="zh-CN"/>
        </w:rPr>
        <w:t>3-8</w:t>
      </w:r>
      <w:r>
        <w:rPr>
          <w:rFonts w:hint="default" w:ascii="Times New Roman" w:hAnsi="Times New Roman" w:eastAsia="仿宋" w:cs="Times New Roman"/>
          <w:b/>
          <w:bCs/>
          <w:color w:val="000000"/>
          <w:kern w:val="0"/>
          <w:sz w:val="24"/>
          <w:highlight w:val="none"/>
          <w:lang w:eastAsia="zh-CN"/>
        </w:rPr>
        <w:t>咸阳三毅优源投资有限公司</w:t>
      </w:r>
      <w:r>
        <w:rPr>
          <w:rFonts w:hint="default" w:ascii="Times New Roman" w:hAnsi="Times New Roman" w:eastAsia="仿宋" w:cs="Times New Roman"/>
          <w:b/>
          <w:bCs/>
          <w:color w:val="000000"/>
          <w:kern w:val="0"/>
          <w:sz w:val="24"/>
          <w:highlight w:val="none"/>
        </w:rPr>
        <w:t>生产工艺流程</w:t>
      </w:r>
    </w:p>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r>
        <w:rPr>
          <w:rFonts w:hint="default" w:ascii="Times New Roman" w:hAnsi="Times New Roman" w:eastAsia="仿宋" w:cs="Times New Roman"/>
          <w:b/>
          <w:bCs/>
          <w:kern w:val="2"/>
          <w:sz w:val="30"/>
          <w:szCs w:val="32"/>
          <w:lang w:val="en-US" w:eastAsia="zh-CN" w:bidi="ar-SA"/>
        </w:rPr>
        <w:t>3.4.</w:t>
      </w:r>
      <w:bookmarkStart w:id="66" w:name="_Toc22201839"/>
      <w:r>
        <w:rPr>
          <w:rFonts w:hint="default" w:ascii="Times New Roman" w:hAnsi="Times New Roman" w:eastAsia="仿宋" w:cs="Times New Roman"/>
          <w:b/>
          <w:bCs/>
          <w:kern w:val="2"/>
          <w:sz w:val="30"/>
          <w:szCs w:val="32"/>
          <w:lang w:val="en-US" w:eastAsia="zh-CN" w:bidi="ar-SA"/>
        </w:rPr>
        <w:t>3主要污染物产排情况</w:t>
      </w:r>
      <w:bookmarkEnd w:id="66"/>
    </w:p>
    <w:p>
      <w:pPr>
        <w:widowControl/>
        <w:spacing w:before="0" w:beforeAutospacing="0" w:after="0" w:afterAutospacing="0" w:line="360" w:lineRule="auto"/>
        <w:ind w:firstLine="560" w:firstLineChars="200"/>
        <w:jc w:val="left"/>
        <w:rPr>
          <w:rFonts w:hint="default" w:ascii="Times New Roman" w:hAnsi="Times New Roman" w:eastAsia="仿宋" w:cs="Times New Roman"/>
          <w:kern w:val="2"/>
          <w:sz w:val="28"/>
          <w:szCs w:val="28"/>
          <w:highlight w:val="none"/>
          <w:lang w:val="en-US" w:eastAsia="zh-CN" w:bidi="ar-SA"/>
        </w:rPr>
      </w:pPr>
      <w:r>
        <w:rPr>
          <w:rFonts w:hint="default" w:ascii="Times New Roman" w:hAnsi="Times New Roman" w:eastAsia="仿宋" w:cs="Times New Roman"/>
          <w:kern w:val="2"/>
          <w:sz w:val="28"/>
          <w:szCs w:val="28"/>
          <w:highlight w:val="none"/>
          <w:lang w:val="en-US" w:eastAsia="zh-CN" w:bidi="ar-SA"/>
        </w:rPr>
        <w:t>（1）废气污染防治措施</w:t>
      </w:r>
    </w:p>
    <w:p>
      <w:pPr>
        <w:widowControl/>
        <w:spacing w:before="0" w:beforeAutospacing="0" w:after="0" w:afterAutospacing="0" w:line="360" w:lineRule="auto"/>
        <w:ind w:firstLine="560" w:firstLineChars="200"/>
        <w:jc w:val="left"/>
        <w:rPr>
          <w:rFonts w:hint="default" w:ascii="Times New Roman" w:hAnsi="Times New Roman" w:eastAsia="仿宋" w:cs="Times New Roman"/>
          <w:kern w:val="2"/>
          <w:sz w:val="28"/>
          <w:szCs w:val="28"/>
          <w:highlight w:val="none"/>
          <w:lang w:val="en-US" w:eastAsia="zh-CN" w:bidi="ar-SA"/>
        </w:rPr>
      </w:pPr>
      <w:r>
        <w:rPr>
          <w:rFonts w:hint="default" w:ascii="Times New Roman" w:hAnsi="Times New Roman" w:eastAsia="仿宋" w:cs="Times New Roman"/>
          <w:kern w:val="2"/>
          <w:sz w:val="28"/>
          <w:szCs w:val="28"/>
          <w:highlight w:val="none"/>
          <w:lang w:val="en-US" w:eastAsia="zh-CN" w:bidi="ar-SA"/>
        </w:rPr>
        <w:t>本项目主要工艺过程为铱锭铸造、铱锭轧制、退火、铱板切割和焊接。类比一般金属材料熔化和焊接过程中可能产生熔炼废气和焊接烟尘，但由于铱的特性和其特有的熔炼设备及焊条材料，不会产生熔化废气和焊接烟尘。现针对本项目的生产原辅材料及生产工艺设备分析详述如下：</w:t>
      </w:r>
    </w:p>
    <w:p>
      <w:pPr>
        <w:widowControl/>
        <w:spacing w:before="0" w:beforeAutospacing="0" w:after="0" w:afterAutospacing="0" w:line="360" w:lineRule="auto"/>
        <w:ind w:firstLine="560" w:firstLineChars="200"/>
        <w:jc w:val="left"/>
        <w:rPr>
          <w:rFonts w:hint="default" w:ascii="Times New Roman" w:hAnsi="Times New Roman" w:eastAsia="仿宋" w:cs="Times New Roman"/>
          <w:kern w:val="2"/>
          <w:sz w:val="28"/>
          <w:szCs w:val="28"/>
          <w:highlight w:val="none"/>
          <w:lang w:val="en-US" w:eastAsia="zh-CN" w:bidi="ar-SA"/>
        </w:rPr>
      </w:pPr>
      <w:r>
        <w:rPr>
          <w:rFonts w:hint="default" w:ascii="Times New Roman" w:hAnsi="Times New Roman" w:eastAsia="仿宋" w:cs="Times New Roman"/>
          <w:kern w:val="2"/>
          <w:sz w:val="28"/>
          <w:szCs w:val="28"/>
          <w:highlight w:val="none"/>
          <w:lang w:val="en-US" w:eastAsia="zh-CN" w:bidi="ar-SA"/>
        </w:rPr>
        <w:t>铱锭铸造的生产设备为真空电弧自耗电极铱锭熔化炉，整个熔化过程处于密闭真空状态，铱金属原材料的纯度达99.95%，因此其熔化过程中极难挥发出烟尘及杂质气体，且不会散发到空气中。</w:t>
      </w:r>
    </w:p>
    <w:p>
      <w:pPr>
        <w:widowControl/>
        <w:spacing w:before="0" w:beforeAutospacing="0" w:after="0" w:afterAutospacing="0" w:line="360" w:lineRule="auto"/>
        <w:ind w:firstLine="560" w:firstLineChars="200"/>
        <w:jc w:val="left"/>
        <w:rPr>
          <w:rFonts w:hint="default" w:ascii="Times New Roman" w:hAnsi="Times New Roman" w:eastAsia="仿宋" w:cs="Times New Roman"/>
          <w:kern w:val="2"/>
          <w:sz w:val="28"/>
          <w:szCs w:val="28"/>
          <w:highlight w:val="none"/>
          <w:lang w:val="en-US" w:eastAsia="zh-CN" w:bidi="ar-SA"/>
        </w:rPr>
      </w:pPr>
      <w:r>
        <w:rPr>
          <w:rFonts w:hint="default" w:ascii="Times New Roman" w:hAnsi="Times New Roman" w:eastAsia="仿宋" w:cs="Times New Roman"/>
          <w:kern w:val="2"/>
          <w:sz w:val="28"/>
          <w:szCs w:val="28"/>
          <w:highlight w:val="none"/>
          <w:lang w:val="en-US" w:eastAsia="zh-CN" w:bidi="ar-SA"/>
        </w:rPr>
        <w:t>焊接的生产设备为大功率氩弧自动焊接机，采用铱板切割过程中的下脚料作为焊条，即焊条也为纯度99.95%的铱板。切割后的铱板退火至1400℃条件下成型，然后焊接，焊接过程中有微量的铱损耗，以晶体形式崩落。由于铱在1300℃以上，稳定性极好，不会有挥发性的三氧化铱产生，因此焊接烟尘产生量很小，原环评未采取废气处理措施，直接无组织排放，实际为了尽可能回收铱金属，设置1台焊接烟尘处理设备处理焊接烟尘，经处理后洁净空气无组织排放无车间内。</w:t>
      </w:r>
    </w:p>
    <w:p>
      <w:pPr>
        <w:widowControl/>
        <w:spacing w:before="0" w:beforeAutospacing="0" w:after="0" w:afterAutospacing="0" w:line="360" w:lineRule="auto"/>
        <w:ind w:firstLine="560" w:firstLineChars="200"/>
        <w:jc w:val="left"/>
        <w:rPr>
          <w:rFonts w:hint="default" w:ascii="Times New Roman" w:hAnsi="Times New Roman" w:eastAsia="仿宋" w:cs="Times New Roman"/>
          <w:kern w:val="2"/>
          <w:sz w:val="28"/>
          <w:szCs w:val="28"/>
          <w:highlight w:val="none"/>
          <w:lang w:val="en-US" w:eastAsia="zh-CN" w:bidi="ar-SA"/>
        </w:rPr>
      </w:pPr>
      <w:r>
        <w:rPr>
          <w:rFonts w:hint="default" w:ascii="Times New Roman" w:hAnsi="Times New Roman" w:eastAsia="仿宋" w:cs="Times New Roman"/>
          <w:kern w:val="2"/>
          <w:sz w:val="28"/>
          <w:szCs w:val="28"/>
          <w:highlight w:val="none"/>
          <w:lang w:val="en-US" w:eastAsia="zh-CN" w:bidi="ar-SA"/>
        </w:rPr>
        <w:t>项目废气类别、来源及处理措施等见表3-8。</w:t>
      </w:r>
    </w:p>
    <w:p>
      <w:pPr>
        <w:widowControl w:val="0"/>
        <w:spacing w:line="360" w:lineRule="auto"/>
        <w:ind w:left="0" w:leftChars="0" w:firstLine="0" w:firstLineChars="0"/>
        <w:jc w:val="center"/>
        <w:rPr>
          <w:rFonts w:hint="default" w:ascii="Times New Roman" w:hAnsi="Times New Roman" w:eastAsia="仿宋" w:cs="Times New Roman"/>
          <w:b/>
          <w:bCs/>
          <w:color w:val="000000"/>
          <w:kern w:val="2"/>
          <w:sz w:val="24"/>
          <w:szCs w:val="24"/>
          <w:lang w:val="en-US" w:eastAsia="zh-CN" w:bidi="ar-SA"/>
        </w:rPr>
      </w:pPr>
      <w:r>
        <w:rPr>
          <w:rFonts w:hint="default" w:ascii="Times New Roman" w:hAnsi="Times New Roman" w:eastAsia="仿宋" w:cs="Times New Roman"/>
          <w:b/>
          <w:bCs/>
          <w:color w:val="000000"/>
          <w:kern w:val="2"/>
          <w:sz w:val="24"/>
          <w:szCs w:val="24"/>
          <w:lang w:val="en-US" w:eastAsia="zh-CN" w:bidi="ar-SA"/>
        </w:rPr>
        <w:t>表3-8项目废气类别、来源及处理措施</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503"/>
        <w:gridCol w:w="1446"/>
        <w:gridCol w:w="1879"/>
        <w:gridCol w:w="42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503"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bCs/>
                <w:color w:val="000000"/>
                <w:kern w:val="0"/>
                <w:sz w:val="21"/>
                <w:szCs w:val="21"/>
                <w:highlight w:val="none"/>
              </w:rPr>
            </w:pPr>
            <w:r>
              <w:rPr>
                <w:rFonts w:hint="default" w:ascii="Times New Roman" w:hAnsi="Times New Roman" w:eastAsia="仿宋" w:cs="Times New Roman"/>
                <w:b/>
                <w:bCs/>
                <w:color w:val="000000"/>
                <w:kern w:val="0"/>
                <w:sz w:val="21"/>
                <w:szCs w:val="21"/>
                <w:highlight w:val="none"/>
              </w:rPr>
              <w:t>类别</w:t>
            </w:r>
          </w:p>
        </w:tc>
        <w:tc>
          <w:tcPr>
            <w:tcW w:w="1446"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bCs/>
                <w:color w:val="000000"/>
                <w:kern w:val="0"/>
                <w:sz w:val="21"/>
                <w:szCs w:val="21"/>
                <w:highlight w:val="none"/>
              </w:rPr>
            </w:pPr>
            <w:r>
              <w:rPr>
                <w:rFonts w:hint="default" w:ascii="Times New Roman" w:hAnsi="Times New Roman" w:eastAsia="仿宋" w:cs="Times New Roman"/>
                <w:b/>
                <w:bCs/>
                <w:color w:val="000000"/>
                <w:kern w:val="0"/>
                <w:sz w:val="21"/>
                <w:szCs w:val="21"/>
                <w:highlight w:val="none"/>
              </w:rPr>
              <w:t>来源</w:t>
            </w:r>
          </w:p>
        </w:tc>
        <w:tc>
          <w:tcPr>
            <w:tcW w:w="1879"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bCs/>
                <w:color w:val="000000"/>
                <w:kern w:val="0"/>
                <w:sz w:val="21"/>
                <w:szCs w:val="21"/>
                <w:highlight w:val="none"/>
              </w:rPr>
            </w:pPr>
            <w:r>
              <w:rPr>
                <w:rFonts w:hint="default" w:ascii="Times New Roman" w:hAnsi="Times New Roman" w:eastAsia="仿宋" w:cs="Times New Roman"/>
                <w:b/>
                <w:bCs/>
                <w:color w:val="000000"/>
                <w:kern w:val="0"/>
                <w:sz w:val="21"/>
                <w:szCs w:val="21"/>
                <w:highlight w:val="none"/>
              </w:rPr>
              <w:t>污染物种类</w:t>
            </w:r>
          </w:p>
        </w:tc>
        <w:tc>
          <w:tcPr>
            <w:tcW w:w="4243"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bCs/>
                <w:color w:val="000000"/>
                <w:kern w:val="0"/>
                <w:sz w:val="21"/>
                <w:szCs w:val="21"/>
                <w:highlight w:val="none"/>
              </w:rPr>
            </w:pPr>
            <w:r>
              <w:rPr>
                <w:rFonts w:hint="default" w:ascii="Times New Roman" w:hAnsi="Times New Roman" w:eastAsia="仿宋" w:cs="Times New Roman"/>
                <w:b/>
                <w:bCs/>
                <w:color w:val="000000"/>
                <w:kern w:val="0"/>
                <w:sz w:val="21"/>
                <w:szCs w:val="21"/>
                <w:highlight w:val="none"/>
              </w:rPr>
              <w:t>治理措施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503"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Cs/>
                <w:color w:val="000000"/>
                <w:kern w:val="0"/>
                <w:sz w:val="21"/>
                <w:szCs w:val="21"/>
                <w:highlight w:val="none"/>
              </w:rPr>
            </w:pPr>
            <w:r>
              <w:rPr>
                <w:rFonts w:hint="default" w:ascii="Times New Roman" w:hAnsi="Times New Roman" w:eastAsia="仿宋" w:cs="Times New Roman"/>
                <w:color w:val="000000"/>
                <w:sz w:val="21"/>
                <w:szCs w:val="21"/>
                <w:highlight w:val="none"/>
              </w:rPr>
              <w:t>无组织废气</w:t>
            </w:r>
          </w:p>
        </w:tc>
        <w:tc>
          <w:tcPr>
            <w:tcW w:w="1446"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color w:val="000000"/>
                <w:sz w:val="21"/>
                <w:szCs w:val="21"/>
                <w:highlight w:val="none"/>
              </w:rPr>
            </w:pPr>
            <w:r>
              <w:rPr>
                <w:rFonts w:hint="default" w:ascii="Times New Roman" w:hAnsi="Times New Roman" w:eastAsia="仿宋" w:cs="Times New Roman"/>
                <w:color w:val="000000"/>
                <w:sz w:val="21"/>
                <w:szCs w:val="21"/>
                <w:highlight w:val="none"/>
              </w:rPr>
              <w:t>焊接</w:t>
            </w:r>
          </w:p>
        </w:tc>
        <w:tc>
          <w:tcPr>
            <w:tcW w:w="1879"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color w:val="000000"/>
                <w:sz w:val="21"/>
                <w:szCs w:val="21"/>
                <w:highlight w:val="none"/>
              </w:rPr>
            </w:pPr>
            <w:r>
              <w:rPr>
                <w:rFonts w:hint="default" w:ascii="Times New Roman" w:hAnsi="Times New Roman" w:eastAsia="仿宋" w:cs="Times New Roman"/>
                <w:color w:val="000000"/>
                <w:sz w:val="21"/>
                <w:szCs w:val="21"/>
                <w:highlight w:val="none"/>
              </w:rPr>
              <w:t>烟尘（颗粒物）</w:t>
            </w:r>
          </w:p>
        </w:tc>
        <w:tc>
          <w:tcPr>
            <w:tcW w:w="4243"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color w:val="000000"/>
                <w:sz w:val="21"/>
                <w:szCs w:val="21"/>
                <w:highlight w:val="none"/>
                <w:lang w:eastAsia="zh-CN"/>
              </w:rPr>
            </w:pPr>
            <w:r>
              <w:rPr>
                <w:rFonts w:hint="default" w:ascii="Times New Roman" w:hAnsi="Times New Roman" w:eastAsia="仿宋" w:cs="Times New Roman"/>
                <w:color w:val="000000"/>
                <w:sz w:val="21"/>
                <w:szCs w:val="21"/>
                <w:highlight w:val="none"/>
              </w:rPr>
              <w:t>设置1台焊接烟尘处理设备处理，设备型号BFHY-YY-3000，焊接烟尘经处理后，洁净空气排放车间内，通过车间排风系统排出室外</w:t>
            </w:r>
            <w:r>
              <w:rPr>
                <w:rFonts w:hint="default" w:ascii="Times New Roman" w:hAnsi="Times New Roman" w:eastAsia="仿宋" w:cs="Times New Roman"/>
                <w:color w:val="000000"/>
                <w:sz w:val="21"/>
                <w:szCs w:val="21"/>
                <w:highlight w:val="none"/>
                <w:lang w:eastAsia="zh-CN"/>
              </w:rPr>
              <w:t>。</w:t>
            </w:r>
          </w:p>
        </w:tc>
      </w:tr>
    </w:tbl>
    <w:p>
      <w:pPr>
        <w:widowControl/>
        <w:spacing w:before="0" w:beforeAutospacing="0" w:after="0" w:afterAutospacing="0" w:line="360" w:lineRule="auto"/>
        <w:ind w:firstLine="560" w:firstLineChars="200"/>
        <w:jc w:val="left"/>
        <w:rPr>
          <w:rFonts w:hint="default" w:ascii="Times New Roman" w:hAnsi="Times New Roman" w:eastAsia="仿宋" w:cs="Times New Roman"/>
          <w:kern w:val="2"/>
          <w:sz w:val="28"/>
          <w:szCs w:val="28"/>
          <w:highlight w:val="none"/>
          <w:lang w:val="en-US" w:eastAsia="zh-CN" w:bidi="ar-SA"/>
        </w:rPr>
      </w:pPr>
      <w:r>
        <w:rPr>
          <w:rFonts w:hint="default" w:ascii="Times New Roman" w:hAnsi="Times New Roman" w:eastAsia="仿宋" w:cs="Times New Roman"/>
          <w:kern w:val="2"/>
          <w:sz w:val="28"/>
          <w:szCs w:val="28"/>
          <w:highlight w:val="none"/>
          <w:lang w:val="en-US" w:eastAsia="zh-CN" w:bidi="ar-SA"/>
        </w:rPr>
        <w:t>（2）废水污染防治措施</w:t>
      </w:r>
    </w:p>
    <w:p>
      <w:pPr>
        <w:widowControl/>
        <w:spacing w:before="0" w:beforeAutospacing="0" w:after="0" w:afterAutospacing="0" w:line="360" w:lineRule="auto"/>
        <w:ind w:firstLine="560" w:firstLineChars="200"/>
        <w:jc w:val="left"/>
        <w:rPr>
          <w:rFonts w:hint="default" w:ascii="Times New Roman" w:hAnsi="Times New Roman" w:eastAsia="仿宋" w:cs="Times New Roman"/>
          <w:b/>
          <w:kern w:val="0"/>
          <w:sz w:val="24"/>
          <w:szCs w:val="24"/>
          <w:highlight w:val="none"/>
          <w:lang w:val="en-US" w:eastAsia="zh-CN" w:bidi="ar-SA"/>
        </w:rPr>
      </w:pPr>
      <w:r>
        <w:rPr>
          <w:rFonts w:hint="default" w:ascii="Times New Roman" w:hAnsi="Times New Roman" w:eastAsia="仿宋" w:cs="Times New Roman"/>
          <w:kern w:val="2"/>
          <w:sz w:val="28"/>
          <w:szCs w:val="28"/>
          <w:highlight w:val="none"/>
          <w:lang w:val="en-US" w:eastAsia="zh-CN" w:bidi="ar-SA"/>
        </w:rPr>
        <w:t>项目实际设备表面和厂房地面无需清洗，铱锭铸造过程中冷却水循环使用，无生产废水排放，未设置沉淀池；项目产生的废水主要为职工生活污水，洗漱冲厕等生活污水经化粪池处理后排入市政污水管网，进入秦汉新城朝阳污水处理厂。项目废水类别、来源及处理措施等见表3-9。</w:t>
      </w:r>
    </w:p>
    <w:p>
      <w:pPr>
        <w:widowControl w:val="0"/>
        <w:spacing w:line="360" w:lineRule="auto"/>
        <w:ind w:left="0" w:leftChars="0" w:firstLine="0" w:firstLineChars="0"/>
        <w:jc w:val="center"/>
        <w:rPr>
          <w:rFonts w:hint="default" w:ascii="Times New Roman" w:hAnsi="Times New Roman" w:eastAsia="仿宋" w:cs="Times New Roman"/>
          <w:b/>
          <w:bCs/>
          <w:color w:val="000000"/>
          <w:kern w:val="2"/>
          <w:sz w:val="24"/>
          <w:szCs w:val="24"/>
          <w:lang w:val="en-US" w:eastAsia="zh-CN" w:bidi="ar-SA"/>
        </w:rPr>
      </w:pPr>
      <w:r>
        <w:rPr>
          <w:rFonts w:hint="default" w:ascii="Times New Roman" w:hAnsi="Times New Roman" w:eastAsia="仿宋" w:cs="Times New Roman"/>
          <w:b/>
          <w:bCs/>
          <w:color w:val="000000"/>
          <w:kern w:val="2"/>
          <w:sz w:val="24"/>
          <w:szCs w:val="24"/>
          <w:lang w:val="en-US" w:eastAsia="zh-CN" w:bidi="ar-SA"/>
        </w:rPr>
        <w:t>表3-9项目废水类别、来源及处理措施</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167"/>
        <w:gridCol w:w="1157"/>
        <w:gridCol w:w="1725"/>
        <w:gridCol w:w="1290"/>
        <w:gridCol w:w="2144"/>
        <w:gridCol w:w="15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167"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bCs w:val="0"/>
                <w:kern w:val="0"/>
                <w:sz w:val="21"/>
                <w:szCs w:val="21"/>
                <w:highlight w:val="none"/>
              </w:rPr>
            </w:pPr>
            <w:r>
              <w:rPr>
                <w:rFonts w:hint="default" w:ascii="Times New Roman" w:hAnsi="Times New Roman" w:eastAsia="仿宋" w:cs="Times New Roman"/>
                <w:b/>
                <w:bCs w:val="0"/>
                <w:kern w:val="0"/>
                <w:sz w:val="21"/>
                <w:szCs w:val="21"/>
                <w:highlight w:val="none"/>
              </w:rPr>
              <w:t>类别</w:t>
            </w:r>
          </w:p>
        </w:tc>
        <w:tc>
          <w:tcPr>
            <w:tcW w:w="1157"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bCs w:val="0"/>
                <w:kern w:val="0"/>
                <w:sz w:val="21"/>
                <w:szCs w:val="21"/>
                <w:highlight w:val="none"/>
              </w:rPr>
            </w:pPr>
            <w:r>
              <w:rPr>
                <w:rFonts w:hint="default" w:ascii="Times New Roman" w:hAnsi="Times New Roman" w:eastAsia="仿宋" w:cs="Times New Roman"/>
                <w:b/>
                <w:bCs w:val="0"/>
                <w:kern w:val="0"/>
                <w:sz w:val="21"/>
                <w:szCs w:val="21"/>
                <w:highlight w:val="none"/>
              </w:rPr>
              <w:t>来源</w:t>
            </w:r>
          </w:p>
        </w:tc>
        <w:tc>
          <w:tcPr>
            <w:tcW w:w="1725"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bCs w:val="0"/>
                <w:kern w:val="0"/>
                <w:sz w:val="21"/>
                <w:szCs w:val="21"/>
                <w:highlight w:val="none"/>
              </w:rPr>
            </w:pPr>
            <w:r>
              <w:rPr>
                <w:rFonts w:hint="default" w:ascii="Times New Roman" w:hAnsi="Times New Roman" w:eastAsia="仿宋" w:cs="Times New Roman"/>
                <w:b/>
                <w:bCs w:val="0"/>
                <w:kern w:val="0"/>
                <w:sz w:val="21"/>
                <w:szCs w:val="21"/>
                <w:highlight w:val="none"/>
              </w:rPr>
              <w:t>污染物种类</w:t>
            </w:r>
          </w:p>
        </w:tc>
        <w:tc>
          <w:tcPr>
            <w:tcW w:w="1290"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bCs w:val="0"/>
                <w:kern w:val="0"/>
                <w:sz w:val="21"/>
                <w:szCs w:val="21"/>
                <w:highlight w:val="none"/>
              </w:rPr>
            </w:pPr>
            <w:r>
              <w:rPr>
                <w:rFonts w:hint="default" w:ascii="Times New Roman" w:hAnsi="Times New Roman" w:eastAsia="仿宋" w:cs="Times New Roman"/>
                <w:b/>
                <w:bCs w:val="0"/>
                <w:kern w:val="0"/>
                <w:sz w:val="21"/>
                <w:szCs w:val="21"/>
                <w:highlight w:val="none"/>
              </w:rPr>
              <w:t>排放量</w:t>
            </w:r>
          </w:p>
        </w:tc>
        <w:tc>
          <w:tcPr>
            <w:tcW w:w="2144"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bCs w:val="0"/>
                <w:kern w:val="0"/>
                <w:sz w:val="21"/>
                <w:szCs w:val="21"/>
                <w:highlight w:val="none"/>
              </w:rPr>
            </w:pPr>
            <w:r>
              <w:rPr>
                <w:rFonts w:hint="default" w:ascii="Times New Roman" w:hAnsi="Times New Roman" w:eastAsia="仿宋" w:cs="Times New Roman"/>
                <w:b/>
                <w:bCs w:val="0"/>
                <w:kern w:val="0"/>
                <w:sz w:val="21"/>
                <w:szCs w:val="21"/>
                <w:highlight w:val="none"/>
              </w:rPr>
              <w:t>治理措施</w:t>
            </w:r>
          </w:p>
        </w:tc>
        <w:tc>
          <w:tcPr>
            <w:tcW w:w="1588"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bCs w:val="0"/>
                <w:kern w:val="0"/>
                <w:sz w:val="21"/>
                <w:szCs w:val="21"/>
                <w:highlight w:val="none"/>
              </w:rPr>
            </w:pPr>
            <w:r>
              <w:rPr>
                <w:rFonts w:hint="default" w:ascii="Times New Roman" w:hAnsi="Times New Roman" w:eastAsia="仿宋" w:cs="Times New Roman"/>
                <w:b/>
                <w:bCs w:val="0"/>
                <w:kern w:val="0"/>
                <w:sz w:val="21"/>
                <w:szCs w:val="21"/>
                <w:highlight w:val="none"/>
              </w:rPr>
              <w:t>排放去向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167"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Cs/>
                <w:kern w:val="0"/>
                <w:sz w:val="21"/>
                <w:szCs w:val="21"/>
                <w:highlight w:val="none"/>
              </w:rPr>
            </w:pPr>
            <w:r>
              <w:rPr>
                <w:rFonts w:hint="default" w:ascii="Times New Roman" w:hAnsi="Times New Roman" w:eastAsia="仿宋" w:cs="Times New Roman"/>
                <w:sz w:val="21"/>
                <w:szCs w:val="21"/>
                <w:highlight w:val="none"/>
              </w:rPr>
              <w:t>生活污水</w:t>
            </w:r>
          </w:p>
        </w:tc>
        <w:tc>
          <w:tcPr>
            <w:tcW w:w="1157"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职工办公生活等</w:t>
            </w:r>
          </w:p>
        </w:tc>
        <w:tc>
          <w:tcPr>
            <w:tcW w:w="1725"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COD、BOD</w:t>
            </w:r>
            <w:r>
              <w:rPr>
                <w:rFonts w:hint="default" w:ascii="Times New Roman" w:hAnsi="Times New Roman" w:eastAsia="仿宋" w:cs="Times New Roman"/>
                <w:sz w:val="21"/>
                <w:szCs w:val="21"/>
                <w:highlight w:val="none"/>
                <w:vertAlign w:val="subscript"/>
              </w:rPr>
              <w:t>5</w:t>
            </w:r>
            <w:r>
              <w:rPr>
                <w:rFonts w:hint="default" w:ascii="Times New Roman" w:hAnsi="Times New Roman" w:eastAsia="仿宋" w:cs="Times New Roman"/>
                <w:sz w:val="21"/>
                <w:szCs w:val="21"/>
                <w:highlight w:val="none"/>
              </w:rPr>
              <w:t>、悬浮物、氨氮</w:t>
            </w:r>
          </w:p>
        </w:tc>
        <w:tc>
          <w:tcPr>
            <w:tcW w:w="1290"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268.8m</w:t>
            </w:r>
            <w:r>
              <w:rPr>
                <w:rFonts w:hint="default" w:ascii="Times New Roman" w:hAnsi="Times New Roman" w:eastAsia="仿宋" w:cs="Times New Roman"/>
                <w:sz w:val="21"/>
                <w:szCs w:val="21"/>
                <w:highlight w:val="none"/>
                <w:vertAlign w:val="superscript"/>
              </w:rPr>
              <w:t>3</w:t>
            </w:r>
            <w:r>
              <w:rPr>
                <w:rFonts w:hint="default" w:ascii="Times New Roman" w:hAnsi="Times New Roman" w:eastAsia="仿宋" w:cs="Times New Roman"/>
                <w:sz w:val="21"/>
                <w:szCs w:val="21"/>
                <w:highlight w:val="none"/>
              </w:rPr>
              <w:t>/a</w:t>
            </w:r>
          </w:p>
        </w:tc>
        <w:tc>
          <w:tcPr>
            <w:tcW w:w="2144" w:type="dxa"/>
            <w:tcBorders>
              <w:tl2br w:val="nil"/>
              <w:tr2bl w:val="nil"/>
            </w:tcBorders>
            <w:noWrap w:val="0"/>
            <w:tcMar>
              <w:top w:w="0" w:type="dxa"/>
              <w:left w:w="57" w:type="dxa"/>
              <w:bottom w:w="0" w:type="dxa"/>
              <w:right w:w="57" w:type="dxa"/>
            </w:tcMar>
            <w:vAlign w:val="center"/>
          </w:tcPr>
          <w:p>
            <w:pPr>
              <w:widowControl/>
              <w:jc w:val="left"/>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自建化粪池1座，容积为300m</w:t>
            </w:r>
            <w:r>
              <w:rPr>
                <w:rFonts w:hint="default" w:ascii="Times New Roman" w:hAnsi="Times New Roman" w:eastAsia="仿宋" w:cs="Times New Roman"/>
                <w:sz w:val="21"/>
                <w:szCs w:val="21"/>
                <w:highlight w:val="none"/>
                <w:vertAlign w:val="superscript"/>
              </w:rPr>
              <w:t>3</w:t>
            </w:r>
          </w:p>
        </w:tc>
        <w:tc>
          <w:tcPr>
            <w:tcW w:w="1588"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秦汉新城朝阳污水处理厂</w:t>
            </w:r>
          </w:p>
        </w:tc>
      </w:tr>
    </w:tbl>
    <w:p>
      <w:pPr>
        <w:pStyle w:val="19"/>
        <w:spacing w:before="0" w:beforeAutospacing="0" w:after="0" w:afterAutospacing="0" w:line="360" w:lineRule="auto"/>
        <w:ind w:firstLine="560" w:firstLineChars="200"/>
        <w:rPr>
          <w:rFonts w:hint="default" w:ascii="Times New Roman" w:hAnsi="Times New Roman" w:eastAsia="仿宋" w:cs="Times New Roman"/>
          <w:kern w:val="2"/>
          <w:sz w:val="28"/>
          <w:szCs w:val="28"/>
          <w:highlight w:val="none"/>
          <w:lang w:eastAsia="zh-CN"/>
        </w:rPr>
      </w:pPr>
      <w:r>
        <w:rPr>
          <w:rFonts w:hint="default" w:ascii="Times New Roman" w:hAnsi="Times New Roman" w:eastAsia="仿宋" w:cs="Times New Roman"/>
          <w:kern w:val="2"/>
          <w:sz w:val="28"/>
          <w:szCs w:val="28"/>
          <w:highlight w:val="none"/>
          <w:lang w:eastAsia="zh-CN"/>
        </w:rPr>
        <w:t>（</w:t>
      </w:r>
      <w:r>
        <w:rPr>
          <w:rFonts w:hint="default" w:ascii="Times New Roman" w:hAnsi="Times New Roman" w:eastAsia="仿宋" w:cs="Times New Roman"/>
          <w:kern w:val="2"/>
          <w:sz w:val="28"/>
          <w:szCs w:val="28"/>
          <w:highlight w:val="none"/>
          <w:lang w:val="en-US" w:eastAsia="zh-CN"/>
        </w:rPr>
        <w:t>4</w:t>
      </w:r>
      <w:r>
        <w:rPr>
          <w:rFonts w:hint="default" w:ascii="Times New Roman" w:hAnsi="Times New Roman" w:eastAsia="仿宋" w:cs="Times New Roman"/>
          <w:kern w:val="2"/>
          <w:sz w:val="28"/>
          <w:szCs w:val="28"/>
          <w:highlight w:val="none"/>
          <w:lang w:eastAsia="zh-CN"/>
        </w:rPr>
        <w:t>）固废污染防治措施</w:t>
      </w:r>
    </w:p>
    <w:p>
      <w:pPr>
        <w:pStyle w:val="19"/>
        <w:spacing w:before="0" w:beforeAutospacing="0" w:after="0" w:afterAutospacing="0" w:line="360" w:lineRule="auto"/>
        <w:ind w:firstLine="560" w:firstLineChars="200"/>
        <w:rPr>
          <w:rFonts w:hint="default" w:ascii="Times New Roman" w:hAnsi="Times New Roman" w:eastAsia="仿宋" w:cs="Times New Roman"/>
          <w:kern w:val="2"/>
          <w:sz w:val="28"/>
          <w:szCs w:val="28"/>
          <w:highlight w:val="none"/>
          <w:lang w:eastAsia="zh-CN"/>
        </w:rPr>
      </w:pPr>
      <w:r>
        <w:rPr>
          <w:rFonts w:hint="default" w:ascii="Times New Roman" w:hAnsi="Times New Roman" w:eastAsia="仿宋" w:cs="Times New Roman"/>
          <w:kern w:val="2"/>
          <w:sz w:val="28"/>
          <w:szCs w:val="28"/>
          <w:highlight w:val="none"/>
          <w:lang w:eastAsia="zh-CN"/>
        </w:rPr>
        <w:t>本项目产生的固体废物主要为员工日常生活垃圾、生产过程中的铱板切割下脚料、废乳化油、废砂料、废钼丝、废机油等。</w:t>
      </w:r>
    </w:p>
    <w:p>
      <w:pPr>
        <w:pStyle w:val="19"/>
        <w:spacing w:before="0" w:beforeAutospacing="0" w:after="0" w:afterAutospacing="0" w:line="360" w:lineRule="auto"/>
        <w:ind w:firstLine="560" w:firstLineChars="200"/>
        <w:rPr>
          <w:rFonts w:hint="default" w:ascii="Times New Roman" w:hAnsi="Times New Roman" w:eastAsia="仿宋" w:cs="Times New Roman"/>
          <w:kern w:val="2"/>
          <w:sz w:val="28"/>
          <w:szCs w:val="28"/>
          <w:highlight w:val="none"/>
          <w:lang w:eastAsia="zh-CN"/>
        </w:rPr>
      </w:pPr>
      <w:r>
        <w:rPr>
          <w:rFonts w:hint="default" w:ascii="Times New Roman" w:hAnsi="Times New Roman" w:eastAsia="仿宋" w:cs="Times New Roman"/>
          <w:kern w:val="2"/>
          <w:sz w:val="28"/>
          <w:szCs w:val="28"/>
          <w:highlight w:val="none"/>
          <w:lang w:eastAsia="zh-CN"/>
        </w:rPr>
        <w:t>①员工的日常生活垃圾，应分类收集，设置</w:t>
      </w:r>
      <w:r>
        <w:rPr>
          <w:rFonts w:hint="default" w:ascii="Times New Roman" w:hAnsi="Times New Roman" w:eastAsia="仿宋" w:cs="Times New Roman"/>
          <w:kern w:val="2"/>
          <w:sz w:val="28"/>
          <w:szCs w:val="28"/>
          <w:highlight w:val="none"/>
          <w:lang w:val="en-US" w:eastAsia="zh-CN"/>
        </w:rPr>
        <w:t>不同类型</w:t>
      </w:r>
      <w:r>
        <w:rPr>
          <w:rFonts w:hint="default" w:ascii="Times New Roman" w:hAnsi="Times New Roman" w:eastAsia="仿宋" w:cs="Times New Roman"/>
          <w:kern w:val="2"/>
          <w:sz w:val="28"/>
          <w:szCs w:val="28"/>
          <w:highlight w:val="none"/>
          <w:lang w:eastAsia="zh-CN"/>
        </w:rPr>
        <w:t>垃圾桶，并由专职人员每天定时清扫和收集，定点放置，由环卫部门清运。</w:t>
      </w:r>
    </w:p>
    <w:p>
      <w:pPr>
        <w:pStyle w:val="19"/>
        <w:spacing w:before="0" w:beforeAutospacing="0" w:after="0" w:afterAutospacing="0" w:line="360" w:lineRule="auto"/>
        <w:ind w:firstLine="560" w:firstLineChars="200"/>
        <w:rPr>
          <w:rFonts w:hint="default" w:ascii="Times New Roman" w:hAnsi="Times New Roman" w:eastAsia="仿宋" w:cs="Times New Roman"/>
          <w:kern w:val="2"/>
          <w:sz w:val="28"/>
          <w:szCs w:val="28"/>
          <w:highlight w:val="none"/>
          <w:lang w:eastAsia="zh-CN"/>
        </w:rPr>
      </w:pPr>
      <w:r>
        <w:rPr>
          <w:rFonts w:hint="default" w:ascii="Times New Roman" w:hAnsi="Times New Roman" w:eastAsia="仿宋" w:cs="Times New Roman"/>
          <w:kern w:val="2"/>
          <w:sz w:val="28"/>
          <w:szCs w:val="28"/>
          <w:highlight w:val="none"/>
          <w:lang w:eastAsia="zh-CN"/>
        </w:rPr>
        <w:t>②生产过程中，铱板切割下脚料回用于生产或作为铱焊条使用。废砂料委托昆明贵益金属材料有限公司分公司提纯后，铱金属回用于生产。</w:t>
      </w:r>
    </w:p>
    <w:p>
      <w:pPr>
        <w:pStyle w:val="19"/>
        <w:spacing w:before="0" w:beforeAutospacing="0" w:after="0" w:afterAutospacing="0" w:line="360" w:lineRule="auto"/>
        <w:ind w:firstLine="560" w:firstLineChars="200"/>
        <w:rPr>
          <w:rFonts w:hint="default" w:ascii="Times New Roman" w:hAnsi="Times New Roman" w:eastAsia="仿宋" w:cs="Times New Roman"/>
          <w:kern w:val="2"/>
          <w:sz w:val="28"/>
          <w:szCs w:val="28"/>
          <w:highlight w:val="none"/>
          <w:lang w:eastAsia="zh-CN"/>
        </w:rPr>
      </w:pPr>
      <w:r>
        <w:rPr>
          <w:rFonts w:hint="default" w:ascii="Times New Roman" w:hAnsi="Times New Roman" w:eastAsia="仿宋" w:cs="Times New Roman"/>
          <w:kern w:val="2"/>
          <w:sz w:val="28"/>
          <w:szCs w:val="28"/>
          <w:highlight w:val="none"/>
          <w:lang w:eastAsia="zh-CN"/>
        </w:rPr>
        <w:t>③废乳化油、废钼丝和废机油均属于危险固体废物。废乳化油委托昆明贵益金属材料有限公司分公司提纯，并由该公司处置项目产生的废乳化液。废钼丝和废机油定期委托陕西明瑞资源再生有限公司回收处置。危废暂存间按标准要求建设，分类暂存，标签明示，液体危废采用桶装，并设置有接漏托盘，暂存间内设置灭火器材。</w:t>
      </w:r>
    </w:p>
    <w:p>
      <w:pPr>
        <w:widowControl w:val="0"/>
        <w:spacing w:line="360" w:lineRule="auto"/>
        <w:ind w:left="0" w:leftChars="0" w:firstLine="0" w:firstLineChars="0"/>
        <w:jc w:val="center"/>
        <w:rPr>
          <w:rFonts w:hint="default" w:ascii="Times New Roman" w:hAnsi="Times New Roman" w:eastAsia="仿宋" w:cs="Times New Roman"/>
          <w:b/>
          <w:bCs/>
          <w:color w:val="000000"/>
          <w:kern w:val="2"/>
          <w:sz w:val="24"/>
          <w:szCs w:val="24"/>
          <w:lang w:val="en-US" w:eastAsia="zh-CN" w:bidi="ar-SA"/>
        </w:rPr>
      </w:pPr>
      <w:r>
        <w:rPr>
          <w:rFonts w:hint="default" w:ascii="Times New Roman" w:hAnsi="Times New Roman" w:eastAsia="仿宋" w:cs="Times New Roman"/>
          <w:b/>
          <w:bCs/>
          <w:color w:val="000000"/>
          <w:kern w:val="2"/>
          <w:sz w:val="24"/>
          <w:szCs w:val="24"/>
          <w:lang w:val="en-US" w:eastAsia="zh-CN" w:bidi="ar-SA"/>
        </w:rPr>
        <w:t>图3-9项目固废类别、来源及处理措施</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891"/>
        <w:gridCol w:w="1108"/>
        <w:gridCol w:w="2160"/>
        <w:gridCol w:w="1644"/>
        <w:gridCol w:w="22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891" w:type="dxa"/>
            <w:tcBorders>
              <w:tl2br w:val="nil"/>
              <w:tr2bl w:val="nil"/>
            </w:tcBorders>
            <w:noWrap w:val="0"/>
            <w:tcMar>
              <w:top w:w="0" w:type="dxa"/>
              <w:left w:w="57" w:type="dxa"/>
              <w:bottom w:w="0" w:type="dxa"/>
              <w:right w:w="57" w:type="dxa"/>
            </w:tcMar>
            <w:vAlign w:val="center"/>
          </w:tcPr>
          <w:p>
            <w:pPr>
              <w:spacing w:line="360" w:lineRule="auto"/>
              <w:ind w:left="0" w:leftChars="0" w:firstLine="0" w:firstLineChars="0"/>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b/>
                <w:bCs/>
                <w:sz w:val="21"/>
                <w:szCs w:val="21"/>
                <w:vertAlign w:val="baseline"/>
                <w:lang w:val="en-US" w:eastAsia="zh-CN"/>
              </w:rPr>
              <w:t>类别</w:t>
            </w:r>
          </w:p>
        </w:tc>
        <w:tc>
          <w:tcPr>
            <w:tcW w:w="1108" w:type="dxa"/>
            <w:tcBorders>
              <w:tl2br w:val="nil"/>
              <w:tr2bl w:val="nil"/>
            </w:tcBorders>
            <w:noWrap w:val="0"/>
            <w:tcMar>
              <w:top w:w="0" w:type="dxa"/>
              <w:left w:w="57" w:type="dxa"/>
              <w:bottom w:w="0" w:type="dxa"/>
              <w:right w:w="57" w:type="dxa"/>
            </w:tcMar>
            <w:vAlign w:val="center"/>
          </w:tcPr>
          <w:p>
            <w:pPr>
              <w:spacing w:line="360" w:lineRule="auto"/>
              <w:ind w:left="0" w:leftChars="0" w:firstLine="0" w:firstLineChars="0"/>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b/>
                <w:bCs/>
                <w:sz w:val="21"/>
                <w:szCs w:val="21"/>
                <w:vertAlign w:val="baseline"/>
                <w:lang w:val="en-US" w:eastAsia="zh-CN"/>
              </w:rPr>
              <w:t>性质</w:t>
            </w:r>
          </w:p>
        </w:tc>
        <w:tc>
          <w:tcPr>
            <w:tcW w:w="2160" w:type="dxa"/>
            <w:tcBorders>
              <w:tl2br w:val="nil"/>
              <w:tr2bl w:val="nil"/>
            </w:tcBorders>
            <w:noWrap w:val="0"/>
            <w:tcMar>
              <w:top w:w="0" w:type="dxa"/>
              <w:left w:w="57" w:type="dxa"/>
              <w:bottom w:w="0" w:type="dxa"/>
              <w:right w:w="57" w:type="dxa"/>
            </w:tcMar>
            <w:vAlign w:val="center"/>
          </w:tcPr>
          <w:p>
            <w:pPr>
              <w:spacing w:line="360" w:lineRule="auto"/>
              <w:ind w:left="0" w:leftChars="0" w:firstLine="0" w:firstLineChars="0"/>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b/>
                <w:bCs/>
                <w:sz w:val="21"/>
                <w:szCs w:val="21"/>
                <w:vertAlign w:val="baseline"/>
                <w:lang w:val="en-US" w:eastAsia="zh-CN"/>
              </w:rPr>
              <w:t>产生源</w:t>
            </w:r>
          </w:p>
        </w:tc>
        <w:tc>
          <w:tcPr>
            <w:tcW w:w="1644" w:type="dxa"/>
            <w:tcBorders>
              <w:tl2br w:val="nil"/>
              <w:tr2bl w:val="nil"/>
            </w:tcBorders>
            <w:noWrap w:val="0"/>
            <w:tcMar>
              <w:top w:w="0" w:type="dxa"/>
              <w:left w:w="57" w:type="dxa"/>
              <w:bottom w:w="0" w:type="dxa"/>
              <w:right w:w="57" w:type="dxa"/>
            </w:tcMar>
            <w:vAlign w:val="center"/>
          </w:tcPr>
          <w:p>
            <w:pPr>
              <w:spacing w:line="360" w:lineRule="auto"/>
              <w:ind w:left="0" w:leftChars="0" w:firstLine="0" w:firstLineChars="0"/>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b/>
                <w:bCs/>
                <w:sz w:val="21"/>
                <w:szCs w:val="21"/>
                <w:vertAlign w:val="baseline"/>
                <w:lang w:val="en-US" w:eastAsia="zh-CN"/>
              </w:rPr>
              <w:t>产生量（t/a）</w:t>
            </w:r>
          </w:p>
        </w:tc>
        <w:tc>
          <w:tcPr>
            <w:tcW w:w="2268" w:type="dxa"/>
            <w:tcBorders>
              <w:tl2br w:val="nil"/>
              <w:tr2bl w:val="nil"/>
            </w:tcBorders>
            <w:noWrap w:val="0"/>
            <w:tcMar>
              <w:top w:w="0" w:type="dxa"/>
              <w:left w:w="57" w:type="dxa"/>
              <w:bottom w:w="0" w:type="dxa"/>
              <w:right w:w="57" w:type="dxa"/>
            </w:tcMar>
            <w:vAlign w:val="center"/>
          </w:tcPr>
          <w:p>
            <w:pPr>
              <w:spacing w:line="360" w:lineRule="auto"/>
              <w:ind w:left="0" w:leftChars="0" w:firstLine="0" w:firstLineChars="0"/>
              <w:jc w:val="center"/>
              <w:rPr>
                <w:rFonts w:hint="default" w:ascii="Times New Roman" w:hAnsi="Times New Roman" w:eastAsia="仿宋" w:cs="Times New Roman"/>
                <w:b/>
                <w:bCs/>
                <w:sz w:val="21"/>
                <w:szCs w:val="21"/>
                <w:vertAlign w:val="baseline"/>
                <w:lang w:val="en-US" w:eastAsia="zh-CN"/>
              </w:rPr>
            </w:pPr>
            <w:r>
              <w:rPr>
                <w:rFonts w:hint="default" w:ascii="Times New Roman" w:hAnsi="Times New Roman" w:eastAsia="仿宋" w:cs="Times New Roman"/>
                <w:b/>
                <w:bCs/>
                <w:sz w:val="21"/>
                <w:szCs w:val="21"/>
                <w:vertAlign w:val="baseline"/>
                <w:lang w:val="en-US" w:eastAsia="zh-CN"/>
              </w:rPr>
              <w:t>治理措施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891"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color w:val="000000"/>
                <w:sz w:val="21"/>
                <w:szCs w:val="21"/>
                <w:highlight w:val="none"/>
              </w:rPr>
              <w:t>生活垃圾</w:t>
            </w:r>
          </w:p>
        </w:tc>
        <w:tc>
          <w:tcPr>
            <w:tcW w:w="1108" w:type="dxa"/>
            <w:vMerge w:val="restart"/>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Cs/>
                <w:kern w:val="0"/>
                <w:sz w:val="21"/>
                <w:szCs w:val="21"/>
                <w:highlight w:val="none"/>
              </w:rPr>
            </w:pPr>
            <w:r>
              <w:rPr>
                <w:rFonts w:hint="default" w:ascii="Times New Roman" w:hAnsi="Times New Roman" w:eastAsia="仿宋" w:cs="Times New Roman"/>
                <w:color w:val="000000"/>
                <w:sz w:val="21"/>
                <w:szCs w:val="21"/>
                <w:highlight w:val="none"/>
              </w:rPr>
              <w:t>一般固废</w:t>
            </w:r>
          </w:p>
        </w:tc>
        <w:tc>
          <w:tcPr>
            <w:tcW w:w="2160"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职工日常工作</w:t>
            </w:r>
          </w:p>
        </w:tc>
        <w:tc>
          <w:tcPr>
            <w:tcW w:w="1644"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4.8</w:t>
            </w:r>
          </w:p>
        </w:tc>
        <w:tc>
          <w:tcPr>
            <w:tcW w:w="2268" w:type="dxa"/>
            <w:tcBorders>
              <w:tl2br w:val="nil"/>
              <w:tr2bl w:val="nil"/>
            </w:tcBorders>
            <w:noWrap w:val="0"/>
            <w:tcMar>
              <w:top w:w="0" w:type="dxa"/>
              <w:left w:w="57" w:type="dxa"/>
              <w:bottom w:w="0" w:type="dxa"/>
              <w:right w:w="57" w:type="dxa"/>
            </w:tcMar>
            <w:vAlign w:val="center"/>
          </w:tcPr>
          <w:p>
            <w:pPr>
              <w:spacing w:line="280" w:lineRule="exact"/>
              <w:rPr>
                <w:rFonts w:hint="default" w:ascii="Times New Roman" w:hAnsi="Times New Roman" w:eastAsia="仿宋" w:cs="Times New Roman"/>
                <w:sz w:val="21"/>
                <w:szCs w:val="21"/>
                <w:highlight w:val="none"/>
              </w:rPr>
            </w:pPr>
            <w:r>
              <w:rPr>
                <w:rFonts w:hint="default" w:ascii="Times New Roman" w:hAnsi="Times New Roman" w:eastAsia="仿宋" w:cs="Times New Roman"/>
                <w:color w:val="000000"/>
                <w:kern w:val="2"/>
                <w:sz w:val="21"/>
                <w:szCs w:val="21"/>
                <w:highlight w:val="none"/>
                <w:lang w:val="en-US" w:eastAsia="zh-CN" w:bidi="ar-SA"/>
              </w:rPr>
              <w:t>应分类收集，设置不同类型垃圾桶，并由专职人员每天定时清扫和收集，定点放置，由环卫部门清运。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891"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1"/>
                <w:szCs w:val="21"/>
                <w:highlight w:val="none"/>
              </w:rPr>
            </w:pPr>
            <w:r>
              <w:rPr>
                <w:rFonts w:hint="default" w:ascii="Times New Roman" w:hAnsi="Times New Roman" w:eastAsia="仿宋" w:cs="Times New Roman"/>
                <w:color w:val="000000"/>
                <w:sz w:val="21"/>
                <w:szCs w:val="21"/>
                <w:highlight w:val="none"/>
              </w:rPr>
              <w:t>铱板切割下脚料</w:t>
            </w:r>
          </w:p>
        </w:tc>
        <w:tc>
          <w:tcPr>
            <w:tcW w:w="1108" w:type="dxa"/>
            <w:vMerge w:val="continue"/>
            <w:tcBorders>
              <w:tl2br w:val="nil"/>
              <w:tr2bl w:val="nil"/>
            </w:tcBorders>
            <w:noWrap w:val="0"/>
            <w:vAlign w:val="center"/>
          </w:tcPr>
          <w:p>
            <w:pPr>
              <w:widowControl/>
              <w:jc w:val="left"/>
              <w:rPr>
                <w:rFonts w:hint="default" w:ascii="Times New Roman" w:hAnsi="Times New Roman" w:eastAsia="仿宋" w:cs="Times New Roman"/>
                <w:bCs/>
                <w:kern w:val="0"/>
                <w:sz w:val="21"/>
                <w:szCs w:val="21"/>
                <w:highlight w:val="none"/>
              </w:rPr>
            </w:pPr>
          </w:p>
        </w:tc>
        <w:tc>
          <w:tcPr>
            <w:tcW w:w="2160"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机加区域</w:t>
            </w:r>
          </w:p>
        </w:tc>
        <w:tc>
          <w:tcPr>
            <w:tcW w:w="1644"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0.032</w:t>
            </w:r>
          </w:p>
        </w:tc>
        <w:tc>
          <w:tcPr>
            <w:tcW w:w="2268" w:type="dxa"/>
            <w:tcBorders>
              <w:tl2br w:val="nil"/>
              <w:tr2bl w:val="nil"/>
            </w:tcBorders>
            <w:noWrap w:val="0"/>
            <w:tcMar>
              <w:top w:w="0" w:type="dxa"/>
              <w:left w:w="57" w:type="dxa"/>
              <w:bottom w:w="0" w:type="dxa"/>
              <w:right w:w="57" w:type="dxa"/>
            </w:tcMar>
            <w:vAlign w:val="center"/>
          </w:tcPr>
          <w:p>
            <w:pPr>
              <w:spacing w:line="280" w:lineRule="exact"/>
              <w:jc w:val="center"/>
              <w:rPr>
                <w:rFonts w:hint="default" w:ascii="Times New Roman" w:hAnsi="Times New Roman" w:eastAsia="仿宋" w:cs="Times New Roman"/>
                <w:color w:val="000000"/>
                <w:sz w:val="21"/>
                <w:szCs w:val="21"/>
                <w:highlight w:val="none"/>
              </w:rPr>
            </w:pPr>
            <w:r>
              <w:rPr>
                <w:rFonts w:hint="default" w:ascii="Times New Roman" w:hAnsi="Times New Roman" w:eastAsia="仿宋" w:cs="Times New Roman"/>
                <w:color w:val="000000"/>
                <w:sz w:val="21"/>
                <w:szCs w:val="21"/>
                <w:highlight w:val="none"/>
              </w:rPr>
              <w:t>直接回用于生产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891"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1"/>
                <w:szCs w:val="21"/>
                <w:highlight w:val="none"/>
              </w:rPr>
            </w:pPr>
            <w:r>
              <w:rPr>
                <w:rFonts w:hint="default" w:ascii="Times New Roman" w:hAnsi="Times New Roman" w:eastAsia="仿宋" w:cs="Times New Roman"/>
                <w:color w:val="000000"/>
                <w:sz w:val="21"/>
                <w:szCs w:val="21"/>
                <w:highlight w:val="none"/>
              </w:rPr>
              <w:t>废砂料</w:t>
            </w:r>
          </w:p>
        </w:tc>
        <w:tc>
          <w:tcPr>
            <w:tcW w:w="1108" w:type="dxa"/>
            <w:vMerge w:val="continue"/>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1"/>
                <w:szCs w:val="21"/>
                <w:highlight w:val="none"/>
              </w:rPr>
            </w:pPr>
          </w:p>
        </w:tc>
        <w:tc>
          <w:tcPr>
            <w:tcW w:w="2160"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机加区域</w:t>
            </w:r>
          </w:p>
        </w:tc>
        <w:tc>
          <w:tcPr>
            <w:tcW w:w="1644"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0.01</w:t>
            </w:r>
          </w:p>
        </w:tc>
        <w:tc>
          <w:tcPr>
            <w:tcW w:w="2268" w:type="dxa"/>
            <w:tcBorders>
              <w:tl2br w:val="nil"/>
              <w:tr2bl w:val="nil"/>
            </w:tcBorders>
            <w:noWrap w:val="0"/>
            <w:tcMar>
              <w:top w:w="0" w:type="dxa"/>
              <w:left w:w="57" w:type="dxa"/>
              <w:bottom w:w="0" w:type="dxa"/>
              <w:right w:w="57" w:type="dxa"/>
            </w:tcMar>
            <w:vAlign w:val="center"/>
          </w:tcPr>
          <w:p>
            <w:pPr>
              <w:spacing w:line="280" w:lineRule="exact"/>
              <w:rPr>
                <w:rFonts w:hint="default" w:ascii="Times New Roman" w:hAnsi="Times New Roman" w:eastAsia="仿宋" w:cs="Times New Roman"/>
                <w:color w:val="000000"/>
                <w:sz w:val="21"/>
                <w:szCs w:val="21"/>
                <w:highlight w:val="none"/>
              </w:rPr>
            </w:pPr>
            <w:r>
              <w:rPr>
                <w:rFonts w:hint="default" w:ascii="Times New Roman" w:hAnsi="Times New Roman" w:eastAsia="仿宋" w:cs="Times New Roman"/>
                <w:color w:val="000000"/>
                <w:sz w:val="21"/>
                <w:szCs w:val="21"/>
                <w:highlight w:val="none"/>
              </w:rPr>
              <w:t>集中收集，外委</w:t>
            </w:r>
            <w:r>
              <w:rPr>
                <w:rFonts w:hint="default" w:ascii="Times New Roman" w:hAnsi="Times New Roman" w:eastAsia="仿宋" w:cs="Times New Roman"/>
                <w:sz w:val="21"/>
                <w:szCs w:val="21"/>
                <w:highlight w:val="none"/>
              </w:rPr>
              <w:t>昆明贵益金属材料有限公司分公司</w:t>
            </w:r>
            <w:r>
              <w:rPr>
                <w:rFonts w:hint="default" w:ascii="Times New Roman" w:hAnsi="Times New Roman" w:eastAsia="仿宋" w:cs="Times New Roman"/>
                <w:color w:val="000000"/>
                <w:sz w:val="21"/>
                <w:szCs w:val="21"/>
                <w:highlight w:val="none"/>
              </w:rPr>
              <w:t>进行提纯后，铱金属回用于生产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891"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1"/>
                <w:szCs w:val="21"/>
                <w:highlight w:val="none"/>
              </w:rPr>
            </w:pPr>
            <w:r>
              <w:rPr>
                <w:rFonts w:hint="default" w:ascii="Times New Roman" w:hAnsi="Times New Roman" w:eastAsia="仿宋" w:cs="Times New Roman"/>
                <w:color w:val="000000"/>
                <w:sz w:val="21"/>
                <w:szCs w:val="21"/>
                <w:highlight w:val="none"/>
              </w:rPr>
              <w:t>废乳化油</w:t>
            </w:r>
          </w:p>
        </w:tc>
        <w:tc>
          <w:tcPr>
            <w:tcW w:w="1108" w:type="dxa"/>
            <w:vMerge w:val="restart"/>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1"/>
                <w:szCs w:val="21"/>
                <w:highlight w:val="none"/>
              </w:rPr>
            </w:pPr>
            <w:r>
              <w:rPr>
                <w:rFonts w:hint="default" w:ascii="Times New Roman" w:hAnsi="Times New Roman" w:eastAsia="仿宋" w:cs="Times New Roman"/>
                <w:color w:val="000000"/>
                <w:sz w:val="21"/>
                <w:szCs w:val="21"/>
                <w:highlight w:val="none"/>
              </w:rPr>
              <w:t>危险废物</w:t>
            </w:r>
          </w:p>
        </w:tc>
        <w:tc>
          <w:tcPr>
            <w:tcW w:w="2160"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机械设备润滑</w:t>
            </w:r>
          </w:p>
        </w:tc>
        <w:tc>
          <w:tcPr>
            <w:tcW w:w="1644"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0.008</w:t>
            </w:r>
          </w:p>
        </w:tc>
        <w:tc>
          <w:tcPr>
            <w:tcW w:w="2268" w:type="dxa"/>
            <w:vMerge w:val="restart"/>
            <w:tcBorders>
              <w:tl2br w:val="nil"/>
              <w:tr2bl w:val="nil"/>
            </w:tcBorders>
            <w:noWrap w:val="0"/>
            <w:tcMar>
              <w:top w:w="0" w:type="dxa"/>
              <w:left w:w="57" w:type="dxa"/>
              <w:bottom w:w="0" w:type="dxa"/>
              <w:right w:w="57" w:type="dxa"/>
            </w:tcMar>
            <w:vAlign w:val="center"/>
          </w:tcPr>
          <w:p>
            <w:pPr>
              <w:spacing w:line="280" w:lineRule="exact"/>
              <w:rPr>
                <w:rFonts w:hint="default" w:ascii="Times New Roman" w:hAnsi="Times New Roman" w:eastAsia="仿宋" w:cs="Times New Roman"/>
                <w:color w:val="000000"/>
                <w:sz w:val="21"/>
                <w:szCs w:val="21"/>
                <w:highlight w:val="none"/>
              </w:rPr>
            </w:pPr>
            <w:r>
              <w:rPr>
                <w:rFonts w:hint="default" w:ascii="Times New Roman" w:hAnsi="Times New Roman" w:eastAsia="仿宋" w:cs="Times New Roman"/>
                <w:color w:val="000000"/>
                <w:sz w:val="21"/>
                <w:szCs w:val="21"/>
                <w:highlight w:val="none"/>
              </w:rPr>
              <w:t>暂存于危险废物暂存间，定期委托陕西明瑞资源再生有限公司回收处置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891"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1"/>
                <w:szCs w:val="21"/>
                <w:highlight w:val="none"/>
              </w:rPr>
            </w:pPr>
            <w:r>
              <w:rPr>
                <w:rFonts w:hint="default" w:ascii="Times New Roman" w:hAnsi="Times New Roman" w:eastAsia="仿宋" w:cs="Times New Roman"/>
                <w:color w:val="000000"/>
                <w:sz w:val="21"/>
                <w:szCs w:val="21"/>
                <w:highlight w:val="none"/>
              </w:rPr>
              <w:t>废机油</w:t>
            </w:r>
          </w:p>
        </w:tc>
        <w:tc>
          <w:tcPr>
            <w:tcW w:w="1108" w:type="dxa"/>
            <w:vMerge w:val="continue"/>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1"/>
                <w:szCs w:val="21"/>
                <w:highlight w:val="none"/>
              </w:rPr>
            </w:pPr>
          </w:p>
        </w:tc>
        <w:tc>
          <w:tcPr>
            <w:tcW w:w="2160"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机械设备维修保养</w:t>
            </w:r>
          </w:p>
        </w:tc>
        <w:tc>
          <w:tcPr>
            <w:tcW w:w="1644"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0.002</w:t>
            </w:r>
          </w:p>
        </w:tc>
        <w:tc>
          <w:tcPr>
            <w:tcW w:w="2268" w:type="dxa"/>
            <w:vMerge w:val="continue"/>
            <w:tcBorders>
              <w:tl2br w:val="nil"/>
              <w:tr2bl w:val="nil"/>
            </w:tcBorders>
            <w:noWrap w:val="0"/>
            <w:tcMar>
              <w:top w:w="0" w:type="dxa"/>
              <w:left w:w="57" w:type="dxa"/>
              <w:bottom w:w="0" w:type="dxa"/>
              <w:right w:w="57" w:type="dxa"/>
            </w:tcMar>
            <w:vAlign w:val="center"/>
          </w:tcPr>
          <w:p>
            <w:pPr>
              <w:spacing w:line="280" w:lineRule="exact"/>
              <w:jc w:val="center"/>
              <w:rPr>
                <w:rFonts w:hint="default" w:ascii="Times New Roman" w:hAnsi="Times New Roman" w:eastAsia="仿宋" w:cs="Times New Roman"/>
                <w:color w:val="0000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891"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1"/>
                <w:szCs w:val="21"/>
                <w:highlight w:val="none"/>
              </w:rPr>
            </w:pPr>
            <w:r>
              <w:rPr>
                <w:rFonts w:hint="default" w:ascii="Times New Roman" w:hAnsi="Times New Roman" w:eastAsia="仿宋" w:cs="Times New Roman"/>
                <w:color w:val="000000"/>
                <w:sz w:val="21"/>
                <w:szCs w:val="21"/>
                <w:highlight w:val="none"/>
              </w:rPr>
              <w:t>废钼丝</w:t>
            </w:r>
          </w:p>
        </w:tc>
        <w:tc>
          <w:tcPr>
            <w:tcW w:w="1108" w:type="dxa"/>
            <w:vMerge w:val="continue"/>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1"/>
                <w:szCs w:val="21"/>
                <w:highlight w:val="none"/>
              </w:rPr>
            </w:pPr>
          </w:p>
        </w:tc>
        <w:tc>
          <w:tcPr>
            <w:tcW w:w="2160"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机加区域</w:t>
            </w:r>
          </w:p>
        </w:tc>
        <w:tc>
          <w:tcPr>
            <w:tcW w:w="1644"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0.001</w:t>
            </w:r>
          </w:p>
        </w:tc>
        <w:tc>
          <w:tcPr>
            <w:tcW w:w="2268" w:type="dxa"/>
            <w:vMerge w:val="continue"/>
            <w:tcBorders>
              <w:tl2br w:val="nil"/>
              <w:tr2bl w:val="nil"/>
            </w:tcBorders>
            <w:noWrap w:val="0"/>
            <w:tcMar>
              <w:top w:w="0" w:type="dxa"/>
              <w:left w:w="57" w:type="dxa"/>
              <w:bottom w:w="0" w:type="dxa"/>
              <w:right w:w="57" w:type="dxa"/>
            </w:tcMar>
            <w:vAlign w:val="center"/>
          </w:tcPr>
          <w:p>
            <w:pPr>
              <w:spacing w:line="280" w:lineRule="exact"/>
              <w:jc w:val="center"/>
              <w:rPr>
                <w:rFonts w:hint="default" w:ascii="Times New Roman" w:hAnsi="Times New Roman" w:eastAsia="仿宋" w:cs="Times New Roman"/>
                <w:color w:val="000000"/>
                <w:sz w:val="21"/>
                <w:szCs w:val="21"/>
                <w:highlight w:val="none"/>
              </w:rPr>
            </w:pPr>
          </w:p>
        </w:tc>
      </w:tr>
    </w:tbl>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bookmarkStart w:id="67" w:name="_Toc14873549"/>
      <w:r>
        <w:rPr>
          <w:rFonts w:hint="default" w:ascii="Times New Roman" w:hAnsi="Times New Roman" w:eastAsia="仿宋" w:cs="Times New Roman"/>
          <w:b/>
          <w:bCs/>
          <w:kern w:val="2"/>
          <w:sz w:val="30"/>
          <w:szCs w:val="32"/>
          <w:lang w:val="en-US" w:eastAsia="zh-CN" w:bidi="ar-SA"/>
        </w:rPr>
        <w:t>3.4.4安全生产管理</w:t>
      </w:r>
      <w:bookmarkEnd w:id="67"/>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本企业制定了相关安全管理制度，健全安全责任制和承诺制，推行“责任制、责任区、责任人”的区域安全责任制度，强化安全教育培训、提高员工安全意识，对企业全体员工进行上岗培训、安全生产培训和应急预案培训。</w:t>
      </w:r>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采用成熟、先进工艺，选用先进、安全的设备，消除或减少有害源；提高机械化、自动化水平改善劳动条件，把可能对人产生的伤害以及对环境产生的危害降到最低。</w:t>
      </w:r>
    </w:p>
    <w:p>
      <w:pPr>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（1）公司成立了安全生产管理领导小组，并制定了多项相关安全管理制度及事故应急处置方案，定期对公司进行勘察、稳定性分析、安全评价。</w:t>
      </w:r>
    </w:p>
    <w:p>
      <w:pPr>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2）制定完善的安全管理制度及岗位责任制落实到个人。相关人员必须接受有关危险化学品的法律、法规、规章和安全知识、专业技术和应急知识的培训，并经考核合格、方可上岗。加强设备的维修、保养，加强容器、管道的安全监控，按规定进行定期检验；加强危险目标的保卫工作，防止破坏事故的发生。</w:t>
      </w:r>
    </w:p>
    <w:p>
      <w:pPr>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（3）定期对公司工作人员的培训，提高技术素质和操作技能，经考试合格持证上岗，保证24小时有人值班。</w:t>
      </w:r>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68" w:name="_Toc10908"/>
      <w:bookmarkStart w:id="69" w:name="_Toc25420"/>
      <w:r>
        <w:rPr>
          <w:rFonts w:hint="default" w:ascii="Times New Roman" w:hAnsi="Times New Roman" w:eastAsia="仿宋" w:cs="Times New Roman"/>
          <w:b/>
          <w:bCs/>
          <w:kern w:val="2"/>
          <w:sz w:val="32"/>
          <w:szCs w:val="32"/>
          <w:lang w:val="en-US" w:eastAsia="zh-CN" w:bidi="ar-SA"/>
        </w:rPr>
        <w:t>3.5现有环境风险防控与应急措施</w:t>
      </w:r>
      <w:bookmarkEnd w:id="68"/>
      <w:bookmarkEnd w:id="69"/>
    </w:p>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bookmarkStart w:id="70" w:name="_Toc301018544"/>
      <w:bookmarkStart w:id="71" w:name="_Toc224965867"/>
      <w:bookmarkStart w:id="72" w:name="_Toc225244050"/>
      <w:bookmarkStart w:id="73" w:name="_Toc1030"/>
      <w:bookmarkStart w:id="74" w:name="_Toc428934756"/>
      <w:bookmarkStart w:id="75" w:name="_Toc30763"/>
      <w:bookmarkStart w:id="76" w:name="_Toc25523"/>
      <w:bookmarkStart w:id="77" w:name="_Toc3929"/>
      <w:bookmarkStart w:id="78" w:name="_Toc6201"/>
      <w:bookmarkStart w:id="79" w:name="_Toc4149"/>
      <w:r>
        <w:rPr>
          <w:rFonts w:hint="default" w:ascii="Times New Roman" w:hAnsi="Times New Roman" w:eastAsia="仿宋" w:cs="Times New Roman"/>
          <w:b/>
          <w:bCs/>
          <w:kern w:val="2"/>
          <w:sz w:val="30"/>
          <w:szCs w:val="32"/>
          <w:lang w:val="en-US" w:eastAsia="zh-CN" w:bidi="ar-SA"/>
        </w:rPr>
        <w:t>3.</w:t>
      </w:r>
      <w:bookmarkEnd w:id="70"/>
      <w:bookmarkEnd w:id="71"/>
      <w:bookmarkEnd w:id="72"/>
      <w:r>
        <w:rPr>
          <w:rFonts w:hint="default" w:ascii="Times New Roman" w:hAnsi="Times New Roman" w:eastAsia="仿宋" w:cs="Times New Roman"/>
          <w:b/>
          <w:bCs/>
          <w:kern w:val="2"/>
          <w:sz w:val="30"/>
          <w:szCs w:val="32"/>
          <w:lang w:val="en-US" w:eastAsia="zh-CN" w:bidi="ar-SA"/>
        </w:rPr>
        <w:t>5.1</w:t>
      </w:r>
      <w:bookmarkEnd w:id="73"/>
      <w:bookmarkEnd w:id="74"/>
      <w:bookmarkEnd w:id="75"/>
      <w:r>
        <w:rPr>
          <w:rFonts w:hint="default" w:ascii="Times New Roman" w:hAnsi="Times New Roman" w:eastAsia="仿宋" w:cs="Times New Roman"/>
          <w:b/>
          <w:bCs/>
          <w:kern w:val="2"/>
          <w:sz w:val="30"/>
          <w:szCs w:val="32"/>
          <w:lang w:val="en-US" w:eastAsia="zh-CN" w:bidi="ar-SA"/>
        </w:rPr>
        <w:t>风险单元识别</w:t>
      </w:r>
      <w:bookmarkEnd w:id="76"/>
      <w:bookmarkEnd w:id="77"/>
      <w:bookmarkEnd w:id="78"/>
      <w:bookmarkEnd w:id="79"/>
    </w:p>
    <w:p>
      <w:pPr>
        <w:spacing w:line="360" w:lineRule="auto"/>
        <w:ind w:left="0" w:leftChars="0" w:firstLine="0" w:firstLineChars="0"/>
        <w:jc w:val="center"/>
        <w:rPr>
          <w:rFonts w:hint="default" w:ascii="Times New Roman" w:hAnsi="Times New Roman" w:eastAsia="仿宋" w:cs="Times New Roman"/>
          <w:b/>
          <w:bCs/>
          <w:sz w:val="24"/>
          <w:szCs w:val="24"/>
          <w:lang w:val="en-US"/>
        </w:rPr>
      </w:pPr>
      <w:r>
        <w:rPr>
          <w:rFonts w:hint="default" w:ascii="Times New Roman" w:hAnsi="Times New Roman" w:eastAsia="仿宋" w:cs="Times New Roman"/>
          <w:b/>
          <w:bCs/>
          <w:sz w:val="24"/>
          <w:szCs w:val="24"/>
        </w:rPr>
        <w:t>表3</w:t>
      </w:r>
      <w:r>
        <w:rPr>
          <w:rFonts w:hint="default" w:ascii="Times New Roman" w:hAnsi="Times New Roman" w:eastAsia="仿宋" w:cs="Times New Roman"/>
          <w:b/>
          <w:bCs/>
          <w:sz w:val="24"/>
          <w:szCs w:val="24"/>
          <w:lang w:val="en-US" w:eastAsia="zh-CN"/>
        </w:rPr>
        <w:t>-10本企业风险单元识别</w:t>
      </w:r>
    </w:p>
    <w:tbl>
      <w:tblPr>
        <w:tblStyle w:val="12"/>
        <w:tblW w:w="4768" w:type="pct"/>
        <w:tblInd w:w="224" w:type="dxa"/>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1456"/>
        <w:gridCol w:w="1213"/>
        <w:gridCol w:w="2937"/>
        <w:gridCol w:w="1844"/>
      </w:tblGrid>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cantSplit/>
          <w:trHeight w:val="283" w:hRule="atLeast"/>
          <w:tblHeader/>
        </w:trPr>
        <w:tc>
          <w:tcPr>
            <w:tcW w:w="41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序号</w:t>
            </w:r>
          </w:p>
        </w:tc>
        <w:tc>
          <w:tcPr>
            <w:tcW w:w="89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lang w:eastAsia="zh-CN"/>
              </w:rPr>
              <w:t>环境</w:t>
            </w:r>
            <w:r>
              <w:rPr>
                <w:rFonts w:hint="default" w:ascii="Times New Roman" w:hAnsi="Times New Roman" w:eastAsia="仿宋" w:cs="Times New Roman"/>
                <w:b/>
                <w:color w:val="auto"/>
                <w:sz w:val="21"/>
                <w:szCs w:val="21"/>
              </w:rPr>
              <w:t>风险源</w:t>
            </w:r>
          </w:p>
        </w:tc>
        <w:tc>
          <w:tcPr>
            <w:tcW w:w="74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color w:val="auto"/>
                <w:sz w:val="21"/>
                <w:szCs w:val="21"/>
                <w:lang w:eastAsia="zh-CN"/>
              </w:rPr>
            </w:pPr>
            <w:r>
              <w:rPr>
                <w:rFonts w:hint="default" w:ascii="Times New Roman" w:hAnsi="Times New Roman" w:eastAsia="仿宋" w:cs="Times New Roman"/>
                <w:b/>
                <w:color w:val="auto"/>
                <w:sz w:val="21"/>
                <w:szCs w:val="21"/>
                <w:lang w:eastAsia="zh-CN"/>
              </w:rPr>
              <w:t>涉及环境风险物质</w:t>
            </w:r>
          </w:p>
        </w:tc>
        <w:tc>
          <w:tcPr>
            <w:tcW w:w="180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color w:val="auto"/>
                <w:kern w:val="2"/>
                <w:sz w:val="21"/>
                <w:szCs w:val="21"/>
                <w:lang w:val="en-US" w:eastAsia="zh-CN" w:bidi="ar-SA"/>
              </w:rPr>
            </w:pPr>
            <w:r>
              <w:rPr>
                <w:rFonts w:hint="default" w:ascii="Times New Roman" w:hAnsi="Times New Roman" w:eastAsia="仿宋" w:cs="Times New Roman"/>
                <w:b/>
                <w:color w:val="auto"/>
                <w:kern w:val="2"/>
                <w:sz w:val="21"/>
                <w:szCs w:val="21"/>
                <w:lang w:val="en-US" w:eastAsia="zh-CN" w:bidi="ar-SA"/>
              </w:rPr>
              <w:t>风险类型</w:t>
            </w:r>
          </w:p>
        </w:tc>
        <w:tc>
          <w:tcPr>
            <w:tcW w:w="113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color w:val="auto"/>
                <w:sz w:val="21"/>
                <w:szCs w:val="21"/>
                <w:lang w:eastAsia="zh-CN"/>
              </w:rPr>
            </w:pPr>
            <w:r>
              <w:rPr>
                <w:rFonts w:hint="default" w:ascii="Times New Roman" w:hAnsi="Times New Roman" w:eastAsia="仿宋" w:cs="Times New Roman"/>
                <w:b/>
                <w:color w:val="auto"/>
                <w:sz w:val="21"/>
                <w:szCs w:val="21"/>
                <w:lang w:eastAsia="zh-CN"/>
              </w:rPr>
              <w:t>危害对象</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41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bCs/>
                <w:color w:val="auto"/>
                <w:kern w:val="0"/>
                <w:sz w:val="21"/>
                <w:szCs w:val="21"/>
              </w:rPr>
            </w:pPr>
            <w:r>
              <w:rPr>
                <w:rFonts w:hint="default" w:ascii="Times New Roman" w:hAnsi="Times New Roman" w:eastAsia="仿宋" w:cs="Times New Roman"/>
                <w:b/>
                <w:bCs/>
                <w:color w:val="auto"/>
                <w:kern w:val="0"/>
                <w:sz w:val="21"/>
                <w:szCs w:val="21"/>
              </w:rPr>
              <w:t>1</w:t>
            </w:r>
          </w:p>
        </w:tc>
        <w:tc>
          <w:tcPr>
            <w:tcW w:w="89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原料、辅料</w:t>
            </w:r>
          </w:p>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rPr>
              <w:t>集中堆放库</w:t>
            </w:r>
          </w:p>
        </w:tc>
        <w:tc>
          <w:tcPr>
            <w:tcW w:w="74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乳化液、机油、钼丝</w:t>
            </w:r>
          </w:p>
        </w:tc>
        <w:tc>
          <w:tcPr>
            <w:tcW w:w="180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①泄漏外排；②泄漏遇明火，引起火灾和爆炸；③火灾引起的大气次生污染物和消防废水</w:t>
            </w:r>
          </w:p>
        </w:tc>
        <w:tc>
          <w:tcPr>
            <w:tcW w:w="113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厂区及周边人员健康、土壤环境及大气环境</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cantSplit/>
          <w:trHeight w:val="1255" w:hRule="atLeast"/>
        </w:trPr>
        <w:tc>
          <w:tcPr>
            <w:tcW w:w="41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bCs/>
                <w:color w:val="auto"/>
                <w:kern w:val="0"/>
                <w:sz w:val="21"/>
                <w:szCs w:val="21"/>
                <w:lang w:val="en-US" w:eastAsia="zh-CN" w:bidi="ar-SA"/>
              </w:rPr>
            </w:pPr>
            <w:r>
              <w:rPr>
                <w:rFonts w:hint="default" w:ascii="Times New Roman" w:hAnsi="Times New Roman" w:eastAsia="仿宋" w:cs="Times New Roman"/>
                <w:b/>
                <w:bCs/>
                <w:color w:val="auto"/>
                <w:kern w:val="0"/>
                <w:sz w:val="21"/>
                <w:szCs w:val="21"/>
                <w:lang w:val="en-US" w:eastAsia="zh-CN"/>
              </w:rPr>
              <w:t>2</w:t>
            </w:r>
          </w:p>
        </w:tc>
        <w:tc>
          <w:tcPr>
            <w:tcW w:w="89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生产车间</w:t>
            </w:r>
          </w:p>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rPr>
              <w:t>环保设备</w:t>
            </w:r>
          </w:p>
        </w:tc>
        <w:tc>
          <w:tcPr>
            <w:tcW w:w="74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180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val="en-US" w:eastAsia="zh-CN"/>
              </w:rPr>
              <w:t>焊接烟尘</w:t>
            </w:r>
            <w:r>
              <w:rPr>
                <w:rFonts w:hint="default" w:ascii="Times New Roman" w:hAnsi="Times New Roman" w:eastAsia="仿宋" w:cs="Times New Roman"/>
                <w:sz w:val="21"/>
                <w:szCs w:val="21"/>
                <w:highlight w:val="none"/>
                <w:lang w:eastAsia="zh-CN"/>
              </w:rPr>
              <w:t>处理设备故障，粉尘超标排放</w:t>
            </w:r>
          </w:p>
        </w:tc>
        <w:tc>
          <w:tcPr>
            <w:tcW w:w="113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eastAsia="zh-CN"/>
              </w:rPr>
              <w:t>厂区及周边人员健康、大气环境</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4" w:space="0"/>
            <w:insideV w:val="single" w:color="auto" w:sz="4" w:space="0"/>
          </w:tblBorders>
          <w:tblCellMar>
            <w:top w:w="0" w:type="dxa"/>
            <w:left w:w="108" w:type="dxa"/>
            <w:bottom w:w="0" w:type="dxa"/>
            <w:right w:w="108" w:type="dxa"/>
          </w:tblCellMar>
        </w:tblPrEx>
        <w:trPr>
          <w:cantSplit/>
          <w:trHeight w:val="1255" w:hRule="atLeast"/>
        </w:trPr>
        <w:tc>
          <w:tcPr>
            <w:tcW w:w="41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bCs/>
                <w:color w:val="auto"/>
                <w:kern w:val="0"/>
                <w:sz w:val="21"/>
                <w:szCs w:val="21"/>
                <w:lang w:val="en-US" w:eastAsia="zh-CN"/>
              </w:rPr>
            </w:pPr>
            <w:r>
              <w:rPr>
                <w:rFonts w:hint="default" w:ascii="Times New Roman" w:hAnsi="Times New Roman" w:eastAsia="仿宋" w:cs="Times New Roman"/>
                <w:b/>
                <w:bCs/>
                <w:color w:val="auto"/>
                <w:kern w:val="0"/>
                <w:sz w:val="21"/>
                <w:szCs w:val="21"/>
                <w:lang w:val="en-US" w:eastAsia="zh-CN"/>
              </w:rPr>
              <w:t>3</w:t>
            </w:r>
          </w:p>
        </w:tc>
        <w:tc>
          <w:tcPr>
            <w:tcW w:w="89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eastAsia="zh-CN"/>
              </w:rPr>
              <w:t>危废暂存间</w:t>
            </w:r>
          </w:p>
        </w:tc>
        <w:tc>
          <w:tcPr>
            <w:tcW w:w="74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废乳化液、废机油、废钼丝</w:t>
            </w:r>
          </w:p>
        </w:tc>
        <w:tc>
          <w:tcPr>
            <w:tcW w:w="180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①泄漏外排；②泄漏遇明火，引起火灾和爆炸；③火灾引起的大气次生污染物和消防废水</w:t>
            </w:r>
          </w:p>
        </w:tc>
        <w:tc>
          <w:tcPr>
            <w:tcW w:w="113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outlineLvl w:val="9"/>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厂区及周边人员健康、土壤环境及大气环境</w:t>
            </w:r>
          </w:p>
        </w:tc>
      </w:tr>
    </w:tbl>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bookmarkStart w:id="80" w:name="_Toc7588"/>
      <w:r>
        <w:rPr>
          <w:rFonts w:hint="default" w:ascii="Times New Roman" w:hAnsi="Times New Roman" w:eastAsia="仿宋" w:cs="Times New Roman"/>
          <w:b/>
          <w:bCs/>
          <w:kern w:val="2"/>
          <w:sz w:val="30"/>
          <w:szCs w:val="32"/>
          <w:lang w:val="en-US" w:eastAsia="zh-CN" w:bidi="ar-SA"/>
        </w:rPr>
        <w:t>3.5.2环境风险防控与应急措施</w:t>
      </w:r>
      <w:bookmarkEnd w:id="80"/>
    </w:p>
    <w:tbl>
      <w:tblPr>
        <w:tblStyle w:val="12"/>
        <w:tblW w:w="90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724"/>
        <w:gridCol w:w="73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风险防控类型</w:t>
            </w:r>
          </w:p>
        </w:tc>
        <w:tc>
          <w:tcPr>
            <w:tcW w:w="7347" w:type="dxa"/>
            <w:noWrap w:val="0"/>
            <w:vAlign w:val="center"/>
          </w:tcPr>
          <w:p>
            <w:pPr>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现有环境风险防范与应急措施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截流设施</w:t>
            </w:r>
          </w:p>
        </w:tc>
        <w:tc>
          <w:tcPr>
            <w:tcW w:w="7347" w:type="dxa"/>
            <w:noWrap w:val="0"/>
            <w:vAlign w:val="center"/>
          </w:tcPr>
          <w:p>
            <w:pP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车间各个环境风险单元采取特殊防渗措施，厂区四周设置环形导流沟，项目厂区内无事故池，如遇泄露污染物泄露，及时采取消防砂围堵，确保事故情况下的泄漏污染物能够合理收集和处置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防火防爆防控</w:t>
            </w:r>
          </w:p>
          <w:p>
            <w:pPr>
              <w:jc w:val="center"/>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措施</w:t>
            </w:r>
          </w:p>
        </w:tc>
        <w:tc>
          <w:tcPr>
            <w:tcW w:w="7347" w:type="dxa"/>
            <w:noWrap w:val="0"/>
            <w:vAlign w:val="center"/>
          </w:tcPr>
          <w:p>
            <w:pPr>
              <w:rPr>
                <w:rFonts w:hint="default" w:ascii="Times New Roman" w:hAnsi="Times New Roman" w:eastAsia="仿宋" w:cs="Times New Roman"/>
                <w:sz w:val="21"/>
                <w:szCs w:val="21"/>
                <w:highlight w:val="none"/>
              </w:rPr>
            </w:pPr>
            <w:r>
              <w:rPr>
                <w:rFonts w:hint="default" w:ascii="Times New Roman" w:hAnsi="Times New Roman" w:eastAsia="仿宋" w:cs="Times New Roman"/>
                <w:color w:val="000000"/>
                <w:sz w:val="21"/>
                <w:szCs w:val="21"/>
                <w:highlight w:val="none"/>
                <w:lang w:eastAsia="zh-CN"/>
              </w:rPr>
              <w:t>（</w:t>
            </w:r>
            <w:r>
              <w:rPr>
                <w:rFonts w:hint="default" w:ascii="Times New Roman" w:hAnsi="Times New Roman" w:eastAsia="仿宋" w:cs="Times New Roman"/>
                <w:color w:val="000000"/>
                <w:sz w:val="21"/>
                <w:szCs w:val="21"/>
                <w:highlight w:val="none"/>
                <w:lang w:val="en-US" w:eastAsia="zh-CN"/>
              </w:rPr>
              <w:t>1</w:t>
            </w:r>
            <w:r>
              <w:rPr>
                <w:rFonts w:hint="default" w:ascii="Times New Roman" w:hAnsi="Times New Roman" w:eastAsia="仿宋" w:cs="Times New Roman"/>
                <w:color w:val="000000"/>
                <w:sz w:val="21"/>
                <w:szCs w:val="21"/>
                <w:highlight w:val="none"/>
                <w:lang w:eastAsia="zh-CN"/>
              </w:rPr>
              <w:t>）</w:t>
            </w:r>
            <w:r>
              <w:rPr>
                <w:rFonts w:hint="default" w:ascii="Times New Roman" w:hAnsi="Times New Roman" w:eastAsia="仿宋" w:cs="Times New Roman"/>
                <w:color w:val="000000"/>
                <w:sz w:val="21"/>
                <w:szCs w:val="21"/>
                <w:highlight w:val="none"/>
              </w:rPr>
              <w:t>根据生产特点、合理划分功能区，禁止物料随意堆放，占用消防通道；（2）根据消防要求配备手提式干粉灭火器、消防沙等，并对消防材料专人保管和定期 检修；（3）涉及风险物质的材料、产品运输严格按照国家风险物质运输规定执行。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风险物质管理、储存、使用、运输的防控措施</w:t>
            </w:r>
          </w:p>
        </w:tc>
        <w:tc>
          <w:tcPr>
            <w:tcW w:w="7347" w:type="dxa"/>
            <w:noWrap w:val="0"/>
            <w:vAlign w:val="center"/>
          </w:tcPr>
          <w:p>
            <w:pPr>
              <w:rPr>
                <w:rFonts w:hint="default" w:ascii="Times New Roman" w:hAnsi="Times New Roman" w:eastAsia="仿宋" w:cs="Times New Roman"/>
                <w:sz w:val="21"/>
                <w:szCs w:val="21"/>
              </w:rPr>
            </w:pPr>
            <w:r>
              <w:rPr>
                <w:rFonts w:hint="default" w:ascii="Times New Roman" w:hAnsi="Times New Roman" w:eastAsia="仿宋" w:cs="Times New Roman"/>
                <w:sz w:val="21"/>
                <w:szCs w:val="21"/>
                <w:lang w:eastAsia="zh-CN"/>
              </w:rPr>
              <w:t>（</w:t>
            </w:r>
            <w:r>
              <w:rPr>
                <w:rFonts w:hint="default" w:ascii="Times New Roman" w:hAnsi="Times New Roman" w:eastAsia="仿宋" w:cs="Times New Roman"/>
                <w:color w:val="000000"/>
                <w:sz w:val="21"/>
                <w:szCs w:val="21"/>
                <w:highlight w:val="none"/>
                <w:lang w:val="en-US" w:eastAsia="zh-CN"/>
              </w:rPr>
              <w:t>1</w:t>
            </w:r>
            <w:r>
              <w:rPr>
                <w:rFonts w:hint="default" w:ascii="Times New Roman" w:hAnsi="Times New Roman" w:eastAsia="仿宋" w:cs="Times New Roman"/>
                <w:color w:val="000000"/>
                <w:sz w:val="21"/>
                <w:szCs w:val="21"/>
                <w:highlight w:val="none"/>
                <w:lang w:eastAsia="zh-CN"/>
              </w:rPr>
              <w:t>）</w:t>
            </w:r>
            <w:r>
              <w:rPr>
                <w:rFonts w:hint="default" w:ascii="Times New Roman" w:hAnsi="Times New Roman" w:eastAsia="仿宋" w:cs="Times New Roman"/>
                <w:color w:val="000000"/>
                <w:sz w:val="21"/>
                <w:szCs w:val="21"/>
                <w:highlight w:val="none"/>
              </w:rPr>
              <w:t>所用</w:t>
            </w:r>
            <w:r>
              <w:rPr>
                <w:rFonts w:hint="default" w:ascii="Times New Roman" w:hAnsi="Times New Roman" w:eastAsia="仿宋" w:cs="Times New Roman"/>
                <w:color w:val="000000"/>
                <w:sz w:val="21"/>
                <w:szCs w:val="21"/>
                <w:highlight w:val="none"/>
                <w:lang w:eastAsia="zh-CN"/>
              </w:rPr>
              <w:t>原料</w:t>
            </w:r>
            <w:r>
              <w:rPr>
                <w:rFonts w:hint="default" w:ascii="Times New Roman" w:hAnsi="Times New Roman" w:eastAsia="仿宋" w:cs="Times New Roman"/>
                <w:color w:val="000000"/>
                <w:sz w:val="21"/>
                <w:szCs w:val="21"/>
                <w:highlight w:val="none"/>
              </w:rPr>
              <w:t>及</w:t>
            </w:r>
            <w:r>
              <w:rPr>
                <w:rFonts w:hint="default" w:ascii="Times New Roman" w:hAnsi="Times New Roman" w:eastAsia="仿宋" w:cs="Times New Roman"/>
                <w:color w:val="000000"/>
                <w:sz w:val="21"/>
                <w:szCs w:val="21"/>
                <w:highlight w:val="none"/>
                <w:lang w:eastAsia="zh-CN"/>
              </w:rPr>
              <w:t>辅</w:t>
            </w:r>
            <w:r>
              <w:rPr>
                <w:rFonts w:hint="default" w:ascii="Times New Roman" w:hAnsi="Times New Roman" w:eastAsia="仿宋" w:cs="Times New Roman"/>
                <w:color w:val="000000"/>
                <w:sz w:val="21"/>
                <w:szCs w:val="21"/>
                <w:highlight w:val="none"/>
              </w:rPr>
              <w:t>料储存仓库实行物料分类单独存放，并已作保持干燥、清洁以及密闭，可有效防潮和防止雨水浸入，仓储外围设有警告标志。（</w:t>
            </w:r>
            <w:r>
              <w:rPr>
                <w:rFonts w:hint="default" w:ascii="Times New Roman" w:hAnsi="Times New Roman" w:eastAsia="仿宋" w:cs="Times New Roman"/>
                <w:color w:val="000000"/>
                <w:sz w:val="21"/>
                <w:szCs w:val="21"/>
                <w:highlight w:val="none"/>
                <w:lang w:val="en-US" w:eastAsia="zh-CN"/>
              </w:rPr>
              <w:t>2</w:t>
            </w:r>
            <w:r>
              <w:rPr>
                <w:rFonts w:hint="default" w:ascii="Times New Roman" w:hAnsi="Times New Roman" w:eastAsia="仿宋" w:cs="Times New Roman"/>
                <w:color w:val="000000"/>
                <w:sz w:val="21"/>
                <w:szCs w:val="21"/>
                <w:highlight w:val="none"/>
              </w:rPr>
              <w:t>）在储存和使用过程中制定风险物质安全操作规程，操作人员必须严格执行；（</w:t>
            </w:r>
            <w:r>
              <w:rPr>
                <w:rFonts w:hint="default" w:ascii="Times New Roman" w:hAnsi="Times New Roman" w:eastAsia="仿宋" w:cs="Times New Roman"/>
                <w:color w:val="000000"/>
                <w:sz w:val="21"/>
                <w:szCs w:val="21"/>
                <w:highlight w:val="none"/>
                <w:lang w:val="en-US" w:eastAsia="zh-CN"/>
              </w:rPr>
              <w:t>3</w:t>
            </w:r>
            <w:r>
              <w:rPr>
                <w:rFonts w:hint="default" w:ascii="Times New Roman" w:hAnsi="Times New Roman" w:eastAsia="仿宋" w:cs="Times New Roman"/>
                <w:color w:val="000000"/>
                <w:sz w:val="21"/>
                <w:szCs w:val="21"/>
                <w:highlight w:val="none"/>
              </w:rPr>
              <w:t>）风险物质储存库应建立健全安全规程及执勤制度，检查各类风险物质是否 保存完好；（</w:t>
            </w:r>
            <w:r>
              <w:rPr>
                <w:rFonts w:hint="default" w:ascii="Times New Roman" w:hAnsi="Times New Roman" w:eastAsia="仿宋" w:cs="Times New Roman"/>
                <w:color w:val="000000"/>
                <w:sz w:val="21"/>
                <w:szCs w:val="21"/>
                <w:highlight w:val="none"/>
                <w:lang w:val="en-US" w:eastAsia="zh-CN"/>
              </w:rPr>
              <w:t>4</w:t>
            </w:r>
            <w:r>
              <w:rPr>
                <w:rFonts w:hint="default" w:ascii="Times New Roman" w:hAnsi="Times New Roman" w:eastAsia="仿宋" w:cs="Times New Roman"/>
                <w:color w:val="000000"/>
                <w:sz w:val="21"/>
                <w:szCs w:val="21"/>
                <w:highlight w:val="none"/>
              </w:rPr>
              <w:t>）厂房和办公区域应设置禁止吸烟及明火标识，同时加强职工教育。（</w:t>
            </w:r>
            <w:r>
              <w:rPr>
                <w:rFonts w:hint="default" w:ascii="Times New Roman" w:hAnsi="Times New Roman" w:eastAsia="仿宋" w:cs="Times New Roman"/>
                <w:color w:val="000000"/>
                <w:sz w:val="21"/>
                <w:szCs w:val="21"/>
                <w:highlight w:val="none"/>
                <w:lang w:val="en-US" w:eastAsia="zh-CN"/>
              </w:rPr>
              <w:t>5</w:t>
            </w:r>
            <w:r>
              <w:rPr>
                <w:rFonts w:hint="default" w:ascii="Times New Roman" w:hAnsi="Times New Roman" w:eastAsia="仿宋" w:cs="Times New Roman"/>
                <w:color w:val="000000"/>
                <w:sz w:val="21"/>
                <w:szCs w:val="21"/>
                <w:highlight w:val="none"/>
              </w:rPr>
              <w:t>）运输过程：废机油定期交由</w:t>
            </w:r>
            <w:r>
              <w:rPr>
                <w:rFonts w:hint="default" w:ascii="Times New Roman" w:hAnsi="Times New Roman" w:eastAsia="仿宋" w:cs="Times New Roman"/>
                <w:color w:val="000000"/>
                <w:sz w:val="21"/>
                <w:szCs w:val="21"/>
                <w:highlight w:val="none"/>
                <w:lang w:eastAsia="zh-CN"/>
              </w:rPr>
              <w:t>陕西明瑞资源再生有限</w:t>
            </w:r>
            <w:r>
              <w:rPr>
                <w:rFonts w:hint="default" w:ascii="Times New Roman" w:hAnsi="Times New Roman" w:eastAsia="仿宋" w:cs="Times New Roman"/>
                <w:color w:val="000000"/>
                <w:sz w:val="21"/>
                <w:szCs w:val="21"/>
                <w:highlight w:val="none"/>
              </w:rPr>
              <w:t>公司转运处理，转运过程中发生的泄露等事故由转运方负责处理。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火灾事故应急措施</w:t>
            </w:r>
          </w:p>
        </w:tc>
        <w:tc>
          <w:tcPr>
            <w:tcW w:w="7347" w:type="dxa"/>
            <w:noWrap w:val="0"/>
            <w:vAlign w:val="center"/>
          </w:tcPr>
          <w:p>
            <w:pP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（1）当发生火情时，现场人员及时使用灭火器材将火灾消灭在萌芽中，火情不 可控时，现场指挥人员应立即疏散职工，并按报告程序逐级上报请求支援；（2）当某一单元或者周围企业发生火灾事故时，相邻两生产单元紧急停工，做好预防准备；（3）如有伤员，则进行紧急救治，并及时通知邻近医院；（4）加强火灾演练，做到各个环节有条不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泄漏事故防控</w:t>
            </w:r>
          </w:p>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措施</w:t>
            </w:r>
          </w:p>
        </w:tc>
        <w:tc>
          <w:tcPr>
            <w:tcW w:w="7347" w:type="dxa"/>
            <w:noWrap w:val="0"/>
            <w:vAlign w:val="center"/>
          </w:tcPr>
          <w:p>
            <w:pP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原料区和危废暂存间发生泄漏时，应按以下方法处置：①机油、废机油泄漏应立即采用沙土截留吸附，或引入导流槽中；②做好防火及通风措施防止中毒事件；③将吸附了机油、废机油的沙土收集在密闭容器于危废间暂存，后交陕西明瑞资源再生有限公司处置；④将泄漏物及时与其他物料隔离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厂内危险废物</w:t>
            </w:r>
          </w:p>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处置</w:t>
            </w:r>
          </w:p>
        </w:tc>
        <w:tc>
          <w:tcPr>
            <w:tcW w:w="7347" w:type="dxa"/>
            <w:noWrap w:val="0"/>
            <w:vAlign w:val="center"/>
          </w:tcPr>
          <w:p>
            <w:pP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（1）设置危险废物暂存间，双人双锁管理；（2）张贴“危险废物”标识，定期 由有危废处置资质的单位回收；（3）按照规定做好危废转移台账记录工作。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废气排放超标</w:t>
            </w:r>
          </w:p>
        </w:tc>
        <w:tc>
          <w:tcPr>
            <w:tcW w:w="7347" w:type="dxa"/>
            <w:noWrap w:val="0"/>
            <w:vAlign w:val="center"/>
          </w:tcPr>
          <w:p>
            <w:pPr>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eastAsia="zh-CN"/>
              </w:rPr>
              <w:t>（1）</w:t>
            </w:r>
            <w:r>
              <w:rPr>
                <w:rFonts w:hint="default" w:ascii="Times New Roman" w:hAnsi="Times New Roman" w:eastAsia="仿宋" w:cs="Times New Roman"/>
                <w:sz w:val="21"/>
                <w:szCs w:val="21"/>
                <w:lang w:val="en-US" w:eastAsia="zh-CN"/>
              </w:rPr>
              <w:t>立刻切断电源；</w:t>
            </w:r>
            <w:r>
              <w:rPr>
                <w:rFonts w:hint="default" w:ascii="Times New Roman" w:hAnsi="Times New Roman" w:eastAsia="仿宋" w:cs="Times New Roman"/>
                <w:sz w:val="21"/>
                <w:szCs w:val="21"/>
                <w:lang w:eastAsia="zh-CN"/>
              </w:rPr>
              <w:t>（2）</w:t>
            </w:r>
            <w:r>
              <w:rPr>
                <w:rFonts w:hint="default" w:ascii="Times New Roman" w:hAnsi="Times New Roman" w:eastAsia="仿宋" w:cs="Times New Roman"/>
                <w:sz w:val="21"/>
                <w:szCs w:val="21"/>
                <w:lang w:val="en-US" w:eastAsia="zh-CN"/>
              </w:rPr>
              <w:t>检修废气处理设施，找出故障原因，如管道破损，并及时维修；</w:t>
            </w:r>
            <w:r>
              <w:rPr>
                <w:rFonts w:hint="default" w:ascii="Times New Roman" w:hAnsi="Times New Roman" w:eastAsia="仿宋" w:cs="Times New Roman"/>
                <w:sz w:val="21"/>
                <w:szCs w:val="21"/>
                <w:lang w:eastAsia="zh-CN"/>
              </w:rPr>
              <w:t>（3）</w:t>
            </w:r>
            <w:r>
              <w:rPr>
                <w:rFonts w:hint="default" w:ascii="Times New Roman" w:hAnsi="Times New Roman" w:eastAsia="仿宋" w:cs="Times New Roman"/>
                <w:sz w:val="21"/>
                <w:szCs w:val="21"/>
                <w:lang w:val="en-US" w:eastAsia="zh-CN"/>
              </w:rPr>
              <w:t>联系监测单位，对维修后的废气处理设施进行废气排放监测，确保废气排放达标；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4" w:type="dxa"/>
            <w:noWrap w:val="0"/>
            <w:vAlign w:val="center"/>
          </w:tcPr>
          <w:p>
            <w:pPr>
              <w:jc w:val="center"/>
              <w:rPr>
                <w:rFonts w:hint="default" w:ascii="Times New Roman" w:hAnsi="Times New Roman" w:eastAsia="仿宋" w:cs="Times New Roman"/>
                <w:kern w:val="2"/>
                <w:sz w:val="21"/>
                <w:szCs w:val="21"/>
                <w:highlight w:val="none"/>
                <w:lang w:val="en-US" w:eastAsia="zh-CN" w:bidi="ar-SA"/>
              </w:rPr>
            </w:pPr>
            <w:r>
              <w:rPr>
                <w:rFonts w:hint="default" w:ascii="Times New Roman" w:hAnsi="Times New Roman" w:eastAsia="仿宋" w:cs="Times New Roman"/>
                <w:sz w:val="21"/>
                <w:szCs w:val="21"/>
                <w:highlight w:val="none"/>
              </w:rPr>
              <w:t>其他风险防控措施落实情况</w:t>
            </w:r>
          </w:p>
        </w:tc>
        <w:tc>
          <w:tcPr>
            <w:tcW w:w="7347" w:type="dxa"/>
            <w:noWrap w:val="0"/>
            <w:vAlign w:val="center"/>
          </w:tcPr>
          <w:p>
            <w:pP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z w:val="21"/>
                <w:szCs w:val="21"/>
                <w:lang w:eastAsia="zh-CN"/>
              </w:rPr>
              <w:t>按照《危险废物贮存污染控制标准》（GB18597-2001）在厂区设置危废间，地面为环氧树脂防渗地面，液体容器置于防渗漏托盘之上，危废标识、台账、制度上墙等均符合规范，落实了环评批复中风险防控措施。</w:t>
            </w:r>
          </w:p>
        </w:tc>
      </w:tr>
    </w:tbl>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81" w:name="_Toc4591"/>
      <w:bookmarkStart w:id="82" w:name="_Toc16091"/>
      <w:r>
        <w:rPr>
          <w:rFonts w:hint="default" w:ascii="Times New Roman" w:hAnsi="Times New Roman" w:eastAsia="仿宋" w:cs="Times New Roman"/>
          <w:b/>
          <w:bCs/>
          <w:kern w:val="2"/>
          <w:sz w:val="32"/>
          <w:szCs w:val="32"/>
          <w:lang w:val="en-US" w:eastAsia="zh-CN" w:bidi="ar-SA"/>
        </w:rPr>
        <w:t>3.7现有应急物资与装备、救援队伍情况</w:t>
      </w:r>
      <w:bookmarkEnd w:id="81"/>
      <w:bookmarkEnd w:id="82"/>
    </w:p>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bookmarkStart w:id="83" w:name="_Toc32315"/>
      <w:bookmarkStart w:id="84" w:name="_Toc23740"/>
      <w:bookmarkStart w:id="85" w:name="_Toc21733"/>
      <w:bookmarkStart w:id="86" w:name="_Toc85"/>
      <w:r>
        <w:rPr>
          <w:rFonts w:hint="default" w:ascii="Times New Roman" w:hAnsi="Times New Roman" w:eastAsia="仿宋" w:cs="Times New Roman"/>
          <w:b/>
          <w:bCs/>
          <w:kern w:val="2"/>
          <w:sz w:val="30"/>
          <w:szCs w:val="32"/>
          <w:lang w:val="en-US" w:eastAsia="zh-CN" w:bidi="ar-SA"/>
        </w:rPr>
        <w:t>3.7.1内部应急资源</w:t>
      </w:r>
      <w:bookmarkEnd w:id="83"/>
      <w:bookmarkEnd w:id="84"/>
      <w:bookmarkEnd w:id="85"/>
      <w:bookmarkEnd w:id="86"/>
    </w:p>
    <w:p>
      <w:pPr>
        <w:bidi w:val="0"/>
        <w:spacing w:line="360" w:lineRule="auto"/>
        <w:ind w:firstLine="560" w:firstLineChars="200"/>
        <w:rPr>
          <w:rFonts w:hint="default" w:ascii="Times New Roman" w:hAnsi="Times New Roman" w:eastAsia="仿宋" w:cs="Times New Roman"/>
          <w:b w:val="0"/>
          <w:bCs w:val="0"/>
          <w:color w:val="auto"/>
          <w:kern w:val="2"/>
          <w:sz w:val="28"/>
          <w:szCs w:val="28"/>
          <w:lang w:val="en-US" w:eastAsia="zh-CN" w:bidi="ar-SA"/>
        </w:rPr>
      </w:pPr>
      <w:r>
        <w:rPr>
          <w:rFonts w:hint="default" w:ascii="Times New Roman" w:hAnsi="Times New Roman" w:eastAsia="仿宋" w:cs="Times New Roman"/>
          <w:sz w:val="28"/>
          <w:szCs w:val="24"/>
          <w:lang w:val="en-US" w:eastAsia="zh-CN"/>
        </w:rPr>
        <w:t>企业内部按照各类需求储备了相应的应急物资，并由办公室负责，企业应急资源及装备的储备情况见表3-11。</w:t>
      </w:r>
    </w:p>
    <w:p>
      <w:pPr>
        <w:spacing w:line="360" w:lineRule="auto"/>
        <w:ind w:left="0" w:leftChars="0" w:firstLine="0" w:firstLineChars="0"/>
        <w:jc w:val="center"/>
        <w:rPr>
          <w:rFonts w:hint="default" w:ascii="Times New Roman" w:hAnsi="Times New Roman" w:eastAsia="仿宋" w:cs="Times New Roman"/>
          <w:b/>
          <w:bCs/>
          <w:sz w:val="24"/>
          <w:szCs w:val="24"/>
          <w:lang w:eastAsia="zh-CN"/>
        </w:rPr>
      </w:pPr>
      <w:r>
        <w:rPr>
          <w:rFonts w:hint="default" w:ascii="Times New Roman" w:hAnsi="Times New Roman" w:eastAsia="仿宋" w:cs="Times New Roman"/>
          <w:b/>
          <w:bCs/>
          <w:sz w:val="24"/>
          <w:szCs w:val="24"/>
          <w:lang w:eastAsia="zh-CN"/>
        </w:rPr>
        <w:t xml:space="preserve"> 表3-</w:t>
      </w:r>
      <w:r>
        <w:rPr>
          <w:rFonts w:hint="default" w:ascii="Times New Roman" w:hAnsi="Times New Roman" w:eastAsia="仿宋" w:cs="Times New Roman"/>
          <w:b/>
          <w:bCs/>
          <w:sz w:val="24"/>
          <w:szCs w:val="24"/>
          <w:lang w:val="en-US" w:eastAsia="zh-CN"/>
        </w:rPr>
        <w:t>11</w:t>
      </w:r>
      <w:r>
        <w:rPr>
          <w:rFonts w:hint="default" w:ascii="Times New Roman" w:hAnsi="Times New Roman" w:eastAsia="仿宋" w:cs="Times New Roman"/>
          <w:b/>
          <w:bCs/>
          <w:sz w:val="24"/>
          <w:szCs w:val="24"/>
          <w:lang w:eastAsia="zh-CN"/>
        </w:rPr>
        <w:t>企业内部应急资源、装备</w:t>
      </w:r>
    </w:p>
    <w:tbl>
      <w:tblPr>
        <w:tblStyle w:val="12"/>
        <w:tblW w:w="499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24"/>
        <w:gridCol w:w="1274"/>
        <w:gridCol w:w="1624"/>
        <w:gridCol w:w="1238"/>
        <w:gridCol w:w="1052"/>
        <w:gridCol w:w="930"/>
        <w:gridCol w:w="13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lang w:val="en-US" w:eastAsia="zh-CN"/>
              </w:rPr>
              <w:t>序号</w:t>
            </w:r>
          </w:p>
        </w:tc>
        <w:tc>
          <w:tcPr>
            <w:tcW w:w="762" w:type="pct"/>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lang w:val="en-US" w:eastAsia="zh-CN"/>
              </w:rPr>
              <w:t>重点应急资源名称</w:t>
            </w:r>
          </w:p>
        </w:tc>
        <w:tc>
          <w:tcPr>
            <w:tcW w:w="971" w:type="pct"/>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lang w:val="en-US" w:eastAsia="zh-CN"/>
              </w:rPr>
              <w:t>型号/规格</w:t>
            </w:r>
          </w:p>
        </w:tc>
        <w:tc>
          <w:tcPr>
            <w:tcW w:w="740" w:type="pct"/>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lang w:val="en-US" w:eastAsia="zh-CN"/>
              </w:rPr>
              <w:t>储备量</w:t>
            </w:r>
          </w:p>
        </w:tc>
        <w:tc>
          <w:tcPr>
            <w:tcW w:w="629" w:type="pct"/>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lang w:val="en-US" w:eastAsia="zh-CN"/>
              </w:rPr>
              <w:t>报废日期</w:t>
            </w:r>
          </w:p>
        </w:tc>
        <w:tc>
          <w:tcPr>
            <w:tcW w:w="556" w:type="pct"/>
            <w:tcBorders>
              <w:top w:val="single" w:color="auto" w:sz="12"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val="en-US" w:eastAsia="zh-CN"/>
              </w:rPr>
              <w:t>主要功能</w:t>
            </w:r>
          </w:p>
        </w:tc>
        <w:tc>
          <w:tcPr>
            <w:tcW w:w="786" w:type="pct"/>
            <w:tcBorders>
              <w:top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消防栓箱</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30</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restar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应急灭火</w:t>
            </w: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2</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室内消火栓</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DN65</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30</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3</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消防水带</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8-65-25</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30</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4</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消防水枪</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KY65</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30</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5</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消火栓按钮</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J-SGP-M-2</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30</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6</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消火栓泵</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XBD5.2/25G-L</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2</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7</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室外消火栓</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SS100/65-1.6</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4</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8</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稳压装置</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WXQ-600</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9</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干粉灭火器</w:t>
            </w:r>
          </w:p>
        </w:tc>
        <w:tc>
          <w:tcPr>
            <w:tcW w:w="971"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MFZ/ABC4手提干粉</w:t>
            </w:r>
          </w:p>
        </w:tc>
        <w:tc>
          <w:tcPr>
            <w:tcW w:w="740" w:type="pct"/>
            <w:noWrap w:val="0"/>
            <w:vAlign w:val="center"/>
          </w:tcPr>
          <w:p>
            <w:pPr>
              <w:keepNext w:val="0"/>
              <w:keepLines w:val="0"/>
              <w:pageBreakBefore w:val="0"/>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20</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10</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急救药箱</w:t>
            </w:r>
          </w:p>
        </w:tc>
        <w:tc>
          <w:tcPr>
            <w:tcW w:w="97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restar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安全防护</w:t>
            </w: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11</w:t>
            </w:r>
          </w:p>
        </w:tc>
        <w:tc>
          <w:tcPr>
            <w:tcW w:w="76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应急照明灯具</w:t>
            </w:r>
          </w:p>
        </w:tc>
        <w:tc>
          <w:tcPr>
            <w:tcW w:w="97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2</w:t>
            </w:r>
          </w:p>
        </w:tc>
        <w:tc>
          <w:tcPr>
            <w:tcW w:w="62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12</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rPr>
              <w:t>简易防毒面具</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lang w:val="en-US" w:eastAsia="zh-CN"/>
              </w:rPr>
              <w:t>5</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13</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lang w:val="en-US" w:eastAsia="zh-CN"/>
              </w:rPr>
              <w:t>口罩</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lang w:val="en-US" w:eastAsia="zh-CN"/>
              </w:rPr>
              <w:t>20</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14</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lang w:val="en-US" w:eastAsia="zh-CN"/>
              </w:rPr>
              <w:t>备用发电机</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lang w:val="en-US" w:eastAsia="zh-CN"/>
              </w:rPr>
              <w:t>1</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15</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rPr>
              <w:t>警戒线</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kern w:val="0"/>
                <w:sz w:val="21"/>
                <w:szCs w:val="21"/>
                <w:highlight w:val="none"/>
                <w:lang w:val="en-US" w:eastAsia="zh-CN"/>
              </w:rPr>
              <w:t>2</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16</w:t>
            </w:r>
          </w:p>
        </w:tc>
        <w:tc>
          <w:tcPr>
            <w:tcW w:w="762"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kern w:val="0"/>
                <w:sz w:val="21"/>
                <w:szCs w:val="21"/>
                <w:highlight w:val="none"/>
              </w:rPr>
              <w:t>预警装置</w:t>
            </w:r>
          </w:p>
        </w:tc>
        <w:tc>
          <w:tcPr>
            <w:tcW w:w="971"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kern w:val="0"/>
                <w:sz w:val="21"/>
                <w:szCs w:val="21"/>
                <w:highlight w:val="none"/>
                <w:lang w:val="en-US" w:eastAsia="zh-CN"/>
              </w:rPr>
              <w:t>1</w:t>
            </w:r>
          </w:p>
        </w:tc>
        <w:tc>
          <w:tcPr>
            <w:tcW w:w="629"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17</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kern w:val="0"/>
                <w:sz w:val="21"/>
                <w:szCs w:val="21"/>
                <w:highlight w:val="none"/>
              </w:rPr>
              <w:t>阻热防护服</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kern w:val="0"/>
                <w:sz w:val="21"/>
                <w:szCs w:val="21"/>
                <w:highlight w:val="none"/>
                <w:lang w:val="en-US" w:eastAsia="zh-CN"/>
              </w:rPr>
              <w:t>5</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18</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color w:val="000000"/>
                <w:kern w:val="0"/>
                <w:sz w:val="21"/>
                <w:szCs w:val="21"/>
                <w:highlight w:val="none"/>
              </w:rPr>
              <w:t>空气呼吸器</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lang w:val="en-US" w:eastAsia="zh-CN"/>
              </w:rPr>
              <w:t>5</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19</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color w:val="000000"/>
                <w:kern w:val="0"/>
                <w:sz w:val="21"/>
                <w:szCs w:val="21"/>
                <w:highlight w:val="none"/>
              </w:rPr>
              <w:t>安全警示背心</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lang w:val="en-US" w:eastAsia="zh-CN"/>
              </w:rPr>
              <w:t>5</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20</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kern w:val="0"/>
                <w:sz w:val="21"/>
                <w:szCs w:val="21"/>
                <w:highlight w:val="none"/>
              </w:rPr>
              <w:t>堵漏器；封漏套管、封漏剂</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kern w:val="0"/>
                <w:sz w:val="21"/>
                <w:szCs w:val="21"/>
                <w:highlight w:val="none"/>
                <w:lang w:val="en-US" w:eastAsia="zh-CN"/>
              </w:rPr>
              <w:t>2</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rPr>
              <w:t>污染源切断</w:t>
            </w: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21</w:t>
            </w:r>
          </w:p>
        </w:tc>
        <w:tc>
          <w:tcPr>
            <w:tcW w:w="762"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固定式气体检测报警器</w:t>
            </w:r>
          </w:p>
        </w:tc>
        <w:tc>
          <w:tcPr>
            <w:tcW w:w="971"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3</w:t>
            </w:r>
          </w:p>
        </w:tc>
        <w:tc>
          <w:tcPr>
            <w:tcW w:w="629" w:type="pc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环境监测</w:t>
            </w: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22</w:t>
            </w:r>
          </w:p>
        </w:tc>
        <w:tc>
          <w:tcPr>
            <w:tcW w:w="762"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color w:val="000000"/>
                <w:kern w:val="0"/>
                <w:sz w:val="21"/>
                <w:szCs w:val="21"/>
                <w:highlight w:val="none"/>
              </w:rPr>
              <w:t>应急指挥及信息系统</w:t>
            </w:r>
          </w:p>
        </w:tc>
        <w:tc>
          <w:tcPr>
            <w:tcW w:w="971"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lang w:val="en-US" w:eastAsia="zh-CN"/>
              </w:rPr>
              <w:t>1</w:t>
            </w:r>
          </w:p>
        </w:tc>
        <w:tc>
          <w:tcPr>
            <w:tcW w:w="629"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restart"/>
            <w:tcBorders>
              <w:right w:val="single" w:color="auto" w:sz="4" w:space="0"/>
            </w:tcBorders>
            <w:noWrap w:val="0"/>
            <w:vAlign w:val="center"/>
          </w:tcPr>
          <w:p>
            <w:pPr>
              <w:widowControl/>
              <w:adjustRightInd w:val="0"/>
              <w:snapToGrid w:val="0"/>
              <w:jc w:val="center"/>
              <w:rPr>
                <w:rFonts w:hint="default" w:ascii="Times New Roman" w:hAnsi="Times New Roman" w:eastAsia="仿宋" w:cs="Times New Roman"/>
                <w:color w:val="000000"/>
                <w:kern w:val="0"/>
                <w:sz w:val="21"/>
                <w:szCs w:val="21"/>
                <w:highlight w:val="none"/>
              </w:rPr>
            </w:pPr>
            <w:r>
              <w:rPr>
                <w:rFonts w:hint="default" w:ascii="Times New Roman" w:hAnsi="Times New Roman" w:eastAsia="仿宋" w:cs="Times New Roman"/>
                <w:color w:val="000000"/>
                <w:kern w:val="0"/>
                <w:sz w:val="21"/>
                <w:szCs w:val="21"/>
                <w:highlight w:val="none"/>
              </w:rPr>
              <w:t>应急通信</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rPr>
              <w:t>和指挥</w:t>
            </w: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23</w:t>
            </w:r>
          </w:p>
        </w:tc>
        <w:tc>
          <w:tcPr>
            <w:tcW w:w="762"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color w:val="000000"/>
                <w:kern w:val="0"/>
                <w:sz w:val="21"/>
                <w:szCs w:val="21"/>
                <w:highlight w:val="none"/>
              </w:rPr>
              <w:t>对讲机</w:t>
            </w:r>
          </w:p>
        </w:tc>
        <w:tc>
          <w:tcPr>
            <w:tcW w:w="971"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lang w:val="en-US" w:eastAsia="zh-CN"/>
              </w:rPr>
              <w:t>4</w:t>
            </w:r>
          </w:p>
        </w:tc>
        <w:tc>
          <w:tcPr>
            <w:tcW w:w="629"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kern w:val="44"/>
                <w:sz w:val="21"/>
                <w:szCs w:val="21"/>
                <w:highlight w:val="none"/>
                <w:lang w:val="en-US" w:eastAsia="zh-CN"/>
              </w:rPr>
            </w:pPr>
            <w:r>
              <w:rPr>
                <w:rFonts w:hint="default" w:ascii="Times New Roman" w:hAnsi="Times New Roman" w:eastAsia="仿宋" w:cs="Times New Roman"/>
                <w:sz w:val="21"/>
                <w:szCs w:val="21"/>
                <w:highlight w:val="none"/>
                <w:lang w:val="en-US" w:eastAsia="zh-CN"/>
              </w:rPr>
              <w:t>24</w:t>
            </w:r>
          </w:p>
        </w:tc>
        <w:tc>
          <w:tcPr>
            <w:tcW w:w="762"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color w:val="000000"/>
                <w:kern w:val="0"/>
                <w:sz w:val="21"/>
                <w:szCs w:val="21"/>
                <w:highlight w:val="none"/>
              </w:rPr>
              <w:t>吸油毡、吸油棉</w:t>
            </w:r>
          </w:p>
        </w:tc>
        <w:tc>
          <w:tcPr>
            <w:tcW w:w="971" w:type="pct"/>
            <w:noWrap w:val="0"/>
            <w:vAlign w:val="center"/>
          </w:tcPr>
          <w:p>
            <w:pPr>
              <w:widowControl/>
              <w:adjustRightInd w:val="0"/>
              <w:snapToGrid w:val="0"/>
              <w:jc w:val="cente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lang w:val="en-US" w:eastAsia="zh-CN"/>
              </w:rPr>
              <w:t>1</w:t>
            </w:r>
          </w:p>
        </w:tc>
        <w:tc>
          <w:tcPr>
            <w:tcW w:w="629"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restar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rPr>
              <w:t>污染物收集</w:t>
            </w: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25</w:t>
            </w:r>
          </w:p>
        </w:tc>
        <w:tc>
          <w:tcPr>
            <w:tcW w:w="762"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color w:val="000000"/>
                <w:kern w:val="0"/>
                <w:sz w:val="21"/>
                <w:szCs w:val="21"/>
                <w:highlight w:val="none"/>
                <w:lang w:val="en-US" w:eastAsia="zh-CN"/>
              </w:rPr>
              <w:t>备用空桶</w:t>
            </w:r>
          </w:p>
        </w:tc>
        <w:tc>
          <w:tcPr>
            <w:tcW w:w="971"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color w:val="000000"/>
                <w:kern w:val="0"/>
                <w:sz w:val="21"/>
                <w:szCs w:val="21"/>
                <w:highlight w:val="none"/>
                <w:lang w:val="en-US" w:eastAsia="zh-CN"/>
              </w:rPr>
              <w:t>5</w:t>
            </w:r>
          </w:p>
        </w:tc>
        <w:tc>
          <w:tcPr>
            <w:tcW w:w="629"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55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26</w:t>
            </w:r>
          </w:p>
        </w:tc>
        <w:tc>
          <w:tcPr>
            <w:tcW w:w="762"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接油盘</w:t>
            </w:r>
          </w:p>
        </w:tc>
        <w:tc>
          <w:tcPr>
            <w:tcW w:w="971"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740"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5</w:t>
            </w:r>
          </w:p>
        </w:tc>
        <w:tc>
          <w:tcPr>
            <w:tcW w:w="629" w:type="pct"/>
            <w:noWrap w:val="0"/>
            <w:vAlign w:val="center"/>
          </w:tcPr>
          <w:p>
            <w:pPr>
              <w:widowControl/>
              <w:adjustRightInd w:val="0"/>
              <w:snapToGrid w:val="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w:t>
            </w:r>
          </w:p>
        </w:tc>
        <w:tc>
          <w:tcPr>
            <w:tcW w:w="556" w:type="pct"/>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p>
        </w:tc>
        <w:tc>
          <w:tcPr>
            <w:tcW w:w="78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现有</w:t>
            </w:r>
          </w:p>
        </w:tc>
      </w:tr>
    </w:tbl>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r>
        <w:rPr>
          <w:rFonts w:hint="default" w:ascii="Times New Roman" w:hAnsi="Times New Roman" w:eastAsia="仿宋" w:cs="Times New Roman"/>
          <w:b/>
          <w:bCs/>
          <w:kern w:val="2"/>
          <w:sz w:val="30"/>
          <w:szCs w:val="32"/>
          <w:lang w:val="en-US" w:eastAsia="zh-CN" w:bidi="ar-SA"/>
        </w:rPr>
        <w:t>3.7.2内部救援队伍</w:t>
      </w:r>
    </w:p>
    <w:p>
      <w:pPr>
        <w:spacing w:line="360" w:lineRule="auto"/>
        <w:ind w:firstLine="560" w:firstLineChars="200"/>
        <w:rPr>
          <w:rFonts w:hint="default" w:ascii="Times New Roman" w:hAnsi="Times New Roman" w:eastAsia="仿宋" w:cs="Times New Roman"/>
          <w:b w:val="0"/>
          <w:bCs w:val="0"/>
          <w:color w:val="auto"/>
          <w:kern w:val="2"/>
          <w:sz w:val="28"/>
          <w:szCs w:val="28"/>
          <w:lang w:val="en-US" w:eastAsia="zh-CN" w:bidi="ar-SA"/>
        </w:rPr>
      </w:pPr>
      <w:r>
        <w:rPr>
          <w:rFonts w:hint="default" w:ascii="Times New Roman" w:hAnsi="Times New Roman" w:eastAsia="仿宋" w:cs="Times New Roman"/>
          <w:b w:val="0"/>
          <w:bCs w:val="0"/>
          <w:color w:val="auto"/>
          <w:kern w:val="2"/>
          <w:sz w:val="28"/>
          <w:szCs w:val="28"/>
          <w:lang w:val="en-US" w:eastAsia="zh-CN" w:bidi="ar-SA"/>
        </w:rPr>
        <w:t>企业成立应急救援专业队伍，由于本公司人员较少，机构设置简单，其人员配置见表3-12。</w:t>
      </w:r>
    </w:p>
    <w:p>
      <w:pPr>
        <w:spacing w:line="360" w:lineRule="auto"/>
        <w:ind w:left="0" w:leftChars="0" w:firstLine="0" w:firstLineChars="0"/>
        <w:jc w:val="center"/>
        <w:rPr>
          <w:rFonts w:hint="default" w:ascii="Times New Roman" w:hAnsi="Times New Roman" w:eastAsia="仿宋" w:cs="Times New Roman"/>
          <w:b/>
          <w:bCs/>
          <w:sz w:val="24"/>
          <w:szCs w:val="24"/>
          <w:lang w:val="en-US" w:eastAsia="zh-CN"/>
        </w:rPr>
      </w:pPr>
      <w:r>
        <w:rPr>
          <w:rFonts w:hint="default" w:ascii="Times New Roman" w:hAnsi="Times New Roman" w:eastAsia="仿宋" w:cs="Times New Roman"/>
          <w:b/>
          <w:bCs/>
          <w:sz w:val="24"/>
          <w:szCs w:val="24"/>
          <w:lang w:eastAsia="zh-CN"/>
        </w:rPr>
        <w:t xml:space="preserve"> 表3</w:t>
      </w:r>
      <w:r>
        <w:rPr>
          <w:rFonts w:hint="default" w:ascii="Times New Roman" w:hAnsi="Times New Roman" w:eastAsia="仿宋" w:cs="Times New Roman"/>
          <w:b/>
          <w:bCs/>
          <w:sz w:val="24"/>
          <w:szCs w:val="24"/>
          <w:lang w:val="en-US" w:eastAsia="zh-CN"/>
        </w:rPr>
        <w:t>-12企业内部应急救援专业队伍名单</w:t>
      </w:r>
    </w:p>
    <w:tbl>
      <w:tblPr>
        <w:tblStyle w:val="12"/>
        <w:tblW w:w="907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024"/>
        <w:gridCol w:w="1536"/>
        <w:gridCol w:w="1205"/>
        <w:gridCol w:w="2314"/>
        <w:gridCol w:w="1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3560" w:type="dxa"/>
            <w:gridSpan w:val="2"/>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应急救援组织机构职务</w:t>
            </w:r>
          </w:p>
        </w:tc>
        <w:tc>
          <w:tcPr>
            <w:tcW w:w="120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姓名</w:t>
            </w:r>
          </w:p>
        </w:tc>
        <w:tc>
          <w:tcPr>
            <w:tcW w:w="2314"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单位职务</w:t>
            </w:r>
          </w:p>
        </w:tc>
        <w:tc>
          <w:tcPr>
            <w:tcW w:w="1992"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联系电话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指挥部</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总指挥</w:t>
            </w: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孙岩</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总经理</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17795748363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副总指挥</w:t>
            </w: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周立宽</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副总经理</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18009287618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办公室主任</w:t>
            </w: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王耸</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行政经理</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13892059269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消防抢险组</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组长</w:t>
            </w:r>
          </w:p>
        </w:tc>
        <w:tc>
          <w:tcPr>
            <w:tcW w:w="1205" w:type="dxa"/>
            <w:noWrap w:val="0"/>
            <w:vAlign w:val="center"/>
          </w:tcPr>
          <w:p>
            <w:pPr>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sz w:val="21"/>
                <w:szCs w:val="21"/>
                <w:highlight w:val="none"/>
                <w:lang w:eastAsia="zh-CN"/>
              </w:rPr>
              <w:t>陈钢超</w:t>
            </w:r>
          </w:p>
        </w:tc>
        <w:tc>
          <w:tcPr>
            <w:tcW w:w="2314" w:type="dxa"/>
            <w:noWrap w:val="0"/>
            <w:vAlign w:val="center"/>
          </w:tcPr>
          <w:p>
            <w:pPr>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sz w:val="21"/>
                <w:szCs w:val="21"/>
                <w:highlight w:val="none"/>
                <w:lang w:eastAsia="zh-CN"/>
              </w:rPr>
              <w:t>生产部</w:t>
            </w:r>
            <w:r>
              <w:rPr>
                <w:rFonts w:hint="default" w:ascii="Times New Roman" w:hAnsi="Times New Roman" w:eastAsia="仿宋" w:cs="Times New Roman"/>
                <w:b/>
                <w:bCs/>
                <w:sz w:val="21"/>
                <w:szCs w:val="21"/>
                <w:highlight w:val="none"/>
              </w:rPr>
              <w:t>员工</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13087555082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color w:val="auto"/>
                <w:sz w:val="21"/>
                <w:szCs w:val="21"/>
                <w:highlight w:val="none"/>
              </w:rPr>
              <w:t>组员</w:t>
            </w:r>
          </w:p>
        </w:tc>
        <w:tc>
          <w:tcPr>
            <w:tcW w:w="1205"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葛奎</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生产部员工</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17792624853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p>
        </w:tc>
        <w:tc>
          <w:tcPr>
            <w:tcW w:w="1205"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翟笑冬</w:t>
            </w:r>
          </w:p>
        </w:tc>
        <w:tc>
          <w:tcPr>
            <w:tcW w:w="2314"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生产部</w:t>
            </w:r>
            <w:r>
              <w:rPr>
                <w:rFonts w:hint="default" w:ascii="Times New Roman" w:hAnsi="Times New Roman" w:eastAsia="仿宋" w:cs="Times New Roman"/>
                <w:sz w:val="21"/>
                <w:szCs w:val="21"/>
                <w:highlight w:val="none"/>
              </w:rPr>
              <w:t>员工</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15398055762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治安警戒组</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组长</w:t>
            </w:r>
          </w:p>
        </w:tc>
        <w:tc>
          <w:tcPr>
            <w:tcW w:w="1205"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刘超</w:t>
            </w:r>
          </w:p>
        </w:tc>
        <w:tc>
          <w:tcPr>
            <w:tcW w:w="2314"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副总经理</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13319253001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组员</w:t>
            </w: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李联平</w:t>
            </w:r>
          </w:p>
        </w:tc>
        <w:tc>
          <w:tcPr>
            <w:tcW w:w="2314"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生产部</w:t>
            </w:r>
            <w:r>
              <w:rPr>
                <w:rFonts w:hint="default" w:ascii="Times New Roman" w:hAnsi="Times New Roman" w:eastAsia="仿宋" w:cs="Times New Roman"/>
                <w:sz w:val="21"/>
                <w:szCs w:val="21"/>
                <w:highlight w:val="none"/>
              </w:rPr>
              <w:t>员工</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13008563687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陈亮</w:t>
            </w:r>
          </w:p>
        </w:tc>
        <w:tc>
          <w:tcPr>
            <w:tcW w:w="2314"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生产部</w:t>
            </w:r>
            <w:r>
              <w:rPr>
                <w:rFonts w:hint="default" w:ascii="Times New Roman" w:hAnsi="Times New Roman" w:eastAsia="仿宋" w:cs="Times New Roman"/>
                <w:sz w:val="21"/>
                <w:szCs w:val="21"/>
                <w:highlight w:val="none"/>
              </w:rPr>
              <w:t>员工</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13649291423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物资供应组</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组长</w:t>
            </w:r>
          </w:p>
        </w:tc>
        <w:tc>
          <w:tcPr>
            <w:tcW w:w="1205"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梁向鹏</w:t>
            </w:r>
          </w:p>
        </w:tc>
        <w:tc>
          <w:tcPr>
            <w:tcW w:w="2314" w:type="dxa"/>
            <w:noWrap w:val="0"/>
            <w:vAlign w:val="center"/>
          </w:tcPr>
          <w:p>
            <w:pPr>
              <w:jc w:val="center"/>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sz w:val="21"/>
                <w:szCs w:val="21"/>
                <w:highlight w:val="none"/>
                <w:lang w:eastAsia="zh-CN"/>
              </w:rPr>
              <w:t>后勤主管</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17729109660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组员</w:t>
            </w: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刘明明</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物料部员工</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18699666141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205"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薛若鑫</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物料部员工</w:t>
            </w:r>
          </w:p>
        </w:tc>
        <w:tc>
          <w:tcPr>
            <w:tcW w:w="1992"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13347400270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医疗救护组</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组长</w:t>
            </w:r>
          </w:p>
        </w:tc>
        <w:tc>
          <w:tcPr>
            <w:tcW w:w="1205"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b/>
                <w:bCs/>
                <w:sz w:val="21"/>
                <w:szCs w:val="21"/>
                <w:highlight w:val="none"/>
                <w:lang w:eastAsia="zh-CN"/>
              </w:rPr>
              <w:t>黄红轩</w:t>
            </w:r>
          </w:p>
        </w:tc>
        <w:tc>
          <w:tcPr>
            <w:tcW w:w="2314"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b/>
                <w:bCs/>
                <w:sz w:val="21"/>
                <w:szCs w:val="21"/>
                <w:highlight w:val="none"/>
                <w:lang w:eastAsia="zh-CN"/>
              </w:rPr>
              <w:t>财务总监</w:t>
            </w:r>
          </w:p>
        </w:tc>
        <w:tc>
          <w:tcPr>
            <w:tcW w:w="1992"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b/>
                <w:bCs/>
                <w:sz w:val="21"/>
                <w:szCs w:val="21"/>
                <w:highlight w:val="none"/>
                <w:lang w:val="en-US" w:eastAsia="zh-CN"/>
              </w:rPr>
              <w:t>13891082299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color w:val="auto"/>
                <w:sz w:val="21"/>
                <w:szCs w:val="21"/>
                <w:highlight w:val="none"/>
              </w:rPr>
              <w:t>组员</w:t>
            </w:r>
          </w:p>
        </w:tc>
        <w:tc>
          <w:tcPr>
            <w:tcW w:w="1205"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王甜</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财务主管</w:t>
            </w:r>
          </w:p>
        </w:tc>
        <w:tc>
          <w:tcPr>
            <w:tcW w:w="1992"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val="en-US" w:eastAsia="zh-CN"/>
              </w:rPr>
              <w:t>18681979092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205" w:type="dxa"/>
            <w:noWrap w:val="0"/>
            <w:vAlign w:val="center"/>
          </w:tcPr>
          <w:p>
            <w:pPr>
              <w:jc w:val="center"/>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sz w:val="21"/>
                <w:szCs w:val="21"/>
                <w:highlight w:val="none"/>
                <w:lang w:eastAsia="zh-CN"/>
              </w:rPr>
              <w:t>朱潘菲</w:t>
            </w:r>
          </w:p>
        </w:tc>
        <w:tc>
          <w:tcPr>
            <w:tcW w:w="2314" w:type="dxa"/>
            <w:noWrap w:val="0"/>
            <w:vAlign w:val="center"/>
          </w:tcPr>
          <w:p>
            <w:pPr>
              <w:widowControl w:val="0"/>
              <w:jc w:val="center"/>
              <w:rPr>
                <w:rFonts w:hint="default" w:ascii="Times New Roman" w:hAnsi="Times New Roman" w:eastAsia="仿宋" w:cs="Times New Roman"/>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出纳</w:t>
            </w:r>
          </w:p>
        </w:tc>
        <w:tc>
          <w:tcPr>
            <w:tcW w:w="1992" w:type="dxa"/>
            <w:noWrap w:val="0"/>
            <w:vAlign w:val="center"/>
          </w:tcPr>
          <w:p>
            <w:pPr>
              <w:jc w:val="center"/>
              <w:rPr>
                <w:rFonts w:hint="default" w:ascii="Times New Roman" w:hAnsi="Times New Roman" w:eastAsia="仿宋" w:cs="Times New Roman"/>
                <w:color w:val="auto"/>
                <w:sz w:val="21"/>
                <w:szCs w:val="21"/>
                <w:highlight w:val="none"/>
                <w:lang w:val="en-US"/>
              </w:rPr>
            </w:pPr>
            <w:r>
              <w:rPr>
                <w:rFonts w:hint="eastAsia" w:ascii="Times New Roman" w:hAnsi="Times New Roman" w:eastAsia="仿宋" w:cs="Times New Roman"/>
                <w:sz w:val="21"/>
                <w:szCs w:val="21"/>
                <w:highlight w:val="none"/>
                <w:lang w:val="en-US" w:eastAsia="zh-CN"/>
              </w:rPr>
              <w:t>18829241741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通讯联络组组</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组长</w:t>
            </w:r>
          </w:p>
        </w:tc>
        <w:tc>
          <w:tcPr>
            <w:tcW w:w="1205"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王丹</w:t>
            </w:r>
          </w:p>
        </w:tc>
        <w:tc>
          <w:tcPr>
            <w:tcW w:w="2314"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商务经理</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18710396071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color w:val="auto"/>
                <w:sz w:val="21"/>
                <w:szCs w:val="21"/>
                <w:highlight w:val="none"/>
              </w:rPr>
              <w:t>组员</w:t>
            </w:r>
          </w:p>
        </w:tc>
        <w:tc>
          <w:tcPr>
            <w:tcW w:w="1205"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马丹</w:t>
            </w:r>
          </w:p>
        </w:tc>
        <w:tc>
          <w:tcPr>
            <w:tcW w:w="2314"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商务部员工</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15909284243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r>
              <w:rPr>
                <w:rFonts w:hint="default" w:ascii="Times New Roman" w:hAnsi="Times New Roman" w:eastAsia="仿宋" w:cs="Times New Roman"/>
                <w:color w:val="auto"/>
                <w:sz w:val="21"/>
                <w:szCs w:val="21"/>
                <w:highlight w:val="none"/>
              </w:rPr>
              <w:t>应急环境监测组</w:t>
            </w: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b/>
                <w:bCs/>
                <w:color w:val="auto"/>
                <w:sz w:val="21"/>
                <w:szCs w:val="21"/>
                <w:highlight w:val="none"/>
              </w:rPr>
              <w:t>组长</w:t>
            </w:r>
          </w:p>
        </w:tc>
        <w:tc>
          <w:tcPr>
            <w:tcW w:w="1205"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毛传宝</w:t>
            </w:r>
          </w:p>
        </w:tc>
        <w:tc>
          <w:tcPr>
            <w:tcW w:w="2314"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物料主管</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b/>
                <w:bCs/>
                <w:kern w:val="2"/>
                <w:sz w:val="21"/>
                <w:szCs w:val="21"/>
                <w:highlight w:val="none"/>
                <w:lang w:val="en-US" w:eastAsia="zh-CN" w:bidi="ar-SA"/>
              </w:rPr>
              <w:t>18092703800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024"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color w:val="auto"/>
                <w:sz w:val="21"/>
                <w:szCs w:val="21"/>
                <w:highlight w:val="none"/>
              </w:rPr>
            </w:pPr>
          </w:p>
        </w:tc>
        <w:tc>
          <w:tcPr>
            <w:tcW w:w="1536"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color w:val="auto"/>
                <w:sz w:val="21"/>
                <w:szCs w:val="21"/>
                <w:highlight w:val="none"/>
              </w:rPr>
              <w:t>组员</w:t>
            </w:r>
          </w:p>
        </w:tc>
        <w:tc>
          <w:tcPr>
            <w:tcW w:w="1205"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赵珊</w:t>
            </w:r>
          </w:p>
        </w:tc>
        <w:tc>
          <w:tcPr>
            <w:tcW w:w="2314"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物料部员工</w:t>
            </w:r>
          </w:p>
        </w:tc>
        <w:tc>
          <w:tcPr>
            <w:tcW w:w="1992" w:type="dxa"/>
            <w:noWrap w:val="0"/>
            <w:vAlign w:val="center"/>
          </w:tcPr>
          <w:p>
            <w:pPr>
              <w:widowControl w:val="0"/>
              <w:jc w:val="center"/>
              <w:rPr>
                <w:rFonts w:hint="default" w:ascii="Times New Roman" w:hAnsi="Times New Roman" w:eastAsia="仿宋" w:cs="Times New Roman"/>
                <w:b/>
                <w:bCs/>
                <w:color w:val="auto"/>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15929553363</w:t>
            </w:r>
          </w:p>
        </w:tc>
      </w:tr>
    </w:tbl>
    <w:p>
      <w:pPr>
        <w:keepNext/>
        <w:keepLines/>
        <w:widowControl w:val="0"/>
        <w:bidi w:val="0"/>
        <w:spacing w:line="360" w:lineRule="auto"/>
        <w:ind w:firstLine="602" w:firstLineChars="200"/>
        <w:jc w:val="left"/>
        <w:outlineLvl w:val="2"/>
        <w:rPr>
          <w:rFonts w:hint="default" w:ascii="Times New Roman" w:hAnsi="Times New Roman" w:eastAsia="仿宋" w:cs="Times New Roman"/>
          <w:b/>
          <w:bCs/>
          <w:kern w:val="2"/>
          <w:sz w:val="30"/>
          <w:szCs w:val="32"/>
          <w:lang w:val="en-US" w:eastAsia="zh-CN" w:bidi="ar-SA"/>
        </w:rPr>
      </w:pPr>
      <w:r>
        <w:rPr>
          <w:rFonts w:hint="default" w:ascii="Times New Roman" w:hAnsi="Times New Roman" w:eastAsia="仿宋" w:cs="Times New Roman"/>
          <w:b/>
          <w:bCs/>
          <w:kern w:val="2"/>
          <w:sz w:val="30"/>
          <w:szCs w:val="32"/>
          <w:lang w:val="en-US" w:eastAsia="zh-CN" w:bidi="ar-SA"/>
        </w:rPr>
        <w:t>3.7.3外部救援队伍</w:t>
      </w:r>
    </w:p>
    <w:p>
      <w:pPr>
        <w:spacing w:line="360" w:lineRule="auto"/>
        <w:ind w:left="0" w:leftChars="0" w:firstLine="0" w:firstLineChars="0"/>
        <w:jc w:val="center"/>
        <w:outlineLvl w:val="0"/>
        <w:rPr>
          <w:rFonts w:hint="default" w:ascii="Times New Roman" w:hAnsi="Times New Roman" w:eastAsia="仿宋" w:cs="Times New Roman"/>
          <w:b/>
          <w:bCs/>
          <w:sz w:val="24"/>
          <w:szCs w:val="24"/>
          <w:lang w:eastAsia="zh-CN"/>
        </w:rPr>
      </w:pPr>
      <w:bookmarkStart w:id="87" w:name="_Toc1347"/>
      <w:r>
        <w:rPr>
          <w:rFonts w:hint="default" w:ascii="Times New Roman" w:hAnsi="Times New Roman" w:eastAsia="仿宋" w:cs="Times New Roman"/>
          <w:b/>
          <w:bCs/>
          <w:sz w:val="24"/>
          <w:szCs w:val="24"/>
          <w:lang w:val="en-US" w:eastAsia="zh-CN"/>
        </w:rPr>
        <w:t xml:space="preserve">3-13  </w:t>
      </w:r>
      <w:r>
        <w:rPr>
          <w:rFonts w:hint="default" w:ascii="Times New Roman" w:hAnsi="Times New Roman" w:eastAsia="仿宋" w:cs="Times New Roman"/>
          <w:b/>
          <w:bCs/>
          <w:sz w:val="24"/>
          <w:szCs w:val="24"/>
          <w:lang w:eastAsia="zh-CN"/>
        </w:rPr>
        <w:t>外部资源及救援队伍</w:t>
      </w:r>
      <w:bookmarkEnd w:id="87"/>
    </w:p>
    <w:tbl>
      <w:tblPr>
        <w:tblStyle w:val="12"/>
        <w:tblpPr w:leftFromText="180" w:rightFromText="180" w:vertAnchor="text" w:horzAnchor="page" w:tblpX="1769" w:tblpY="35"/>
        <w:tblOverlap w:val="never"/>
        <w:tblW w:w="4925" w:type="pct"/>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0" w:type="dxa"/>
          <w:bottom w:w="0" w:type="dxa"/>
          <w:right w:w="0" w:type="dxa"/>
        </w:tblCellMar>
      </w:tblPr>
      <w:tblGrid>
        <w:gridCol w:w="744"/>
        <w:gridCol w:w="1631"/>
        <w:gridCol w:w="3215"/>
        <w:gridCol w:w="2622"/>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28"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b/>
                <w:bCs/>
                <w:color w:val="auto"/>
                <w:kern w:val="2"/>
                <w:sz w:val="21"/>
                <w:szCs w:val="21"/>
                <w:lang w:val="en-US" w:eastAsia="zh-CN" w:bidi="ar"/>
              </w:rPr>
            </w:pPr>
            <w:bookmarkStart w:id="172" w:name="_GoBack"/>
            <w:r>
              <w:rPr>
                <w:rFonts w:hint="default" w:ascii="Times New Roman" w:hAnsi="Times New Roman" w:eastAsia="仿宋" w:cs="Times New Roman"/>
                <w:b/>
                <w:bCs/>
                <w:color w:val="auto"/>
                <w:kern w:val="2"/>
                <w:sz w:val="21"/>
                <w:szCs w:val="21"/>
                <w:lang w:val="en-US" w:eastAsia="zh-CN" w:bidi="ar"/>
              </w:rPr>
              <w:t>序号</w:t>
            </w:r>
          </w:p>
        </w:tc>
        <w:tc>
          <w:tcPr>
            <w:tcW w:w="99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default" w:ascii="Times New Roman" w:hAnsi="Times New Roman" w:eastAsia="仿宋" w:cs="Times New Roman"/>
                <w:b/>
                <w:bCs/>
                <w:color w:val="auto"/>
                <w:kern w:val="2"/>
                <w:sz w:val="21"/>
                <w:szCs w:val="21"/>
                <w:lang w:val="en-US" w:eastAsia="zh-CN" w:bidi="ar"/>
              </w:rPr>
              <w:t>类别</w:t>
            </w:r>
          </w:p>
        </w:tc>
        <w:tc>
          <w:tcPr>
            <w:tcW w:w="1957"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default" w:ascii="Times New Roman" w:hAnsi="Times New Roman" w:eastAsia="仿宋" w:cs="Times New Roman"/>
                <w:b/>
                <w:bCs/>
                <w:color w:val="auto"/>
                <w:kern w:val="2"/>
                <w:sz w:val="21"/>
                <w:szCs w:val="21"/>
                <w:lang w:val="en-US" w:eastAsia="zh-CN" w:bidi="ar"/>
              </w:rPr>
              <w:t>单位名称</w:t>
            </w:r>
          </w:p>
        </w:tc>
        <w:tc>
          <w:tcPr>
            <w:tcW w:w="1596"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应急电话</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59"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1</w:t>
            </w:r>
          </w:p>
        </w:tc>
        <w:tc>
          <w:tcPr>
            <w:tcW w:w="99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ind w:firstLine="420" w:firstLineChars="200"/>
              <w:jc w:val="both"/>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西咸新区秦汉新城管委会</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029-33185000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7"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2</w:t>
            </w:r>
          </w:p>
        </w:tc>
        <w:tc>
          <w:tcPr>
            <w:tcW w:w="99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ind w:left="0" w:leftChars="0"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市生态环境局西咸新区分局</w:t>
            </w:r>
          </w:p>
        </w:tc>
        <w:tc>
          <w:tcPr>
            <w:tcW w:w="1596" w:type="pct"/>
            <w:tcBorders>
              <w:tl2br w:val="nil"/>
              <w:tr2bl w:val="nil"/>
            </w:tcBorders>
            <w:noWrap w:val="0"/>
            <w:vAlign w:val="center"/>
          </w:tcPr>
          <w:p>
            <w:pPr>
              <w:keepNext w:val="0"/>
              <w:keepLines w:val="0"/>
              <w:widowControl/>
              <w:suppressLineNumbers w:val="0"/>
              <w:spacing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029-33585034</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14"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3</w:t>
            </w:r>
          </w:p>
        </w:tc>
        <w:tc>
          <w:tcPr>
            <w:tcW w:w="99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ind w:left="0" w:leftChars="0"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西咸新区生态环境局</w:t>
            </w:r>
          </w:p>
          <w:p>
            <w:pPr>
              <w:keepNext w:val="0"/>
              <w:keepLines w:val="0"/>
              <w:widowControl/>
              <w:suppressLineNumbers w:val="0"/>
              <w:spacing w:line="240" w:lineRule="auto"/>
              <w:ind w:left="0" w:leftChars="0"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（秦汉）工作部</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029-33585034</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8"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4</w:t>
            </w:r>
          </w:p>
        </w:tc>
        <w:tc>
          <w:tcPr>
            <w:tcW w:w="99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ind w:left="0" w:leftChars="0"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西咸新区秦汉新城消防大队</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119/029-33185703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8"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5</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ind w:left="0" w:leftChars="0"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西咸新区秦汉新城应急管理局</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029-33185321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1127"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6</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ind w:left="0" w:leftChars="0"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咸阳市气象局</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w:t>
            </w:r>
            <w:r>
              <w:rPr>
                <w:rFonts w:hint="eastAsia" w:ascii="Times New Roman" w:hAnsi="Times New Roman" w:eastAsia="仿宋" w:cs="Times New Roman"/>
                <w:color w:val="auto"/>
                <w:kern w:val="2"/>
                <w:sz w:val="21"/>
                <w:szCs w:val="21"/>
                <w:lang w:val="en-US" w:eastAsia="zh-CN" w:bidi="ar"/>
              </w:rPr>
              <w:t>-</w:t>
            </w:r>
            <w:r>
              <w:rPr>
                <w:rFonts w:hint="default" w:ascii="Times New Roman" w:hAnsi="Times New Roman" w:eastAsia="仿宋" w:cs="Times New Roman"/>
                <w:color w:val="auto"/>
                <w:kern w:val="2"/>
                <w:sz w:val="21"/>
                <w:szCs w:val="21"/>
                <w:lang w:val="en-US" w:eastAsia="zh-CN" w:bidi="ar"/>
              </w:rPr>
              <w:t>33316329</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8"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7</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咸阳市环境监测站</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029-32036359</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8"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8</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秦汉新城交通警察支队</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029-33185688</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8"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9</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1957" w:type="pct"/>
            <w:tcBorders>
              <w:tl2br w:val="nil"/>
              <w:tr2bl w:val="nil"/>
            </w:tcBorders>
            <w:noWrap w:val="0"/>
            <w:vAlign w:val="center"/>
          </w:tcPr>
          <w:p>
            <w:pPr>
              <w:keepNext w:val="0"/>
              <w:keepLines w:val="0"/>
              <w:widowControl/>
              <w:suppressLineNumbers w:val="0"/>
              <w:spacing w:line="240" w:lineRule="auto"/>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咸阳市中心医院东郊分院</w:t>
            </w:r>
          </w:p>
        </w:tc>
        <w:tc>
          <w:tcPr>
            <w:tcW w:w="1596"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029</w:t>
            </w:r>
            <w:r>
              <w:rPr>
                <w:rFonts w:hint="eastAsia" w:ascii="Times New Roman" w:hAnsi="Times New Roman" w:eastAsia="仿宋" w:cs="Times New Roman"/>
                <w:color w:val="auto"/>
                <w:kern w:val="2"/>
                <w:sz w:val="21"/>
                <w:szCs w:val="21"/>
                <w:lang w:val="en-US" w:eastAsia="zh-CN" w:bidi="ar"/>
              </w:rPr>
              <w:t>-</w:t>
            </w:r>
            <w:r>
              <w:rPr>
                <w:rFonts w:hint="default" w:ascii="Times New Roman" w:hAnsi="Times New Roman" w:eastAsia="仿宋" w:cs="Times New Roman"/>
                <w:color w:val="auto"/>
                <w:kern w:val="2"/>
                <w:sz w:val="21"/>
                <w:szCs w:val="21"/>
                <w:lang w:val="en-US" w:eastAsia="zh-CN" w:bidi="ar"/>
              </w:rPr>
              <w:t>33253932</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28"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12</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四邻单位</w:t>
            </w:r>
          </w:p>
        </w:tc>
        <w:tc>
          <w:tcPr>
            <w:tcW w:w="195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eastAsia"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44"/>
                <w:sz w:val="21"/>
                <w:szCs w:val="21"/>
                <w:highlight w:val="none"/>
                <w:lang w:eastAsia="zh-CN"/>
              </w:rPr>
              <w:t>陕西三毅有岩材料科技有限公司</w:t>
            </w:r>
          </w:p>
        </w:tc>
        <w:tc>
          <w:tcPr>
            <w:tcW w:w="15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i w:val="0"/>
                <w:caps w:val="0"/>
                <w:color w:val="auto"/>
                <w:spacing w:val="0"/>
                <w:sz w:val="21"/>
                <w:szCs w:val="21"/>
                <w:highlight w:val="none"/>
                <w:shd w:val="clear" w:color="auto" w:fill="FFFFFF"/>
                <w:lang w:val="en-US" w:eastAsia="zh-CN"/>
              </w:rPr>
              <w:t>029-</w:t>
            </w:r>
            <w:r>
              <w:rPr>
                <w:rFonts w:hint="default" w:ascii="Times New Roman" w:hAnsi="Times New Roman" w:eastAsia="仿宋" w:cs="Times New Roman"/>
                <w:i w:val="0"/>
                <w:caps w:val="0"/>
                <w:color w:val="auto"/>
                <w:spacing w:val="0"/>
                <w:sz w:val="21"/>
                <w:szCs w:val="21"/>
                <w:highlight w:val="none"/>
                <w:shd w:val="clear" w:color="auto" w:fill="FFFFFF"/>
              </w:rPr>
              <w:t>86670362</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67"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cs="Times New Roman"/>
                <w:color w:val="auto"/>
                <w:kern w:val="2"/>
                <w:sz w:val="21"/>
                <w:szCs w:val="21"/>
                <w:lang w:val="en-US" w:eastAsia="zh-CN" w:bidi="ar"/>
              </w:rPr>
              <w:t>13</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四邻单位</w:t>
            </w:r>
          </w:p>
        </w:tc>
        <w:tc>
          <w:tcPr>
            <w:tcW w:w="195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eastAsia"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sz w:val="21"/>
                <w:szCs w:val="21"/>
                <w:lang w:val="en-US" w:eastAsia="zh-CN"/>
              </w:rPr>
              <w:t>陕西优顿系统门窗加工中心</w:t>
            </w:r>
          </w:p>
        </w:tc>
        <w:tc>
          <w:tcPr>
            <w:tcW w:w="15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i w:val="0"/>
                <w:caps w:val="0"/>
                <w:color w:val="auto"/>
                <w:spacing w:val="0"/>
                <w:sz w:val="21"/>
                <w:szCs w:val="21"/>
                <w:highlight w:val="none"/>
                <w:shd w:val="clear" w:color="auto" w:fill="FFFFFF"/>
                <w:lang w:val="en-US" w:eastAsia="zh-CN"/>
              </w:rPr>
              <w:t>029-38109333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67"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cs="Times New Roman"/>
                <w:color w:val="auto"/>
                <w:kern w:val="2"/>
                <w:sz w:val="21"/>
                <w:szCs w:val="21"/>
                <w:lang w:val="en-US" w:eastAsia="zh-CN" w:bidi="ar"/>
              </w:rPr>
            </w:pPr>
            <w:r>
              <w:rPr>
                <w:rFonts w:hint="eastAsia" w:ascii="Times New Roman" w:hAnsi="Times New Roman" w:cs="Times New Roman"/>
                <w:color w:val="auto"/>
                <w:kern w:val="2"/>
                <w:sz w:val="21"/>
                <w:szCs w:val="21"/>
                <w:lang w:val="en-US" w:eastAsia="zh-CN" w:bidi="ar"/>
              </w:rPr>
              <w:t>14</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周边单位</w:t>
            </w:r>
          </w:p>
        </w:tc>
        <w:tc>
          <w:tcPr>
            <w:tcW w:w="195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default"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新庄村</w:t>
            </w:r>
          </w:p>
        </w:tc>
        <w:tc>
          <w:tcPr>
            <w:tcW w:w="15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default" w:ascii="Times New Roman" w:hAnsi="Times New Roman" w:eastAsia="仿宋" w:cs="Times New Roman"/>
                <w:i w:val="0"/>
                <w:caps w:val="0"/>
                <w:color w:val="auto"/>
                <w:spacing w:val="0"/>
                <w:sz w:val="21"/>
                <w:szCs w:val="21"/>
                <w:highlight w:val="none"/>
                <w:shd w:val="clear" w:color="auto" w:fill="FFFFFF"/>
                <w:lang w:val="en-US" w:eastAsia="zh-CN"/>
              </w:rPr>
            </w:pPr>
            <w:r>
              <w:rPr>
                <w:rFonts w:hint="eastAsia" w:ascii="Times New Roman" w:hAnsi="Times New Roman" w:eastAsia="仿宋" w:cs="Times New Roman"/>
                <w:i w:val="0"/>
                <w:caps w:val="0"/>
                <w:color w:val="auto"/>
                <w:spacing w:val="0"/>
                <w:sz w:val="21"/>
                <w:szCs w:val="21"/>
                <w:highlight w:val="none"/>
                <w:shd w:val="clear" w:color="auto" w:fill="FFFFFF"/>
                <w:lang w:val="en-US" w:eastAsia="zh-CN"/>
              </w:rPr>
              <w:t>029-</w:t>
            </w:r>
            <w:r>
              <w:rPr>
                <w:rFonts w:hint="default" w:ascii="Times New Roman" w:hAnsi="Times New Roman" w:eastAsia="仿宋" w:cs="Times New Roman"/>
                <w:i w:val="0"/>
                <w:caps w:val="0"/>
                <w:color w:val="auto"/>
                <w:spacing w:val="0"/>
                <w:sz w:val="21"/>
                <w:szCs w:val="21"/>
                <w:highlight w:val="none"/>
                <w:shd w:val="clear" w:color="auto" w:fill="FFFFFF"/>
                <w:lang w:val="en-US" w:eastAsia="zh-CN"/>
              </w:rPr>
              <w:t>3220748</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67"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cs="Times New Roman"/>
                <w:color w:val="auto"/>
                <w:kern w:val="2"/>
                <w:sz w:val="21"/>
                <w:szCs w:val="21"/>
                <w:lang w:val="en-US" w:eastAsia="zh-CN" w:bidi="ar"/>
              </w:rPr>
            </w:pPr>
            <w:r>
              <w:rPr>
                <w:rFonts w:hint="eastAsia" w:ascii="Times New Roman" w:hAnsi="Times New Roman" w:cs="Times New Roman"/>
                <w:color w:val="auto"/>
                <w:kern w:val="2"/>
                <w:sz w:val="21"/>
                <w:szCs w:val="21"/>
                <w:lang w:val="en-US" w:eastAsia="zh-CN" w:bidi="ar"/>
              </w:rPr>
              <w:t>15</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周边单位</w:t>
            </w:r>
          </w:p>
        </w:tc>
        <w:tc>
          <w:tcPr>
            <w:tcW w:w="321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105" w:leftChars="-50"/>
              <w:jc w:val="center"/>
              <w:textAlignment w:val="auto"/>
              <w:rPr>
                <w:rFonts w:hint="eastAsia" w:ascii="Times New Roman" w:hAnsi="Times New Roman" w:eastAsia="仿宋" w:cs="Times New Roman"/>
                <w:color w:val="auto"/>
                <w:sz w:val="21"/>
                <w:szCs w:val="21"/>
                <w:lang w:val="en-US" w:eastAsia="zh-CN"/>
              </w:rPr>
            </w:pPr>
            <w:r>
              <w:rPr>
                <w:rFonts w:hint="default" w:ascii="Times New Roman" w:hAnsi="Times New Roman" w:eastAsia="仿宋" w:cs="Times New Roman"/>
                <w:iCs/>
                <w:sz w:val="21"/>
                <w:szCs w:val="21"/>
                <w:highlight w:val="none"/>
                <w:lang w:eastAsia="zh-CN" w:bidi="ar-BH"/>
              </w:rPr>
              <w:t>周礼佳苑安居小区</w:t>
            </w:r>
          </w:p>
        </w:tc>
        <w:tc>
          <w:tcPr>
            <w:tcW w:w="15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default" w:ascii="Times New Roman" w:hAnsi="Times New Roman" w:eastAsia="仿宋" w:cs="Times New Roman"/>
                <w:i w:val="0"/>
                <w:caps w:val="0"/>
                <w:color w:val="auto"/>
                <w:spacing w:val="0"/>
                <w:sz w:val="21"/>
                <w:szCs w:val="21"/>
                <w:highlight w:val="none"/>
                <w:shd w:val="clear" w:color="auto" w:fill="FFFFFF"/>
                <w:lang w:val="en-US" w:eastAsia="zh-CN"/>
              </w:rPr>
            </w:pPr>
            <w:r>
              <w:rPr>
                <w:rFonts w:hint="default" w:ascii="Times New Roman" w:hAnsi="Times New Roman" w:eastAsia="仿宋" w:cs="Times New Roman"/>
                <w:i w:val="0"/>
                <w:caps w:val="0"/>
                <w:color w:val="auto"/>
                <w:spacing w:val="0"/>
                <w:sz w:val="21"/>
                <w:szCs w:val="21"/>
                <w:highlight w:val="none"/>
                <w:shd w:val="clear" w:color="auto" w:fill="FFFFFF"/>
                <w:lang w:val="en-US" w:eastAsia="zh-CN"/>
              </w:rPr>
              <w:t>029-33713399</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67" w:hRule="exact"/>
        </w:trPr>
        <w:tc>
          <w:tcPr>
            <w:tcW w:w="452" w:type="pct"/>
            <w:tcBorders>
              <w:tl2br w:val="nil"/>
              <w:tr2bl w:val="nil"/>
            </w:tcBorders>
            <w:noWrap w:val="0"/>
            <w:vAlign w:val="center"/>
          </w:tcPr>
          <w:p>
            <w:pPr>
              <w:pStyle w:val="11"/>
              <w:widowControl w:val="0"/>
              <w:adjustRightInd w:val="0"/>
              <w:snapToGrid w:val="0"/>
              <w:spacing w:before="0" w:beforeAutospacing="0" w:after="0" w:afterAutospacing="0" w:line="240" w:lineRule="auto"/>
              <w:ind w:firstLine="0" w:firstLineChars="0"/>
              <w:jc w:val="center"/>
              <w:rPr>
                <w:rFonts w:hint="default" w:ascii="Times New Roman" w:hAnsi="Times New Roman" w:cs="Times New Roman"/>
                <w:color w:val="auto"/>
                <w:kern w:val="2"/>
                <w:sz w:val="21"/>
                <w:szCs w:val="21"/>
                <w:lang w:val="en-US" w:eastAsia="zh-CN" w:bidi="ar"/>
              </w:rPr>
            </w:pPr>
            <w:r>
              <w:rPr>
                <w:rFonts w:hint="eastAsia" w:ascii="Times New Roman" w:hAnsi="Times New Roman" w:cs="Times New Roman"/>
                <w:color w:val="auto"/>
                <w:kern w:val="2"/>
                <w:sz w:val="21"/>
                <w:szCs w:val="21"/>
                <w:lang w:val="en-US" w:eastAsia="zh-CN" w:bidi="ar"/>
              </w:rPr>
              <w:t>16</w:t>
            </w:r>
          </w:p>
        </w:tc>
        <w:tc>
          <w:tcPr>
            <w:tcW w:w="992" w:type="pct"/>
            <w:tcBorders>
              <w:tl2br w:val="nil"/>
              <w:tr2bl w:val="nil"/>
            </w:tcBorders>
            <w:noWrap w:val="0"/>
            <w:vAlign w:val="center"/>
          </w:tcPr>
          <w:p>
            <w:pPr>
              <w:widowControl w:val="0"/>
              <w:adjustRightInd w:val="0"/>
              <w:snapToGrid w:val="0"/>
              <w:spacing w:before="0" w:beforeAutospacing="0" w:after="0" w:afterAutospacing="0" w:line="24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周边单位</w:t>
            </w:r>
          </w:p>
        </w:tc>
        <w:tc>
          <w:tcPr>
            <w:tcW w:w="3215" w:type="dxa"/>
            <w:tcBorders>
              <w:tl2br w:val="nil"/>
              <w:tr2bl w:val="nil"/>
            </w:tcBorders>
            <w:noWrap w:val="0"/>
            <w:vAlign w:val="center"/>
          </w:tcPr>
          <w:p>
            <w:pPr>
              <w:spacing w:line="240" w:lineRule="exact"/>
              <w:jc w:val="center"/>
              <w:rPr>
                <w:rFonts w:hint="eastAsia" w:ascii="Times New Roman" w:hAnsi="Times New Roman" w:eastAsia="仿宋" w:cs="Times New Roman"/>
                <w:color w:val="auto"/>
                <w:sz w:val="21"/>
                <w:szCs w:val="21"/>
                <w:lang w:val="en-US" w:eastAsia="zh-CN"/>
              </w:rPr>
            </w:pPr>
            <w:r>
              <w:rPr>
                <w:rFonts w:hint="default" w:ascii="Times New Roman" w:hAnsi="Times New Roman" w:eastAsia="仿宋" w:cs="Times New Roman"/>
                <w:iCs/>
                <w:sz w:val="21"/>
                <w:szCs w:val="21"/>
                <w:highlight w:val="none"/>
                <w:lang w:eastAsia="zh-CN" w:bidi="ar-BH"/>
              </w:rPr>
              <w:t>南贺村</w:t>
            </w:r>
          </w:p>
        </w:tc>
        <w:tc>
          <w:tcPr>
            <w:tcW w:w="15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outlineLvl w:val="9"/>
              <w:rPr>
                <w:rFonts w:hint="default" w:ascii="Times New Roman" w:hAnsi="Times New Roman" w:eastAsia="仿宋" w:cs="Times New Roman"/>
                <w:i w:val="0"/>
                <w:caps w:val="0"/>
                <w:color w:val="auto"/>
                <w:spacing w:val="0"/>
                <w:sz w:val="21"/>
                <w:szCs w:val="21"/>
                <w:highlight w:val="none"/>
                <w:shd w:val="clear" w:color="auto" w:fill="FFFFFF"/>
                <w:lang w:val="en-US" w:eastAsia="zh-CN"/>
              </w:rPr>
            </w:pPr>
            <w:r>
              <w:rPr>
                <w:rFonts w:hint="default" w:ascii="Times New Roman" w:hAnsi="Times New Roman" w:eastAsia="仿宋" w:cs="Times New Roman"/>
                <w:i w:val="0"/>
                <w:caps w:val="0"/>
                <w:color w:val="auto"/>
                <w:spacing w:val="0"/>
                <w:sz w:val="21"/>
                <w:szCs w:val="21"/>
                <w:highlight w:val="none"/>
                <w:shd w:val="clear" w:color="auto" w:fill="FFFFFF"/>
                <w:lang w:val="en-US" w:eastAsia="zh-CN"/>
              </w:rPr>
              <w:t>13892055591</w:t>
            </w:r>
          </w:p>
        </w:tc>
      </w:tr>
      <w:bookmarkEnd w:id="172"/>
    </w:tbl>
    <w:p>
      <w:pPr>
        <w:pStyle w:val="2"/>
        <w:ind w:left="0" w:leftChars="0" w:firstLine="0" w:firstLineChars="0"/>
        <w:rPr>
          <w:rFonts w:hint="default" w:ascii="Times New Roman" w:hAnsi="Times New Roman" w:eastAsia="仿宋" w:cs="Times New Roman"/>
          <w:lang w:eastAsia="zh-CN"/>
        </w:rPr>
      </w:pPr>
    </w:p>
    <w:p>
      <w:pPr>
        <w:rPr>
          <w:rFonts w:hint="default" w:ascii="Times New Roman" w:hAnsi="Times New Roman" w:eastAsia="仿宋" w:cs="Times New Roman"/>
        </w:rPr>
      </w:pPr>
      <w:r>
        <w:rPr>
          <w:rFonts w:hint="default" w:ascii="Times New Roman" w:hAnsi="Times New Roman" w:eastAsia="仿宋" w:cs="Times New Roman"/>
        </w:rPr>
        <w:br w:type="page"/>
      </w:r>
    </w:p>
    <w:p>
      <w:pPr>
        <w:keepNext/>
        <w:keepLines/>
        <w:pageBreakBefore/>
        <w:widowControl w:val="0"/>
        <w:bidi w:val="0"/>
        <w:spacing w:beforeLines="0" w:afterLines="0" w:line="480" w:lineRule="auto"/>
        <w:ind w:firstLine="643" w:firstLineChars="200"/>
        <w:jc w:val="left"/>
        <w:outlineLvl w:val="0"/>
        <w:rPr>
          <w:rFonts w:hint="default" w:ascii="Times New Roman" w:hAnsi="Times New Roman" w:eastAsia="仿宋" w:cs="Times New Roman"/>
          <w:b/>
          <w:bCs/>
          <w:kern w:val="44"/>
          <w:sz w:val="32"/>
          <w:szCs w:val="44"/>
          <w:lang w:val="en-US" w:eastAsia="zh-CN" w:bidi="ar-SA"/>
        </w:rPr>
      </w:pPr>
      <w:bookmarkStart w:id="88" w:name="_Toc22976"/>
      <w:bookmarkStart w:id="89" w:name="_Toc4040"/>
      <w:r>
        <w:rPr>
          <w:rFonts w:hint="default" w:ascii="Times New Roman" w:hAnsi="Times New Roman" w:eastAsia="仿宋" w:cs="Times New Roman"/>
          <w:b/>
          <w:bCs/>
          <w:kern w:val="44"/>
          <w:sz w:val="32"/>
          <w:szCs w:val="44"/>
          <w:lang w:val="en-US" w:eastAsia="zh-CN" w:bidi="ar-SA"/>
        </w:rPr>
        <w:t>4突发环境事件及其后果分析</w:t>
      </w:r>
      <w:bookmarkEnd w:id="88"/>
      <w:bookmarkEnd w:id="89"/>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90" w:name="_Toc3152"/>
      <w:bookmarkStart w:id="91" w:name="_Toc14516"/>
      <w:bookmarkStart w:id="92" w:name="_Toc5199"/>
      <w:bookmarkStart w:id="93" w:name="_Toc14873566"/>
      <w:r>
        <w:rPr>
          <w:rFonts w:hint="default" w:ascii="Times New Roman" w:hAnsi="Times New Roman" w:eastAsia="仿宋" w:cs="Times New Roman"/>
          <w:b/>
          <w:bCs/>
          <w:kern w:val="2"/>
          <w:sz w:val="32"/>
          <w:szCs w:val="32"/>
          <w:lang w:val="en-US" w:eastAsia="zh-CN" w:bidi="ar-SA"/>
        </w:rPr>
        <w:t>4.1突发环境事件情景分析</w:t>
      </w:r>
      <w:bookmarkEnd w:id="90"/>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94" w:name="_Toc29240"/>
      <w:r>
        <w:rPr>
          <w:rFonts w:hint="default" w:ascii="Times New Roman" w:hAnsi="Times New Roman" w:eastAsia="仿宋" w:cs="Times New Roman"/>
          <w:b/>
          <w:bCs/>
          <w:kern w:val="2"/>
          <w:sz w:val="32"/>
          <w:szCs w:val="32"/>
          <w:lang w:val="en-US" w:eastAsia="zh-CN" w:bidi="ar-SA"/>
        </w:rPr>
        <w:t>4.1</w:t>
      </w:r>
      <w:bookmarkEnd w:id="91"/>
      <w:bookmarkEnd w:id="92"/>
      <w:bookmarkEnd w:id="93"/>
      <w:r>
        <w:rPr>
          <w:rFonts w:hint="default" w:ascii="Times New Roman" w:hAnsi="Times New Roman" w:eastAsia="仿宋" w:cs="Times New Roman"/>
          <w:b/>
          <w:bCs/>
          <w:kern w:val="2"/>
          <w:sz w:val="32"/>
          <w:szCs w:val="32"/>
          <w:lang w:val="en-US" w:eastAsia="zh-CN" w:bidi="ar-SA"/>
        </w:rPr>
        <w:t>.1</w:t>
      </w:r>
      <w:r>
        <w:rPr>
          <w:rFonts w:hint="default" w:ascii="Times New Roman" w:hAnsi="Times New Roman" w:eastAsia="仿宋" w:cs="Times New Roman"/>
          <w:b/>
          <w:bCs/>
          <w:kern w:val="2"/>
          <w:sz w:val="30"/>
          <w:szCs w:val="32"/>
          <w:lang w:val="en-US" w:eastAsia="zh-CN" w:bidi="ar-SA"/>
        </w:rPr>
        <w:t>国内同类企业突发事件</w:t>
      </w:r>
      <w:bookmarkEnd w:id="94"/>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default" w:ascii="Times New Roman" w:hAnsi="Times New Roman" w:eastAsia="仿宋" w:cs="Times New Roman"/>
          <w:b/>
          <w:bCs/>
          <w:color w:val="000000"/>
          <w:sz w:val="28"/>
          <w:szCs w:val="28"/>
          <w:highlight w:val="none"/>
          <w:lang w:eastAsia="zh-CN"/>
        </w:rPr>
      </w:pPr>
      <w:r>
        <w:rPr>
          <w:rFonts w:hint="default" w:ascii="Times New Roman" w:hAnsi="Times New Roman" w:eastAsia="仿宋" w:cs="Times New Roman"/>
          <w:b/>
          <w:bCs/>
          <w:color w:val="000000"/>
          <w:sz w:val="28"/>
          <w:szCs w:val="28"/>
          <w:highlight w:val="none"/>
          <w:lang w:eastAsia="zh-CN"/>
        </w:rPr>
        <w:t>机油</w:t>
      </w:r>
      <w:r>
        <w:rPr>
          <w:rFonts w:hint="default" w:ascii="Times New Roman" w:hAnsi="Times New Roman" w:eastAsia="仿宋" w:cs="Times New Roman"/>
          <w:b/>
          <w:bCs/>
          <w:color w:val="000000"/>
          <w:sz w:val="28"/>
          <w:szCs w:val="28"/>
          <w:highlight w:val="none"/>
        </w:rPr>
        <w:t>泄漏事故案例</w:t>
      </w:r>
      <w:r>
        <w:rPr>
          <w:rFonts w:hint="default" w:ascii="Times New Roman" w:hAnsi="Times New Roman" w:eastAsia="仿宋" w:cs="Times New Roman"/>
          <w:b/>
          <w:bCs/>
          <w:color w:val="000000"/>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lang w:eastAsia="zh-CN"/>
        </w:rPr>
      </w:pPr>
      <w:r>
        <w:rPr>
          <w:rFonts w:hint="default" w:ascii="Times New Roman" w:hAnsi="Times New Roman" w:eastAsia="仿宋" w:cs="Times New Roman"/>
          <w:color w:val="000000"/>
          <w:sz w:val="28"/>
          <w:szCs w:val="28"/>
          <w:highlight w:val="none"/>
        </w:rPr>
        <w:t>梧州日报</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2016年7月12日</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w:t>
      </w:r>
      <w:r>
        <w:rPr>
          <w:rFonts w:hint="default" w:ascii="Times New Roman" w:hAnsi="Times New Roman" w:eastAsia="仿宋" w:cs="Times New Roman"/>
          <w:color w:val="000000"/>
          <w:sz w:val="28"/>
          <w:szCs w:val="28"/>
          <w:highlight w:val="none"/>
          <w:lang w:eastAsia="zh-CN"/>
        </w:rPr>
        <w:t>据了解，11日凌晨，梧州市汇广源燃油物资有限公司油罐发生爆炸，有部分机油泄漏，并经由东山冲直排口流入桂江。市环境监察执法支队、环境应急中心执法人员在多个点布设围油栏拦截油污，在江面铺设吸油毡吸油控油以减少油污扩散。市环保、海事等部门工作人员在围油栏内及泳池水面铺上吸油毡，实时监测上游油污情况，并调用船只增设围油栏。由于相关部门及时采取拦截、吸油等措施，始发点油污已停止外排，桂江河面大部分油污已被拦截。该事件未对市区自来水取水造成影响。</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default" w:ascii="Times New Roman" w:hAnsi="Times New Roman" w:eastAsia="仿宋" w:cs="Times New Roman"/>
          <w:b/>
          <w:bCs/>
          <w:color w:val="000000"/>
          <w:sz w:val="28"/>
          <w:szCs w:val="28"/>
          <w:highlight w:val="none"/>
          <w:lang w:val="en-US" w:eastAsia="zh-CN"/>
        </w:rPr>
      </w:pPr>
      <w:r>
        <w:rPr>
          <w:rFonts w:hint="default" w:ascii="Times New Roman" w:hAnsi="Times New Roman" w:eastAsia="仿宋" w:cs="Times New Roman"/>
          <w:b/>
          <w:bCs/>
          <w:color w:val="000000"/>
          <w:sz w:val="28"/>
          <w:szCs w:val="28"/>
          <w:highlight w:val="none"/>
          <w:lang w:val="en-US" w:eastAsia="zh-CN"/>
        </w:rPr>
        <w:t>机油泄露引发火灾案例：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四川新闻网（2012年12月24日）：昨日下午4时16分，位于新都区货运大道旁的成都天旭汽配城发生火灾，由于汽配城内各种油品泄漏，造成了“流淌火”，加上西风劲吹，过火面积达4000平方米。成都市公安消防局防火处处长王彧雄说，消防指挥中心接到报警后，最终调集了14个中队、40辆消防车、200余名消防队员进行扑救。火势最终被控制，没有造成人员伤亡。据报道，记者了解到，损失超过千万的商家至少7家，损失超500万的大概20家。另据人民网报道，商家称，火灾造成的直接经济损失会超过2亿元。相关部门暂未公布具体损失数据。</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default" w:ascii="Times New Roman" w:hAnsi="Times New Roman" w:eastAsia="仿宋" w:cs="Times New Roman"/>
          <w:b/>
          <w:bCs/>
          <w:color w:val="000000"/>
          <w:sz w:val="28"/>
          <w:szCs w:val="28"/>
          <w:highlight w:val="none"/>
          <w:lang w:val="en-US" w:eastAsia="zh-CN"/>
        </w:rPr>
      </w:pPr>
      <w:r>
        <w:rPr>
          <w:rFonts w:hint="default" w:ascii="Times New Roman" w:hAnsi="Times New Roman" w:eastAsia="仿宋" w:cs="Times New Roman"/>
          <w:b/>
          <w:bCs/>
          <w:color w:val="000000"/>
          <w:sz w:val="28"/>
          <w:szCs w:val="28"/>
          <w:highlight w:val="none"/>
          <w:lang w:val="en-US" w:eastAsia="zh-CN"/>
        </w:rPr>
        <w:t>乳化液泄漏事故案例：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lang w:val="en-US" w:eastAsia="zh-CN"/>
        </w:rPr>
      </w:pPr>
      <w:r>
        <w:rPr>
          <w:rFonts w:hint="default" w:ascii="Times New Roman" w:hAnsi="Times New Roman" w:eastAsia="仿宋" w:cs="Times New Roman"/>
          <w:color w:val="000000"/>
          <w:sz w:val="28"/>
          <w:szCs w:val="28"/>
          <w:highlight w:val="none"/>
          <w:lang w:val="en-US" w:eastAsia="zh-CN"/>
        </w:rPr>
        <w:t>东南快报（2011年12月23日）：20日中午12时左右，福州市马尾区马尾港附近的中铝瑞闽铝板带有限公司发生乳化液意外泄漏事故，200多升的废乳化液从雨水排放口流入闽江，预估“入侵”闽江2平方公里。瑞闽公司百名员工连续施救2日。此次受影响的取水口为备用取水口，对马尾地区居民饮用水安全未影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lang w:val="en-US" w:eastAsia="zh-CN"/>
        </w:rPr>
      </w:pPr>
      <w:r>
        <w:rPr>
          <w:rFonts w:hint="default" w:ascii="Times New Roman" w:hAnsi="Times New Roman" w:eastAsia="仿宋" w:cs="Times New Roman"/>
          <w:color w:val="000000"/>
          <w:sz w:val="28"/>
          <w:szCs w:val="28"/>
          <w:highlight w:val="none"/>
          <w:lang w:val="en-US" w:eastAsia="zh-CN"/>
        </w:rPr>
        <w:t>由于公司的热轧地下室乳化液管网法兰脱落，泄漏的乳化液流入地下室地坑。在将废乳化液通过污水泵抽到废乳化液调节池过程中，废乳化液从调节池溢出。一部分废乳化液流到公司内部马路上的雨水口，并通过雨水口流入了雨水检查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lang w:val="en-US" w:eastAsia="zh-CN"/>
        </w:rPr>
      </w:pPr>
      <w:r>
        <w:rPr>
          <w:rFonts w:hint="default" w:ascii="Times New Roman" w:hAnsi="Times New Roman" w:eastAsia="仿宋" w:cs="Times New Roman"/>
          <w:color w:val="000000"/>
          <w:sz w:val="28"/>
          <w:szCs w:val="28"/>
          <w:highlight w:val="none"/>
          <w:lang w:val="en-US" w:eastAsia="zh-CN"/>
        </w:rPr>
        <w:t>公司发现江面出现废乳化液等漂浮物后，立即组织员工到江边用过滤布和吸油棉等方法进行施救，同时清理了从出事口到排放口的雨水管道，并对排放口进行围堵。同时，他们通知了福州创绿环保科技有限公司提供技术设备支持。经过紧急处理，目前已经基本清理完毕，也不会对水质造成影响。</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default" w:ascii="Times New Roman" w:hAnsi="Times New Roman" w:eastAsia="仿宋" w:cs="Times New Roman"/>
          <w:b/>
          <w:bCs/>
          <w:color w:val="000000"/>
          <w:sz w:val="28"/>
          <w:szCs w:val="28"/>
          <w:highlight w:val="none"/>
          <w:lang w:val="en-US" w:eastAsia="zh-CN"/>
        </w:rPr>
      </w:pPr>
      <w:r>
        <w:rPr>
          <w:rFonts w:hint="default" w:ascii="Times New Roman" w:hAnsi="Times New Roman" w:eastAsia="仿宋" w:cs="Times New Roman"/>
          <w:b/>
          <w:bCs/>
          <w:color w:val="000000"/>
          <w:sz w:val="28"/>
          <w:szCs w:val="28"/>
          <w:highlight w:val="none"/>
          <w:lang w:val="en-US" w:eastAsia="zh-CN"/>
        </w:rPr>
        <w:t>废气处理设备故障导致废气超标排放案例：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lang w:val="en-US" w:eastAsia="zh-CN"/>
        </w:rPr>
      </w:pPr>
      <w:bookmarkStart w:id="95" w:name="_Toc14873569"/>
      <w:bookmarkStart w:id="96" w:name="_Toc23751"/>
      <w:bookmarkStart w:id="97" w:name="_Toc24229"/>
      <w:r>
        <w:rPr>
          <w:rFonts w:hint="default" w:ascii="Times New Roman" w:hAnsi="Times New Roman" w:eastAsia="仿宋" w:cs="Times New Roman"/>
          <w:color w:val="000000"/>
          <w:sz w:val="28"/>
          <w:szCs w:val="28"/>
          <w:highlight w:val="none"/>
          <w:lang w:val="en-US" w:eastAsia="zh-CN"/>
        </w:rPr>
        <w:t>现代快报（2013年10月11日）：记者联系了武进环保部门，环保监察大队湖塘中队人员来到宝麟纺织公司内。今年3月，现代快报等媒体曝光该企业乱排废气后，在环保部门的督促下，该企业安装了一套废气处理设备。然而，经现场检查，这套设备却是“带病”工作。方队长说，该废气处理系统通过水喷淋来实现油烟气收集、处理，但是收集装置出现故障，导致废气收集不到位，废气乱排。</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lang w:val="en-US" w:eastAsia="zh-CN"/>
        </w:rPr>
      </w:pPr>
      <w:r>
        <w:rPr>
          <w:rFonts w:hint="default" w:ascii="Times New Roman" w:hAnsi="Times New Roman" w:eastAsia="仿宋" w:cs="Times New Roman"/>
          <w:color w:val="000000"/>
          <w:sz w:val="28"/>
          <w:szCs w:val="28"/>
          <w:highlight w:val="none"/>
          <w:lang w:val="en-US" w:eastAsia="zh-CN"/>
        </w:rPr>
        <w:t>据悉，环保部门当即要求该企业立即维修好废气处置设备，将废气收集到位。同时，希望企业调整作业时，对含油脂量高的布料的加工放在凌晨时分进行，以尽量减少对周边校园和人群的影响。</w:t>
      </w:r>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r>
        <w:rPr>
          <w:rFonts w:hint="default" w:ascii="Times New Roman" w:hAnsi="Times New Roman" w:eastAsia="仿宋" w:cs="Times New Roman"/>
          <w:b/>
          <w:bCs/>
          <w:kern w:val="2"/>
          <w:sz w:val="32"/>
          <w:szCs w:val="32"/>
          <w:lang w:val="en-US" w:eastAsia="zh-CN" w:bidi="ar-SA"/>
        </w:rPr>
        <w:t>4.2最大可信事故及后果分析</w:t>
      </w:r>
      <w:bookmarkEnd w:id="95"/>
      <w:bookmarkEnd w:id="96"/>
      <w:bookmarkEnd w:id="97"/>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5"/>
        <w:gridCol w:w="1656"/>
        <w:gridCol w:w="1118"/>
        <w:gridCol w:w="1620"/>
        <w:gridCol w:w="1962"/>
        <w:gridCol w:w="21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525" w:type="dxa"/>
            <w:noWrap w:val="0"/>
            <w:vAlign w:val="center"/>
          </w:tcPr>
          <w:p>
            <w:pPr>
              <w:widowControl/>
              <w:adjustRightInd w:val="0"/>
              <w:snapToGrid w:val="0"/>
              <w:jc w:val="center"/>
              <w:rPr>
                <w:rFonts w:hint="default" w:ascii="Times New Roman" w:hAnsi="Times New Roman" w:eastAsia="仿宋" w:cs="Times New Roman"/>
                <w:b/>
                <w:bCs/>
                <w:color w:val="000000"/>
                <w:kern w:val="0"/>
                <w:sz w:val="21"/>
                <w:szCs w:val="21"/>
                <w:highlight w:val="none"/>
              </w:rPr>
            </w:pPr>
            <w:r>
              <w:rPr>
                <w:rFonts w:hint="default" w:ascii="Times New Roman" w:hAnsi="Times New Roman" w:eastAsia="仿宋" w:cs="Times New Roman"/>
                <w:b/>
                <w:bCs/>
                <w:color w:val="000000"/>
                <w:kern w:val="0"/>
                <w:sz w:val="21"/>
                <w:szCs w:val="21"/>
                <w:highlight w:val="none"/>
              </w:rPr>
              <w:t>序号</w:t>
            </w:r>
          </w:p>
        </w:tc>
        <w:tc>
          <w:tcPr>
            <w:tcW w:w="1656" w:type="dxa"/>
            <w:noWrap w:val="0"/>
            <w:vAlign w:val="center"/>
          </w:tcPr>
          <w:p>
            <w:pPr>
              <w:widowControl/>
              <w:adjustRightInd w:val="0"/>
              <w:snapToGrid w:val="0"/>
              <w:jc w:val="center"/>
              <w:rPr>
                <w:rFonts w:hint="default" w:ascii="Times New Roman" w:hAnsi="Times New Roman" w:eastAsia="仿宋" w:cs="Times New Roman"/>
                <w:b/>
                <w:bCs/>
                <w:color w:val="000000"/>
                <w:kern w:val="0"/>
                <w:sz w:val="21"/>
                <w:szCs w:val="21"/>
                <w:highlight w:val="none"/>
              </w:rPr>
            </w:pPr>
            <w:r>
              <w:rPr>
                <w:rFonts w:hint="default" w:ascii="Times New Roman" w:hAnsi="Times New Roman" w:eastAsia="仿宋" w:cs="Times New Roman"/>
                <w:b/>
                <w:bCs/>
                <w:color w:val="000000"/>
                <w:kern w:val="0"/>
                <w:sz w:val="21"/>
                <w:szCs w:val="21"/>
                <w:highlight w:val="none"/>
              </w:rPr>
              <w:t>突发环境事件</w:t>
            </w:r>
          </w:p>
        </w:tc>
        <w:tc>
          <w:tcPr>
            <w:tcW w:w="1118" w:type="dxa"/>
            <w:noWrap w:val="0"/>
            <w:vAlign w:val="center"/>
          </w:tcPr>
          <w:p>
            <w:pPr>
              <w:widowControl/>
              <w:adjustRightInd w:val="0"/>
              <w:snapToGrid w:val="0"/>
              <w:jc w:val="center"/>
              <w:rPr>
                <w:rFonts w:hint="default" w:ascii="Times New Roman" w:hAnsi="Times New Roman" w:eastAsia="仿宋" w:cs="Times New Roman"/>
                <w:b/>
                <w:bCs/>
                <w:color w:val="000000"/>
                <w:kern w:val="0"/>
                <w:sz w:val="21"/>
                <w:szCs w:val="21"/>
                <w:highlight w:val="none"/>
              </w:rPr>
            </w:pPr>
            <w:r>
              <w:rPr>
                <w:rFonts w:hint="default" w:ascii="Times New Roman" w:hAnsi="Times New Roman" w:eastAsia="仿宋" w:cs="Times New Roman"/>
                <w:b/>
                <w:bCs/>
                <w:color w:val="000000"/>
                <w:kern w:val="0"/>
                <w:sz w:val="21"/>
                <w:szCs w:val="21"/>
                <w:highlight w:val="none"/>
              </w:rPr>
              <w:t>风险单元</w:t>
            </w:r>
          </w:p>
        </w:tc>
        <w:tc>
          <w:tcPr>
            <w:tcW w:w="1620" w:type="dxa"/>
            <w:noWrap w:val="0"/>
            <w:vAlign w:val="center"/>
          </w:tcPr>
          <w:p>
            <w:pPr>
              <w:widowControl/>
              <w:adjustRightInd w:val="0"/>
              <w:snapToGrid w:val="0"/>
              <w:jc w:val="center"/>
              <w:rPr>
                <w:rFonts w:hint="default" w:ascii="Times New Roman" w:hAnsi="Times New Roman" w:eastAsia="仿宋" w:cs="Times New Roman"/>
                <w:b/>
                <w:bCs/>
                <w:color w:val="000000"/>
                <w:kern w:val="0"/>
                <w:sz w:val="21"/>
                <w:szCs w:val="21"/>
                <w:highlight w:val="none"/>
              </w:rPr>
            </w:pPr>
            <w:r>
              <w:rPr>
                <w:rFonts w:hint="default" w:ascii="Times New Roman" w:hAnsi="Times New Roman" w:eastAsia="仿宋" w:cs="Times New Roman"/>
                <w:b/>
                <w:bCs/>
                <w:color w:val="000000"/>
                <w:kern w:val="0"/>
                <w:sz w:val="21"/>
                <w:szCs w:val="21"/>
                <w:highlight w:val="none"/>
              </w:rPr>
              <w:t>主要有害物质</w:t>
            </w:r>
          </w:p>
        </w:tc>
        <w:tc>
          <w:tcPr>
            <w:tcW w:w="1962" w:type="dxa"/>
            <w:noWrap w:val="0"/>
            <w:vAlign w:val="center"/>
          </w:tcPr>
          <w:p>
            <w:pPr>
              <w:widowControl/>
              <w:adjustRightInd w:val="0"/>
              <w:snapToGrid w:val="0"/>
              <w:jc w:val="center"/>
              <w:rPr>
                <w:rFonts w:hint="default" w:ascii="Times New Roman" w:hAnsi="Times New Roman" w:eastAsia="仿宋" w:cs="Times New Roman"/>
                <w:b/>
                <w:bCs/>
                <w:color w:val="000000"/>
                <w:kern w:val="0"/>
                <w:sz w:val="21"/>
                <w:szCs w:val="21"/>
                <w:highlight w:val="none"/>
              </w:rPr>
            </w:pPr>
            <w:r>
              <w:rPr>
                <w:rFonts w:hint="default" w:ascii="Times New Roman" w:hAnsi="Times New Roman" w:eastAsia="仿宋" w:cs="Times New Roman"/>
                <w:b/>
                <w:bCs/>
                <w:color w:val="000000"/>
                <w:kern w:val="0"/>
                <w:sz w:val="21"/>
                <w:szCs w:val="21"/>
                <w:highlight w:val="none"/>
              </w:rPr>
              <w:t>主要危害</w:t>
            </w:r>
          </w:p>
        </w:tc>
        <w:tc>
          <w:tcPr>
            <w:tcW w:w="2190" w:type="dxa"/>
            <w:noWrap w:val="0"/>
            <w:vAlign w:val="center"/>
          </w:tcPr>
          <w:p>
            <w:pPr>
              <w:widowControl/>
              <w:adjustRightInd w:val="0"/>
              <w:snapToGrid w:val="0"/>
              <w:jc w:val="center"/>
              <w:rPr>
                <w:rFonts w:hint="default" w:ascii="Times New Roman" w:hAnsi="Times New Roman" w:eastAsia="仿宋" w:cs="Times New Roman"/>
                <w:b/>
                <w:bCs/>
                <w:color w:val="000000"/>
                <w:kern w:val="0"/>
                <w:sz w:val="21"/>
                <w:szCs w:val="21"/>
                <w:highlight w:val="none"/>
              </w:rPr>
            </w:pPr>
            <w:r>
              <w:rPr>
                <w:rFonts w:hint="default" w:ascii="Times New Roman" w:hAnsi="Times New Roman" w:eastAsia="仿宋" w:cs="Times New Roman"/>
                <w:b/>
                <w:bCs/>
                <w:color w:val="000000"/>
                <w:kern w:val="0"/>
                <w:sz w:val="21"/>
                <w:szCs w:val="21"/>
                <w:highlight w:val="none"/>
              </w:rPr>
              <w:t>有害物质扩散途径识别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525" w:type="dxa"/>
            <w:noWrap w:val="0"/>
            <w:vAlign w:val="center"/>
          </w:tcPr>
          <w:p>
            <w:pPr>
              <w:widowControl/>
              <w:adjustRightInd w:val="0"/>
              <w:snapToGrid w:val="0"/>
              <w:jc w:val="center"/>
              <w:rPr>
                <w:rFonts w:hint="default" w:ascii="Times New Roman" w:hAnsi="Times New Roman" w:eastAsia="仿宋" w:cs="Times New Roman"/>
                <w:color w:val="000000"/>
                <w:kern w:val="0"/>
                <w:sz w:val="21"/>
                <w:szCs w:val="21"/>
                <w:highlight w:val="none"/>
              </w:rPr>
            </w:pPr>
            <w:r>
              <w:rPr>
                <w:rFonts w:hint="default" w:ascii="Times New Roman" w:hAnsi="Times New Roman" w:eastAsia="仿宋" w:cs="Times New Roman"/>
                <w:color w:val="000000"/>
                <w:kern w:val="0"/>
                <w:sz w:val="21"/>
                <w:szCs w:val="21"/>
                <w:highlight w:val="none"/>
              </w:rPr>
              <w:t>1</w:t>
            </w:r>
          </w:p>
        </w:tc>
        <w:tc>
          <w:tcPr>
            <w:tcW w:w="1656"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原料</w:t>
            </w:r>
            <w:r>
              <w:rPr>
                <w:rFonts w:hint="default" w:ascii="Times New Roman" w:hAnsi="Times New Roman" w:eastAsia="仿宋" w:cs="Times New Roman"/>
                <w:sz w:val="21"/>
                <w:szCs w:val="21"/>
                <w:highlight w:val="none"/>
                <w:lang w:eastAsia="zh-CN"/>
              </w:rPr>
              <w:t>、辅料</w:t>
            </w:r>
            <w:r>
              <w:rPr>
                <w:rFonts w:hint="default" w:ascii="Times New Roman" w:hAnsi="Times New Roman" w:eastAsia="仿宋" w:cs="Times New Roman"/>
                <w:sz w:val="21"/>
                <w:szCs w:val="21"/>
                <w:highlight w:val="none"/>
              </w:rPr>
              <w:t>集中堆放库</w:t>
            </w:r>
            <w:r>
              <w:rPr>
                <w:rFonts w:hint="default" w:ascii="Times New Roman" w:hAnsi="Times New Roman" w:eastAsia="仿宋" w:cs="Times New Roman"/>
                <w:sz w:val="21"/>
                <w:szCs w:val="21"/>
                <w:highlight w:val="none"/>
                <w:lang w:val="en-US" w:eastAsia="zh-CN"/>
              </w:rPr>
              <w:t>风险物质发生泄漏或发生火灾</w:t>
            </w:r>
          </w:p>
        </w:tc>
        <w:tc>
          <w:tcPr>
            <w:tcW w:w="1118"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原料</w:t>
            </w:r>
            <w:r>
              <w:rPr>
                <w:rFonts w:hint="default" w:ascii="Times New Roman" w:hAnsi="Times New Roman" w:eastAsia="仿宋" w:cs="Times New Roman"/>
                <w:sz w:val="21"/>
                <w:szCs w:val="21"/>
                <w:highlight w:val="none"/>
                <w:lang w:eastAsia="zh-CN"/>
              </w:rPr>
              <w:t>、辅料</w:t>
            </w:r>
            <w:r>
              <w:rPr>
                <w:rFonts w:hint="default" w:ascii="Times New Roman" w:hAnsi="Times New Roman" w:eastAsia="仿宋" w:cs="Times New Roman"/>
                <w:sz w:val="21"/>
                <w:szCs w:val="21"/>
                <w:highlight w:val="none"/>
              </w:rPr>
              <w:t>集中堆放库</w:t>
            </w:r>
          </w:p>
        </w:tc>
        <w:tc>
          <w:tcPr>
            <w:tcW w:w="1620" w:type="dxa"/>
            <w:noWrap w:val="0"/>
            <w:vAlign w:val="center"/>
          </w:tcPr>
          <w:p>
            <w:pPr>
              <w:widowControl w:val="0"/>
              <w:adjustRightInd w:val="0"/>
              <w:snapToGrid w:val="0"/>
              <w:spacing w:after="120" w:line="240" w:lineRule="auto"/>
              <w:ind w:left="0" w:leftChars="0" w:firstLine="0" w:firstLineChars="0"/>
              <w:jc w:val="center"/>
              <w:rPr>
                <w:rFonts w:hint="default" w:ascii="Times New Roman" w:hAnsi="Times New Roman" w:eastAsia="仿宋" w:cs="Times New Roman"/>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颗粒物、一氧化碳，二氧化硫、氮氧化物</w:t>
            </w:r>
          </w:p>
        </w:tc>
        <w:tc>
          <w:tcPr>
            <w:tcW w:w="1962" w:type="dxa"/>
            <w:noWrap w:val="0"/>
            <w:vAlign w:val="center"/>
          </w:tcPr>
          <w:p>
            <w:pPr>
              <w:widowControl w:val="0"/>
              <w:adjustRightInd w:val="0"/>
              <w:snapToGrid w:val="0"/>
              <w:spacing w:after="120" w:line="240" w:lineRule="auto"/>
              <w:ind w:left="0" w:leftChars="0" w:firstLine="0" w:firstLineChars="0"/>
              <w:jc w:val="center"/>
              <w:rPr>
                <w:rFonts w:hint="default" w:ascii="Times New Roman" w:hAnsi="Times New Roman" w:eastAsia="仿宋" w:cs="Times New Roman"/>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天然气泄漏</w:t>
            </w:r>
            <w:r>
              <w:rPr>
                <w:rFonts w:hint="default" w:ascii="Times New Roman" w:hAnsi="Times New Roman" w:eastAsia="仿宋" w:cs="Times New Roman"/>
                <w:color w:val="000000"/>
                <w:kern w:val="2"/>
                <w:sz w:val="21"/>
                <w:szCs w:val="21"/>
                <w:highlight w:val="none"/>
                <w:lang w:val="en-US" w:eastAsia="zh-CN" w:bidi="ar-SA"/>
              </w:rPr>
              <w:t>火灾、爆炸，引起大气环境污染</w:t>
            </w:r>
          </w:p>
        </w:tc>
        <w:tc>
          <w:tcPr>
            <w:tcW w:w="2190" w:type="dxa"/>
            <w:noWrap w:val="0"/>
            <w:vAlign w:val="center"/>
          </w:tcPr>
          <w:p>
            <w:pPr>
              <w:widowControl w:val="0"/>
              <w:adjustRightInd w:val="0"/>
              <w:snapToGrid w:val="0"/>
              <w:spacing w:after="120" w:line="240" w:lineRule="auto"/>
              <w:ind w:left="0" w:leftChars="0" w:firstLine="0" w:firstLineChars="0"/>
              <w:jc w:val="center"/>
              <w:rPr>
                <w:rFonts w:hint="default" w:ascii="Times New Roman" w:hAnsi="Times New Roman" w:eastAsia="仿宋" w:cs="Times New Roman"/>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容易造成火灾，影响环境空气质量；消防废水，在未得到有效处理任意排放，造成水体污染。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525" w:type="dxa"/>
            <w:noWrap w:val="0"/>
            <w:vAlign w:val="center"/>
          </w:tcPr>
          <w:p>
            <w:pPr>
              <w:widowControl/>
              <w:adjustRightInd w:val="0"/>
              <w:snapToGrid w:val="0"/>
              <w:jc w:val="center"/>
              <w:rPr>
                <w:rFonts w:hint="default" w:ascii="Times New Roman" w:hAnsi="Times New Roman" w:eastAsia="仿宋" w:cs="Times New Roman"/>
                <w:color w:val="000000"/>
                <w:kern w:val="0"/>
                <w:sz w:val="21"/>
                <w:szCs w:val="21"/>
                <w:highlight w:val="none"/>
              </w:rPr>
            </w:pPr>
            <w:r>
              <w:rPr>
                <w:rFonts w:hint="default" w:ascii="Times New Roman" w:hAnsi="Times New Roman" w:eastAsia="仿宋" w:cs="Times New Roman"/>
                <w:color w:val="000000"/>
                <w:kern w:val="0"/>
                <w:sz w:val="21"/>
                <w:szCs w:val="21"/>
                <w:highlight w:val="none"/>
              </w:rPr>
              <w:t>2</w:t>
            </w:r>
          </w:p>
        </w:tc>
        <w:tc>
          <w:tcPr>
            <w:tcW w:w="1656"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污染治理设备</w:t>
            </w:r>
          </w:p>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发生故障停运</w:t>
            </w:r>
          </w:p>
        </w:tc>
        <w:tc>
          <w:tcPr>
            <w:tcW w:w="1118"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生产车间</w:t>
            </w:r>
          </w:p>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环保设备</w:t>
            </w:r>
          </w:p>
        </w:tc>
        <w:tc>
          <w:tcPr>
            <w:tcW w:w="1620" w:type="dxa"/>
            <w:noWrap w:val="0"/>
            <w:vAlign w:val="center"/>
          </w:tcPr>
          <w:p>
            <w:pPr>
              <w:widowControl w:val="0"/>
              <w:adjustRightInd w:val="0"/>
              <w:snapToGrid w:val="0"/>
              <w:spacing w:after="120" w:line="240" w:lineRule="auto"/>
              <w:ind w:left="0" w:leftChars="0" w:firstLine="0" w:firstLineChars="0"/>
              <w:jc w:val="center"/>
              <w:rPr>
                <w:rFonts w:hint="default" w:ascii="Times New Roman" w:hAnsi="Times New Roman" w:eastAsia="仿宋" w:cs="Times New Roman"/>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颗粒物</w:t>
            </w:r>
          </w:p>
        </w:tc>
        <w:tc>
          <w:tcPr>
            <w:tcW w:w="1962" w:type="dxa"/>
            <w:noWrap w:val="0"/>
            <w:vAlign w:val="center"/>
          </w:tcPr>
          <w:p>
            <w:pPr>
              <w:widowControl w:val="0"/>
              <w:adjustRightInd w:val="0"/>
              <w:snapToGrid w:val="0"/>
              <w:spacing w:after="120" w:line="240" w:lineRule="auto"/>
              <w:ind w:left="0" w:leftChars="0" w:firstLine="0" w:firstLineChars="0"/>
              <w:jc w:val="center"/>
              <w:rPr>
                <w:rFonts w:hint="default" w:ascii="Times New Roman" w:hAnsi="Times New Roman" w:eastAsia="仿宋" w:cs="Times New Roman"/>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环保设备故障，导致废气大气污染物未经处理直接超标排放</w:t>
            </w:r>
          </w:p>
        </w:tc>
        <w:tc>
          <w:tcPr>
            <w:tcW w:w="2190" w:type="dxa"/>
            <w:noWrap w:val="0"/>
            <w:vAlign w:val="center"/>
          </w:tcPr>
          <w:p>
            <w:pPr>
              <w:widowControl w:val="0"/>
              <w:adjustRightInd w:val="0"/>
              <w:snapToGrid w:val="0"/>
              <w:spacing w:after="120" w:line="240" w:lineRule="auto"/>
              <w:ind w:left="0" w:leftChars="0" w:firstLine="0" w:firstLineChars="0"/>
              <w:jc w:val="center"/>
              <w:rPr>
                <w:rFonts w:hint="default" w:ascii="Times New Roman" w:hAnsi="Times New Roman" w:eastAsia="仿宋" w:cs="Times New Roman"/>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超标排放，影响环境空气质量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525" w:type="dxa"/>
            <w:noWrap w:val="0"/>
            <w:vAlign w:val="center"/>
          </w:tcPr>
          <w:p>
            <w:pPr>
              <w:widowControl/>
              <w:adjustRightInd w:val="0"/>
              <w:snapToGrid w:val="0"/>
              <w:jc w:val="center"/>
              <w:rPr>
                <w:rFonts w:hint="default" w:ascii="Times New Roman" w:hAnsi="Times New Roman" w:eastAsia="仿宋" w:cs="Times New Roman"/>
                <w:color w:val="000000"/>
                <w:kern w:val="0"/>
                <w:sz w:val="21"/>
                <w:szCs w:val="21"/>
                <w:highlight w:val="none"/>
              </w:rPr>
            </w:pPr>
            <w:r>
              <w:rPr>
                <w:rFonts w:hint="default" w:ascii="Times New Roman" w:hAnsi="Times New Roman" w:eastAsia="仿宋" w:cs="Times New Roman"/>
                <w:color w:val="000000"/>
                <w:kern w:val="0"/>
                <w:sz w:val="21"/>
                <w:szCs w:val="21"/>
                <w:highlight w:val="none"/>
              </w:rPr>
              <w:t>3</w:t>
            </w:r>
          </w:p>
        </w:tc>
        <w:tc>
          <w:tcPr>
            <w:tcW w:w="1656"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lang w:val="en-US" w:eastAsia="zh-CN"/>
              </w:rPr>
              <w:t>危废暂存间风险物质发生泄漏或发生火灾</w:t>
            </w:r>
          </w:p>
        </w:tc>
        <w:tc>
          <w:tcPr>
            <w:tcW w:w="1118"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lang w:val="en-US" w:eastAsia="zh-CN"/>
              </w:rPr>
              <w:t>危险废物暂存间</w:t>
            </w:r>
          </w:p>
        </w:tc>
        <w:tc>
          <w:tcPr>
            <w:tcW w:w="1620" w:type="dxa"/>
            <w:noWrap w:val="0"/>
            <w:vAlign w:val="center"/>
          </w:tcPr>
          <w:p>
            <w:pPr>
              <w:widowControl w:val="0"/>
              <w:adjustRightInd w:val="0"/>
              <w:snapToGrid w:val="0"/>
              <w:spacing w:after="120" w:line="240" w:lineRule="auto"/>
              <w:ind w:left="0" w:leftChars="0" w:firstLine="0" w:firstLineChars="0"/>
              <w:jc w:val="center"/>
              <w:rPr>
                <w:rFonts w:hint="default" w:ascii="Times New Roman" w:hAnsi="Times New Roman" w:eastAsia="仿宋" w:cs="Times New Roman"/>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颗粒物、一氧化碳，二氧化硫、氮氧化物</w:t>
            </w:r>
          </w:p>
        </w:tc>
        <w:tc>
          <w:tcPr>
            <w:tcW w:w="1962" w:type="dxa"/>
            <w:noWrap w:val="0"/>
            <w:vAlign w:val="center"/>
          </w:tcPr>
          <w:p>
            <w:pPr>
              <w:adjustRightInd w:val="0"/>
              <w:snapToGrid w:val="0"/>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天然气泄漏</w:t>
            </w:r>
            <w:r>
              <w:rPr>
                <w:rFonts w:hint="default" w:ascii="Times New Roman" w:hAnsi="Times New Roman" w:eastAsia="仿宋" w:cs="Times New Roman"/>
                <w:color w:val="000000"/>
                <w:sz w:val="21"/>
                <w:szCs w:val="21"/>
                <w:highlight w:val="none"/>
              </w:rPr>
              <w:t>火灾、爆炸，引起大气环境污染</w:t>
            </w:r>
          </w:p>
        </w:tc>
        <w:tc>
          <w:tcPr>
            <w:tcW w:w="2190" w:type="dxa"/>
            <w:noWrap w:val="0"/>
            <w:vAlign w:val="center"/>
          </w:tcPr>
          <w:p>
            <w:pPr>
              <w:widowControl w:val="0"/>
              <w:adjustRightInd w:val="0"/>
              <w:snapToGrid w:val="0"/>
              <w:spacing w:after="120" w:line="240" w:lineRule="auto"/>
              <w:ind w:left="0" w:leftChars="0" w:firstLine="0" w:firstLineChars="0"/>
              <w:jc w:val="center"/>
              <w:rPr>
                <w:rFonts w:hint="default" w:ascii="Times New Roman" w:hAnsi="Times New Roman" w:eastAsia="仿宋" w:cs="Times New Roman"/>
                <w:kern w:val="2"/>
                <w:sz w:val="21"/>
                <w:szCs w:val="21"/>
                <w:highlight w:val="none"/>
                <w:lang w:val="en-US" w:eastAsia="zh-CN" w:bidi="ar-SA"/>
              </w:rPr>
            </w:pPr>
            <w:r>
              <w:rPr>
                <w:rFonts w:hint="default" w:ascii="Times New Roman" w:hAnsi="Times New Roman" w:eastAsia="仿宋" w:cs="Times New Roman"/>
                <w:kern w:val="2"/>
                <w:sz w:val="21"/>
                <w:szCs w:val="21"/>
                <w:highlight w:val="none"/>
                <w:lang w:val="en-US" w:eastAsia="zh-CN" w:bidi="ar-SA"/>
              </w:rPr>
              <w:t>容易造成火灾，影响环境空气质量；消防废水/清洗废水，在未得到有效处理任意排放，造成水体污染。</w:t>
            </w:r>
          </w:p>
        </w:tc>
      </w:tr>
    </w:tbl>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98" w:name="_Toc14881"/>
      <w:r>
        <w:rPr>
          <w:rFonts w:hint="default" w:ascii="Times New Roman" w:hAnsi="Times New Roman" w:eastAsia="仿宋" w:cs="Times New Roman"/>
          <w:b/>
          <w:bCs/>
          <w:kern w:val="2"/>
          <w:sz w:val="32"/>
          <w:szCs w:val="32"/>
          <w:lang w:val="en-US" w:eastAsia="zh-CN" w:bidi="ar-SA"/>
        </w:rPr>
        <w:t>4.3释放环境风险物质的扩散途径、涉及环境风险防控</w:t>
      </w:r>
      <w:bookmarkEnd w:id="98"/>
    </w:p>
    <w:p>
      <w:pPr>
        <w:bidi w:val="0"/>
        <w:spacing w:line="360" w:lineRule="auto"/>
        <w:ind w:firstLine="562" w:firstLineChars="200"/>
        <w:rPr>
          <w:rFonts w:hint="default" w:ascii="Times New Roman" w:hAnsi="Times New Roman" w:eastAsia="仿宋" w:cs="Times New Roman"/>
          <w:b/>
          <w:bCs/>
          <w:sz w:val="28"/>
          <w:szCs w:val="24"/>
        </w:rPr>
      </w:pPr>
      <w:r>
        <w:rPr>
          <w:rFonts w:hint="default" w:ascii="Times New Roman" w:hAnsi="Times New Roman" w:eastAsia="仿宋" w:cs="Times New Roman"/>
          <w:b/>
          <w:bCs/>
          <w:sz w:val="28"/>
          <w:szCs w:val="24"/>
        </w:rPr>
        <w:t>①</w:t>
      </w:r>
      <w:r>
        <w:rPr>
          <w:rFonts w:hint="default" w:ascii="Times New Roman" w:hAnsi="Times New Roman" w:eastAsia="仿宋" w:cs="Times New Roman"/>
          <w:b/>
          <w:bCs/>
          <w:sz w:val="28"/>
          <w:szCs w:val="24"/>
          <w:lang w:eastAsia="zh-CN"/>
        </w:rPr>
        <w:t>泄漏</w:t>
      </w:r>
      <w:r>
        <w:rPr>
          <w:rFonts w:hint="default" w:ascii="Times New Roman" w:hAnsi="Times New Roman" w:eastAsia="仿宋" w:cs="Times New Roman"/>
          <w:b/>
          <w:bCs/>
          <w:sz w:val="28"/>
          <w:szCs w:val="24"/>
        </w:rPr>
        <w:t>事故对</w:t>
      </w:r>
      <w:r>
        <w:rPr>
          <w:rFonts w:hint="default" w:ascii="Times New Roman" w:hAnsi="Times New Roman" w:eastAsia="仿宋" w:cs="Times New Roman"/>
          <w:b/>
          <w:bCs/>
          <w:sz w:val="28"/>
          <w:szCs w:val="24"/>
          <w:lang w:eastAsia="zh-CN"/>
        </w:rPr>
        <w:t>土壤及地下水</w:t>
      </w:r>
      <w:r>
        <w:rPr>
          <w:rFonts w:hint="default" w:ascii="Times New Roman" w:hAnsi="Times New Roman" w:eastAsia="仿宋" w:cs="Times New Roman"/>
          <w:b/>
          <w:bCs/>
          <w:sz w:val="28"/>
          <w:szCs w:val="24"/>
        </w:rPr>
        <w:t>环境的影响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乳化液</w:t>
      </w:r>
      <w:r>
        <w:rPr>
          <w:rFonts w:hint="default" w:ascii="Times New Roman" w:hAnsi="Times New Roman" w:eastAsia="仿宋" w:cs="Times New Roman"/>
          <w:color w:val="000000"/>
          <w:sz w:val="28"/>
          <w:szCs w:val="28"/>
          <w:highlight w:val="none"/>
        </w:rPr>
        <w:t>泄漏之后需要使用大量的水来稀释</w:t>
      </w:r>
      <w:r>
        <w:rPr>
          <w:rFonts w:hint="default" w:ascii="Times New Roman" w:hAnsi="Times New Roman" w:eastAsia="仿宋" w:cs="Times New Roman"/>
          <w:color w:val="000000"/>
          <w:sz w:val="28"/>
          <w:szCs w:val="28"/>
          <w:highlight w:val="none"/>
          <w:lang w:eastAsia="zh-CN"/>
        </w:rPr>
        <w:t>乳化液</w:t>
      </w:r>
      <w:r>
        <w:rPr>
          <w:rFonts w:hint="default" w:ascii="Times New Roman" w:hAnsi="Times New Roman" w:eastAsia="仿宋" w:cs="Times New Roman"/>
          <w:color w:val="000000"/>
          <w:sz w:val="28"/>
          <w:szCs w:val="28"/>
          <w:highlight w:val="none"/>
        </w:rPr>
        <w:t>浓度较大的泄漏点区域，故这些事故水中</w:t>
      </w:r>
      <w:r>
        <w:rPr>
          <w:rFonts w:hint="default" w:ascii="Times New Roman" w:hAnsi="Times New Roman" w:eastAsia="仿宋" w:cs="Times New Roman"/>
          <w:color w:val="000000"/>
          <w:sz w:val="28"/>
          <w:szCs w:val="28"/>
          <w:highlight w:val="none"/>
          <w:lang w:eastAsia="zh-CN"/>
        </w:rPr>
        <w:t>乳化液</w:t>
      </w:r>
      <w:r>
        <w:rPr>
          <w:rFonts w:hint="default" w:ascii="Times New Roman" w:hAnsi="Times New Roman" w:eastAsia="仿宋" w:cs="Times New Roman"/>
          <w:color w:val="000000"/>
          <w:sz w:val="28"/>
          <w:szCs w:val="28"/>
          <w:highlight w:val="none"/>
        </w:rPr>
        <w:t>的浓度较大。如果是生产泄漏和输送泄漏，这些事故水一旦处理不当，有可能随雨水管网排入城市雨水管网，进入污水处理厂，对厂外界环境造成污染；如果是罐区泄漏，这些事故水将通过管道排入</w:t>
      </w:r>
      <w:r>
        <w:rPr>
          <w:rFonts w:hint="default" w:ascii="Times New Roman" w:hAnsi="Times New Roman" w:eastAsia="仿宋" w:cs="Times New Roman"/>
          <w:color w:val="000000"/>
          <w:sz w:val="28"/>
          <w:szCs w:val="28"/>
          <w:highlight w:val="none"/>
          <w:lang w:eastAsia="zh-CN"/>
        </w:rPr>
        <w:t>事故池</w:t>
      </w:r>
      <w:r>
        <w:rPr>
          <w:rFonts w:hint="default" w:ascii="Times New Roman" w:hAnsi="Times New Roman" w:eastAsia="仿宋" w:cs="Times New Roman"/>
          <w:color w:val="000000"/>
          <w:sz w:val="28"/>
          <w:szCs w:val="28"/>
          <w:highlight w:val="none"/>
        </w:rPr>
        <w:t>，不会发生外排，对外界水体不会造成影响。</w:t>
      </w:r>
    </w:p>
    <w:p>
      <w:pPr>
        <w:ind w:firstLine="560" w:firstLineChars="200"/>
        <w:rPr>
          <w:rFonts w:hint="default" w:ascii="Times New Roman" w:hAnsi="Times New Roman" w:eastAsia="仿宋" w:cs="Times New Roman"/>
          <w:color w:val="000000"/>
          <w:sz w:val="28"/>
          <w:szCs w:val="28"/>
          <w:highlight w:val="none"/>
          <w:lang w:eastAsia="zh-CN"/>
        </w:rPr>
      </w:pPr>
      <w:r>
        <w:rPr>
          <w:rFonts w:hint="default" w:ascii="Times New Roman" w:hAnsi="Times New Roman" w:eastAsia="仿宋" w:cs="Times New Roman"/>
          <w:color w:val="000000"/>
          <w:sz w:val="28"/>
          <w:szCs w:val="28"/>
          <w:highlight w:val="none"/>
          <w:lang w:eastAsia="zh-CN"/>
        </w:rPr>
        <w:t>机油泄漏后</w:t>
      </w:r>
      <w:r>
        <w:rPr>
          <w:rFonts w:hint="default" w:ascii="Times New Roman" w:hAnsi="Times New Roman" w:eastAsia="仿宋" w:cs="Times New Roman"/>
          <w:color w:val="000000"/>
          <w:sz w:val="28"/>
          <w:szCs w:val="28"/>
          <w:highlight w:val="none"/>
        </w:rPr>
        <w:t>用沙土堵截，对泄露源头进行简单处理，防止溶液大量泄露</w:t>
      </w:r>
      <w:r>
        <w:rPr>
          <w:rFonts w:hint="default" w:ascii="Times New Roman" w:hAnsi="Times New Roman" w:eastAsia="仿宋" w:cs="Times New Roman"/>
          <w:color w:val="000000"/>
          <w:sz w:val="28"/>
          <w:szCs w:val="28"/>
          <w:highlight w:val="none"/>
          <w:lang w:eastAsia="zh-CN"/>
        </w:rPr>
        <w:t>，将处理后的机油以危险废物形式暂存于危废暂存间并交有资质单位处理。同时用大量水冲洗泄露区域地面，冲洗水经地面污水管网进入事故池，不会发生外排，对外界水体影响较小。</w:t>
      </w:r>
    </w:p>
    <w:p>
      <w:pPr>
        <w:bidi w:val="0"/>
        <w:spacing w:line="360" w:lineRule="auto"/>
        <w:ind w:firstLine="562" w:firstLineChars="200"/>
        <w:rPr>
          <w:rFonts w:hint="default" w:ascii="Times New Roman" w:hAnsi="Times New Roman" w:eastAsia="仿宋" w:cs="Times New Roman"/>
          <w:b/>
          <w:bCs/>
          <w:sz w:val="28"/>
          <w:szCs w:val="24"/>
        </w:rPr>
      </w:pPr>
      <w:r>
        <w:rPr>
          <w:rFonts w:hint="default" w:ascii="Times New Roman" w:hAnsi="Times New Roman" w:eastAsia="仿宋" w:cs="Times New Roman"/>
          <w:b/>
          <w:bCs/>
          <w:sz w:val="28"/>
          <w:szCs w:val="24"/>
          <w:lang w:eastAsia="zh-CN"/>
        </w:rPr>
        <w:t>②火灾</w:t>
      </w:r>
      <w:r>
        <w:rPr>
          <w:rFonts w:hint="default" w:ascii="Times New Roman" w:hAnsi="Times New Roman" w:eastAsia="仿宋" w:cs="Times New Roman"/>
          <w:b/>
          <w:bCs/>
          <w:sz w:val="28"/>
          <w:szCs w:val="24"/>
        </w:rPr>
        <w:t>事故对</w:t>
      </w:r>
      <w:r>
        <w:rPr>
          <w:rFonts w:hint="default" w:ascii="Times New Roman" w:hAnsi="Times New Roman" w:eastAsia="仿宋" w:cs="Times New Roman"/>
          <w:b/>
          <w:bCs/>
          <w:sz w:val="28"/>
          <w:szCs w:val="24"/>
          <w:lang w:eastAsia="zh-CN"/>
        </w:rPr>
        <w:t>大气及地水</w:t>
      </w:r>
      <w:r>
        <w:rPr>
          <w:rFonts w:hint="default" w:ascii="Times New Roman" w:hAnsi="Times New Roman" w:eastAsia="仿宋" w:cs="Times New Roman"/>
          <w:b/>
          <w:bCs/>
          <w:sz w:val="28"/>
          <w:szCs w:val="24"/>
        </w:rPr>
        <w:t>环境的影响</w:t>
      </w:r>
    </w:p>
    <w:p>
      <w:pPr>
        <w:pStyle w:val="2"/>
        <w:ind w:left="0" w:leftChars="0" w:firstLine="560" w:firstLineChars="200"/>
        <w:rPr>
          <w:rFonts w:hint="default" w:ascii="Times New Roman" w:hAnsi="Times New Roman" w:eastAsia="仿宋" w:cs="Times New Roman"/>
          <w:color w:val="000000"/>
          <w:sz w:val="28"/>
          <w:szCs w:val="28"/>
          <w:highlight w:val="none"/>
          <w:lang w:eastAsia="zh-CN"/>
        </w:rPr>
      </w:pPr>
      <w:r>
        <w:rPr>
          <w:rFonts w:hint="default" w:ascii="Times New Roman" w:hAnsi="Times New Roman" w:eastAsia="仿宋" w:cs="Times New Roman"/>
          <w:color w:val="000000"/>
          <w:sz w:val="28"/>
          <w:szCs w:val="28"/>
          <w:highlight w:val="none"/>
        </w:rPr>
        <w:t>项目设备日常维修和维护过程中使用少量机油，日最大储量为</w:t>
      </w:r>
      <w:r>
        <w:rPr>
          <w:rFonts w:hint="default" w:ascii="Times New Roman" w:hAnsi="Times New Roman" w:eastAsia="仿宋" w:cs="Times New Roman"/>
          <w:color w:val="000000"/>
          <w:sz w:val="28"/>
          <w:szCs w:val="28"/>
          <w:highlight w:val="none"/>
          <w:lang w:val="en-US" w:eastAsia="zh-CN"/>
        </w:rPr>
        <w:t>0.2L</w:t>
      </w:r>
      <w:r>
        <w:rPr>
          <w:rFonts w:hint="default" w:ascii="Times New Roman" w:hAnsi="Times New Roman" w:eastAsia="仿宋" w:cs="Times New Roman"/>
          <w:color w:val="000000"/>
          <w:sz w:val="28"/>
          <w:szCs w:val="28"/>
          <w:highlight w:val="none"/>
        </w:rPr>
        <w:t>，若工作人员操作不当或机油储罐破损，则会导致机油泄露，</w:t>
      </w:r>
      <w:r>
        <w:rPr>
          <w:rFonts w:hint="default" w:ascii="Times New Roman" w:hAnsi="Times New Roman" w:eastAsia="仿宋" w:cs="Times New Roman"/>
          <w:color w:val="000000"/>
          <w:sz w:val="28"/>
          <w:szCs w:val="28"/>
          <w:highlight w:val="none"/>
          <w:lang w:eastAsia="zh-CN"/>
        </w:rPr>
        <w:t>机油最大泄漏量为</w:t>
      </w:r>
      <w:r>
        <w:rPr>
          <w:rFonts w:hint="default" w:ascii="Times New Roman" w:hAnsi="Times New Roman" w:eastAsia="仿宋" w:cs="Times New Roman"/>
          <w:color w:val="000000"/>
          <w:sz w:val="28"/>
          <w:szCs w:val="28"/>
          <w:highlight w:val="none"/>
          <w:lang w:val="en-US" w:eastAsia="zh-CN"/>
        </w:rPr>
        <w:t>0.2L。</w:t>
      </w:r>
      <w:r>
        <w:rPr>
          <w:rFonts w:hint="default" w:ascii="Times New Roman" w:hAnsi="Times New Roman" w:eastAsia="仿宋" w:cs="Times New Roman"/>
          <w:color w:val="000000"/>
          <w:sz w:val="28"/>
          <w:szCs w:val="28"/>
          <w:highlight w:val="none"/>
        </w:rPr>
        <w:t>泄露的机油遇明火发生火灾事故。机油燃烧产生二氧化硫、氮氧化物等大气污染物，</w:t>
      </w:r>
      <w:r>
        <w:rPr>
          <w:rFonts w:hint="default" w:ascii="Times New Roman" w:hAnsi="Times New Roman" w:eastAsia="仿宋" w:cs="Times New Roman"/>
          <w:color w:val="000000"/>
          <w:sz w:val="28"/>
          <w:szCs w:val="28"/>
          <w:highlight w:val="none"/>
          <w:lang w:val="en-US" w:eastAsia="zh-CN"/>
        </w:rPr>
        <w:t>通过干粉灭火器灭火后，对现场进行冲洗，</w:t>
      </w:r>
      <w:r>
        <w:rPr>
          <w:rFonts w:hint="default" w:ascii="Times New Roman" w:hAnsi="Times New Roman" w:eastAsia="仿宋" w:cs="Times New Roman"/>
          <w:color w:val="000000"/>
          <w:sz w:val="28"/>
          <w:szCs w:val="28"/>
          <w:highlight w:val="none"/>
        </w:rPr>
        <w:t>会产生</w:t>
      </w:r>
      <w:r>
        <w:rPr>
          <w:rFonts w:hint="default" w:ascii="Times New Roman" w:hAnsi="Times New Roman" w:eastAsia="仿宋" w:cs="Times New Roman"/>
          <w:color w:val="000000"/>
          <w:sz w:val="28"/>
          <w:szCs w:val="28"/>
          <w:highlight w:val="none"/>
          <w:lang w:val="en-US" w:eastAsia="zh-CN"/>
        </w:rPr>
        <w:t>冲洗废水</w:t>
      </w:r>
      <w:r>
        <w:rPr>
          <w:rFonts w:hint="default" w:ascii="Times New Roman" w:hAnsi="Times New Roman" w:eastAsia="仿宋" w:cs="Times New Roman"/>
          <w:color w:val="000000"/>
          <w:sz w:val="28"/>
          <w:szCs w:val="28"/>
          <w:highlight w:val="none"/>
        </w:rPr>
        <w:t>，若不及时采取措施收集并处置，会对</w:t>
      </w:r>
      <w:r>
        <w:rPr>
          <w:rFonts w:hint="default" w:ascii="Times New Roman" w:hAnsi="Times New Roman" w:eastAsia="仿宋" w:cs="Times New Roman"/>
          <w:color w:val="000000"/>
          <w:sz w:val="28"/>
          <w:szCs w:val="28"/>
          <w:highlight w:val="none"/>
          <w:lang w:eastAsia="zh-CN"/>
        </w:rPr>
        <w:t>污水处理站造成负荷，若直接排入市政污水管网则对污水处理厂水质造成负荷。</w:t>
      </w:r>
    </w:p>
    <w:p>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baseline"/>
        <w:outlineLvl w:val="9"/>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厂区内设置消防水收集管道和消防水收集池，用于事故状态下消防尾水的收集。</w:t>
      </w:r>
    </w:p>
    <w:p>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baseline"/>
        <w:outlineLvl w:val="9"/>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根据规范要求，消防尾水池储水量要满足延续2小时的用水需要，且在正常生产时应为空的，一旦出现危险物质泄漏或火灾事故，泄漏的物料及消防水全部经明沟排入预留消防尾水池临时储存，保证消防尾水不会进入周围水体，待事故排除后再将暂存的废水回收利用或引入厂内污水处理站处理达标排放，确保事故废水不会对水环境造成污染。同时应准备必要的设施确保事故状态下能及时封堵厂区内外流地沟或流水沟，切断排放口与外部水体之间的联系，防止污染介质外流扩散造成水体、土壤的大面积环境污染。</w:t>
      </w:r>
    </w:p>
    <w:p>
      <w:pPr>
        <w:pStyle w:val="2"/>
        <w:ind w:left="0" w:leftChars="0"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在发生火灾的情况下，立即关闭雨水排放口截止阀，消防水流引入事故池。同时对厂内事故水池等进行防渗处理，防渗系数小于1×10</w:t>
      </w:r>
      <w:r>
        <w:rPr>
          <w:rFonts w:hint="default" w:ascii="Times New Roman" w:hAnsi="Times New Roman" w:eastAsia="仿宋" w:cs="Times New Roman"/>
          <w:color w:val="000000"/>
          <w:sz w:val="28"/>
          <w:szCs w:val="28"/>
          <w:highlight w:val="none"/>
          <w:vertAlign w:val="superscript"/>
        </w:rPr>
        <w:t>-12</w:t>
      </w:r>
      <w:r>
        <w:rPr>
          <w:rFonts w:hint="default" w:ascii="Times New Roman" w:hAnsi="Times New Roman" w:eastAsia="仿宋" w:cs="Times New Roman"/>
          <w:color w:val="000000"/>
          <w:sz w:val="28"/>
          <w:szCs w:val="28"/>
          <w:highlight w:val="none"/>
        </w:rPr>
        <w:t>cm/s，以上措施可确保厂区消防废水全部得到有效截留、收集和处理，不会造成次生污染。</w:t>
      </w:r>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99" w:name="_Toc29234"/>
      <w:bookmarkStart w:id="100" w:name="_Toc5081"/>
      <w:r>
        <w:rPr>
          <w:rFonts w:hint="default" w:ascii="Times New Roman" w:hAnsi="Times New Roman" w:eastAsia="仿宋" w:cs="Times New Roman"/>
          <w:b/>
          <w:bCs/>
          <w:kern w:val="2"/>
          <w:sz w:val="32"/>
          <w:szCs w:val="32"/>
          <w:lang w:val="en-US" w:eastAsia="zh-CN" w:bidi="ar-SA"/>
        </w:rPr>
        <w:t>4.4</w:t>
      </w:r>
      <w:bookmarkStart w:id="101" w:name="_Toc494553025"/>
      <w:r>
        <w:rPr>
          <w:rFonts w:hint="default" w:ascii="Times New Roman" w:hAnsi="Times New Roman" w:eastAsia="仿宋" w:cs="Times New Roman"/>
          <w:b/>
          <w:bCs/>
          <w:kern w:val="2"/>
          <w:sz w:val="32"/>
          <w:szCs w:val="32"/>
          <w:lang w:val="en-US" w:eastAsia="zh-CN" w:bidi="ar-SA"/>
        </w:rPr>
        <w:t>具体应急措施</w:t>
      </w:r>
      <w:bookmarkEnd w:id="99"/>
      <w:bookmarkEnd w:id="100"/>
      <w:bookmarkEnd w:id="101"/>
    </w:p>
    <w:p>
      <w:pPr>
        <w:spacing w:line="360" w:lineRule="auto"/>
        <w:ind w:firstLine="560" w:firstLineChars="200"/>
        <w:rPr>
          <w:rFonts w:hint="default" w:ascii="Times New Roman" w:hAnsi="Times New Roman" w:eastAsia="仿宋" w:cs="Times New Roman"/>
          <w:color w:val="000000"/>
          <w:sz w:val="28"/>
          <w:szCs w:val="28"/>
          <w:highlight w:val="none"/>
          <w:lang w:val="zh-CN"/>
        </w:rPr>
      </w:pPr>
      <w:r>
        <w:rPr>
          <w:rFonts w:hint="default" w:ascii="Times New Roman" w:hAnsi="Times New Roman" w:eastAsia="仿宋" w:cs="Times New Roman"/>
          <w:color w:val="000000"/>
          <w:sz w:val="28"/>
          <w:szCs w:val="28"/>
          <w:highlight w:val="none"/>
          <w:lang w:val="zh-CN"/>
        </w:rPr>
        <w:t>①操作人员均应经过培训和严格训练，包括岗位培训、安全及防火基本知识教育和特殊岗位作业培训，并取得合格证，才能允许上岗操作。</w:t>
      </w:r>
    </w:p>
    <w:p>
      <w:pPr>
        <w:spacing w:line="360" w:lineRule="auto"/>
        <w:ind w:firstLine="560" w:firstLineChars="200"/>
        <w:rPr>
          <w:rFonts w:hint="default" w:ascii="Times New Roman" w:hAnsi="Times New Roman" w:eastAsia="仿宋" w:cs="Times New Roman"/>
          <w:color w:val="000000"/>
          <w:sz w:val="28"/>
          <w:szCs w:val="28"/>
          <w:highlight w:val="none"/>
          <w:lang w:val="zh-CN"/>
        </w:rPr>
      </w:pPr>
      <w:r>
        <w:rPr>
          <w:rFonts w:hint="default" w:ascii="Times New Roman" w:hAnsi="Times New Roman" w:eastAsia="仿宋" w:cs="Times New Roman"/>
          <w:color w:val="000000"/>
          <w:sz w:val="28"/>
          <w:szCs w:val="28"/>
          <w:highlight w:val="none"/>
          <w:lang w:val="zh-CN"/>
        </w:rPr>
        <w:t>②高度重视运行中设备和管道的检查和及时维修等工作。</w:t>
      </w:r>
    </w:p>
    <w:p>
      <w:pPr>
        <w:spacing w:line="360" w:lineRule="auto"/>
        <w:ind w:firstLine="560" w:firstLineChars="200"/>
        <w:rPr>
          <w:rFonts w:hint="default" w:ascii="Times New Roman" w:hAnsi="Times New Roman" w:eastAsia="仿宋" w:cs="Times New Roman"/>
          <w:color w:val="000000"/>
          <w:sz w:val="28"/>
          <w:szCs w:val="28"/>
          <w:highlight w:val="none"/>
          <w:lang w:val="zh-CN"/>
        </w:rPr>
      </w:pPr>
      <w:r>
        <w:rPr>
          <w:rFonts w:hint="default" w:ascii="Times New Roman" w:hAnsi="Times New Roman" w:eastAsia="仿宋" w:cs="Times New Roman"/>
          <w:color w:val="000000"/>
          <w:sz w:val="28"/>
          <w:szCs w:val="28"/>
          <w:highlight w:val="none"/>
          <w:lang w:val="zh-CN"/>
        </w:rPr>
        <w:t>③事故发生后，应严格按照有关规定及时处理，防止事故的扩大。</w:t>
      </w:r>
    </w:p>
    <w:p>
      <w:pPr>
        <w:spacing w:line="360" w:lineRule="auto"/>
        <w:ind w:firstLine="560" w:firstLineChars="200"/>
        <w:rPr>
          <w:rFonts w:hint="default" w:ascii="Times New Roman" w:hAnsi="Times New Roman" w:eastAsia="仿宋" w:cs="Times New Roman"/>
          <w:color w:val="000000"/>
          <w:sz w:val="28"/>
          <w:szCs w:val="28"/>
          <w:highlight w:val="none"/>
          <w:lang w:val="zh-CN"/>
        </w:rPr>
      </w:pPr>
      <w:r>
        <w:rPr>
          <w:rFonts w:hint="default" w:ascii="Times New Roman" w:hAnsi="Times New Roman" w:eastAsia="仿宋" w:cs="Times New Roman"/>
          <w:color w:val="000000"/>
          <w:sz w:val="28"/>
          <w:szCs w:val="28"/>
          <w:highlight w:val="none"/>
          <w:lang w:val="zh-CN"/>
        </w:rPr>
        <w:t>④为了防止静电及二次雷击，对生产装置的金属设备、金属构架以及金属管道等均按规定采取静电接地措施。</w:t>
      </w:r>
    </w:p>
    <w:p>
      <w:pPr>
        <w:spacing w:line="360" w:lineRule="auto"/>
        <w:ind w:firstLine="560" w:firstLineChars="200"/>
        <w:rPr>
          <w:rFonts w:hint="default" w:ascii="Times New Roman" w:hAnsi="Times New Roman" w:eastAsia="仿宋" w:cs="Times New Roman"/>
          <w:color w:val="000000"/>
          <w:sz w:val="28"/>
          <w:szCs w:val="28"/>
          <w:highlight w:val="none"/>
          <w:lang w:val="zh-CN"/>
        </w:rPr>
      </w:pPr>
      <w:r>
        <w:rPr>
          <w:rFonts w:hint="default" w:ascii="Times New Roman" w:hAnsi="Times New Roman" w:eastAsia="仿宋" w:cs="Times New Roman"/>
          <w:color w:val="000000"/>
          <w:sz w:val="28"/>
          <w:szCs w:val="28"/>
          <w:highlight w:val="none"/>
          <w:lang w:val="zh-CN"/>
        </w:rPr>
        <w:t>⑤安全标志：凡容易发生事故及生命安全的场所和设备，均设有安全标志。阀门尽量集中，易因误操作而引发事故时，在阀门附近标明输送介质的名称、符号或设明显标志。生产场所与作业地点的紧急通道和紧急出入口均应设置明显标志和指示箭头。</w:t>
      </w:r>
    </w:p>
    <w:p>
      <w:pPr>
        <w:spacing w:line="360" w:lineRule="auto"/>
        <w:ind w:firstLine="560" w:firstLineChars="200"/>
        <w:rPr>
          <w:rFonts w:hint="default" w:ascii="Times New Roman" w:hAnsi="Times New Roman" w:eastAsia="仿宋" w:cs="Times New Roman"/>
          <w:color w:val="000000"/>
          <w:sz w:val="28"/>
          <w:szCs w:val="28"/>
          <w:highlight w:val="none"/>
          <w:lang w:val="zh-CN"/>
        </w:rPr>
      </w:pPr>
      <w:r>
        <w:rPr>
          <w:rFonts w:hint="default" w:ascii="Times New Roman" w:hAnsi="Times New Roman" w:eastAsia="仿宋" w:cs="Times New Roman"/>
          <w:color w:val="000000"/>
          <w:sz w:val="28"/>
          <w:szCs w:val="28"/>
          <w:highlight w:val="none"/>
          <w:lang w:val="zh-CN"/>
        </w:rPr>
        <w:t>⑥个人防护用品、用具：各生产单元为每位员工配备有专用于个人防护的用品和用具，操作人员在装置中工作的全部时间都应正确穿戴人身安全保护装备。</w:t>
      </w:r>
    </w:p>
    <w:p>
      <w:pPr>
        <w:pStyle w:val="5"/>
        <w:bidi w:val="0"/>
        <w:ind w:firstLine="602" w:firstLineChars="200"/>
        <w:rPr>
          <w:rFonts w:hint="default" w:ascii="Times New Roman" w:hAnsi="Times New Roman" w:eastAsia="仿宋" w:cs="Times New Roman"/>
          <w:lang w:val="en-US" w:eastAsia="zh-CN"/>
        </w:rPr>
      </w:pPr>
      <w:bookmarkStart w:id="102" w:name="_Toc14546"/>
      <w:bookmarkStart w:id="103" w:name="_Toc4131"/>
      <w:bookmarkStart w:id="104" w:name="_Toc9550"/>
      <w:r>
        <w:rPr>
          <w:rFonts w:hint="default" w:ascii="Times New Roman" w:hAnsi="Times New Roman" w:eastAsia="仿宋" w:cs="Times New Roman"/>
          <w:lang w:val="en-US" w:eastAsia="zh-CN"/>
        </w:rPr>
        <w:t>4.4.1乳化液和机油泄漏事件应急措施</w:t>
      </w:r>
      <w:bookmarkEnd w:id="102"/>
      <w:bookmarkEnd w:id="103"/>
      <w:bookmarkEnd w:id="104"/>
    </w:p>
    <w:p>
      <w:pPr>
        <w:pStyle w:val="21"/>
        <w:spacing w:line="360" w:lineRule="auto"/>
        <w:ind w:left="0" w:leftChars="0" w:firstLine="560" w:firstLineChars="200"/>
        <w:rPr>
          <w:rFonts w:hint="default" w:ascii="Times New Roman" w:hAnsi="Times New Roman" w:eastAsia="仿宋" w:cs="Times New Roman"/>
          <w:bCs/>
          <w:highlight w:val="none"/>
          <w:lang w:val="en-US" w:eastAsia="zh-CN"/>
        </w:rPr>
      </w:pPr>
      <w:r>
        <w:rPr>
          <w:rFonts w:hint="default" w:ascii="Times New Roman" w:hAnsi="Times New Roman" w:eastAsia="仿宋" w:cs="Times New Roman"/>
          <w:bCs/>
          <w:highlight w:val="none"/>
          <w:lang w:val="en-US" w:eastAsia="zh-CN"/>
        </w:rPr>
        <w:t>（1）观察现场有无人员受伤，如有受伤则迅速将受伤者脱离现场；</w:t>
      </w:r>
    </w:p>
    <w:p>
      <w:pPr>
        <w:pStyle w:val="21"/>
        <w:spacing w:line="360" w:lineRule="auto"/>
        <w:ind w:left="0" w:leftChars="0" w:firstLine="560" w:firstLineChars="200"/>
        <w:rPr>
          <w:rFonts w:hint="default" w:ascii="Times New Roman" w:hAnsi="Times New Roman" w:eastAsia="仿宋" w:cs="Times New Roman"/>
          <w:bCs/>
          <w:highlight w:val="none"/>
          <w:lang w:val="en-US" w:eastAsia="zh-CN"/>
        </w:rPr>
      </w:pPr>
      <w:r>
        <w:rPr>
          <w:rFonts w:hint="default" w:ascii="Times New Roman" w:hAnsi="Times New Roman" w:eastAsia="仿宋" w:cs="Times New Roman"/>
          <w:bCs/>
          <w:highlight w:val="none"/>
          <w:lang w:val="en-US" w:eastAsia="zh-CN"/>
        </w:rPr>
        <w:t>（2）切断火源、泄漏源，并进行隔离，严格限制出入；</w:t>
      </w:r>
    </w:p>
    <w:p>
      <w:pPr>
        <w:pStyle w:val="21"/>
        <w:spacing w:line="360" w:lineRule="auto"/>
        <w:rPr>
          <w:rFonts w:hint="default" w:ascii="Times New Roman" w:hAnsi="Times New Roman" w:eastAsia="仿宋" w:cs="Times New Roman"/>
          <w:bCs/>
          <w:highlight w:val="none"/>
          <w:lang w:val="en-US" w:eastAsia="zh-CN"/>
        </w:rPr>
      </w:pPr>
      <w:r>
        <w:rPr>
          <w:rFonts w:hint="default" w:ascii="Times New Roman" w:hAnsi="Times New Roman" w:eastAsia="仿宋" w:cs="Times New Roman"/>
          <w:bCs/>
          <w:highlight w:val="none"/>
          <w:lang w:val="en-US" w:eastAsia="zh-CN"/>
        </w:rPr>
        <w:t>（3）小量泄漏时，尽可能将泄漏液体收集在密闭容器内，同时根据现场情况准备好堵漏材料，后用砂土或其他不易燃材料吸收残液；</w:t>
      </w:r>
    </w:p>
    <w:p>
      <w:pPr>
        <w:pStyle w:val="21"/>
        <w:spacing w:line="360" w:lineRule="auto"/>
        <w:rPr>
          <w:rFonts w:hint="default" w:ascii="Times New Roman" w:hAnsi="Times New Roman" w:eastAsia="仿宋" w:cs="Times New Roman"/>
          <w:bCs/>
          <w:highlight w:val="none"/>
          <w:lang w:eastAsia="zh-CN"/>
        </w:rPr>
      </w:pPr>
      <w:r>
        <w:rPr>
          <w:rFonts w:hint="default" w:ascii="Times New Roman" w:hAnsi="Times New Roman" w:eastAsia="仿宋" w:cs="Times New Roman"/>
          <w:bCs/>
          <w:highlight w:val="none"/>
          <w:lang w:val="en-US" w:eastAsia="zh-CN"/>
        </w:rPr>
        <w:t>（4）大量泄漏时，</w:t>
      </w:r>
      <w:r>
        <w:rPr>
          <w:rFonts w:hint="default" w:ascii="Times New Roman" w:hAnsi="Times New Roman" w:eastAsia="仿宋" w:cs="Times New Roman"/>
          <w:bCs/>
          <w:highlight w:val="none"/>
          <w:lang w:eastAsia="zh-CN"/>
        </w:rPr>
        <w:t>及时对泄漏部位采取处理措施，对泄漏源进行堵截。</w:t>
      </w:r>
      <w:r>
        <w:rPr>
          <w:rFonts w:hint="default" w:ascii="Times New Roman" w:hAnsi="Times New Roman" w:eastAsia="仿宋" w:cs="Times New Roman"/>
          <w:bCs/>
          <w:highlight w:val="none"/>
          <w:lang w:val="en-US" w:eastAsia="zh-CN"/>
        </w:rPr>
        <w:t>如有泄出，将泄漏的乳化液/机油引入</w:t>
      </w:r>
      <w:r>
        <w:rPr>
          <w:rFonts w:hint="default" w:ascii="Times New Roman" w:hAnsi="Times New Roman" w:eastAsia="仿宋" w:cs="Times New Roman"/>
          <w:bCs/>
          <w:highlight w:val="none"/>
        </w:rPr>
        <w:t>周围修筑围堰</w:t>
      </w:r>
      <w:r>
        <w:rPr>
          <w:rFonts w:hint="default" w:ascii="Times New Roman" w:hAnsi="Times New Roman" w:eastAsia="仿宋" w:cs="Times New Roman"/>
          <w:bCs/>
          <w:highlight w:val="none"/>
          <w:lang w:eastAsia="zh-CN"/>
        </w:rPr>
        <w:t>，</w:t>
      </w:r>
      <w:r>
        <w:rPr>
          <w:rFonts w:hint="default" w:ascii="Times New Roman" w:hAnsi="Times New Roman" w:eastAsia="仿宋" w:cs="Times New Roman"/>
          <w:bCs/>
          <w:highlight w:val="none"/>
        </w:rPr>
        <w:t>以初步防止泄漏物大量外溢污染厂区甚至厂外环境</w:t>
      </w:r>
      <w:r>
        <w:rPr>
          <w:rFonts w:hint="default" w:ascii="Times New Roman" w:hAnsi="Times New Roman" w:eastAsia="仿宋" w:cs="Times New Roman"/>
          <w:bCs/>
          <w:highlight w:val="none"/>
          <w:lang w:eastAsia="zh-CN"/>
        </w:rPr>
        <w:t>。</w:t>
      </w:r>
      <w:r>
        <w:rPr>
          <w:rFonts w:hint="default" w:ascii="Times New Roman" w:hAnsi="Times New Roman" w:eastAsia="仿宋" w:cs="Times New Roman"/>
          <w:bCs/>
          <w:highlight w:val="none"/>
          <w:lang w:val="en-US" w:eastAsia="zh-CN"/>
        </w:rPr>
        <w:t>用泡沫覆盖，降低挥发防止火灾；</w:t>
      </w:r>
    </w:p>
    <w:p>
      <w:pPr>
        <w:pStyle w:val="21"/>
        <w:spacing w:line="360" w:lineRule="auto"/>
        <w:rPr>
          <w:rFonts w:hint="default" w:ascii="Times New Roman" w:hAnsi="Times New Roman" w:eastAsia="仿宋" w:cs="Times New Roman"/>
          <w:bCs/>
          <w:highlight w:val="none"/>
          <w:lang w:eastAsia="zh-CN"/>
        </w:rPr>
      </w:pPr>
      <w:r>
        <w:rPr>
          <w:rFonts w:hint="default" w:ascii="Times New Roman" w:hAnsi="Times New Roman" w:eastAsia="仿宋" w:cs="Times New Roman"/>
          <w:bCs/>
          <w:highlight w:val="none"/>
          <w:lang w:val="en-US" w:eastAsia="zh-CN"/>
        </w:rPr>
        <w:t>（5）</w:t>
      </w:r>
      <w:r>
        <w:rPr>
          <w:rFonts w:hint="default" w:ascii="Times New Roman" w:hAnsi="Times New Roman" w:eastAsia="仿宋" w:cs="Times New Roman"/>
          <w:bCs/>
          <w:highlight w:val="none"/>
          <w:lang w:eastAsia="zh-CN"/>
        </w:rPr>
        <w:t>同时</w:t>
      </w:r>
      <w:r>
        <w:rPr>
          <w:rFonts w:hint="default" w:ascii="Times New Roman" w:hAnsi="Times New Roman" w:eastAsia="仿宋" w:cs="Times New Roman"/>
          <w:bCs/>
          <w:highlight w:val="none"/>
        </w:rPr>
        <w:t>对地面进行冲洗，冲洗水及时引流进入</w:t>
      </w:r>
      <w:r>
        <w:rPr>
          <w:rFonts w:hint="default" w:ascii="Times New Roman" w:hAnsi="Times New Roman" w:eastAsia="仿宋" w:cs="Times New Roman"/>
          <w:bCs/>
          <w:highlight w:val="none"/>
          <w:lang w:eastAsia="zh-CN"/>
        </w:rPr>
        <w:t>事故池</w:t>
      </w:r>
      <w:r>
        <w:rPr>
          <w:rFonts w:hint="default" w:ascii="Times New Roman" w:hAnsi="Times New Roman" w:eastAsia="仿宋" w:cs="Times New Roman"/>
          <w:bCs/>
          <w:highlight w:val="none"/>
        </w:rPr>
        <w:t>，避免漫流至厂区</w:t>
      </w:r>
      <w:r>
        <w:rPr>
          <w:rFonts w:hint="default" w:ascii="Times New Roman" w:hAnsi="Times New Roman" w:eastAsia="仿宋" w:cs="Times New Roman"/>
          <w:bCs/>
          <w:highlight w:val="none"/>
          <w:lang w:eastAsia="zh-CN"/>
        </w:rPr>
        <w:t>或</w:t>
      </w:r>
      <w:r>
        <w:rPr>
          <w:rFonts w:hint="default" w:ascii="Times New Roman" w:hAnsi="Times New Roman" w:eastAsia="仿宋" w:cs="Times New Roman"/>
          <w:bCs/>
          <w:highlight w:val="none"/>
        </w:rPr>
        <w:t>厂区外</w:t>
      </w:r>
      <w:r>
        <w:rPr>
          <w:rFonts w:hint="default" w:ascii="Times New Roman" w:hAnsi="Times New Roman" w:eastAsia="仿宋" w:cs="Times New Roman"/>
          <w:bCs/>
          <w:highlight w:val="none"/>
          <w:lang w:eastAsia="zh-CN"/>
        </w:rPr>
        <w:t>；</w:t>
      </w:r>
    </w:p>
    <w:p>
      <w:pPr>
        <w:pStyle w:val="21"/>
        <w:spacing w:line="360" w:lineRule="auto"/>
        <w:rPr>
          <w:rFonts w:hint="default" w:ascii="Times New Roman" w:hAnsi="Times New Roman" w:eastAsia="仿宋" w:cs="Times New Roman"/>
          <w:bCs/>
          <w:highlight w:val="none"/>
          <w:lang w:val="en-US" w:eastAsia="zh-CN"/>
        </w:rPr>
      </w:pPr>
      <w:r>
        <w:rPr>
          <w:rFonts w:hint="default" w:ascii="Times New Roman" w:hAnsi="Times New Roman" w:eastAsia="仿宋" w:cs="Times New Roman"/>
          <w:bCs/>
          <w:highlight w:val="none"/>
          <w:lang w:val="en-US" w:eastAsia="zh-CN"/>
        </w:rPr>
        <w:t>（6）</w:t>
      </w:r>
      <w:r>
        <w:rPr>
          <w:rFonts w:hint="default" w:ascii="Times New Roman" w:hAnsi="Times New Roman" w:eastAsia="仿宋" w:cs="Times New Roman"/>
          <w:bCs/>
          <w:highlight w:val="none"/>
          <w:lang w:eastAsia="zh-CN"/>
        </w:rPr>
        <w:t>故障排除，清理现场后，对乳化液</w:t>
      </w:r>
      <w:r>
        <w:rPr>
          <w:rFonts w:hint="default" w:ascii="Times New Roman" w:hAnsi="Times New Roman" w:eastAsia="仿宋" w:cs="Times New Roman"/>
          <w:bCs/>
          <w:highlight w:val="none"/>
          <w:lang w:val="en-US" w:eastAsia="zh-CN"/>
        </w:rPr>
        <w:t>存放区域</w:t>
      </w:r>
      <w:r>
        <w:rPr>
          <w:rFonts w:hint="default" w:ascii="Times New Roman" w:hAnsi="Times New Roman" w:eastAsia="仿宋" w:cs="Times New Roman"/>
          <w:bCs/>
          <w:highlight w:val="none"/>
          <w:lang w:eastAsia="zh-CN"/>
        </w:rPr>
        <w:t>进行维护，并安排巡检和维护人员定期巡查并维护阀门及</w:t>
      </w:r>
      <w:r>
        <w:rPr>
          <w:rFonts w:hint="default" w:ascii="Times New Roman" w:hAnsi="Times New Roman" w:eastAsia="仿宋" w:cs="Times New Roman"/>
          <w:bCs/>
          <w:highlight w:val="none"/>
          <w:lang w:val="en-US" w:eastAsia="zh-CN"/>
        </w:rPr>
        <w:t>存放桶；</w:t>
      </w:r>
    </w:p>
    <w:p>
      <w:pPr>
        <w:pStyle w:val="21"/>
        <w:spacing w:line="360" w:lineRule="auto"/>
        <w:rPr>
          <w:rFonts w:hint="default" w:ascii="Times New Roman" w:hAnsi="Times New Roman" w:eastAsia="仿宋" w:cs="Times New Roman"/>
          <w:bCs/>
          <w:highlight w:val="none"/>
          <w:lang w:eastAsia="zh-CN"/>
        </w:rPr>
      </w:pPr>
      <w:r>
        <w:rPr>
          <w:rFonts w:hint="default" w:ascii="Times New Roman" w:hAnsi="Times New Roman" w:eastAsia="仿宋" w:cs="Times New Roman"/>
          <w:bCs/>
          <w:highlight w:val="none"/>
          <w:lang w:val="en-US" w:eastAsia="zh-CN"/>
        </w:rPr>
        <w:t>（7）</w:t>
      </w:r>
      <w:r>
        <w:rPr>
          <w:rFonts w:hint="default" w:ascii="Times New Roman" w:hAnsi="Times New Roman" w:eastAsia="仿宋" w:cs="Times New Roman"/>
          <w:bCs/>
          <w:highlight w:val="none"/>
          <w:lang w:eastAsia="zh-CN"/>
        </w:rPr>
        <w:t>废乳化液</w:t>
      </w:r>
      <w:r>
        <w:rPr>
          <w:rFonts w:hint="default" w:ascii="Times New Roman" w:hAnsi="Times New Roman" w:eastAsia="仿宋" w:cs="Times New Roman"/>
          <w:bCs/>
          <w:highlight w:val="none"/>
          <w:lang w:val="en-US" w:eastAsia="zh-CN"/>
        </w:rPr>
        <w:t>/机油</w:t>
      </w:r>
      <w:r>
        <w:rPr>
          <w:rFonts w:hint="default" w:ascii="Times New Roman" w:hAnsi="Times New Roman" w:eastAsia="仿宋" w:cs="Times New Roman"/>
          <w:bCs/>
          <w:highlight w:val="none"/>
          <w:lang w:eastAsia="zh-CN"/>
        </w:rPr>
        <w:t>泄漏置于接油盘，泄漏时又接油盘收集并转运到空桶。</w:t>
      </w:r>
    </w:p>
    <w:p>
      <w:pPr>
        <w:pStyle w:val="5"/>
        <w:bidi w:val="0"/>
        <w:ind w:firstLine="602" w:firstLineChars="200"/>
        <w:rPr>
          <w:rFonts w:hint="default" w:ascii="Times New Roman" w:hAnsi="Times New Roman" w:eastAsia="仿宋" w:cs="Times New Roman"/>
          <w:lang w:val="en-US" w:eastAsia="zh-CN"/>
        </w:rPr>
      </w:pPr>
      <w:bookmarkStart w:id="105" w:name="_Toc22562"/>
      <w:r>
        <w:rPr>
          <w:rFonts w:hint="default" w:ascii="Times New Roman" w:hAnsi="Times New Roman" w:eastAsia="仿宋" w:cs="Times New Roman"/>
          <w:lang w:val="en-US" w:eastAsia="zh-CN"/>
        </w:rPr>
        <w:t>4.4.2机油泄漏遇明火发生火灾应急措施</w:t>
      </w:r>
      <w:bookmarkEnd w:id="105"/>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val="en-US" w:eastAsia="zh-CN"/>
        </w:rPr>
        <w:t>（1）</w:t>
      </w:r>
      <w:r>
        <w:rPr>
          <w:rFonts w:hint="default" w:ascii="Times New Roman" w:hAnsi="Times New Roman" w:eastAsia="仿宋" w:cs="Times New Roman"/>
          <w:bCs/>
          <w:highlight w:val="none"/>
        </w:rPr>
        <w:t>应急救援指挥办公室在接到报警后，立即组织应急救援指挥部，各应急救援小队赶赴现场进行救援；各应急救援小队听从应急救援指挥部的统一安排；</w:t>
      </w:r>
    </w:p>
    <w:p>
      <w:pPr>
        <w:pStyle w:val="21"/>
        <w:spacing w:line="360" w:lineRule="auto"/>
        <w:rPr>
          <w:rFonts w:hint="default" w:ascii="Times New Roman" w:hAnsi="Times New Roman" w:eastAsia="仿宋" w:cs="Times New Roman"/>
          <w:bCs/>
          <w:highlight w:val="none"/>
          <w:lang w:eastAsia="zh-CN"/>
        </w:rPr>
      </w:pPr>
      <w:r>
        <w:rPr>
          <w:rFonts w:hint="default" w:ascii="Times New Roman" w:hAnsi="Times New Roman" w:eastAsia="仿宋" w:cs="Times New Roman"/>
          <w:bCs/>
          <w:highlight w:val="none"/>
          <w:lang w:val="en-US" w:eastAsia="zh-CN"/>
        </w:rPr>
        <w:t>（2）</w:t>
      </w:r>
      <w:r>
        <w:rPr>
          <w:rFonts w:hint="default" w:ascii="Times New Roman" w:hAnsi="Times New Roman" w:eastAsia="仿宋" w:cs="Times New Roman"/>
          <w:bCs/>
          <w:highlight w:val="none"/>
        </w:rPr>
        <w:t>小型火灾时立刻用储区附近备用的</w:t>
      </w:r>
      <w:r>
        <w:rPr>
          <w:rFonts w:hint="default" w:ascii="Times New Roman" w:hAnsi="Times New Roman" w:eastAsia="仿宋" w:cs="Times New Roman"/>
          <w:bCs/>
          <w:highlight w:val="none"/>
          <w:lang w:val="en-US" w:eastAsia="zh-CN"/>
        </w:rPr>
        <w:t>干粉</w:t>
      </w:r>
      <w:r>
        <w:rPr>
          <w:rFonts w:hint="default" w:ascii="Times New Roman" w:hAnsi="Times New Roman" w:eastAsia="仿宋" w:cs="Times New Roman"/>
          <w:bCs/>
          <w:highlight w:val="none"/>
        </w:rPr>
        <w:t>灭火器灭火，如其有迅速扩大之势，应避免靠近，须立即打开消火栓降低着火点及附近</w:t>
      </w:r>
      <w:r>
        <w:rPr>
          <w:rFonts w:hint="default" w:ascii="Times New Roman" w:hAnsi="Times New Roman" w:eastAsia="仿宋" w:cs="Times New Roman"/>
          <w:bCs/>
          <w:highlight w:val="none"/>
          <w:lang w:val="en-US" w:eastAsia="zh-CN"/>
        </w:rPr>
        <w:t>其他易燃物品</w:t>
      </w:r>
      <w:r>
        <w:rPr>
          <w:rFonts w:hint="default" w:ascii="Times New Roman" w:hAnsi="Times New Roman" w:eastAsia="仿宋" w:cs="Times New Roman"/>
          <w:bCs/>
          <w:highlight w:val="none"/>
        </w:rPr>
        <w:t>的温度，控制火势，避免发生爆炸，待火焰减低后再用灭火器灭之。大型火灾时应立刻开启消火栓降温，控制火势，避免爆炸，等待救援</w:t>
      </w:r>
      <w:r>
        <w:rPr>
          <w:rFonts w:hint="default" w:ascii="Times New Roman" w:hAnsi="Times New Roman" w:eastAsia="仿宋" w:cs="Times New Roman"/>
          <w:bCs/>
          <w:highlight w:val="none"/>
          <w:lang w:eastAsia="zh-CN"/>
        </w:rPr>
        <w:t>；</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val="en-US" w:eastAsia="zh-CN"/>
        </w:rPr>
        <w:t>（3）</w:t>
      </w:r>
      <w:r>
        <w:rPr>
          <w:rFonts w:hint="default" w:ascii="Times New Roman" w:hAnsi="Times New Roman" w:eastAsia="仿宋" w:cs="Times New Roman"/>
          <w:bCs/>
          <w:highlight w:val="none"/>
        </w:rPr>
        <w:t>及时打开事故应急池阀门，必要时用消防砂封堵，以确保处置废水流入事故应急池；</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val="en-US" w:eastAsia="zh-CN"/>
        </w:rPr>
        <w:t>（4）</w:t>
      </w:r>
      <w:r>
        <w:rPr>
          <w:rFonts w:hint="default" w:ascii="Times New Roman" w:hAnsi="Times New Roman" w:eastAsia="仿宋" w:cs="Times New Roman"/>
          <w:bCs/>
          <w:highlight w:val="none"/>
        </w:rPr>
        <w:t>疏散事件现场附近道路，保证应急工作顺利进行；</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val="en-US" w:eastAsia="zh-CN"/>
        </w:rPr>
        <w:t>（5）</w:t>
      </w:r>
      <w:r>
        <w:rPr>
          <w:rFonts w:hint="default" w:ascii="Times New Roman" w:hAnsi="Times New Roman" w:eastAsia="仿宋" w:cs="Times New Roman"/>
          <w:bCs/>
          <w:highlight w:val="none"/>
        </w:rPr>
        <w:t>事故应急池中的废水应经沉淀、过滤后分批排入市政污水管网，并通知污水处理厂，注意异常源头；</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val="en-US" w:eastAsia="zh-CN"/>
        </w:rPr>
        <w:t>（6）</w:t>
      </w:r>
      <w:r>
        <w:rPr>
          <w:rFonts w:hint="default" w:ascii="Times New Roman" w:hAnsi="Times New Roman" w:eastAsia="仿宋" w:cs="Times New Roman"/>
          <w:bCs/>
          <w:highlight w:val="none"/>
        </w:rPr>
        <w:t>如果废水已进入城市污水管网，及时通知城市污水处理厂，并在出口处用相应消减方法消减污染物，以减轻对污水处理厂工艺的冲击；</w:t>
      </w:r>
    </w:p>
    <w:p>
      <w:pPr>
        <w:pStyle w:val="21"/>
        <w:spacing w:line="360" w:lineRule="auto"/>
        <w:rPr>
          <w:rFonts w:hint="default" w:ascii="Times New Roman" w:hAnsi="Times New Roman" w:eastAsia="仿宋" w:cs="Times New Roman"/>
          <w:bCs/>
          <w:highlight w:val="none"/>
          <w:lang w:val="en-US" w:eastAsia="zh-CN"/>
        </w:rPr>
      </w:pPr>
      <w:r>
        <w:rPr>
          <w:rFonts w:hint="default" w:ascii="Times New Roman" w:hAnsi="Times New Roman" w:eastAsia="仿宋" w:cs="Times New Roman"/>
          <w:bCs/>
          <w:highlight w:val="none"/>
          <w:lang w:val="en-US" w:eastAsia="zh-CN"/>
        </w:rPr>
        <w:t>（7）协助环境监理部门进行布点、监测。</w:t>
      </w:r>
    </w:p>
    <w:p>
      <w:pPr>
        <w:pStyle w:val="5"/>
        <w:bidi w:val="0"/>
        <w:ind w:firstLine="602" w:firstLineChars="200"/>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4.4.3废气处理设备故障应急措施</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eastAsia="zh-CN"/>
        </w:rPr>
        <w:t>生产车间焊接烟尘处理</w:t>
      </w:r>
      <w:r>
        <w:rPr>
          <w:rFonts w:hint="default" w:ascii="Times New Roman" w:hAnsi="Times New Roman" w:eastAsia="仿宋" w:cs="Times New Roman"/>
          <w:bCs/>
          <w:highlight w:val="none"/>
        </w:rPr>
        <w:t>设备故障，</w:t>
      </w:r>
      <w:r>
        <w:rPr>
          <w:rFonts w:hint="default" w:ascii="Times New Roman" w:hAnsi="Times New Roman" w:eastAsia="仿宋" w:cs="Times New Roman"/>
          <w:bCs/>
          <w:highlight w:val="none"/>
          <w:lang w:eastAsia="zh-CN"/>
        </w:rPr>
        <w:t>焊接烟尘</w:t>
      </w:r>
      <w:r>
        <w:rPr>
          <w:rFonts w:hint="default" w:ascii="Times New Roman" w:hAnsi="Times New Roman" w:eastAsia="仿宋" w:cs="Times New Roman"/>
          <w:bCs/>
          <w:highlight w:val="none"/>
        </w:rPr>
        <w:t>超标排入大气环境</w:t>
      </w:r>
      <w:r>
        <w:rPr>
          <w:rFonts w:hint="default" w:ascii="Times New Roman" w:hAnsi="Times New Roman" w:eastAsia="仿宋" w:cs="Times New Roman"/>
          <w:bCs/>
          <w:highlight w:val="none"/>
          <w:lang w:eastAsia="zh-CN"/>
        </w:rPr>
        <w:t>，</w:t>
      </w:r>
      <w:r>
        <w:rPr>
          <w:rFonts w:hint="default" w:ascii="Times New Roman" w:hAnsi="Times New Roman" w:eastAsia="仿宋" w:cs="Times New Roman"/>
          <w:bCs/>
          <w:highlight w:val="none"/>
        </w:rPr>
        <w:t>影响操作人员的身体健康同时污染大气环境，需要及时作出应急处置。</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eastAsia="zh-CN"/>
        </w:rPr>
        <w:t>（</w:t>
      </w:r>
      <w:r>
        <w:rPr>
          <w:rFonts w:hint="default" w:ascii="Times New Roman" w:hAnsi="Times New Roman" w:eastAsia="仿宋" w:cs="Times New Roman"/>
          <w:bCs/>
          <w:highlight w:val="none"/>
          <w:lang w:val="en-US" w:eastAsia="zh-CN"/>
        </w:rPr>
        <w:t>1</w:t>
      </w:r>
      <w:r>
        <w:rPr>
          <w:rFonts w:hint="default" w:ascii="Times New Roman" w:hAnsi="Times New Roman" w:eastAsia="仿宋" w:cs="Times New Roman"/>
          <w:bCs/>
          <w:highlight w:val="none"/>
          <w:lang w:eastAsia="zh-CN"/>
        </w:rPr>
        <w:t>）安排专人定期巡视</w:t>
      </w:r>
      <w:r>
        <w:rPr>
          <w:rFonts w:hint="default" w:ascii="Times New Roman" w:hAnsi="Times New Roman" w:eastAsia="仿宋" w:cs="Times New Roman"/>
          <w:bCs/>
          <w:highlight w:val="none"/>
        </w:rPr>
        <w:t>废气处理设备运行情况，</w:t>
      </w:r>
      <w:r>
        <w:rPr>
          <w:rFonts w:hint="default" w:ascii="Times New Roman" w:hAnsi="Times New Roman" w:eastAsia="仿宋" w:cs="Times New Roman"/>
          <w:bCs/>
          <w:highlight w:val="none"/>
          <w:lang w:eastAsia="zh-CN"/>
        </w:rPr>
        <w:t>若设备发生故障，应</w:t>
      </w:r>
      <w:r>
        <w:rPr>
          <w:rFonts w:hint="default" w:ascii="Times New Roman" w:hAnsi="Times New Roman" w:eastAsia="仿宋" w:cs="Times New Roman"/>
          <w:bCs/>
          <w:highlight w:val="none"/>
        </w:rPr>
        <w:t>根据污染情况</w:t>
      </w:r>
      <w:r>
        <w:rPr>
          <w:rFonts w:hint="default" w:ascii="Times New Roman" w:hAnsi="Times New Roman" w:eastAsia="仿宋" w:cs="Times New Roman"/>
          <w:bCs/>
          <w:highlight w:val="none"/>
          <w:lang w:eastAsia="zh-CN"/>
        </w:rPr>
        <w:t>及时</w:t>
      </w:r>
      <w:r>
        <w:rPr>
          <w:rFonts w:hint="default" w:ascii="Times New Roman" w:hAnsi="Times New Roman" w:eastAsia="仿宋" w:cs="Times New Roman"/>
          <w:bCs/>
          <w:highlight w:val="none"/>
        </w:rPr>
        <w:t>采取相应措施；</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eastAsia="zh-CN"/>
        </w:rPr>
        <w:t>（</w:t>
      </w:r>
      <w:r>
        <w:rPr>
          <w:rFonts w:hint="default" w:ascii="Times New Roman" w:hAnsi="Times New Roman" w:eastAsia="仿宋" w:cs="Times New Roman"/>
          <w:bCs/>
          <w:highlight w:val="none"/>
          <w:lang w:val="en-US" w:eastAsia="zh-CN"/>
        </w:rPr>
        <w:t>2</w:t>
      </w:r>
      <w:r>
        <w:rPr>
          <w:rFonts w:hint="default" w:ascii="Times New Roman" w:hAnsi="Times New Roman" w:eastAsia="仿宋" w:cs="Times New Roman"/>
          <w:bCs/>
          <w:highlight w:val="none"/>
          <w:lang w:eastAsia="zh-CN"/>
        </w:rPr>
        <w:t>）</w:t>
      </w:r>
      <w:r>
        <w:rPr>
          <w:rFonts w:hint="default" w:ascii="Times New Roman" w:hAnsi="Times New Roman" w:eastAsia="仿宋" w:cs="Times New Roman"/>
          <w:bCs/>
          <w:highlight w:val="none"/>
        </w:rPr>
        <w:t>及时上报应急救援办公室，由应急救援办公室启动本预案；</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eastAsia="zh-CN"/>
        </w:rPr>
        <w:t>（</w:t>
      </w:r>
      <w:r>
        <w:rPr>
          <w:rFonts w:hint="default" w:ascii="Times New Roman" w:hAnsi="Times New Roman" w:eastAsia="仿宋" w:cs="Times New Roman"/>
          <w:bCs/>
          <w:highlight w:val="none"/>
          <w:lang w:val="en-US" w:eastAsia="zh-CN"/>
        </w:rPr>
        <w:t>3</w:t>
      </w:r>
      <w:r>
        <w:rPr>
          <w:rFonts w:hint="default" w:ascii="Times New Roman" w:hAnsi="Times New Roman" w:eastAsia="仿宋" w:cs="Times New Roman"/>
          <w:bCs/>
          <w:highlight w:val="none"/>
          <w:lang w:eastAsia="zh-CN"/>
        </w:rPr>
        <w:t>）</w:t>
      </w:r>
      <w:r>
        <w:rPr>
          <w:rFonts w:hint="default" w:ascii="Times New Roman" w:hAnsi="Times New Roman" w:eastAsia="仿宋" w:cs="Times New Roman"/>
          <w:bCs/>
          <w:highlight w:val="none"/>
        </w:rPr>
        <w:t>立即关闭生产设备，并由应急救援办公室派技术人员对废气处理设备进行抢修，消除隐患；</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eastAsia="zh-CN"/>
        </w:rPr>
        <w:t>（</w:t>
      </w:r>
      <w:r>
        <w:rPr>
          <w:rFonts w:hint="default" w:ascii="Times New Roman" w:hAnsi="Times New Roman" w:eastAsia="仿宋" w:cs="Times New Roman"/>
          <w:bCs/>
          <w:highlight w:val="none"/>
          <w:lang w:val="en-US" w:eastAsia="zh-CN"/>
        </w:rPr>
        <w:t>4</w:t>
      </w:r>
      <w:r>
        <w:rPr>
          <w:rFonts w:hint="default" w:ascii="Times New Roman" w:hAnsi="Times New Roman" w:eastAsia="仿宋" w:cs="Times New Roman"/>
          <w:bCs/>
          <w:highlight w:val="none"/>
          <w:lang w:eastAsia="zh-CN"/>
        </w:rPr>
        <w:t>）</w:t>
      </w:r>
      <w:r>
        <w:rPr>
          <w:rFonts w:hint="default" w:ascii="Times New Roman" w:hAnsi="Times New Roman" w:eastAsia="仿宋" w:cs="Times New Roman"/>
          <w:bCs/>
          <w:highlight w:val="none"/>
        </w:rPr>
        <w:t>每年定期组织一次污染治理设施意外事故的应急措施落实情况和应急设备（备用设备）完好情况的检查。</w:t>
      </w:r>
    </w:p>
    <w:p>
      <w:pPr>
        <w:pStyle w:val="5"/>
        <w:bidi w:val="0"/>
        <w:ind w:firstLine="602" w:firstLineChars="200"/>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4.4.4危废暂存间危险废物泄漏现场应急处置措施</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val="en-US" w:eastAsia="zh-CN"/>
        </w:rPr>
        <w:t>（1）</w:t>
      </w:r>
      <w:r>
        <w:rPr>
          <w:rFonts w:hint="default" w:ascii="Times New Roman" w:hAnsi="Times New Roman" w:eastAsia="仿宋" w:cs="Times New Roman"/>
          <w:bCs/>
          <w:highlight w:val="none"/>
        </w:rPr>
        <w:t>采取有效措施，尽快切断污染源；</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val="en-US" w:eastAsia="zh-CN"/>
        </w:rPr>
        <w:t>（2）</w:t>
      </w:r>
      <w:r>
        <w:rPr>
          <w:rFonts w:hint="default" w:ascii="Times New Roman" w:hAnsi="Times New Roman" w:eastAsia="仿宋" w:cs="Times New Roman"/>
          <w:bCs/>
          <w:highlight w:val="none"/>
          <w:lang w:eastAsia="zh-CN"/>
        </w:rPr>
        <w:t>废乳化液</w:t>
      </w:r>
      <w:r>
        <w:rPr>
          <w:rFonts w:hint="default" w:ascii="Times New Roman" w:hAnsi="Times New Roman" w:eastAsia="仿宋" w:cs="Times New Roman"/>
          <w:bCs/>
          <w:highlight w:val="none"/>
          <w:lang w:val="en-US" w:eastAsia="zh-CN"/>
        </w:rPr>
        <w:t>/机油</w:t>
      </w:r>
      <w:r>
        <w:rPr>
          <w:rFonts w:hint="default" w:ascii="Times New Roman" w:hAnsi="Times New Roman" w:eastAsia="仿宋" w:cs="Times New Roman"/>
          <w:bCs/>
          <w:highlight w:val="none"/>
          <w:lang w:eastAsia="zh-CN"/>
        </w:rPr>
        <w:t>泄漏置于接油盘，泄漏时又接油盘收集并转运到空桶</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eastAsia="zh-CN"/>
        </w:rPr>
        <w:t>（</w:t>
      </w:r>
      <w:r>
        <w:rPr>
          <w:rFonts w:hint="default" w:ascii="Times New Roman" w:hAnsi="Times New Roman" w:eastAsia="仿宋" w:cs="Times New Roman"/>
          <w:bCs/>
          <w:highlight w:val="none"/>
          <w:lang w:val="en-US" w:eastAsia="zh-CN"/>
        </w:rPr>
        <w:t>3</w:t>
      </w:r>
      <w:r>
        <w:rPr>
          <w:rFonts w:hint="default" w:ascii="Times New Roman" w:hAnsi="Times New Roman" w:eastAsia="仿宋" w:cs="Times New Roman"/>
          <w:bCs/>
          <w:highlight w:val="none"/>
          <w:lang w:eastAsia="zh-CN"/>
        </w:rPr>
        <w:t>）</w:t>
      </w:r>
      <w:r>
        <w:rPr>
          <w:rFonts w:hint="default" w:ascii="Times New Roman" w:hAnsi="Times New Roman" w:eastAsia="仿宋" w:cs="Times New Roman"/>
          <w:bCs/>
          <w:highlight w:val="none"/>
        </w:rPr>
        <w:t>根据</w:t>
      </w:r>
      <w:r>
        <w:rPr>
          <w:rFonts w:hint="default" w:ascii="Times New Roman" w:hAnsi="Times New Roman" w:eastAsia="仿宋" w:cs="Times New Roman"/>
          <w:bCs/>
          <w:highlight w:val="none"/>
          <w:lang w:val="en-US" w:eastAsia="zh-CN"/>
        </w:rPr>
        <w:t>公司</w:t>
      </w:r>
      <w:r>
        <w:rPr>
          <w:rFonts w:hint="default" w:ascii="Times New Roman" w:hAnsi="Times New Roman" w:eastAsia="仿宋" w:cs="Times New Roman"/>
          <w:bCs/>
          <w:highlight w:val="none"/>
        </w:rPr>
        <w:t>所在地地貌及气象特征，以及泄漏程度，立即评估可能的最大泄漏量和发生几率，报告现场领导和专家以便及时决策和应急协调。</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val="en-US" w:eastAsia="zh-CN"/>
        </w:rPr>
        <w:t>（4）</w:t>
      </w:r>
      <w:r>
        <w:rPr>
          <w:rFonts w:hint="default" w:ascii="Times New Roman" w:hAnsi="Times New Roman" w:eastAsia="仿宋" w:cs="Times New Roman"/>
          <w:bCs/>
          <w:highlight w:val="none"/>
        </w:rPr>
        <w:t>迅速布点监测，在第一时间确定污染物种类和浓度，出具监测数据；测量水体流速，估算污染物转移、扩散速率；</w:t>
      </w:r>
    </w:p>
    <w:p>
      <w:pPr>
        <w:pStyle w:val="21"/>
        <w:spacing w:line="360" w:lineRule="auto"/>
        <w:rPr>
          <w:rFonts w:hint="default" w:ascii="Times New Roman" w:hAnsi="Times New Roman" w:eastAsia="仿宋" w:cs="Times New Roman"/>
          <w:bCs/>
          <w:highlight w:val="none"/>
        </w:rPr>
      </w:pPr>
      <w:r>
        <w:rPr>
          <w:rFonts w:hint="default" w:ascii="Times New Roman" w:hAnsi="Times New Roman" w:eastAsia="仿宋" w:cs="Times New Roman"/>
          <w:bCs/>
          <w:highlight w:val="none"/>
          <w:lang w:val="en-US" w:eastAsia="zh-CN"/>
        </w:rPr>
        <w:t>（5）</w:t>
      </w:r>
      <w:r>
        <w:rPr>
          <w:rFonts w:hint="default" w:ascii="Times New Roman" w:hAnsi="Times New Roman" w:eastAsia="仿宋" w:cs="Times New Roman"/>
          <w:bCs/>
          <w:highlight w:val="none"/>
        </w:rPr>
        <w:t>针对特征污染物质，采取有效措施使之被有效拦截、吸收、稀释、分解，降低水环境中污染物质的浓度；</w:t>
      </w:r>
    </w:p>
    <w:p>
      <w:pPr>
        <w:pStyle w:val="21"/>
        <w:spacing w:line="360" w:lineRule="auto"/>
        <w:rPr>
          <w:rFonts w:hint="default" w:ascii="Times New Roman" w:hAnsi="Times New Roman" w:eastAsia="仿宋" w:cs="Times New Roman"/>
          <w:bCs/>
          <w:highlight w:val="none"/>
          <w:lang w:eastAsia="zh-CN"/>
        </w:rPr>
      </w:pPr>
      <w:r>
        <w:rPr>
          <w:rFonts w:hint="default" w:ascii="Times New Roman" w:hAnsi="Times New Roman" w:eastAsia="仿宋" w:cs="Times New Roman"/>
          <w:bCs/>
          <w:highlight w:val="none"/>
          <w:lang w:val="en-US" w:eastAsia="zh-CN"/>
        </w:rPr>
        <w:t>（6）</w:t>
      </w:r>
      <w:r>
        <w:rPr>
          <w:rFonts w:hint="default" w:ascii="Times New Roman" w:hAnsi="Times New Roman" w:eastAsia="仿宋" w:cs="Times New Roman"/>
          <w:bCs/>
          <w:highlight w:val="none"/>
        </w:rPr>
        <w:t>对污染状况进行跟踪调查，根据监测数据和其他有关数据编制分析图表，预测污染迁移强度、速度和影响范围，及时调整对策</w:t>
      </w:r>
      <w:r>
        <w:rPr>
          <w:rFonts w:hint="default" w:ascii="Times New Roman" w:hAnsi="Times New Roman" w:eastAsia="仿宋" w:cs="Times New Roman"/>
          <w:bCs/>
          <w:highlight w:val="none"/>
          <w:lang w:val="en-US" w:eastAsia="zh-CN"/>
        </w:rPr>
        <w:t>。</w:t>
      </w:r>
    </w:p>
    <w:p>
      <w:pPr>
        <w:pStyle w:val="4"/>
        <w:bidi w:val="0"/>
        <w:ind w:firstLine="643" w:firstLineChars="200"/>
        <w:rPr>
          <w:rFonts w:hint="default" w:ascii="Times New Roman" w:hAnsi="Times New Roman" w:eastAsia="仿宋" w:cs="Times New Roman"/>
          <w:lang w:val="en-US" w:eastAsia="zh-CN"/>
        </w:rPr>
      </w:pPr>
      <w:bookmarkStart w:id="106" w:name="_Toc18680"/>
      <w:bookmarkStart w:id="107" w:name="_Toc5849"/>
      <w:r>
        <w:rPr>
          <w:rFonts w:hint="default" w:ascii="Times New Roman" w:hAnsi="Times New Roman" w:eastAsia="仿宋" w:cs="Times New Roman"/>
          <w:lang w:val="en-US" w:eastAsia="zh-CN"/>
        </w:rPr>
        <w:t>4.5突发环境事件危害后果分析</w:t>
      </w:r>
      <w:bookmarkEnd w:id="106"/>
      <w:bookmarkEnd w:id="107"/>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lang w:val="en-US" w:eastAsia="zh-CN"/>
        </w:rPr>
        <w:t>根据公司突发环境事件情景的源强及危害程度，公司各类突发环境事件从地表水、地下水、土壤、大气、人口、财产以及社会影响等方面综合考虑，对周边居民人群的影响较小，危害范围较小，预计可能发生的突发环境事件级别为一般环境事件。</w:t>
      </w:r>
    </w:p>
    <w:p>
      <w:pP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br w:type="page"/>
      </w:r>
    </w:p>
    <w:p>
      <w:pPr>
        <w:keepNext/>
        <w:keepLines/>
        <w:pageBreakBefore/>
        <w:widowControl w:val="0"/>
        <w:bidi w:val="0"/>
        <w:spacing w:beforeLines="0" w:afterLines="0" w:line="480" w:lineRule="auto"/>
        <w:ind w:firstLine="643" w:firstLineChars="200"/>
        <w:jc w:val="left"/>
        <w:outlineLvl w:val="0"/>
        <w:rPr>
          <w:rFonts w:hint="default" w:ascii="Times New Roman" w:hAnsi="Times New Roman" w:eastAsia="仿宋" w:cs="Times New Roman"/>
          <w:b/>
          <w:bCs/>
          <w:kern w:val="44"/>
          <w:sz w:val="32"/>
          <w:szCs w:val="44"/>
          <w:lang w:val="en-US" w:eastAsia="zh-CN" w:bidi="ar-SA"/>
        </w:rPr>
      </w:pPr>
      <w:bookmarkStart w:id="108" w:name="_Toc8551"/>
      <w:bookmarkStart w:id="109" w:name="_Toc8019"/>
      <w:r>
        <w:rPr>
          <w:rFonts w:hint="default" w:ascii="Times New Roman" w:hAnsi="Times New Roman" w:eastAsia="仿宋" w:cs="Times New Roman"/>
          <w:b/>
          <w:bCs/>
          <w:kern w:val="44"/>
          <w:sz w:val="32"/>
          <w:szCs w:val="44"/>
          <w:lang w:val="en-US" w:eastAsia="zh-CN" w:bidi="ar-SA"/>
        </w:rPr>
        <w:t>5现有环境风险防控和应急措施差距分析</w:t>
      </w:r>
      <w:bookmarkEnd w:id="108"/>
      <w:bookmarkEnd w:id="109"/>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zh-CN" w:eastAsia="zh-CN" w:bidi="ar-SA"/>
        </w:rPr>
      </w:pPr>
      <w:bookmarkStart w:id="110" w:name="_Toc10416"/>
      <w:bookmarkStart w:id="111" w:name="_Toc456950173"/>
      <w:bookmarkStart w:id="112" w:name="_Toc30117"/>
      <w:bookmarkStart w:id="113" w:name="_Toc23896"/>
      <w:bookmarkStart w:id="114" w:name="_Toc29693"/>
      <w:bookmarkStart w:id="115" w:name="_Toc12536"/>
      <w:bookmarkStart w:id="116" w:name="_Toc19370"/>
      <w:r>
        <w:rPr>
          <w:rFonts w:hint="default" w:ascii="Times New Roman" w:hAnsi="Times New Roman" w:eastAsia="仿宋" w:cs="Times New Roman"/>
          <w:b/>
          <w:bCs/>
          <w:kern w:val="2"/>
          <w:sz w:val="32"/>
          <w:szCs w:val="32"/>
          <w:lang w:val="zh-CN" w:eastAsia="zh-CN" w:bidi="ar-SA"/>
        </w:rPr>
        <w:t>5.1环境风险管理制度</w:t>
      </w:r>
      <w:bookmarkEnd w:id="110"/>
      <w:bookmarkEnd w:id="111"/>
      <w:bookmarkEnd w:id="112"/>
      <w:bookmarkEnd w:id="113"/>
      <w:bookmarkEnd w:id="114"/>
      <w:bookmarkEnd w:id="115"/>
      <w:bookmarkEnd w:id="116"/>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环境风险管理制度见表5-1。</w:t>
      </w:r>
    </w:p>
    <w:p>
      <w:pPr>
        <w:adjustRightInd w:val="0"/>
        <w:snapToGrid w:val="0"/>
        <w:spacing w:line="240" w:lineRule="auto"/>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表5-1  环境风险管理制度</w:t>
      </w:r>
    </w:p>
    <w:tbl>
      <w:tblPr>
        <w:tblStyle w:val="12"/>
        <w:tblW w:w="4845" w:type="pct"/>
        <w:jc w:val="center"/>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Layout w:type="autofit"/>
        <w:tblCellMar>
          <w:top w:w="0" w:type="dxa"/>
          <w:left w:w="108" w:type="dxa"/>
          <w:bottom w:w="0" w:type="dxa"/>
          <w:right w:w="108" w:type="dxa"/>
        </w:tblCellMar>
      </w:tblPr>
      <w:tblGrid>
        <w:gridCol w:w="641"/>
        <w:gridCol w:w="4753"/>
        <w:gridCol w:w="1173"/>
        <w:gridCol w:w="1691"/>
      </w:tblGrid>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388"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序号</w:t>
            </w:r>
          </w:p>
        </w:tc>
        <w:tc>
          <w:tcPr>
            <w:tcW w:w="2877"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内容</w:t>
            </w:r>
          </w:p>
        </w:tc>
        <w:tc>
          <w:tcPr>
            <w:tcW w:w="710"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是否建立（落实）</w:t>
            </w:r>
          </w:p>
        </w:tc>
        <w:tc>
          <w:tcPr>
            <w:tcW w:w="1023"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是否与应急措施</w:t>
            </w:r>
          </w:p>
          <w:p>
            <w:pPr>
              <w:adjustRightInd w:val="0"/>
              <w:snapToGrid w:val="0"/>
              <w:spacing w:line="240" w:lineRule="auto"/>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相符合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369" w:hRule="atLeast"/>
          <w:jc w:val="center"/>
        </w:trPr>
        <w:tc>
          <w:tcPr>
            <w:tcW w:w="388"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1</w:t>
            </w:r>
          </w:p>
        </w:tc>
        <w:tc>
          <w:tcPr>
            <w:tcW w:w="2877"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环境风险防控和应急措施制度</w:t>
            </w:r>
          </w:p>
        </w:tc>
        <w:tc>
          <w:tcPr>
            <w:tcW w:w="710"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是</w:t>
            </w:r>
          </w:p>
        </w:tc>
        <w:tc>
          <w:tcPr>
            <w:tcW w:w="1023"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369" w:hRule="atLeast"/>
          <w:jc w:val="center"/>
        </w:trPr>
        <w:tc>
          <w:tcPr>
            <w:tcW w:w="388"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2</w:t>
            </w:r>
          </w:p>
        </w:tc>
        <w:tc>
          <w:tcPr>
            <w:tcW w:w="2877"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环境风险防控责任人及责任机构</w:t>
            </w:r>
          </w:p>
        </w:tc>
        <w:tc>
          <w:tcPr>
            <w:tcW w:w="710"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是</w:t>
            </w:r>
          </w:p>
        </w:tc>
        <w:tc>
          <w:tcPr>
            <w:tcW w:w="1023"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369" w:hRule="atLeast"/>
          <w:jc w:val="center"/>
        </w:trPr>
        <w:tc>
          <w:tcPr>
            <w:tcW w:w="388"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3</w:t>
            </w:r>
          </w:p>
        </w:tc>
        <w:tc>
          <w:tcPr>
            <w:tcW w:w="2877"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定期巡检和维护责任制度（一月一次）</w:t>
            </w:r>
          </w:p>
        </w:tc>
        <w:tc>
          <w:tcPr>
            <w:tcW w:w="710"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是</w:t>
            </w:r>
          </w:p>
        </w:tc>
        <w:tc>
          <w:tcPr>
            <w:tcW w:w="1023"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545" w:hRule="atLeast"/>
          <w:jc w:val="center"/>
        </w:trPr>
        <w:tc>
          <w:tcPr>
            <w:tcW w:w="388"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4</w:t>
            </w:r>
          </w:p>
        </w:tc>
        <w:tc>
          <w:tcPr>
            <w:tcW w:w="2877"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环评及批复中各项环境风险防控和应急措施要求</w:t>
            </w:r>
          </w:p>
        </w:tc>
        <w:tc>
          <w:tcPr>
            <w:tcW w:w="710"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是</w:t>
            </w:r>
          </w:p>
        </w:tc>
        <w:tc>
          <w:tcPr>
            <w:tcW w:w="1023"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545" w:hRule="atLeast"/>
          <w:jc w:val="center"/>
        </w:trPr>
        <w:tc>
          <w:tcPr>
            <w:tcW w:w="388"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5</w:t>
            </w:r>
          </w:p>
        </w:tc>
        <w:tc>
          <w:tcPr>
            <w:tcW w:w="2877"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对职工开展环境风险和环境应急管理宣传和培训（一年一次以上）</w:t>
            </w:r>
          </w:p>
        </w:tc>
        <w:tc>
          <w:tcPr>
            <w:tcW w:w="710"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是</w:t>
            </w:r>
          </w:p>
        </w:tc>
        <w:tc>
          <w:tcPr>
            <w:tcW w:w="1023"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符合</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8" w:space="0"/>
            <w:insideV w:val="single" w:color="auto" w:sz="8" w:space="0"/>
          </w:tblBorders>
          <w:tblCellMar>
            <w:top w:w="0" w:type="dxa"/>
            <w:left w:w="108" w:type="dxa"/>
            <w:bottom w:w="0" w:type="dxa"/>
            <w:right w:w="108" w:type="dxa"/>
          </w:tblCellMar>
        </w:tblPrEx>
        <w:trPr>
          <w:trHeight w:val="388" w:hRule="atLeast"/>
          <w:jc w:val="center"/>
        </w:trPr>
        <w:tc>
          <w:tcPr>
            <w:tcW w:w="388"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6</w:t>
            </w:r>
          </w:p>
        </w:tc>
        <w:tc>
          <w:tcPr>
            <w:tcW w:w="2877"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建立突发环境事件信息报告制度</w:t>
            </w:r>
          </w:p>
        </w:tc>
        <w:tc>
          <w:tcPr>
            <w:tcW w:w="710"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是</w:t>
            </w:r>
          </w:p>
        </w:tc>
        <w:tc>
          <w:tcPr>
            <w:tcW w:w="1023" w:type="pct"/>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符合</w:t>
            </w:r>
          </w:p>
        </w:tc>
      </w:tr>
    </w:tbl>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zh-CN" w:eastAsia="zh-CN" w:bidi="ar-SA"/>
        </w:rPr>
      </w:pPr>
      <w:bookmarkStart w:id="117" w:name="_Toc27282"/>
      <w:bookmarkStart w:id="118" w:name="_Toc456950174"/>
      <w:bookmarkStart w:id="119" w:name="_Toc4393"/>
      <w:bookmarkStart w:id="120" w:name="_Toc32390"/>
      <w:bookmarkStart w:id="121" w:name="_Toc155"/>
      <w:bookmarkStart w:id="122" w:name="_Toc15883"/>
      <w:bookmarkStart w:id="123" w:name="_Toc18115"/>
      <w:r>
        <w:rPr>
          <w:rFonts w:hint="default" w:ascii="Times New Roman" w:hAnsi="Times New Roman" w:eastAsia="仿宋" w:cs="Times New Roman"/>
          <w:b/>
          <w:bCs/>
          <w:kern w:val="2"/>
          <w:sz w:val="32"/>
          <w:szCs w:val="32"/>
          <w:lang w:val="zh-CN" w:eastAsia="zh-CN" w:bidi="ar-SA"/>
        </w:rPr>
        <w:t>5.2环境风险防控与应急措施</w:t>
      </w:r>
      <w:bookmarkEnd w:id="117"/>
      <w:bookmarkEnd w:id="118"/>
      <w:bookmarkEnd w:id="119"/>
      <w:bookmarkEnd w:id="120"/>
      <w:bookmarkEnd w:id="121"/>
      <w:bookmarkEnd w:id="122"/>
      <w:bookmarkEnd w:id="123"/>
    </w:p>
    <w:p>
      <w:pPr>
        <w:widowControl w:val="0"/>
        <w:adjustRightInd w:val="0"/>
        <w:snapToGrid w:val="0"/>
        <w:spacing w:line="360" w:lineRule="auto"/>
        <w:ind w:firstLine="560" w:firstLineChars="200"/>
        <w:jc w:val="both"/>
        <w:rPr>
          <w:rFonts w:hint="default" w:ascii="Times New Roman" w:hAnsi="Times New Roman" w:eastAsia="仿宋" w:cs="Times New Roman"/>
          <w:bCs/>
          <w:color w:val="auto"/>
          <w:kern w:val="2"/>
          <w:sz w:val="28"/>
          <w:szCs w:val="28"/>
          <w:lang w:val="zh-CN" w:eastAsia="zh-CN" w:bidi="ar-SA"/>
        </w:rPr>
      </w:pPr>
      <w:r>
        <w:rPr>
          <w:rFonts w:hint="default" w:ascii="Times New Roman" w:hAnsi="Times New Roman" w:eastAsia="仿宋" w:cs="Times New Roman"/>
          <w:bCs/>
          <w:color w:val="auto"/>
          <w:kern w:val="2"/>
          <w:sz w:val="28"/>
          <w:szCs w:val="28"/>
          <w:lang w:val="zh-CN" w:eastAsia="zh-CN" w:bidi="ar-SA"/>
        </w:rPr>
        <w:t>环境风险防控与应急措施见表5-</w:t>
      </w:r>
      <w:r>
        <w:rPr>
          <w:rFonts w:hint="default" w:ascii="Times New Roman" w:hAnsi="Times New Roman" w:eastAsia="仿宋" w:cs="Times New Roman"/>
          <w:bCs/>
          <w:color w:val="auto"/>
          <w:kern w:val="2"/>
          <w:sz w:val="28"/>
          <w:szCs w:val="28"/>
          <w:lang w:val="en-US" w:eastAsia="zh-CN" w:bidi="ar-SA"/>
        </w:rPr>
        <w:t>2</w:t>
      </w:r>
      <w:r>
        <w:rPr>
          <w:rFonts w:hint="default" w:ascii="Times New Roman" w:hAnsi="Times New Roman" w:eastAsia="仿宋" w:cs="Times New Roman"/>
          <w:bCs/>
          <w:color w:val="auto"/>
          <w:kern w:val="2"/>
          <w:sz w:val="28"/>
          <w:szCs w:val="28"/>
          <w:lang w:val="zh-CN" w:eastAsia="zh-CN" w:bidi="ar-SA"/>
        </w:rPr>
        <w:t>。</w:t>
      </w:r>
    </w:p>
    <w:p>
      <w:pPr>
        <w:widowControl w:val="0"/>
        <w:adjustRightInd w:val="0"/>
        <w:snapToGrid w:val="0"/>
        <w:spacing w:line="360" w:lineRule="auto"/>
        <w:ind w:left="0" w:leftChars="0" w:firstLine="0" w:firstLineChars="0"/>
        <w:jc w:val="center"/>
        <w:rPr>
          <w:rFonts w:hint="default" w:ascii="Times New Roman" w:hAnsi="Times New Roman" w:eastAsia="仿宋" w:cs="Times New Roman"/>
          <w:bCs/>
          <w:color w:val="auto"/>
          <w:kern w:val="2"/>
          <w:sz w:val="28"/>
          <w:szCs w:val="28"/>
          <w:lang w:val="zh-CN" w:eastAsia="zh-CN" w:bidi="ar-SA"/>
        </w:rPr>
      </w:pPr>
      <w:r>
        <w:rPr>
          <w:rFonts w:hint="default" w:ascii="Times New Roman" w:hAnsi="Times New Roman" w:eastAsia="仿宋" w:cs="Times New Roman"/>
          <w:b/>
          <w:bCs/>
          <w:color w:val="auto"/>
          <w:kern w:val="2"/>
          <w:sz w:val="24"/>
          <w:szCs w:val="24"/>
          <w:lang w:val="en-US" w:eastAsia="zh-CN" w:bidi="ar-SA"/>
        </w:rPr>
        <w:t>表5-2  环境风险防控与应急措施</w:t>
      </w:r>
    </w:p>
    <w:tbl>
      <w:tblPr>
        <w:tblStyle w:val="12"/>
        <w:tblW w:w="0" w:type="auto"/>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28" w:type="dxa"/>
          <w:bottom w:w="0" w:type="dxa"/>
          <w:right w:w="28" w:type="dxa"/>
        </w:tblCellMar>
      </w:tblPr>
      <w:tblGrid>
        <w:gridCol w:w="651"/>
        <w:gridCol w:w="6375"/>
        <w:gridCol w:w="675"/>
        <w:gridCol w:w="137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28" w:type="dxa"/>
            <w:bottom w:w="0" w:type="dxa"/>
            <w:right w:w="28" w:type="dxa"/>
          </w:tblCellMar>
        </w:tblPrEx>
        <w:trPr>
          <w:jc w:val="center"/>
        </w:trPr>
        <w:tc>
          <w:tcPr>
            <w:tcW w:w="651" w:type="dxa"/>
            <w:noWrap w:val="0"/>
            <w:vAlign w:val="center"/>
          </w:tcPr>
          <w:p>
            <w:pPr>
              <w:snapToGrid w:val="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序号</w:t>
            </w:r>
          </w:p>
        </w:tc>
        <w:tc>
          <w:tcPr>
            <w:tcW w:w="6375" w:type="dxa"/>
            <w:noWrap w:val="0"/>
            <w:vAlign w:val="center"/>
          </w:tcPr>
          <w:p>
            <w:pPr>
              <w:snapToGrid w:val="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内容</w:t>
            </w:r>
          </w:p>
        </w:tc>
        <w:tc>
          <w:tcPr>
            <w:tcW w:w="675" w:type="dxa"/>
            <w:noWrap w:val="0"/>
            <w:vAlign w:val="center"/>
          </w:tcPr>
          <w:p>
            <w:pPr>
              <w:snapToGrid w:val="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是否</w:t>
            </w:r>
          </w:p>
          <w:p>
            <w:pPr>
              <w:snapToGrid w:val="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设置</w:t>
            </w:r>
          </w:p>
        </w:tc>
        <w:tc>
          <w:tcPr>
            <w:tcW w:w="1370" w:type="dxa"/>
            <w:noWrap w:val="0"/>
            <w:vAlign w:val="center"/>
          </w:tcPr>
          <w:p>
            <w:pPr>
              <w:snapToGrid w:val="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是否与应急</w:t>
            </w:r>
          </w:p>
          <w:p>
            <w:pPr>
              <w:snapToGrid w:val="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措施相符合</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28" w:type="dxa"/>
            <w:bottom w:w="0" w:type="dxa"/>
            <w:right w:w="28" w:type="dxa"/>
          </w:tblCellMar>
        </w:tblPrEx>
        <w:trPr>
          <w:jc w:val="center"/>
        </w:trPr>
        <w:tc>
          <w:tcPr>
            <w:tcW w:w="651"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1</w:t>
            </w:r>
          </w:p>
        </w:tc>
        <w:tc>
          <w:tcPr>
            <w:tcW w:w="6375" w:type="dxa"/>
            <w:noWrap w:val="0"/>
            <w:vAlign w:val="center"/>
          </w:tcPr>
          <w:p>
            <w:pPr>
              <w:snapToGrid w:val="0"/>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是否与大气环境敏感点建立联系，是否开展安全教育活动、应急演练，是否设有应急避难所和撤离路线等，分析每项防控措施的岗位职责落实情况和措施的有效性</w:t>
            </w:r>
          </w:p>
        </w:tc>
        <w:tc>
          <w:tcPr>
            <w:tcW w:w="675"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是</w:t>
            </w:r>
          </w:p>
        </w:tc>
        <w:tc>
          <w:tcPr>
            <w:tcW w:w="1370"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符合</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28" w:type="dxa"/>
            <w:bottom w:w="0" w:type="dxa"/>
            <w:right w:w="28" w:type="dxa"/>
          </w:tblCellMar>
        </w:tblPrEx>
        <w:trPr>
          <w:jc w:val="center"/>
        </w:trPr>
        <w:tc>
          <w:tcPr>
            <w:tcW w:w="651"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2</w:t>
            </w:r>
          </w:p>
        </w:tc>
        <w:tc>
          <w:tcPr>
            <w:tcW w:w="6375" w:type="dxa"/>
            <w:noWrap w:val="0"/>
            <w:vAlign w:val="center"/>
          </w:tcPr>
          <w:p>
            <w:pPr>
              <w:snapToGrid w:val="0"/>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是否在水体环境敏感点建有通道防控、水工防护、应急物资等风险防控措施，分析每项措施的岗位职责落实情况和措施的有效性</w:t>
            </w:r>
          </w:p>
        </w:tc>
        <w:tc>
          <w:tcPr>
            <w:tcW w:w="675"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是</w:t>
            </w:r>
          </w:p>
        </w:tc>
        <w:tc>
          <w:tcPr>
            <w:tcW w:w="1370"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符合</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rPr>
          <w:jc w:val="center"/>
        </w:trPr>
        <w:tc>
          <w:tcPr>
            <w:tcW w:w="651"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3</w:t>
            </w:r>
          </w:p>
        </w:tc>
        <w:tc>
          <w:tcPr>
            <w:tcW w:w="6375" w:type="dxa"/>
            <w:noWrap w:val="0"/>
            <w:vAlign w:val="center"/>
          </w:tcPr>
          <w:p>
            <w:pPr>
              <w:snapToGrid w:val="0"/>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是否在易发生地质灾害管段设有风险防控措施，分析每项措施的岗位职责落实情况和措施的有效性</w:t>
            </w:r>
          </w:p>
        </w:tc>
        <w:tc>
          <w:tcPr>
            <w:tcW w:w="675"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是</w:t>
            </w:r>
          </w:p>
        </w:tc>
        <w:tc>
          <w:tcPr>
            <w:tcW w:w="1370"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符合</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28" w:type="dxa"/>
            <w:bottom w:w="0" w:type="dxa"/>
            <w:right w:w="28" w:type="dxa"/>
          </w:tblCellMar>
        </w:tblPrEx>
        <w:trPr>
          <w:jc w:val="center"/>
        </w:trPr>
        <w:tc>
          <w:tcPr>
            <w:tcW w:w="651"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b/>
                <w:bCs/>
                <w:sz w:val="21"/>
                <w:szCs w:val="21"/>
                <w:highlight w:val="none"/>
              </w:rPr>
              <w:t>需要完善内容</w:t>
            </w:r>
          </w:p>
        </w:tc>
        <w:tc>
          <w:tcPr>
            <w:tcW w:w="8420" w:type="dxa"/>
            <w:gridSpan w:val="3"/>
            <w:noWrap w:val="0"/>
            <w:vAlign w:val="center"/>
          </w:tcPr>
          <w:p>
            <w:pPr>
              <w:snapToGrid w:val="0"/>
              <w:jc w:val="left"/>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加强监控设施、火灾声光报警器和报警按钮的维护，确保各措施有效；</w:t>
            </w:r>
          </w:p>
          <w:p>
            <w:pPr>
              <w:snapToGrid w:val="0"/>
              <w:jc w:val="left"/>
              <w:rPr>
                <w:rFonts w:hint="default" w:ascii="Times New Roman" w:hAnsi="Times New Roman" w:eastAsia="仿宋" w:cs="Times New Roman"/>
                <w:sz w:val="21"/>
                <w:szCs w:val="21"/>
                <w:highlight w:val="none"/>
              </w:rPr>
            </w:pPr>
            <w:r>
              <w:rPr>
                <w:rFonts w:hint="default" w:ascii="Times New Roman" w:hAnsi="Times New Roman" w:eastAsia="仿宋" w:cs="Times New Roman"/>
                <w:b/>
                <w:bCs/>
                <w:sz w:val="21"/>
                <w:szCs w:val="21"/>
                <w:highlight w:val="none"/>
              </w:rPr>
              <w:t>落实提醒周边公众紧急疏散措施。</w:t>
            </w:r>
          </w:p>
        </w:tc>
      </w:tr>
    </w:tbl>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zh-CN" w:eastAsia="zh-CN" w:bidi="ar-SA"/>
        </w:rPr>
      </w:pPr>
      <w:bookmarkStart w:id="124" w:name="_Toc5109"/>
      <w:bookmarkStart w:id="125" w:name="_Toc2324"/>
      <w:bookmarkStart w:id="126" w:name="_Toc7217"/>
      <w:bookmarkStart w:id="127" w:name="_Toc23512"/>
      <w:bookmarkStart w:id="128" w:name="_Toc30668"/>
      <w:bookmarkStart w:id="129" w:name="_Toc456950175"/>
      <w:bookmarkStart w:id="130" w:name="_Toc8394"/>
      <w:r>
        <w:rPr>
          <w:rFonts w:hint="default" w:ascii="Times New Roman" w:hAnsi="Times New Roman" w:eastAsia="仿宋" w:cs="Times New Roman"/>
          <w:b/>
          <w:bCs/>
          <w:kern w:val="2"/>
          <w:sz w:val="32"/>
          <w:szCs w:val="32"/>
          <w:lang w:val="zh-CN" w:eastAsia="zh-CN" w:bidi="ar-SA"/>
        </w:rPr>
        <w:t>5.3环境应急资源</w:t>
      </w:r>
      <w:bookmarkEnd w:id="124"/>
      <w:bookmarkEnd w:id="125"/>
      <w:bookmarkEnd w:id="126"/>
      <w:bookmarkEnd w:id="127"/>
      <w:bookmarkEnd w:id="128"/>
      <w:bookmarkEnd w:id="129"/>
      <w:bookmarkEnd w:id="130"/>
    </w:p>
    <w:p>
      <w:pPr>
        <w:widowControl w:val="0"/>
        <w:adjustRightInd w:val="0"/>
        <w:snapToGrid w:val="0"/>
        <w:spacing w:line="360" w:lineRule="auto"/>
        <w:ind w:firstLine="560" w:firstLineChars="200"/>
        <w:jc w:val="both"/>
        <w:rPr>
          <w:rFonts w:hint="default" w:ascii="Times New Roman" w:hAnsi="Times New Roman" w:eastAsia="仿宋" w:cs="Times New Roman"/>
          <w:bCs/>
          <w:color w:val="auto"/>
          <w:kern w:val="2"/>
          <w:sz w:val="28"/>
          <w:szCs w:val="28"/>
          <w:lang w:val="zh-CN" w:eastAsia="zh-CN" w:bidi="ar-SA"/>
        </w:rPr>
      </w:pPr>
      <w:r>
        <w:rPr>
          <w:rFonts w:hint="default" w:ascii="Times New Roman" w:hAnsi="Times New Roman" w:eastAsia="仿宋" w:cs="Times New Roman"/>
          <w:bCs/>
          <w:color w:val="auto"/>
          <w:kern w:val="2"/>
          <w:sz w:val="28"/>
          <w:szCs w:val="28"/>
          <w:lang w:val="zh-CN" w:eastAsia="zh-CN" w:bidi="ar-SA"/>
        </w:rPr>
        <w:t>环境应急资源见表5-</w:t>
      </w:r>
      <w:r>
        <w:rPr>
          <w:rFonts w:hint="default" w:ascii="Times New Roman" w:hAnsi="Times New Roman" w:eastAsia="仿宋" w:cs="Times New Roman"/>
          <w:bCs/>
          <w:color w:val="auto"/>
          <w:kern w:val="2"/>
          <w:sz w:val="28"/>
          <w:szCs w:val="28"/>
          <w:lang w:val="en-US" w:eastAsia="zh-CN" w:bidi="ar-SA"/>
        </w:rPr>
        <w:t>3</w:t>
      </w:r>
      <w:r>
        <w:rPr>
          <w:rFonts w:hint="default" w:ascii="Times New Roman" w:hAnsi="Times New Roman" w:eastAsia="仿宋" w:cs="Times New Roman"/>
          <w:bCs/>
          <w:color w:val="auto"/>
          <w:kern w:val="2"/>
          <w:sz w:val="28"/>
          <w:szCs w:val="28"/>
          <w:lang w:val="zh-CN" w:eastAsia="zh-CN" w:bidi="ar-SA"/>
        </w:rPr>
        <w:t>。</w:t>
      </w:r>
    </w:p>
    <w:p>
      <w:pPr>
        <w:adjustRightInd w:val="0"/>
        <w:snapToGrid w:val="0"/>
        <w:spacing w:line="240" w:lineRule="auto"/>
        <w:ind w:firstLine="0" w:firstLineChars="0"/>
        <w:jc w:val="center"/>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sz w:val="24"/>
          <w:szCs w:val="24"/>
        </w:rPr>
        <w:t>表5-</w:t>
      </w:r>
      <w:r>
        <w:rPr>
          <w:rFonts w:hint="default" w:ascii="Times New Roman" w:hAnsi="Times New Roman" w:eastAsia="仿宋" w:cs="Times New Roman"/>
          <w:b/>
          <w:bCs/>
          <w:color w:val="auto"/>
          <w:sz w:val="24"/>
          <w:szCs w:val="24"/>
          <w:lang w:val="en-US" w:eastAsia="zh-CN"/>
        </w:rPr>
        <w:t>3</w:t>
      </w:r>
      <w:r>
        <w:rPr>
          <w:rFonts w:hint="default" w:ascii="Times New Roman" w:hAnsi="Times New Roman" w:eastAsia="仿宋" w:cs="Times New Roman"/>
          <w:b/>
          <w:bCs/>
          <w:color w:val="auto"/>
          <w:sz w:val="24"/>
          <w:szCs w:val="24"/>
        </w:rPr>
        <w:t xml:space="preserve">   环境应急资源</w:t>
      </w:r>
    </w:p>
    <w:p>
      <w:pPr>
        <w:widowControl w:val="0"/>
        <w:adjustRightInd w:val="0"/>
        <w:snapToGrid w:val="0"/>
        <w:spacing w:line="360" w:lineRule="auto"/>
        <w:ind w:left="0" w:leftChars="0" w:firstLine="0" w:firstLineChars="0"/>
        <w:jc w:val="center"/>
        <w:rPr>
          <w:rFonts w:hint="default" w:ascii="Times New Roman" w:hAnsi="Times New Roman" w:eastAsia="仿宋" w:cs="Times New Roman"/>
          <w:bCs/>
          <w:color w:val="auto"/>
          <w:kern w:val="2"/>
          <w:sz w:val="28"/>
          <w:szCs w:val="28"/>
          <w:lang w:val="zh-CN" w:eastAsia="zh-CN" w:bidi="ar-SA"/>
        </w:rPr>
      </w:pPr>
    </w:p>
    <w:tbl>
      <w:tblPr>
        <w:tblStyle w:val="12"/>
        <w:tblW w:w="0" w:type="auto"/>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28" w:type="dxa"/>
          <w:bottom w:w="0" w:type="dxa"/>
          <w:right w:w="28" w:type="dxa"/>
        </w:tblCellMar>
      </w:tblPr>
      <w:tblGrid>
        <w:gridCol w:w="666"/>
        <w:gridCol w:w="6390"/>
        <w:gridCol w:w="660"/>
        <w:gridCol w:w="1355"/>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28" w:type="dxa"/>
            <w:bottom w:w="0" w:type="dxa"/>
            <w:right w:w="28" w:type="dxa"/>
          </w:tblCellMar>
        </w:tblPrEx>
        <w:trPr>
          <w:trHeight w:val="23" w:hRule="atLeast"/>
          <w:jc w:val="center"/>
        </w:trPr>
        <w:tc>
          <w:tcPr>
            <w:tcW w:w="666" w:type="dxa"/>
            <w:noWrap w:val="0"/>
            <w:vAlign w:val="center"/>
          </w:tcPr>
          <w:p>
            <w:pPr>
              <w:snapToGrid w:val="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序号</w:t>
            </w:r>
          </w:p>
        </w:tc>
        <w:tc>
          <w:tcPr>
            <w:tcW w:w="6390" w:type="dxa"/>
            <w:noWrap w:val="0"/>
            <w:vAlign w:val="center"/>
          </w:tcPr>
          <w:p>
            <w:pPr>
              <w:snapToGrid w:val="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内容</w:t>
            </w:r>
          </w:p>
        </w:tc>
        <w:tc>
          <w:tcPr>
            <w:tcW w:w="660" w:type="dxa"/>
            <w:noWrap w:val="0"/>
            <w:vAlign w:val="center"/>
          </w:tcPr>
          <w:p>
            <w:pPr>
              <w:snapToGrid w:val="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是否配备</w:t>
            </w:r>
          </w:p>
        </w:tc>
        <w:tc>
          <w:tcPr>
            <w:tcW w:w="1355" w:type="dxa"/>
            <w:noWrap w:val="0"/>
            <w:vAlign w:val="center"/>
          </w:tcPr>
          <w:p>
            <w:pPr>
              <w:snapToGrid w:val="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是否与应急</w:t>
            </w:r>
          </w:p>
          <w:p>
            <w:pPr>
              <w:snapToGrid w:val="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措施相符合</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28" w:type="dxa"/>
            <w:bottom w:w="0" w:type="dxa"/>
            <w:right w:w="28" w:type="dxa"/>
          </w:tblCellMar>
        </w:tblPrEx>
        <w:trPr>
          <w:trHeight w:val="23" w:hRule="atLeast"/>
          <w:jc w:val="center"/>
        </w:trPr>
        <w:tc>
          <w:tcPr>
            <w:tcW w:w="666"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1</w:t>
            </w:r>
          </w:p>
        </w:tc>
        <w:tc>
          <w:tcPr>
            <w:tcW w:w="6390" w:type="dxa"/>
            <w:noWrap w:val="0"/>
            <w:vAlign w:val="center"/>
          </w:tcPr>
          <w:p>
            <w:pPr>
              <w:snapToGrid w:val="0"/>
              <w:jc w:val="left"/>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是否根据事故情景，配备了数量充足、种类齐全的应急物资和应急装备</w:t>
            </w:r>
          </w:p>
        </w:tc>
        <w:tc>
          <w:tcPr>
            <w:tcW w:w="660"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是</w:t>
            </w:r>
          </w:p>
        </w:tc>
        <w:tc>
          <w:tcPr>
            <w:tcW w:w="1355"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符合</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28" w:type="dxa"/>
            <w:bottom w:w="0" w:type="dxa"/>
            <w:right w:w="28" w:type="dxa"/>
          </w:tblCellMar>
        </w:tblPrEx>
        <w:trPr>
          <w:trHeight w:val="23" w:hRule="atLeast"/>
          <w:jc w:val="center"/>
        </w:trPr>
        <w:tc>
          <w:tcPr>
            <w:tcW w:w="666"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2</w:t>
            </w:r>
          </w:p>
        </w:tc>
        <w:tc>
          <w:tcPr>
            <w:tcW w:w="6390" w:type="dxa"/>
            <w:noWrap w:val="0"/>
            <w:vAlign w:val="center"/>
          </w:tcPr>
          <w:p>
            <w:pPr>
              <w:snapToGrid w:val="0"/>
              <w:jc w:val="left"/>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是否设置了专职或兼职人员组成的应急救援队伍</w:t>
            </w:r>
          </w:p>
        </w:tc>
        <w:tc>
          <w:tcPr>
            <w:tcW w:w="660"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是</w:t>
            </w:r>
          </w:p>
        </w:tc>
        <w:tc>
          <w:tcPr>
            <w:tcW w:w="1355"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符合</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28" w:type="dxa"/>
            <w:bottom w:w="0" w:type="dxa"/>
            <w:right w:w="28" w:type="dxa"/>
          </w:tblCellMar>
        </w:tblPrEx>
        <w:trPr>
          <w:trHeight w:val="23" w:hRule="atLeast"/>
          <w:jc w:val="center"/>
        </w:trPr>
        <w:tc>
          <w:tcPr>
            <w:tcW w:w="666"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3</w:t>
            </w:r>
          </w:p>
        </w:tc>
        <w:tc>
          <w:tcPr>
            <w:tcW w:w="6390" w:type="dxa"/>
            <w:noWrap w:val="0"/>
            <w:vAlign w:val="center"/>
          </w:tcPr>
          <w:p>
            <w:pPr>
              <w:snapToGrid w:val="0"/>
              <w:jc w:val="left"/>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是否与其他组织或单位签订应急救援协议或互救协议（包括应急物资、应急装备和救援队伍等情况）</w:t>
            </w:r>
          </w:p>
        </w:tc>
        <w:tc>
          <w:tcPr>
            <w:tcW w:w="660"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是</w:t>
            </w:r>
          </w:p>
        </w:tc>
        <w:tc>
          <w:tcPr>
            <w:tcW w:w="1355"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符合</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28" w:type="dxa"/>
            <w:bottom w:w="0" w:type="dxa"/>
            <w:right w:w="28" w:type="dxa"/>
          </w:tblCellMar>
        </w:tblPrEx>
        <w:trPr>
          <w:trHeight w:val="23" w:hRule="atLeast"/>
          <w:jc w:val="center"/>
        </w:trPr>
        <w:tc>
          <w:tcPr>
            <w:tcW w:w="666"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4</w:t>
            </w:r>
          </w:p>
        </w:tc>
        <w:tc>
          <w:tcPr>
            <w:tcW w:w="6390" w:type="dxa"/>
            <w:noWrap w:val="0"/>
            <w:vAlign w:val="center"/>
          </w:tcPr>
          <w:p>
            <w:pPr>
              <w:snapToGrid w:val="0"/>
              <w:jc w:val="left"/>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根据地形、路况、交通工具分析到达事故现场的时间，与泄漏时间进行比较分析，采取有效的补救措施和防控对策</w:t>
            </w:r>
          </w:p>
        </w:tc>
        <w:tc>
          <w:tcPr>
            <w:tcW w:w="660"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是</w:t>
            </w:r>
          </w:p>
        </w:tc>
        <w:tc>
          <w:tcPr>
            <w:tcW w:w="1355"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符合</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28" w:type="dxa"/>
            <w:bottom w:w="0" w:type="dxa"/>
            <w:right w:w="28" w:type="dxa"/>
          </w:tblCellMar>
        </w:tblPrEx>
        <w:trPr>
          <w:trHeight w:val="23" w:hRule="atLeast"/>
          <w:jc w:val="center"/>
        </w:trPr>
        <w:tc>
          <w:tcPr>
            <w:tcW w:w="666" w:type="dxa"/>
            <w:noWrap w:val="0"/>
            <w:vAlign w:val="center"/>
          </w:tcPr>
          <w:p>
            <w:pPr>
              <w:snapToGrid w:val="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b/>
                <w:bCs/>
                <w:sz w:val="21"/>
                <w:szCs w:val="21"/>
                <w:highlight w:val="none"/>
              </w:rPr>
              <w:t>需要完善内容</w:t>
            </w:r>
          </w:p>
        </w:tc>
        <w:tc>
          <w:tcPr>
            <w:tcW w:w="8405" w:type="dxa"/>
            <w:gridSpan w:val="3"/>
            <w:noWrap w:val="0"/>
            <w:vAlign w:val="center"/>
          </w:tcPr>
          <w:p>
            <w:pPr>
              <w:snapToGrid w:val="0"/>
              <w:jc w:val="left"/>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进一步补充需完善应急物资和应急装备；</w:t>
            </w:r>
          </w:p>
          <w:p>
            <w:pPr>
              <w:snapToGrid w:val="0"/>
              <w:jc w:val="left"/>
              <w:rPr>
                <w:rFonts w:hint="default" w:ascii="Times New Roman" w:hAnsi="Times New Roman" w:eastAsia="仿宋" w:cs="Times New Roman"/>
                <w:sz w:val="21"/>
                <w:szCs w:val="21"/>
                <w:highlight w:val="none"/>
              </w:rPr>
            </w:pPr>
            <w:r>
              <w:rPr>
                <w:rFonts w:hint="default" w:ascii="Times New Roman" w:hAnsi="Times New Roman" w:eastAsia="仿宋" w:cs="Times New Roman"/>
                <w:b/>
                <w:bCs/>
                <w:sz w:val="21"/>
                <w:szCs w:val="21"/>
                <w:highlight w:val="none"/>
              </w:rPr>
              <w:t>需要与其他组织如医院、消防等签订应急救援协议。</w:t>
            </w:r>
          </w:p>
        </w:tc>
      </w:tr>
    </w:tbl>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zh-CN" w:eastAsia="zh-CN" w:bidi="ar-SA"/>
        </w:rPr>
      </w:pPr>
      <w:bookmarkStart w:id="131" w:name="_Toc21513"/>
      <w:bookmarkStart w:id="132" w:name="_Toc11240"/>
      <w:bookmarkStart w:id="133" w:name="_Toc12857"/>
      <w:bookmarkStart w:id="134" w:name="_Toc18304"/>
      <w:bookmarkStart w:id="135" w:name="_Toc456950176"/>
      <w:bookmarkStart w:id="136" w:name="_Toc24752"/>
      <w:bookmarkStart w:id="137" w:name="_Toc3503"/>
      <w:r>
        <w:rPr>
          <w:rFonts w:hint="default" w:ascii="Times New Roman" w:hAnsi="Times New Roman" w:eastAsia="仿宋" w:cs="Times New Roman"/>
          <w:b/>
          <w:bCs/>
          <w:kern w:val="2"/>
          <w:sz w:val="32"/>
          <w:szCs w:val="32"/>
          <w:lang w:val="zh-CN" w:eastAsia="zh-CN" w:bidi="ar-SA"/>
        </w:rPr>
        <w:t>5.4历史经验教训总结</w:t>
      </w:r>
      <w:bookmarkEnd w:id="131"/>
      <w:bookmarkEnd w:id="132"/>
      <w:bookmarkEnd w:id="133"/>
      <w:bookmarkEnd w:id="134"/>
      <w:bookmarkEnd w:id="135"/>
      <w:bookmarkEnd w:id="136"/>
      <w:bookmarkEnd w:id="137"/>
    </w:p>
    <w:p>
      <w:pPr>
        <w:spacing w:line="360" w:lineRule="auto"/>
        <w:ind w:firstLine="560" w:firstLineChars="200"/>
        <w:rPr>
          <w:rFonts w:hint="default" w:ascii="Times New Roman" w:hAnsi="Times New Roman" w:eastAsia="仿宋" w:cs="Times New Roman"/>
          <w:sz w:val="28"/>
          <w:szCs w:val="28"/>
          <w:highlight w:val="none"/>
          <w:lang w:val="zh-CN"/>
        </w:rPr>
      </w:pPr>
      <w:r>
        <w:rPr>
          <w:rFonts w:hint="default" w:ascii="Times New Roman" w:hAnsi="Times New Roman" w:eastAsia="仿宋" w:cs="Times New Roman"/>
          <w:sz w:val="28"/>
          <w:szCs w:val="28"/>
          <w:highlight w:val="none"/>
          <w:lang w:val="zh-CN"/>
        </w:rPr>
        <w:t>对前文收集的国内同类企业突发环境事件案例进行分析、总结。公司引以为戒、吸取历史经验教训，针对上述酿成事故的原因，采取了如下相应对策：</w:t>
      </w:r>
    </w:p>
    <w:p>
      <w:pPr>
        <w:spacing w:line="360" w:lineRule="auto"/>
        <w:ind w:firstLine="560" w:firstLineChars="200"/>
        <w:rPr>
          <w:rFonts w:hint="default" w:ascii="Times New Roman" w:hAnsi="Times New Roman" w:eastAsia="仿宋" w:cs="Times New Roman"/>
          <w:sz w:val="28"/>
          <w:szCs w:val="28"/>
          <w:highlight w:val="none"/>
        </w:rPr>
      </w:pPr>
      <w:r>
        <w:rPr>
          <w:rFonts w:hint="default" w:ascii="Times New Roman" w:hAnsi="Times New Roman" w:eastAsia="仿宋" w:cs="Times New Roman"/>
          <w:sz w:val="28"/>
          <w:szCs w:val="28"/>
          <w:highlight w:val="none"/>
          <w:lang w:val="zh-CN"/>
        </w:rPr>
        <w:t>定期</w:t>
      </w:r>
      <w:r>
        <w:rPr>
          <w:rFonts w:hint="default" w:ascii="Times New Roman" w:hAnsi="Times New Roman" w:eastAsia="仿宋" w:cs="Times New Roman"/>
          <w:sz w:val="28"/>
          <w:szCs w:val="28"/>
          <w:highlight w:val="none"/>
        </w:rPr>
        <w:t>巡查并对管线和设备进行检修、监控生产工艺运行设备</w:t>
      </w:r>
      <w:r>
        <w:rPr>
          <w:rFonts w:hint="default" w:ascii="Times New Roman" w:hAnsi="Times New Roman" w:eastAsia="仿宋" w:cs="Times New Roman"/>
          <w:sz w:val="28"/>
          <w:szCs w:val="28"/>
          <w:highlight w:val="none"/>
          <w:lang w:val="zh-CN"/>
        </w:rPr>
        <w:t>，</w:t>
      </w:r>
      <w:r>
        <w:rPr>
          <w:rFonts w:hint="default" w:ascii="Times New Roman" w:hAnsi="Times New Roman" w:eastAsia="仿宋" w:cs="Times New Roman"/>
          <w:sz w:val="28"/>
          <w:szCs w:val="28"/>
          <w:highlight w:val="none"/>
        </w:rPr>
        <w:t>确保工艺设备运行正常。定期检查安全消防设施以及应急物资的有效性，确保在出现突发环境事件，安全消防设施以及应急物资能够得到有效利用。</w:t>
      </w:r>
    </w:p>
    <w:p>
      <w:pPr>
        <w:spacing w:line="360" w:lineRule="auto"/>
        <w:ind w:firstLine="560" w:firstLineChars="200"/>
        <w:rPr>
          <w:rFonts w:hint="default" w:ascii="Times New Roman" w:hAnsi="Times New Roman" w:eastAsia="仿宋" w:cs="Times New Roman"/>
          <w:sz w:val="28"/>
          <w:szCs w:val="28"/>
          <w:highlight w:val="none"/>
          <w:lang w:val="zh-CN"/>
        </w:rPr>
      </w:pPr>
      <w:r>
        <w:rPr>
          <w:rFonts w:hint="default" w:ascii="Times New Roman" w:hAnsi="Times New Roman" w:eastAsia="仿宋" w:cs="Times New Roman"/>
          <w:sz w:val="28"/>
          <w:szCs w:val="28"/>
          <w:highlight w:val="none"/>
          <w:lang w:val="zh-CN"/>
        </w:rPr>
        <w:t>加强管理，定期开展员工培训，提高员工素质、增强操作技能；内部、外部培训后进行考试。对员工考核结果应记录备案，考试通过即为合格。考试合格者才能使用，不合格者应继续补习，直到合格为止，做到上岗持证。</w:t>
      </w:r>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zh-CN" w:eastAsia="zh-CN" w:bidi="ar-SA"/>
        </w:rPr>
      </w:pPr>
      <w:bookmarkStart w:id="138" w:name="_Toc25400"/>
      <w:bookmarkStart w:id="139" w:name="_Toc32582"/>
      <w:r>
        <w:rPr>
          <w:rFonts w:hint="default" w:ascii="Times New Roman" w:hAnsi="Times New Roman" w:eastAsia="仿宋" w:cs="Times New Roman"/>
          <w:b/>
          <w:bCs/>
          <w:kern w:val="2"/>
          <w:sz w:val="32"/>
          <w:szCs w:val="32"/>
          <w:lang w:val="zh-CN" w:eastAsia="zh-CN" w:bidi="ar-SA"/>
        </w:rPr>
        <w:t>5.5需要整改的短期、中期和长期项目内容</w:t>
      </w:r>
      <w:bookmarkEnd w:id="138"/>
      <w:bookmarkEnd w:id="139"/>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针对上述排查的每一项差距和隐患，根据其危害性、紧迫性和治理时间的长短，提出需要完成整改的期限，分别按短期（3个月）、中期（3-6个月）和长期（6个月以上）给出，详见下表。</w:t>
      </w:r>
    </w:p>
    <w:p>
      <w:pPr>
        <w:spacing w:line="360" w:lineRule="auto"/>
        <w:ind w:firstLine="482" w:firstLineChars="200"/>
        <w:jc w:val="center"/>
        <w:rPr>
          <w:rFonts w:hint="default" w:ascii="Times New Roman" w:hAnsi="Times New Roman" w:eastAsia="仿宋" w:cs="Times New Roman"/>
          <w:b/>
          <w:bCs/>
          <w:snapToGrid w:val="0"/>
          <w:color w:val="auto"/>
          <w:kern w:val="0"/>
          <w:sz w:val="24"/>
          <w:szCs w:val="24"/>
        </w:rPr>
      </w:pPr>
      <w:r>
        <w:rPr>
          <w:rFonts w:hint="default" w:ascii="Times New Roman" w:hAnsi="Times New Roman" w:eastAsia="仿宋" w:cs="Times New Roman"/>
          <w:b/>
          <w:bCs/>
          <w:snapToGrid w:val="0"/>
          <w:color w:val="auto"/>
          <w:kern w:val="0"/>
          <w:sz w:val="24"/>
          <w:szCs w:val="24"/>
        </w:rPr>
        <w:t>表5-</w:t>
      </w:r>
      <w:r>
        <w:rPr>
          <w:rFonts w:hint="default" w:ascii="Times New Roman" w:hAnsi="Times New Roman" w:eastAsia="仿宋" w:cs="Times New Roman"/>
          <w:b/>
          <w:bCs/>
          <w:snapToGrid w:val="0"/>
          <w:color w:val="auto"/>
          <w:kern w:val="0"/>
          <w:sz w:val="24"/>
          <w:szCs w:val="24"/>
          <w:lang w:val="en-US" w:eastAsia="zh-CN"/>
        </w:rPr>
        <w:t>4</w:t>
      </w:r>
      <w:r>
        <w:rPr>
          <w:rFonts w:hint="default" w:ascii="Times New Roman" w:hAnsi="Times New Roman" w:eastAsia="仿宋" w:cs="Times New Roman"/>
          <w:b/>
          <w:bCs/>
          <w:snapToGrid w:val="0"/>
          <w:color w:val="auto"/>
          <w:kern w:val="0"/>
          <w:sz w:val="24"/>
          <w:szCs w:val="24"/>
        </w:rPr>
        <w:t xml:space="preserve">  本企业要整改内容</w:t>
      </w:r>
    </w:p>
    <w:tbl>
      <w:tblPr>
        <w:tblStyle w:val="12"/>
        <w:tblW w:w="850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69"/>
        <w:gridCol w:w="1503"/>
        <w:gridCol w:w="3068"/>
        <w:gridCol w:w="808"/>
        <w:gridCol w:w="1079"/>
        <w:gridCol w:w="97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069" w:type="dxa"/>
            <w:noWrap w:val="0"/>
            <w:vAlign w:val="center"/>
          </w:tcPr>
          <w:p>
            <w:pPr>
              <w:pStyle w:val="23"/>
              <w:ind w:firstLine="0" w:firstLineChars="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整改期限</w:t>
            </w:r>
          </w:p>
        </w:tc>
        <w:tc>
          <w:tcPr>
            <w:tcW w:w="4571" w:type="dxa"/>
            <w:gridSpan w:val="2"/>
            <w:noWrap w:val="0"/>
            <w:vAlign w:val="center"/>
          </w:tcPr>
          <w:p>
            <w:pPr>
              <w:pStyle w:val="23"/>
              <w:ind w:firstLine="482"/>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实施计划</w:t>
            </w:r>
          </w:p>
        </w:tc>
        <w:tc>
          <w:tcPr>
            <w:tcW w:w="808" w:type="dxa"/>
            <w:noWrap w:val="0"/>
            <w:vAlign w:val="center"/>
          </w:tcPr>
          <w:p>
            <w:pPr>
              <w:pStyle w:val="23"/>
              <w:ind w:firstLine="0" w:firstLineChars="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责任人</w:t>
            </w:r>
          </w:p>
        </w:tc>
        <w:tc>
          <w:tcPr>
            <w:tcW w:w="1079" w:type="dxa"/>
            <w:noWrap w:val="0"/>
            <w:vAlign w:val="center"/>
          </w:tcPr>
          <w:p>
            <w:pPr>
              <w:pStyle w:val="23"/>
              <w:ind w:firstLine="0" w:firstLineChars="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应急职务</w:t>
            </w:r>
          </w:p>
        </w:tc>
        <w:tc>
          <w:tcPr>
            <w:tcW w:w="977" w:type="dxa"/>
            <w:noWrap w:val="0"/>
            <w:vAlign w:val="center"/>
          </w:tcPr>
          <w:p>
            <w:pPr>
              <w:pStyle w:val="23"/>
              <w:ind w:firstLine="0" w:firstLineChars="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时限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069" w:type="dxa"/>
            <w:noWrap w:val="0"/>
            <w:vAlign w:val="center"/>
          </w:tcPr>
          <w:p>
            <w:pPr>
              <w:pStyle w:val="23"/>
              <w:ind w:firstLine="0" w:firstLineChars="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短期</w:t>
            </w:r>
          </w:p>
        </w:tc>
        <w:tc>
          <w:tcPr>
            <w:tcW w:w="1503" w:type="dxa"/>
            <w:noWrap w:val="0"/>
            <w:vAlign w:val="center"/>
          </w:tcPr>
          <w:p>
            <w:pPr>
              <w:pStyle w:val="23"/>
              <w:ind w:firstLine="0" w:firstLineChars="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应急救援物质</w:t>
            </w:r>
          </w:p>
        </w:tc>
        <w:tc>
          <w:tcPr>
            <w:tcW w:w="3068" w:type="dxa"/>
            <w:noWrap w:val="0"/>
            <w:vAlign w:val="center"/>
          </w:tcPr>
          <w:p>
            <w:pPr>
              <w:pStyle w:val="23"/>
              <w:ind w:firstLine="0" w:firstLineChars="0"/>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配备必要的应急救援物资</w:t>
            </w:r>
          </w:p>
        </w:tc>
        <w:tc>
          <w:tcPr>
            <w:tcW w:w="808" w:type="dxa"/>
            <w:noWrap w:val="0"/>
            <w:vAlign w:val="center"/>
          </w:tcPr>
          <w:p>
            <w:pPr>
              <w:pStyle w:val="23"/>
              <w:ind w:firstLine="0" w:firstLineChars="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lang w:eastAsia="zh-CN"/>
              </w:rPr>
              <w:t>王耸</w:t>
            </w:r>
          </w:p>
        </w:tc>
        <w:tc>
          <w:tcPr>
            <w:tcW w:w="1079" w:type="dxa"/>
            <w:noWrap w:val="0"/>
            <w:vAlign w:val="center"/>
          </w:tcPr>
          <w:p>
            <w:pPr>
              <w:pStyle w:val="23"/>
              <w:ind w:firstLine="0" w:firstLineChars="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应急办公室主任</w:t>
            </w:r>
          </w:p>
        </w:tc>
        <w:tc>
          <w:tcPr>
            <w:tcW w:w="977" w:type="dxa"/>
            <w:noWrap w:val="0"/>
            <w:vAlign w:val="center"/>
          </w:tcPr>
          <w:p>
            <w:pPr>
              <w:pStyle w:val="23"/>
              <w:ind w:firstLine="0" w:firstLineChars="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1个月内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069" w:type="dxa"/>
            <w:noWrap w:val="0"/>
            <w:vAlign w:val="center"/>
          </w:tcPr>
          <w:p>
            <w:pPr>
              <w:pStyle w:val="23"/>
              <w:ind w:firstLine="0" w:firstLineChars="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中期</w:t>
            </w:r>
          </w:p>
        </w:tc>
        <w:tc>
          <w:tcPr>
            <w:tcW w:w="1503" w:type="dxa"/>
            <w:noWrap w:val="0"/>
            <w:vAlign w:val="center"/>
          </w:tcPr>
          <w:p>
            <w:pPr>
              <w:pStyle w:val="23"/>
              <w:ind w:firstLine="0" w:firstLineChars="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环境风险</w:t>
            </w:r>
          </w:p>
          <w:p>
            <w:pPr>
              <w:pStyle w:val="23"/>
              <w:ind w:firstLine="0" w:firstLineChars="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管理制度</w:t>
            </w:r>
          </w:p>
        </w:tc>
        <w:tc>
          <w:tcPr>
            <w:tcW w:w="3068" w:type="dxa"/>
            <w:noWrap w:val="0"/>
            <w:vAlign w:val="center"/>
          </w:tcPr>
          <w:p>
            <w:pPr>
              <w:pStyle w:val="23"/>
              <w:ind w:firstLine="0" w:firstLineChars="0"/>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制定突发环境事件应急处置预案，明确环境风险防控重点岗位的责任人，制定定期巡检和维护责任制度</w:t>
            </w:r>
          </w:p>
        </w:tc>
        <w:tc>
          <w:tcPr>
            <w:tcW w:w="808"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lang w:eastAsia="zh-CN"/>
              </w:rPr>
              <w:t>周立宽</w:t>
            </w:r>
          </w:p>
        </w:tc>
        <w:tc>
          <w:tcPr>
            <w:tcW w:w="1079"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副指挥长</w:t>
            </w:r>
          </w:p>
        </w:tc>
        <w:tc>
          <w:tcPr>
            <w:tcW w:w="977" w:type="dxa"/>
            <w:noWrap w:val="0"/>
            <w:vAlign w:val="center"/>
          </w:tcPr>
          <w:p>
            <w:pPr>
              <w:pStyle w:val="23"/>
              <w:ind w:firstLine="0" w:firstLineChars="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3个月内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069" w:type="dxa"/>
            <w:noWrap w:val="0"/>
            <w:vAlign w:val="center"/>
          </w:tcPr>
          <w:p>
            <w:pPr>
              <w:pStyle w:val="23"/>
              <w:ind w:firstLine="0" w:firstLineChars="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远期</w:t>
            </w:r>
          </w:p>
        </w:tc>
        <w:tc>
          <w:tcPr>
            <w:tcW w:w="1503" w:type="dxa"/>
            <w:noWrap w:val="0"/>
            <w:vAlign w:val="center"/>
          </w:tcPr>
          <w:p>
            <w:pPr>
              <w:pStyle w:val="23"/>
              <w:ind w:firstLine="0" w:firstLineChars="0"/>
              <w:jc w:val="left"/>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环境风险防控与应急措施</w:t>
            </w:r>
          </w:p>
        </w:tc>
        <w:tc>
          <w:tcPr>
            <w:tcW w:w="3068" w:type="dxa"/>
            <w:noWrap w:val="0"/>
            <w:vAlign w:val="center"/>
          </w:tcPr>
          <w:p>
            <w:pPr>
              <w:pStyle w:val="23"/>
              <w:ind w:firstLine="0" w:firstLineChars="0"/>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组织学习和演练，掌握应急处置技能，提高应急处置能力和水平</w:t>
            </w:r>
          </w:p>
        </w:tc>
        <w:tc>
          <w:tcPr>
            <w:tcW w:w="808"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lang w:eastAsia="zh-CN"/>
              </w:rPr>
              <w:t>孙岩</w:t>
            </w:r>
          </w:p>
        </w:tc>
        <w:tc>
          <w:tcPr>
            <w:tcW w:w="1079" w:type="dxa"/>
            <w:noWrap w:val="0"/>
            <w:vAlign w:val="center"/>
          </w:tcPr>
          <w:p>
            <w:pPr>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总指挥长</w:t>
            </w:r>
          </w:p>
        </w:tc>
        <w:tc>
          <w:tcPr>
            <w:tcW w:w="977" w:type="dxa"/>
            <w:noWrap w:val="0"/>
            <w:vAlign w:val="center"/>
          </w:tcPr>
          <w:p>
            <w:pPr>
              <w:pStyle w:val="23"/>
              <w:ind w:firstLine="0" w:firstLineChars="0"/>
              <w:jc w:val="cente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6个月内</w:t>
            </w:r>
          </w:p>
        </w:tc>
      </w:tr>
    </w:tbl>
    <w:p>
      <w:pPr>
        <w:bidi w:val="0"/>
        <w:spacing w:line="360" w:lineRule="auto"/>
        <w:ind w:firstLine="560" w:firstLineChars="200"/>
        <w:rPr>
          <w:rFonts w:hint="default" w:ascii="Times New Roman" w:hAnsi="Times New Roman" w:eastAsia="仿宋" w:cs="Times New Roman"/>
          <w:sz w:val="28"/>
          <w:szCs w:val="24"/>
          <w:lang w:val="en-US" w:eastAsia="zh-CN"/>
        </w:rPr>
      </w:pPr>
      <w:r>
        <w:rPr>
          <w:rFonts w:hint="default" w:ascii="Times New Roman" w:hAnsi="Times New Roman" w:eastAsia="仿宋" w:cs="Times New Roman"/>
          <w:sz w:val="28"/>
          <w:szCs w:val="24"/>
        </w:rPr>
        <w:t>针对以上实施计划，每完成一个计划，都应将计划完成情况登记建档备查</w:t>
      </w:r>
      <w:r>
        <w:rPr>
          <w:rFonts w:hint="default" w:ascii="Times New Roman" w:hAnsi="Times New Roman" w:eastAsia="仿宋" w:cs="Times New Roman"/>
          <w:sz w:val="28"/>
          <w:szCs w:val="24"/>
          <w:lang w:eastAsia="zh-CN"/>
        </w:rPr>
        <w:t>。</w:t>
      </w:r>
    </w:p>
    <w:p>
      <w:pP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br w:type="page"/>
      </w:r>
    </w:p>
    <w:p>
      <w:pPr>
        <w:keepNext/>
        <w:keepLines/>
        <w:pageBreakBefore/>
        <w:widowControl w:val="0"/>
        <w:bidi w:val="0"/>
        <w:spacing w:beforeLines="0" w:afterLines="0" w:line="480" w:lineRule="auto"/>
        <w:ind w:firstLine="643" w:firstLineChars="200"/>
        <w:jc w:val="left"/>
        <w:outlineLvl w:val="0"/>
        <w:rPr>
          <w:rFonts w:hint="default" w:ascii="Times New Roman" w:hAnsi="Times New Roman" w:eastAsia="仿宋" w:cs="Times New Roman"/>
          <w:b/>
          <w:bCs/>
          <w:kern w:val="44"/>
          <w:sz w:val="32"/>
          <w:szCs w:val="44"/>
          <w:lang w:val="en-US" w:eastAsia="zh-CN" w:bidi="ar-SA"/>
        </w:rPr>
      </w:pPr>
      <w:bookmarkStart w:id="140" w:name="_Toc17951"/>
      <w:bookmarkStart w:id="141" w:name="_Toc28037"/>
      <w:bookmarkStart w:id="142" w:name="_Toc14494"/>
      <w:r>
        <w:rPr>
          <w:rFonts w:hint="default" w:ascii="Times New Roman" w:hAnsi="Times New Roman" w:eastAsia="仿宋" w:cs="Times New Roman"/>
          <w:b/>
          <w:bCs/>
          <w:kern w:val="44"/>
          <w:sz w:val="32"/>
          <w:szCs w:val="44"/>
          <w:lang w:val="en-US" w:eastAsia="zh-CN" w:bidi="ar-SA"/>
        </w:rPr>
        <w:t>6完善环境风险防控和应急措施的实施计划</w:t>
      </w:r>
      <w:bookmarkEnd w:id="140"/>
      <w:bookmarkEnd w:id="141"/>
      <w:bookmarkEnd w:id="142"/>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针对需要整改的项目，企业分别制定完善的风险防控和应急措施的实施计划，逐步完成整改措施，见下表。</w:t>
      </w:r>
    </w:p>
    <w:p>
      <w:pPr>
        <w:spacing w:line="360" w:lineRule="auto"/>
        <w:ind w:firstLine="482" w:firstLineChars="200"/>
        <w:jc w:val="center"/>
        <w:rPr>
          <w:rFonts w:hint="default" w:ascii="Times New Roman" w:hAnsi="Times New Roman" w:eastAsia="仿宋" w:cs="Times New Roman"/>
          <w:b/>
          <w:bCs/>
          <w:snapToGrid w:val="0"/>
          <w:color w:val="auto"/>
          <w:kern w:val="0"/>
          <w:sz w:val="24"/>
          <w:szCs w:val="24"/>
        </w:rPr>
      </w:pPr>
      <w:bookmarkStart w:id="143" w:name="_Toc8461_WPSOffice_Level2"/>
      <w:r>
        <w:rPr>
          <w:rFonts w:hint="default" w:ascii="Times New Roman" w:hAnsi="Times New Roman" w:eastAsia="仿宋" w:cs="Times New Roman"/>
          <w:b/>
          <w:bCs/>
          <w:snapToGrid w:val="0"/>
          <w:color w:val="auto"/>
          <w:kern w:val="0"/>
          <w:sz w:val="24"/>
          <w:szCs w:val="24"/>
        </w:rPr>
        <w:t>表6-1  需要整改项目实施计划</w:t>
      </w:r>
      <w:bookmarkEnd w:id="143"/>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59"/>
        <w:gridCol w:w="1020"/>
        <w:gridCol w:w="1737"/>
        <w:gridCol w:w="4418"/>
        <w:gridCol w:w="123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59" w:type="dxa"/>
            <w:noWrap w:val="0"/>
            <w:vAlign w:val="center"/>
          </w:tcPr>
          <w:p>
            <w:pPr>
              <w:widowControl w:val="0"/>
              <w:spacing w:line="312" w:lineRule="auto"/>
              <w:ind w:firstLine="0" w:firstLineChars="0"/>
              <w:jc w:val="left"/>
              <w:rPr>
                <w:rFonts w:hint="default" w:ascii="Times New Roman" w:hAnsi="Times New Roman" w:eastAsia="仿宋" w:cs="Times New Roman"/>
                <w:b/>
                <w:bCs w:val="0"/>
                <w:color w:val="000000"/>
                <w:kern w:val="2"/>
                <w:sz w:val="21"/>
                <w:szCs w:val="21"/>
                <w:highlight w:val="none"/>
                <w:lang w:val="en-US" w:eastAsia="zh-CN" w:bidi="ar-SA"/>
              </w:rPr>
            </w:pPr>
            <w:r>
              <w:rPr>
                <w:rFonts w:hint="default" w:ascii="Times New Roman" w:hAnsi="Times New Roman" w:eastAsia="仿宋" w:cs="Times New Roman"/>
                <w:b/>
                <w:bCs w:val="0"/>
                <w:color w:val="000000"/>
                <w:kern w:val="2"/>
                <w:sz w:val="21"/>
                <w:szCs w:val="21"/>
                <w:highlight w:val="none"/>
                <w:lang w:val="en-US" w:eastAsia="zh-CN" w:bidi="ar-SA"/>
              </w:rPr>
              <w:t>序号</w:t>
            </w:r>
          </w:p>
        </w:tc>
        <w:tc>
          <w:tcPr>
            <w:tcW w:w="1020" w:type="dxa"/>
            <w:noWrap w:val="0"/>
            <w:vAlign w:val="center"/>
          </w:tcPr>
          <w:p>
            <w:pPr>
              <w:widowControl w:val="0"/>
              <w:spacing w:line="312" w:lineRule="auto"/>
              <w:ind w:firstLine="0" w:firstLineChars="0"/>
              <w:jc w:val="left"/>
              <w:rPr>
                <w:rFonts w:hint="default" w:ascii="Times New Roman" w:hAnsi="Times New Roman" w:eastAsia="仿宋" w:cs="Times New Roman"/>
                <w:b/>
                <w:bCs w:val="0"/>
                <w:color w:val="000000"/>
                <w:kern w:val="2"/>
                <w:sz w:val="21"/>
                <w:szCs w:val="21"/>
                <w:highlight w:val="none"/>
                <w:lang w:val="en-US" w:eastAsia="zh-CN" w:bidi="ar-SA"/>
              </w:rPr>
            </w:pPr>
            <w:r>
              <w:rPr>
                <w:rFonts w:hint="default" w:ascii="Times New Roman" w:hAnsi="Times New Roman" w:eastAsia="仿宋" w:cs="Times New Roman"/>
                <w:b/>
                <w:bCs w:val="0"/>
                <w:color w:val="000000"/>
                <w:kern w:val="2"/>
                <w:sz w:val="21"/>
                <w:szCs w:val="21"/>
                <w:highlight w:val="none"/>
                <w:lang w:val="en-US" w:eastAsia="zh-CN" w:bidi="ar-SA"/>
              </w:rPr>
              <w:t>紧急程度</w:t>
            </w:r>
          </w:p>
        </w:tc>
        <w:tc>
          <w:tcPr>
            <w:tcW w:w="1737" w:type="dxa"/>
            <w:noWrap w:val="0"/>
            <w:vAlign w:val="center"/>
          </w:tcPr>
          <w:p>
            <w:pPr>
              <w:widowControl w:val="0"/>
              <w:spacing w:line="312" w:lineRule="auto"/>
              <w:ind w:firstLine="422" w:firstLineChars="200"/>
              <w:jc w:val="left"/>
              <w:rPr>
                <w:rFonts w:hint="default" w:ascii="Times New Roman" w:hAnsi="Times New Roman" w:eastAsia="仿宋" w:cs="Times New Roman"/>
                <w:b/>
                <w:bCs w:val="0"/>
                <w:color w:val="000000"/>
                <w:kern w:val="2"/>
                <w:sz w:val="21"/>
                <w:szCs w:val="21"/>
                <w:highlight w:val="none"/>
                <w:lang w:val="en-US" w:eastAsia="zh-CN" w:bidi="ar-SA"/>
              </w:rPr>
            </w:pPr>
            <w:r>
              <w:rPr>
                <w:rFonts w:hint="default" w:ascii="Times New Roman" w:hAnsi="Times New Roman" w:eastAsia="仿宋" w:cs="Times New Roman"/>
                <w:b/>
                <w:bCs w:val="0"/>
                <w:color w:val="000000"/>
                <w:kern w:val="2"/>
                <w:sz w:val="21"/>
                <w:szCs w:val="21"/>
                <w:highlight w:val="none"/>
                <w:lang w:val="en-US" w:eastAsia="zh-CN" w:bidi="ar-SA"/>
              </w:rPr>
              <w:t>完善项目</w:t>
            </w:r>
          </w:p>
        </w:tc>
        <w:tc>
          <w:tcPr>
            <w:tcW w:w="4418" w:type="dxa"/>
            <w:noWrap w:val="0"/>
            <w:vAlign w:val="center"/>
          </w:tcPr>
          <w:p>
            <w:pPr>
              <w:widowControl w:val="0"/>
              <w:spacing w:line="312" w:lineRule="auto"/>
              <w:ind w:firstLine="422" w:firstLineChars="200"/>
              <w:jc w:val="left"/>
              <w:rPr>
                <w:rFonts w:hint="default" w:ascii="Times New Roman" w:hAnsi="Times New Roman" w:eastAsia="仿宋" w:cs="Times New Roman"/>
                <w:b/>
                <w:bCs w:val="0"/>
                <w:color w:val="000000"/>
                <w:kern w:val="2"/>
                <w:sz w:val="21"/>
                <w:szCs w:val="21"/>
                <w:highlight w:val="none"/>
                <w:lang w:val="en-US" w:eastAsia="zh-CN" w:bidi="ar-SA"/>
              </w:rPr>
            </w:pPr>
            <w:r>
              <w:rPr>
                <w:rFonts w:hint="default" w:ascii="Times New Roman" w:hAnsi="Times New Roman" w:eastAsia="仿宋" w:cs="Times New Roman"/>
                <w:b/>
                <w:bCs w:val="0"/>
                <w:color w:val="000000"/>
                <w:kern w:val="2"/>
                <w:sz w:val="21"/>
                <w:szCs w:val="21"/>
                <w:highlight w:val="none"/>
                <w:lang w:val="en-US" w:eastAsia="zh-CN" w:bidi="ar-SA"/>
              </w:rPr>
              <w:t>完善内容</w:t>
            </w:r>
          </w:p>
        </w:tc>
        <w:tc>
          <w:tcPr>
            <w:tcW w:w="1237" w:type="dxa"/>
            <w:noWrap w:val="0"/>
            <w:vAlign w:val="center"/>
          </w:tcPr>
          <w:p>
            <w:pPr>
              <w:widowControl w:val="0"/>
              <w:spacing w:line="312" w:lineRule="auto"/>
              <w:ind w:firstLine="0" w:firstLineChars="0"/>
              <w:jc w:val="left"/>
              <w:rPr>
                <w:rFonts w:hint="default" w:ascii="Times New Roman" w:hAnsi="Times New Roman" w:eastAsia="仿宋" w:cs="Times New Roman"/>
                <w:b/>
                <w:bCs w:val="0"/>
                <w:color w:val="000000"/>
                <w:kern w:val="2"/>
                <w:sz w:val="21"/>
                <w:szCs w:val="21"/>
                <w:highlight w:val="none"/>
                <w:lang w:val="en-US" w:eastAsia="zh-CN" w:bidi="ar-SA"/>
              </w:rPr>
            </w:pPr>
            <w:r>
              <w:rPr>
                <w:rFonts w:hint="default" w:ascii="Times New Roman" w:hAnsi="Times New Roman" w:eastAsia="仿宋" w:cs="Times New Roman"/>
                <w:b/>
                <w:bCs w:val="0"/>
                <w:color w:val="000000"/>
                <w:kern w:val="2"/>
                <w:sz w:val="21"/>
                <w:szCs w:val="21"/>
                <w:highlight w:val="none"/>
                <w:lang w:val="en-US" w:eastAsia="zh-CN" w:bidi="ar-SA"/>
              </w:rPr>
              <w:t>完成时限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59" w:type="dxa"/>
            <w:noWrap w:val="0"/>
            <w:vAlign w:val="center"/>
          </w:tcPr>
          <w:p>
            <w:pPr>
              <w:widowControl w:val="0"/>
              <w:spacing w:line="312" w:lineRule="auto"/>
              <w:ind w:firstLine="210" w:firstLineChars="10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1</w:t>
            </w:r>
          </w:p>
        </w:tc>
        <w:tc>
          <w:tcPr>
            <w:tcW w:w="1020"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短期计划</w:t>
            </w:r>
          </w:p>
        </w:tc>
        <w:tc>
          <w:tcPr>
            <w:tcW w:w="1737"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风险管理制度</w:t>
            </w:r>
          </w:p>
        </w:tc>
        <w:tc>
          <w:tcPr>
            <w:tcW w:w="4418"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根据自身的情况制定一套环境风险管理制度，明确风险单元的管理要求</w:t>
            </w:r>
          </w:p>
        </w:tc>
        <w:tc>
          <w:tcPr>
            <w:tcW w:w="1237"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2022.10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59" w:type="dxa"/>
            <w:noWrap w:val="0"/>
            <w:vAlign w:val="center"/>
          </w:tcPr>
          <w:p>
            <w:pPr>
              <w:widowControl w:val="0"/>
              <w:spacing w:line="312" w:lineRule="auto"/>
              <w:ind w:firstLine="210" w:firstLineChars="10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2</w:t>
            </w:r>
          </w:p>
        </w:tc>
        <w:tc>
          <w:tcPr>
            <w:tcW w:w="1020" w:type="dxa"/>
            <w:vMerge w:val="restart"/>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中期计划</w:t>
            </w:r>
          </w:p>
        </w:tc>
        <w:tc>
          <w:tcPr>
            <w:tcW w:w="1737" w:type="dxa"/>
            <w:vMerge w:val="restart"/>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环境应急管理</w:t>
            </w:r>
          </w:p>
        </w:tc>
        <w:tc>
          <w:tcPr>
            <w:tcW w:w="4418"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完善应急体系</w:t>
            </w:r>
          </w:p>
        </w:tc>
        <w:tc>
          <w:tcPr>
            <w:tcW w:w="1237"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2022.12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59" w:type="dxa"/>
            <w:noWrap w:val="0"/>
            <w:vAlign w:val="center"/>
          </w:tcPr>
          <w:p>
            <w:pPr>
              <w:widowControl w:val="0"/>
              <w:spacing w:line="312" w:lineRule="auto"/>
              <w:ind w:firstLine="210" w:firstLineChars="10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3</w:t>
            </w:r>
          </w:p>
        </w:tc>
        <w:tc>
          <w:tcPr>
            <w:tcW w:w="1020" w:type="dxa"/>
            <w:vMerge w:val="continue"/>
            <w:noWrap w:val="0"/>
            <w:vAlign w:val="center"/>
          </w:tcPr>
          <w:p>
            <w:pPr>
              <w:widowControl w:val="0"/>
              <w:spacing w:line="312" w:lineRule="auto"/>
              <w:ind w:firstLine="420" w:firstLineChars="200"/>
              <w:jc w:val="left"/>
              <w:rPr>
                <w:rFonts w:hint="default" w:ascii="Times New Roman" w:hAnsi="Times New Roman" w:eastAsia="仿宋" w:cs="Times New Roman"/>
                <w:color w:val="000000"/>
                <w:kern w:val="2"/>
                <w:sz w:val="21"/>
                <w:szCs w:val="21"/>
                <w:highlight w:val="none"/>
                <w:lang w:val="en-US" w:eastAsia="zh-CN" w:bidi="ar-SA"/>
              </w:rPr>
            </w:pPr>
          </w:p>
        </w:tc>
        <w:tc>
          <w:tcPr>
            <w:tcW w:w="1737" w:type="dxa"/>
            <w:vMerge w:val="continue"/>
            <w:noWrap w:val="0"/>
            <w:vAlign w:val="center"/>
          </w:tcPr>
          <w:p>
            <w:pPr>
              <w:widowControl w:val="0"/>
              <w:spacing w:line="312" w:lineRule="auto"/>
              <w:ind w:firstLine="420" w:firstLineChars="200"/>
              <w:jc w:val="left"/>
              <w:rPr>
                <w:rFonts w:hint="default" w:ascii="Times New Roman" w:hAnsi="Times New Roman" w:eastAsia="仿宋" w:cs="Times New Roman"/>
                <w:color w:val="000000"/>
                <w:kern w:val="2"/>
                <w:sz w:val="21"/>
                <w:szCs w:val="21"/>
                <w:highlight w:val="none"/>
                <w:lang w:val="en-US" w:eastAsia="zh-CN" w:bidi="ar-SA"/>
              </w:rPr>
            </w:pPr>
          </w:p>
        </w:tc>
        <w:tc>
          <w:tcPr>
            <w:tcW w:w="4418"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完善各区域的应急物资布置</w:t>
            </w:r>
          </w:p>
        </w:tc>
        <w:tc>
          <w:tcPr>
            <w:tcW w:w="1237"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2022.12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59" w:type="dxa"/>
            <w:noWrap w:val="0"/>
            <w:vAlign w:val="center"/>
          </w:tcPr>
          <w:p>
            <w:pPr>
              <w:widowControl w:val="0"/>
              <w:spacing w:line="312" w:lineRule="auto"/>
              <w:ind w:firstLine="210" w:firstLineChars="10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4</w:t>
            </w:r>
          </w:p>
        </w:tc>
        <w:tc>
          <w:tcPr>
            <w:tcW w:w="1020" w:type="dxa"/>
            <w:vMerge w:val="restart"/>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长期计划</w:t>
            </w:r>
          </w:p>
        </w:tc>
        <w:tc>
          <w:tcPr>
            <w:tcW w:w="1737" w:type="dxa"/>
            <w:vMerge w:val="restart"/>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管理防控措施</w:t>
            </w:r>
          </w:p>
        </w:tc>
        <w:tc>
          <w:tcPr>
            <w:tcW w:w="4418"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加强风险单元的日常管理工作</w:t>
            </w:r>
          </w:p>
        </w:tc>
        <w:tc>
          <w:tcPr>
            <w:tcW w:w="1237"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常年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59" w:type="dxa"/>
            <w:noWrap w:val="0"/>
            <w:vAlign w:val="center"/>
          </w:tcPr>
          <w:p>
            <w:pPr>
              <w:widowControl w:val="0"/>
              <w:spacing w:line="312" w:lineRule="auto"/>
              <w:ind w:firstLine="210" w:firstLineChars="10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5</w:t>
            </w:r>
          </w:p>
        </w:tc>
        <w:tc>
          <w:tcPr>
            <w:tcW w:w="1020" w:type="dxa"/>
            <w:vMerge w:val="continue"/>
            <w:noWrap w:val="0"/>
            <w:vAlign w:val="center"/>
          </w:tcPr>
          <w:p>
            <w:pPr>
              <w:widowControl w:val="0"/>
              <w:spacing w:line="312" w:lineRule="auto"/>
              <w:ind w:firstLine="420" w:firstLineChars="200"/>
              <w:jc w:val="left"/>
              <w:rPr>
                <w:rFonts w:hint="default" w:ascii="Times New Roman" w:hAnsi="Times New Roman" w:eastAsia="仿宋" w:cs="Times New Roman"/>
                <w:color w:val="000000"/>
                <w:kern w:val="2"/>
                <w:sz w:val="21"/>
                <w:szCs w:val="21"/>
                <w:highlight w:val="none"/>
                <w:lang w:val="en-US" w:eastAsia="zh-CN" w:bidi="ar-SA"/>
              </w:rPr>
            </w:pPr>
          </w:p>
        </w:tc>
        <w:tc>
          <w:tcPr>
            <w:tcW w:w="1737" w:type="dxa"/>
            <w:vMerge w:val="continue"/>
            <w:noWrap w:val="0"/>
            <w:vAlign w:val="center"/>
          </w:tcPr>
          <w:p>
            <w:pPr>
              <w:widowControl w:val="0"/>
              <w:spacing w:line="312" w:lineRule="auto"/>
              <w:ind w:firstLine="420" w:firstLineChars="200"/>
              <w:jc w:val="left"/>
              <w:rPr>
                <w:rFonts w:hint="default" w:ascii="Times New Roman" w:hAnsi="Times New Roman" w:eastAsia="仿宋" w:cs="Times New Roman"/>
                <w:color w:val="000000"/>
                <w:kern w:val="2"/>
                <w:sz w:val="21"/>
                <w:szCs w:val="21"/>
                <w:highlight w:val="none"/>
                <w:lang w:val="en-US" w:eastAsia="zh-CN" w:bidi="ar-SA"/>
              </w:rPr>
            </w:pPr>
          </w:p>
        </w:tc>
        <w:tc>
          <w:tcPr>
            <w:tcW w:w="4418"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保证各风险单元应急物资的合理性</w:t>
            </w:r>
          </w:p>
        </w:tc>
        <w:tc>
          <w:tcPr>
            <w:tcW w:w="1237"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常年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59" w:type="dxa"/>
            <w:noWrap w:val="0"/>
            <w:vAlign w:val="center"/>
          </w:tcPr>
          <w:p>
            <w:pPr>
              <w:widowControl w:val="0"/>
              <w:spacing w:line="312" w:lineRule="auto"/>
              <w:ind w:firstLine="210" w:firstLineChars="10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6</w:t>
            </w:r>
          </w:p>
        </w:tc>
        <w:tc>
          <w:tcPr>
            <w:tcW w:w="1020" w:type="dxa"/>
            <w:vMerge w:val="continue"/>
            <w:noWrap w:val="0"/>
            <w:vAlign w:val="center"/>
          </w:tcPr>
          <w:p>
            <w:pPr>
              <w:widowControl w:val="0"/>
              <w:spacing w:line="312" w:lineRule="auto"/>
              <w:ind w:firstLine="420" w:firstLineChars="200"/>
              <w:jc w:val="left"/>
              <w:rPr>
                <w:rFonts w:hint="default" w:ascii="Times New Roman" w:hAnsi="Times New Roman" w:eastAsia="仿宋" w:cs="Times New Roman"/>
                <w:color w:val="000000"/>
                <w:kern w:val="2"/>
                <w:sz w:val="21"/>
                <w:szCs w:val="21"/>
                <w:highlight w:val="none"/>
                <w:lang w:val="en-US" w:eastAsia="zh-CN" w:bidi="ar-SA"/>
              </w:rPr>
            </w:pPr>
          </w:p>
        </w:tc>
        <w:tc>
          <w:tcPr>
            <w:tcW w:w="1737" w:type="dxa"/>
            <w:vMerge w:val="continue"/>
            <w:noWrap w:val="0"/>
            <w:vAlign w:val="center"/>
          </w:tcPr>
          <w:p>
            <w:pPr>
              <w:widowControl w:val="0"/>
              <w:spacing w:line="312" w:lineRule="auto"/>
              <w:ind w:firstLine="420" w:firstLineChars="200"/>
              <w:jc w:val="left"/>
              <w:rPr>
                <w:rFonts w:hint="default" w:ascii="Times New Roman" w:hAnsi="Times New Roman" w:eastAsia="仿宋" w:cs="Times New Roman"/>
                <w:color w:val="000000"/>
                <w:kern w:val="2"/>
                <w:sz w:val="21"/>
                <w:szCs w:val="21"/>
                <w:highlight w:val="none"/>
                <w:lang w:val="en-US" w:eastAsia="zh-CN" w:bidi="ar-SA"/>
              </w:rPr>
            </w:pPr>
          </w:p>
        </w:tc>
        <w:tc>
          <w:tcPr>
            <w:tcW w:w="4418"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保证各防控设施的可用性</w:t>
            </w:r>
          </w:p>
        </w:tc>
        <w:tc>
          <w:tcPr>
            <w:tcW w:w="1237"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常年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659" w:type="dxa"/>
            <w:noWrap w:val="0"/>
            <w:vAlign w:val="center"/>
          </w:tcPr>
          <w:p>
            <w:pPr>
              <w:widowControl w:val="0"/>
              <w:spacing w:line="312" w:lineRule="auto"/>
              <w:ind w:firstLine="210" w:firstLineChars="10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7</w:t>
            </w:r>
          </w:p>
        </w:tc>
        <w:tc>
          <w:tcPr>
            <w:tcW w:w="1020" w:type="dxa"/>
            <w:vMerge w:val="continue"/>
            <w:noWrap w:val="0"/>
            <w:vAlign w:val="center"/>
          </w:tcPr>
          <w:p>
            <w:pPr>
              <w:widowControl w:val="0"/>
              <w:spacing w:line="312" w:lineRule="auto"/>
              <w:ind w:firstLine="420" w:firstLineChars="200"/>
              <w:jc w:val="left"/>
              <w:rPr>
                <w:rFonts w:hint="default" w:ascii="Times New Roman" w:hAnsi="Times New Roman" w:eastAsia="仿宋" w:cs="Times New Roman"/>
                <w:color w:val="000000"/>
                <w:kern w:val="2"/>
                <w:sz w:val="21"/>
                <w:szCs w:val="21"/>
                <w:highlight w:val="none"/>
                <w:lang w:val="en-US" w:eastAsia="zh-CN" w:bidi="ar-SA"/>
              </w:rPr>
            </w:pPr>
          </w:p>
        </w:tc>
        <w:tc>
          <w:tcPr>
            <w:tcW w:w="1737" w:type="dxa"/>
            <w:vMerge w:val="continue"/>
            <w:noWrap w:val="0"/>
            <w:vAlign w:val="center"/>
          </w:tcPr>
          <w:p>
            <w:pPr>
              <w:widowControl w:val="0"/>
              <w:spacing w:line="312" w:lineRule="auto"/>
              <w:ind w:firstLine="420" w:firstLineChars="200"/>
              <w:jc w:val="left"/>
              <w:rPr>
                <w:rFonts w:hint="default" w:ascii="Times New Roman" w:hAnsi="Times New Roman" w:eastAsia="仿宋" w:cs="Times New Roman"/>
                <w:color w:val="000000"/>
                <w:kern w:val="2"/>
                <w:sz w:val="21"/>
                <w:szCs w:val="21"/>
                <w:highlight w:val="none"/>
                <w:lang w:val="en-US" w:eastAsia="zh-CN" w:bidi="ar-SA"/>
              </w:rPr>
            </w:pPr>
          </w:p>
        </w:tc>
        <w:tc>
          <w:tcPr>
            <w:tcW w:w="4418"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定期对员工进行培训并定期开展应急演练</w:t>
            </w:r>
          </w:p>
        </w:tc>
        <w:tc>
          <w:tcPr>
            <w:tcW w:w="1237" w:type="dxa"/>
            <w:noWrap w:val="0"/>
            <w:vAlign w:val="center"/>
          </w:tcPr>
          <w:p>
            <w:pPr>
              <w:widowControl w:val="0"/>
              <w:spacing w:line="312" w:lineRule="auto"/>
              <w:ind w:firstLine="0" w:firstLineChars="0"/>
              <w:jc w:val="lef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eastAsia="仿宋" w:cs="Times New Roman"/>
                <w:color w:val="000000"/>
                <w:kern w:val="2"/>
                <w:sz w:val="21"/>
                <w:szCs w:val="21"/>
                <w:highlight w:val="none"/>
                <w:lang w:val="en-US" w:eastAsia="zh-CN" w:bidi="ar-SA"/>
              </w:rPr>
              <w:t>常年</w:t>
            </w:r>
          </w:p>
        </w:tc>
      </w:tr>
    </w:tbl>
    <w:p>
      <w:pP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br w:type="page"/>
      </w:r>
    </w:p>
    <w:p>
      <w:pPr>
        <w:keepNext/>
        <w:keepLines/>
        <w:pageBreakBefore/>
        <w:widowControl w:val="0"/>
        <w:bidi w:val="0"/>
        <w:spacing w:beforeLines="0" w:afterLines="0" w:line="480" w:lineRule="auto"/>
        <w:ind w:firstLine="643" w:firstLineChars="200"/>
        <w:jc w:val="left"/>
        <w:outlineLvl w:val="0"/>
        <w:rPr>
          <w:rFonts w:hint="default" w:ascii="Times New Roman" w:hAnsi="Times New Roman" w:eastAsia="仿宋" w:cs="Times New Roman"/>
          <w:b/>
          <w:bCs/>
          <w:kern w:val="44"/>
          <w:sz w:val="32"/>
          <w:szCs w:val="44"/>
          <w:lang w:val="en-US" w:eastAsia="zh-CN" w:bidi="ar-SA"/>
        </w:rPr>
      </w:pPr>
      <w:bookmarkStart w:id="144" w:name="_Toc2486"/>
      <w:bookmarkStart w:id="145" w:name="_Toc4460"/>
      <w:r>
        <w:rPr>
          <w:rFonts w:hint="default" w:ascii="Times New Roman" w:hAnsi="Times New Roman" w:eastAsia="仿宋" w:cs="Times New Roman"/>
          <w:b/>
          <w:bCs/>
          <w:kern w:val="44"/>
          <w:sz w:val="32"/>
          <w:szCs w:val="44"/>
          <w:lang w:val="en-US" w:eastAsia="zh-CN" w:bidi="ar-SA"/>
        </w:rPr>
        <w:t>7企业突发环境事件风险等级</w:t>
      </w:r>
      <w:bookmarkEnd w:id="144"/>
      <w:bookmarkEnd w:id="145"/>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146" w:name="_Toc14312"/>
      <w:bookmarkStart w:id="147" w:name="_Toc2826"/>
      <w:r>
        <w:rPr>
          <w:rFonts w:hint="default" w:ascii="Times New Roman" w:hAnsi="Times New Roman" w:eastAsia="仿宋" w:cs="Times New Roman"/>
          <w:b/>
          <w:bCs/>
          <w:kern w:val="2"/>
          <w:sz w:val="32"/>
          <w:szCs w:val="32"/>
          <w:lang w:val="en-US" w:eastAsia="zh-CN" w:bidi="ar-SA"/>
        </w:rPr>
        <w:t>7.1企业突发环境事件风险等级划分方法</w:t>
      </w:r>
      <w:bookmarkEnd w:id="146"/>
      <w:bookmarkEnd w:id="147"/>
    </w:p>
    <w:p>
      <w:pPr>
        <w:pStyle w:val="2"/>
        <w:ind w:left="0" w:leftChars="0" w:firstLine="560" w:firstLineChars="200"/>
        <w:rPr>
          <w:rFonts w:hint="default" w:ascii="Times New Roman" w:hAnsi="Times New Roman" w:eastAsia="仿宋" w:cs="Times New Roman"/>
          <w:color w:val="auto"/>
          <w:kern w:val="0"/>
          <w:sz w:val="28"/>
          <w:szCs w:val="28"/>
        </w:rPr>
      </w:pPr>
      <w:r>
        <w:rPr>
          <w:rFonts w:hint="default" w:ascii="Times New Roman" w:hAnsi="Times New Roman" w:eastAsia="仿宋" w:cs="Times New Roman"/>
          <w:snapToGrid w:val="0"/>
          <w:color w:val="auto"/>
          <w:kern w:val="0"/>
          <w:sz w:val="28"/>
          <w:szCs w:val="28"/>
        </w:rPr>
        <w:t>本次突发环境事件风险等级的划分参照</w:t>
      </w:r>
      <w:r>
        <w:rPr>
          <w:rFonts w:hint="default" w:ascii="Times New Roman" w:hAnsi="Times New Roman" w:eastAsia="仿宋" w:cs="Times New Roman"/>
          <w:color w:val="auto"/>
          <w:kern w:val="0"/>
          <w:sz w:val="28"/>
          <w:szCs w:val="28"/>
        </w:rPr>
        <w:t>《企业突发环境事件风险分级方法》（HJ941-2018）中相关工作流程及方法。工作流程见图</w:t>
      </w:r>
      <w:r>
        <w:rPr>
          <w:rFonts w:hint="default" w:ascii="Times New Roman" w:hAnsi="Times New Roman" w:eastAsia="仿宋" w:cs="Times New Roman"/>
          <w:color w:val="auto"/>
          <w:kern w:val="0"/>
          <w:sz w:val="28"/>
          <w:szCs w:val="28"/>
          <w:lang w:val="en-US" w:eastAsia="zh-CN"/>
        </w:rPr>
        <w:t>7</w:t>
      </w:r>
      <w:r>
        <w:rPr>
          <w:rFonts w:hint="default" w:ascii="Times New Roman" w:hAnsi="Times New Roman" w:eastAsia="仿宋" w:cs="Times New Roman"/>
          <w:color w:val="auto"/>
          <w:kern w:val="0"/>
          <w:sz w:val="28"/>
          <w:szCs w:val="28"/>
        </w:rPr>
        <w:t>-1。</w:t>
      </w:r>
    </w:p>
    <w:p>
      <w:pPr>
        <w:spacing w:line="360" w:lineRule="auto"/>
        <w:ind w:firstLine="482" w:firstLineChars="200"/>
        <w:jc w:val="center"/>
        <w:rPr>
          <w:rFonts w:hint="default" w:ascii="Times New Roman" w:hAnsi="Times New Roman" w:eastAsia="仿宋" w:cs="Times New Roman"/>
          <w:b/>
          <w:bCs/>
          <w:snapToGrid w:val="0"/>
          <w:color w:val="auto"/>
          <w:kern w:val="0"/>
          <w:sz w:val="24"/>
          <w:szCs w:val="24"/>
        </w:rPr>
      </w:pPr>
      <w:r>
        <w:rPr>
          <w:rFonts w:hint="default" w:ascii="Times New Roman" w:hAnsi="Times New Roman" w:eastAsia="仿宋" w:cs="Times New Roman"/>
          <w:b/>
          <w:bCs/>
          <w:snapToGrid w:val="0"/>
          <w:color w:val="auto"/>
          <w:kern w:val="0"/>
          <w:sz w:val="24"/>
          <w:szCs w:val="24"/>
        </w:rPr>
        <w:pict>
          <v:shape id="_x0000_s1026" o:spid="_x0000_s1026" o:spt="75" type="#_x0000_t75" style="position:absolute;left:0pt;margin-left:-1.5pt;margin-top:2.6pt;height:291.2pt;width:427.6pt;mso-wrap-distance-bottom:0pt;mso-wrap-distance-left:9pt;mso-wrap-distance-right:9pt;mso-wrap-distance-top:0pt;z-index:251661312;mso-width-relative:page;mso-height-relative:page;" o:ole="t" filled="f" o:preferrelative="t" stroked="f" coordsize="21600,21600">
            <v:path/>
            <v:fill on="f" focussize="0,0"/>
            <v:stroke on="f"/>
            <v:imagedata r:id="rId9" o:title=""/>
            <o:lock v:ext="edit" aspectratio="t"/>
            <w10:wrap type="square"/>
          </v:shape>
          <o:OLEObject Type="Embed" ProgID="Visio.Drawing.11" ShapeID="_x0000_s1026" DrawAspect="Content" ObjectID="_1468075725" r:id="rId8">
            <o:LockedField>false</o:LockedField>
          </o:OLEObject>
        </w:pict>
      </w:r>
      <w:r>
        <w:rPr>
          <w:rFonts w:hint="default" w:ascii="Times New Roman" w:hAnsi="Times New Roman" w:eastAsia="仿宋" w:cs="Times New Roman"/>
          <w:b/>
          <w:bCs/>
          <w:snapToGrid w:val="0"/>
          <w:color w:val="auto"/>
          <w:kern w:val="0"/>
          <w:sz w:val="24"/>
          <w:szCs w:val="24"/>
        </w:rPr>
        <w:t>图</w:t>
      </w:r>
      <w:r>
        <w:rPr>
          <w:rFonts w:hint="default" w:ascii="Times New Roman" w:hAnsi="Times New Roman" w:eastAsia="仿宋" w:cs="Times New Roman"/>
          <w:b/>
          <w:bCs/>
          <w:snapToGrid w:val="0"/>
          <w:color w:val="auto"/>
          <w:kern w:val="0"/>
          <w:sz w:val="24"/>
          <w:szCs w:val="24"/>
          <w:lang w:val="en-US" w:eastAsia="zh-CN"/>
        </w:rPr>
        <w:t>7</w:t>
      </w:r>
      <w:r>
        <w:rPr>
          <w:rFonts w:hint="default" w:ascii="Times New Roman" w:hAnsi="Times New Roman" w:eastAsia="仿宋" w:cs="Times New Roman"/>
          <w:b/>
          <w:bCs/>
          <w:snapToGrid w:val="0"/>
          <w:color w:val="auto"/>
          <w:kern w:val="0"/>
          <w:sz w:val="24"/>
          <w:szCs w:val="24"/>
        </w:rPr>
        <w:t>-1  突发环境事件风险评估流程图</w:t>
      </w:r>
    </w:p>
    <w:p>
      <w:pPr>
        <w:bidi w:val="0"/>
        <w:spacing w:line="360" w:lineRule="auto"/>
        <w:ind w:firstLine="560" w:firstLineChars="20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由图可知，在进行企业突发环境事件风险评估中等级划分前，首先应确定企业所涉及的《企业突发环境事件风险分级方法》（HJ 941-2018）中涉气（或水）风险物质数量与其临界量的比值Q，再根据Q值以及生产工艺过程与大气（或水）环境风险控制水平M、大气（或水）环境风险受体敏感程度E，对照企业突发环境事件风险分级矩阵表确定风险等级（气或水）。</w:t>
      </w:r>
    </w:p>
    <w:p>
      <w:pPr>
        <w:keepNext/>
        <w:keepLines/>
        <w:widowControl w:val="0"/>
        <w:bidi w:val="0"/>
        <w:spacing w:line="360" w:lineRule="auto"/>
        <w:ind w:firstLine="643" w:firstLineChars="200"/>
        <w:jc w:val="left"/>
        <w:textAlignment w:val="baseline"/>
        <w:outlineLvl w:val="1"/>
        <w:rPr>
          <w:rFonts w:hint="default" w:ascii="Times New Roman" w:hAnsi="Times New Roman" w:eastAsia="仿宋" w:cs="Times New Roman"/>
          <w:b/>
          <w:bCs/>
          <w:kern w:val="2"/>
          <w:sz w:val="32"/>
          <w:szCs w:val="32"/>
          <w:lang w:val="en-US" w:eastAsia="zh-CN" w:bidi="ar-SA"/>
        </w:rPr>
      </w:pPr>
      <w:bookmarkStart w:id="148" w:name="_Toc26020"/>
      <w:bookmarkStart w:id="149" w:name="_Toc12230"/>
      <w:bookmarkStart w:id="150" w:name="_Toc30028"/>
      <w:bookmarkStart w:id="151" w:name="_Toc13175"/>
      <w:r>
        <w:rPr>
          <w:rFonts w:hint="default" w:ascii="Times New Roman" w:hAnsi="Times New Roman" w:eastAsia="仿宋" w:cs="Times New Roman"/>
          <w:b/>
          <w:bCs/>
          <w:kern w:val="2"/>
          <w:sz w:val="32"/>
          <w:szCs w:val="32"/>
          <w:lang w:val="en-US" w:eastAsia="zh-CN" w:bidi="ar-SA"/>
        </w:rPr>
        <w:t>7.2风险物质识别</w:t>
      </w:r>
      <w:bookmarkEnd w:id="148"/>
      <w:bookmarkEnd w:id="149"/>
      <w:bookmarkEnd w:id="150"/>
      <w:bookmarkEnd w:id="151"/>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根据《企业突发环境事件风险分级方法》（HJ 941-2018），本项目中属于该标准范围内涉及</w:t>
      </w:r>
      <w:r>
        <w:rPr>
          <w:rFonts w:hint="default" w:ascii="Times New Roman" w:hAnsi="Times New Roman" w:eastAsia="仿宋" w:cs="Times New Roman"/>
          <w:color w:val="000000"/>
          <w:sz w:val="28"/>
          <w:szCs w:val="28"/>
          <w:highlight w:val="none"/>
          <w:lang w:eastAsia="zh-CN"/>
        </w:rPr>
        <w:t>水</w:t>
      </w:r>
      <w:r>
        <w:rPr>
          <w:rFonts w:hint="default" w:ascii="Times New Roman" w:hAnsi="Times New Roman" w:eastAsia="仿宋" w:cs="Times New Roman"/>
          <w:color w:val="000000"/>
          <w:sz w:val="28"/>
          <w:szCs w:val="28"/>
          <w:highlight w:val="none"/>
        </w:rPr>
        <w:t>的风险物质主要为</w:t>
      </w:r>
      <w:r>
        <w:rPr>
          <w:rFonts w:hint="default" w:ascii="Times New Roman" w:hAnsi="Times New Roman" w:eastAsia="仿宋" w:cs="Times New Roman"/>
          <w:color w:val="000000"/>
          <w:sz w:val="28"/>
          <w:szCs w:val="28"/>
          <w:highlight w:val="none"/>
          <w:lang w:eastAsia="zh-CN"/>
        </w:rPr>
        <w:t>机械设备润滑产生的</w:t>
      </w:r>
      <w:r>
        <w:rPr>
          <w:rFonts w:hint="default" w:ascii="Times New Roman" w:hAnsi="Times New Roman" w:eastAsia="仿宋" w:cs="Times New Roman"/>
          <w:kern w:val="2"/>
          <w:sz w:val="28"/>
          <w:szCs w:val="28"/>
          <w:highlight w:val="none"/>
          <w:lang w:eastAsia="zh-CN"/>
        </w:rPr>
        <w:t>废乳化油、机加区域产生的废钼丝和机械设备维修保养产生的废机油</w:t>
      </w:r>
      <w:r>
        <w:rPr>
          <w:rFonts w:hint="default" w:ascii="Times New Roman" w:hAnsi="Times New Roman" w:eastAsia="仿宋" w:cs="Times New Roman"/>
          <w:color w:val="000000"/>
          <w:sz w:val="28"/>
          <w:szCs w:val="28"/>
          <w:highlight w:val="none"/>
          <w:lang w:eastAsia="zh-CN"/>
        </w:rPr>
        <w:t>，属于第七部分重金属及其化合物（钼及其化合物）和第八部分其他类物质及其污染物（油类物质）</w:t>
      </w:r>
      <w:r>
        <w:rPr>
          <w:rFonts w:hint="default" w:ascii="Times New Roman" w:hAnsi="Times New Roman" w:eastAsia="仿宋" w:cs="Times New Roman"/>
          <w:color w:val="000000"/>
          <w:sz w:val="28"/>
          <w:szCs w:val="28"/>
          <w:highlight w:val="none"/>
        </w:rPr>
        <w:t>。</w:t>
      </w:r>
    </w:p>
    <w:p>
      <w:pPr>
        <w:pStyle w:val="4"/>
        <w:bidi w:val="0"/>
        <w:ind w:firstLine="643" w:firstLineChars="200"/>
        <w:rPr>
          <w:rFonts w:hint="default" w:ascii="Times New Roman" w:hAnsi="Times New Roman" w:eastAsia="仿宋" w:cs="Times New Roman"/>
          <w:lang w:val="en-US" w:eastAsia="zh-CN"/>
        </w:rPr>
      </w:pPr>
      <w:bookmarkStart w:id="152" w:name="_Toc32405"/>
      <w:bookmarkStart w:id="153" w:name="_Toc6963"/>
      <w:r>
        <w:rPr>
          <w:rFonts w:hint="default" w:ascii="Times New Roman" w:hAnsi="Times New Roman" w:eastAsia="仿宋" w:cs="Times New Roman"/>
          <w:lang w:val="en-US" w:eastAsia="zh-CN"/>
        </w:rPr>
        <w:t>7.3 风险分级</w:t>
      </w:r>
      <w:bookmarkEnd w:id="152"/>
      <w:bookmarkEnd w:id="153"/>
    </w:p>
    <w:p>
      <w:pPr>
        <w:pStyle w:val="4"/>
        <w:bidi w:val="0"/>
        <w:ind w:firstLine="643" w:firstLineChars="200"/>
        <w:rPr>
          <w:rFonts w:hint="default" w:ascii="Times New Roman" w:hAnsi="Times New Roman" w:eastAsia="仿宋" w:cs="Times New Roman"/>
          <w:lang w:val="en-US" w:eastAsia="zh-CN"/>
        </w:rPr>
      </w:pPr>
      <w:bookmarkStart w:id="154" w:name="_Toc7802"/>
      <w:r>
        <w:rPr>
          <w:rFonts w:hint="default" w:ascii="Times New Roman" w:hAnsi="Times New Roman" w:eastAsia="仿宋" w:cs="Times New Roman"/>
          <w:lang w:val="en-US" w:eastAsia="zh-CN"/>
        </w:rPr>
        <w:t>7.3.1突发大气环境事件风险分级</w:t>
      </w:r>
      <w:bookmarkEnd w:id="154"/>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涉气风险物质包括附录A中的第一、</w:t>
      </w:r>
      <w:r>
        <w:rPr>
          <w:rFonts w:hint="default" w:ascii="Times New Roman" w:hAnsi="Times New Roman" w:eastAsia="仿宋" w:cs="Times New Roman"/>
          <w:b w:val="0"/>
          <w:bCs w:val="0"/>
          <w:color w:val="000000"/>
          <w:sz w:val="28"/>
          <w:szCs w:val="28"/>
          <w:highlight w:val="none"/>
        </w:rPr>
        <w:t>第二</w:t>
      </w:r>
      <w:r>
        <w:rPr>
          <w:rFonts w:hint="default" w:ascii="Times New Roman" w:hAnsi="Times New Roman" w:eastAsia="仿宋" w:cs="Times New Roman"/>
          <w:color w:val="000000"/>
          <w:sz w:val="28"/>
          <w:szCs w:val="28"/>
          <w:highlight w:val="none"/>
        </w:rPr>
        <w:t>、第三、第四、第六类部分全部风险物质以及第八部分中除NH</w:t>
      </w:r>
      <w:r>
        <w:rPr>
          <w:rFonts w:hint="default" w:ascii="Times New Roman" w:hAnsi="Times New Roman" w:eastAsia="仿宋" w:cs="Times New Roman"/>
          <w:color w:val="000000"/>
          <w:sz w:val="28"/>
          <w:szCs w:val="28"/>
          <w:highlight w:val="none"/>
          <w:vertAlign w:val="subscript"/>
        </w:rPr>
        <w:t>3</w:t>
      </w:r>
      <w:r>
        <w:rPr>
          <w:rFonts w:hint="default" w:ascii="Times New Roman" w:hAnsi="Times New Roman" w:eastAsia="仿宋" w:cs="Times New Roman"/>
          <w:color w:val="000000"/>
          <w:sz w:val="28"/>
          <w:szCs w:val="28"/>
          <w:highlight w:val="none"/>
        </w:rPr>
        <w:t>-N浓度≥2000mg/L的废液、COD浓度≥10000mg/L的有机废液之外的气态和可挥发造成突发大气环境事件的固态、液态物质。</w:t>
      </w:r>
    </w:p>
    <w:p>
      <w:pPr>
        <w:spacing w:line="360" w:lineRule="auto"/>
        <w:ind w:firstLine="560" w:firstLineChars="200"/>
        <w:rPr>
          <w:rFonts w:hint="default" w:ascii="Times New Roman" w:hAnsi="Times New Roman" w:eastAsia="仿宋" w:cs="Times New Roman"/>
          <w:b w:val="0"/>
          <w:bCs w:val="0"/>
          <w:color w:val="000000"/>
          <w:sz w:val="28"/>
          <w:szCs w:val="28"/>
          <w:highlight w:val="none"/>
          <w:lang w:eastAsia="zh-CN"/>
        </w:rPr>
      </w:pPr>
      <w:r>
        <w:rPr>
          <w:rFonts w:hint="default" w:ascii="Times New Roman" w:hAnsi="Times New Roman" w:eastAsia="仿宋" w:cs="Times New Roman"/>
          <w:color w:val="000000"/>
          <w:sz w:val="28"/>
          <w:szCs w:val="28"/>
          <w:highlight w:val="none"/>
        </w:rPr>
        <w:t>判断企业生产</w:t>
      </w:r>
      <w:r>
        <w:rPr>
          <w:rFonts w:hint="default" w:ascii="Times New Roman" w:hAnsi="Times New Roman" w:eastAsia="仿宋" w:cs="Times New Roman"/>
          <w:sz w:val="28"/>
          <w:szCs w:val="28"/>
          <w:highlight w:val="none"/>
        </w:rPr>
        <w:t>原料、产品、中间产品、副产品、催化剂、辅助生产物料、燃料、“三废”污染物</w:t>
      </w:r>
      <w:r>
        <w:rPr>
          <w:rFonts w:hint="default" w:ascii="Times New Roman" w:hAnsi="Times New Roman" w:eastAsia="仿宋" w:cs="Times New Roman"/>
          <w:color w:val="000000"/>
          <w:sz w:val="28"/>
          <w:szCs w:val="28"/>
          <w:highlight w:val="none"/>
        </w:rPr>
        <w:t>等是否涉及大气环境风险物质（混合或稀释的风险物质按其组分比例折算成纯物质），计算涉气风险物质在厂界内的存在量（如存在量呈动态变化，则按年度内最大存在量计算）与其在附录A中临界量的比值Q</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根据判断</w:t>
      </w:r>
      <w:r>
        <w:rPr>
          <w:rFonts w:hint="default" w:ascii="Times New Roman" w:hAnsi="Times New Roman" w:eastAsia="仿宋" w:cs="Times New Roman"/>
          <w:b w:val="0"/>
          <w:bCs w:val="0"/>
          <w:color w:val="000000"/>
          <w:sz w:val="28"/>
          <w:szCs w:val="28"/>
          <w:highlight w:val="none"/>
          <w:lang w:eastAsia="zh-CN"/>
        </w:rPr>
        <w:t>：</w:t>
      </w:r>
      <w:r>
        <w:rPr>
          <w:rFonts w:hint="default" w:ascii="Times New Roman" w:hAnsi="Times New Roman" w:eastAsia="仿宋" w:cs="Times New Roman"/>
          <w:b w:val="0"/>
          <w:bCs w:val="0"/>
          <w:color w:val="000000"/>
          <w:sz w:val="28"/>
          <w:szCs w:val="28"/>
          <w:highlight w:val="none"/>
        </w:rPr>
        <w:t>项目</w:t>
      </w:r>
      <w:r>
        <w:rPr>
          <w:rFonts w:hint="default" w:ascii="Times New Roman" w:hAnsi="Times New Roman" w:eastAsia="仿宋" w:cs="Times New Roman"/>
          <w:b w:val="0"/>
          <w:bCs w:val="0"/>
          <w:color w:val="000000"/>
          <w:sz w:val="28"/>
          <w:szCs w:val="28"/>
          <w:highlight w:val="none"/>
          <w:lang w:eastAsia="zh-CN"/>
        </w:rPr>
        <w:t>不存在</w:t>
      </w:r>
      <w:r>
        <w:rPr>
          <w:rFonts w:hint="default" w:ascii="Times New Roman" w:hAnsi="Times New Roman" w:eastAsia="仿宋" w:cs="Times New Roman"/>
          <w:b w:val="0"/>
          <w:bCs w:val="0"/>
          <w:color w:val="000000"/>
          <w:sz w:val="28"/>
          <w:szCs w:val="28"/>
          <w:highlight w:val="none"/>
        </w:rPr>
        <w:t>涉气风险物质</w:t>
      </w:r>
      <w:r>
        <w:rPr>
          <w:rFonts w:hint="default" w:ascii="Times New Roman" w:hAnsi="Times New Roman" w:eastAsia="仿宋" w:cs="Times New Roman"/>
          <w:b w:val="0"/>
          <w:bCs w:val="0"/>
          <w:color w:val="000000"/>
          <w:sz w:val="28"/>
          <w:szCs w:val="28"/>
          <w:highlight w:val="none"/>
          <w:lang w:eastAsia="zh-CN"/>
        </w:rPr>
        <w:t>。</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（1）当企业只涉及一种风险物质时，该物质的数量与其临界量比值，即为Q。</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（2）当企业存在多种风险物质时，则按下式计算：</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position w:val="-30"/>
          <w:sz w:val="28"/>
          <w:szCs w:val="28"/>
          <w:highlight w:val="none"/>
        </w:rPr>
        <w:object>
          <v:shape id="_x0000_i1025" o:spt="75" type="#_x0000_t75" style="height:34pt;width:130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6" r:id="rId10">
            <o:LockedField>false</o:LockedField>
          </o:OLEObject>
        </w:objec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1</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2</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n</w:t>
      </w:r>
      <w:r>
        <w:rPr>
          <w:rFonts w:hint="default" w:ascii="Times New Roman" w:hAnsi="Times New Roman" w:eastAsia="仿宋" w:cs="Times New Roman"/>
          <w:color w:val="000000"/>
          <w:sz w:val="28"/>
          <w:szCs w:val="28"/>
          <w:highlight w:val="none"/>
        </w:rPr>
        <w:t>——每种风险物质的存在量，t；</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1</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2</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n</w:t>
      </w:r>
      <w:r>
        <w:rPr>
          <w:rFonts w:hint="default" w:ascii="Times New Roman" w:hAnsi="Times New Roman" w:eastAsia="仿宋" w:cs="Times New Roman"/>
          <w:color w:val="000000"/>
          <w:sz w:val="28"/>
          <w:szCs w:val="28"/>
          <w:highlight w:val="none"/>
        </w:rPr>
        <w:t>——每种风险物质的临界量，t。</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按照数值大小，将Q划分为4个水平：</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1）Q＜1，以Q</w:t>
      </w:r>
      <w:r>
        <w:rPr>
          <w:rFonts w:hint="default" w:ascii="Times New Roman" w:hAnsi="Times New Roman" w:eastAsia="仿宋" w:cs="Times New Roman"/>
          <w:color w:val="000000"/>
          <w:sz w:val="28"/>
          <w:szCs w:val="28"/>
          <w:highlight w:val="none"/>
          <w:vertAlign w:val="subscript"/>
        </w:rPr>
        <w:t>0</w:t>
      </w:r>
      <w:r>
        <w:rPr>
          <w:rFonts w:hint="default" w:ascii="Times New Roman" w:hAnsi="Times New Roman" w:eastAsia="仿宋" w:cs="Times New Roman"/>
          <w:color w:val="000000"/>
          <w:sz w:val="28"/>
          <w:szCs w:val="28"/>
          <w:highlight w:val="none"/>
        </w:rPr>
        <w:t>表示，企业直接评为一般环境风险等级；</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2）1≤Q＜10，以Q</w:t>
      </w:r>
      <w:r>
        <w:rPr>
          <w:rFonts w:hint="default" w:ascii="Times New Roman" w:hAnsi="Times New Roman" w:eastAsia="仿宋" w:cs="Times New Roman"/>
          <w:color w:val="000000"/>
          <w:sz w:val="28"/>
          <w:szCs w:val="28"/>
          <w:highlight w:val="none"/>
          <w:vertAlign w:val="subscript"/>
        </w:rPr>
        <w:t>1</w:t>
      </w:r>
      <w:r>
        <w:rPr>
          <w:rFonts w:hint="default" w:ascii="Times New Roman" w:hAnsi="Times New Roman" w:eastAsia="仿宋" w:cs="Times New Roman"/>
          <w:color w:val="000000"/>
          <w:sz w:val="28"/>
          <w:szCs w:val="28"/>
          <w:highlight w:val="none"/>
        </w:rPr>
        <w:t>表示；</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3）10≤Q＜100，以Q</w:t>
      </w:r>
      <w:r>
        <w:rPr>
          <w:rFonts w:hint="default" w:ascii="Times New Roman" w:hAnsi="Times New Roman" w:eastAsia="仿宋" w:cs="Times New Roman"/>
          <w:color w:val="000000"/>
          <w:sz w:val="28"/>
          <w:szCs w:val="28"/>
          <w:highlight w:val="none"/>
          <w:vertAlign w:val="subscript"/>
        </w:rPr>
        <w:t>2</w:t>
      </w:r>
      <w:r>
        <w:rPr>
          <w:rFonts w:hint="default" w:ascii="Times New Roman" w:hAnsi="Times New Roman" w:eastAsia="仿宋" w:cs="Times New Roman"/>
          <w:color w:val="000000"/>
          <w:sz w:val="28"/>
          <w:szCs w:val="28"/>
          <w:highlight w:val="none"/>
        </w:rPr>
        <w:t>表示；</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4）Q≥100，以Q</w:t>
      </w:r>
      <w:r>
        <w:rPr>
          <w:rFonts w:hint="default" w:ascii="Times New Roman" w:hAnsi="Times New Roman" w:eastAsia="仿宋" w:cs="Times New Roman"/>
          <w:color w:val="000000"/>
          <w:sz w:val="28"/>
          <w:szCs w:val="28"/>
          <w:highlight w:val="none"/>
          <w:vertAlign w:val="subscript"/>
        </w:rPr>
        <w:t>3</w:t>
      </w:r>
      <w:r>
        <w:rPr>
          <w:rFonts w:hint="default" w:ascii="Times New Roman" w:hAnsi="Times New Roman" w:eastAsia="仿宋" w:cs="Times New Roman"/>
          <w:color w:val="000000"/>
          <w:sz w:val="28"/>
          <w:szCs w:val="28"/>
          <w:highlight w:val="none"/>
        </w:rPr>
        <w:t>表示。</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根据判断</w:t>
      </w:r>
      <w:r>
        <w:rPr>
          <w:rFonts w:hint="default" w:ascii="Times New Roman" w:hAnsi="Times New Roman" w:eastAsia="仿宋" w:cs="Times New Roman"/>
          <w:b w:val="0"/>
          <w:bCs w:val="0"/>
          <w:color w:val="000000"/>
          <w:sz w:val="28"/>
          <w:szCs w:val="28"/>
          <w:highlight w:val="none"/>
          <w:lang w:eastAsia="zh-CN"/>
        </w:rPr>
        <w:t>：</w:t>
      </w:r>
      <w:r>
        <w:rPr>
          <w:rFonts w:hint="default" w:ascii="Times New Roman" w:hAnsi="Times New Roman" w:eastAsia="仿宋" w:cs="Times New Roman"/>
          <w:b w:val="0"/>
          <w:bCs w:val="0"/>
          <w:color w:val="000000"/>
          <w:sz w:val="28"/>
          <w:szCs w:val="28"/>
          <w:highlight w:val="none"/>
        </w:rPr>
        <w:t>项目</w:t>
      </w:r>
      <w:r>
        <w:rPr>
          <w:rFonts w:hint="default" w:ascii="Times New Roman" w:hAnsi="Times New Roman" w:eastAsia="仿宋" w:cs="Times New Roman"/>
          <w:b w:val="0"/>
          <w:bCs w:val="0"/>
          <w:color w:val="000000"/>
          <w:sz w:val="28"/>
          <w:szCs w:val="28"/>
          <w:highlight w:val="none"/>
          <w:lang w:eastAsia="zh-CN"/>
        </w:rPr>
        <w:t>不存在</w:t>
      </w:r>
      <w:r>
        <w:rPr>
          <w:rFonts w:hint="default" w:ascii="Times New Roman" w:hAnsi="Times New Roman" w:eastAsia="仿宋" w:cs="Times New Roman"/>
          <w:b w:val="0"/>
          <w:bCs w:val="0"/>
          <w:color w:val="000000"/>
          <w:sz w:val="28"/>
          <w:szCs w:val="28"/>
          <w:highlight w:val="none"/>
        </w:rPr>
        <w:t>涉气风险物质</w:t>
      </w:r>
      <w:r>
        <w:rPr>
          <w:rFonts w:hint="default" w:ascii="Times New Roman" w:hAnsi="Times New Roman" w:eastAsia="仿宋" w:cs="Times New Roman"/>
          <w:color w:val="000000"/>
          <w:sz w:val="28"/>
          <w:szCs w:val="28"/>
          <w:highlight w:val="none"/>
        </w:rPr>
        <w:t>，企业涉气风险物质数量与临界量比值Q</w:t>
      </w:r>
      <w:r>
        <w:rPr>
          <w:rFonts w:hint="default" w:ascii="Times New Roman" w:hAnsi="Times New Roman" w:eastAsia="仿宋" w:cs="Times New Roman"/>
          <w:color w:val="000000"/>
          <w:sz w:val="28"/>
          <w:szCs w:val="28"/>
          <w:highlight w:val="none"/>
          <w:vertAlign w:val="subscript"/>
        </w:rPr>
        <w:t>0</w:t>
      </w:r>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color w:val="000000"/>
          <w:sz w:val="28"/>
          <w:szCs w:val="28"/>
          <w:highlight w:val="none"/>
          <w:lang w:val="en-US" w:eastAsia="zh-CN"/>
        </w:rPr>
        <w:t>0</w:t>
      </w:r>
      <w:r>
        <w:rPr>
          <w:rFonts w:hint="default" w:ascii="Times New Roman" w:hAnsi="Times New Roman" w:eastAsia="仿宋" w:cs="Times New Roman"/>
          <w:color w:val="000000"/>
          <w:sz w:val="28"/>
          <w:szCs w:val="28"/>
          <w:highlight w:val="none"/>
        </w:rPr>
        <w:t>&lt;1，企业突发大气环境事件风险等级表示为“一般-大气（Q</w:t>
      </w:r>
      <w:r>
        <w:rPr>
          <w:rFonts w:hint="default" w:ascii="Times New Roman" w:hAnsi="Times New Roman" w:eastAsia="仿宋" w:cs="Times New Roman"/>
          <w:color w:val="000000"/>
          <w:sz w:val="28"/>
          <w:szCs w:val="28"/>
          <w:highlight w:val="none"/>
          <w:vertAlign w:val="subscript"/>
        </w:rPr>
        <w:t>0</w:t>
      </w:r>
      <w:r>
        <w:rPr>
          <w:rFonts w:hint="default" w:ascii="Times New Roman" w:hAnsi="Times New Roman" w:eastAsia="仿宋" w:cs="Times New Roman"/>
          <w:color w:val="000000"/>
          <w:sz w:val="28"/>
          <w:szCs w:val="28"/>
          <w:highlight w:val="none"/>
        </w:rPr>
        <w:t>）”。</w:t>
      </w:r>
    </w:p>
    <w:p>
      <w:pPr>
        <w:pStyle w:val="4"/>
        <w:bidi w:val="0"/>
        <w:ind w:firstLine="643" w:firstLineChars="200"/>
        <w:rPr>
          <w:rFonts w:hint="eastAsia" w:ascii="Times New Roman" w:hAnsi="Times New Roman" w:eastAsia="仿宋" w:cs="Times New Roman"/>
          <w:lang w:val="en-US" w:eastAsia="zh-CN"/>
        </w:rPr>
      </w:pPr>
      <w:bookmarkStart w:id="155" w:name="_Toc25585"/>
      <w:bookmarkStart w:id="156" w:name="_Toc18463"/>
      <w:r>
        <w:rPr>
          <w:rFonts w:hint="eastAsia" w:ascii="Times New Roman" w:hAnsi="Times New Roman" w:eastAsia="仿宋" w:cs="Times New Roman"/>
          <w:lang w:val="en-US" w:eastAsia="zh-CN"/>
        </w:rPr>
        <w:t>7.3.2突发水环境事件风险分级</w:t>
      </w:r>
      <w:bookmarkEnd w:id="155"/>
      <w:bookmarkEnd w:id="156"/>
    </w:p>
    <w:p>
      <w:pPr>
        <w:spacing w:line="360" w:lineRule="auto"/>
        <w:ind w:firstLine="562" w:firstLineChars="200"/>
        <w:rPr>
          <w:rFonts w:hint="default" w:ascii="Times New Roman" w:hAnsi="Times New Roman" w:eastAsia="仿宋" w:cs="Times New Roman"/>
          <w:b/>
          <w:bCs/>
          <w:color w:val="000000"/>
          <w:sz w:val="28"/>
          <w:szCs w:val="28"/>
          <w:highlight w:val="none"/>
        </w:rPr>
      </w:pPr>
      <w:r>
        <w:rPr>
          <w:rFonts w:hint="default" w:ascii="Times New Roman" w:hAnsi="Times New Roman" w:eastAsia="仿宋" w:cs="Times New Roman"/>
          <w:b/>
          <w:bCs/>
          <w:color w:val="000000"/>
          <w:sz w:val="28"/>
          <w:szCs w:val="28"/>
          <w:highlight w:val="none"/>
        </w:rPr>
        <w:t>（1）计算涉水风险物质数量与临界量比值（Q）</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涉</w:t>
      </w:r>
      <w:r>
        <w:rPr>
          <w:rFonts w:hint="default" w:ascii="Times New Roman" w:hAnsi="Times New Roman" w:eastAsia="仿宋" w:cs="Times New Roman"/>
          <w:color w:val="000000"/>
          <w:sz w:val="28"/>
          <w:szCs w:val="28"/>
          <w:highlight w:val="none"/>
          <w:lang w:eastAsia="zh-CN"/>
        </w:rPr>
        <w:t>水</w:t>
      </w:r>
      <w:r>
        <w:rPr>
          <w:rFonts w:hint="default" w:ascii="Times New Roman" w:hAnsi="Times New Roman" w:eastAsia="仿宋" w:cs="Times New Roman"/>
          <w:color w:val="000000"/>
          <w:sz w:val="28"/>
          <w:szCs w:val="28"/>
          <w:highlight w:val="none"/>
        </w:rPr>
        <w:t>风险物质包括附录A中的第三、第四、第五、第六、</w:t>
      </w:r>
      <w:r>
        <w:rPr>
          <w:rFonts w:hint="default" w:ascii="Times New Roman" w:hAnsi="Times New Roman" w:eastAsia="仿宋" w:cs="Times New Roman"/>
          <w:b/>
          <w:bCs/>
          <w:color w:val="000000"/>
          <w:sz w:val="28"/>
          <w:szCs w:val="28"/>
          <w:highlight w:val="none"/>
        </w:rPr>
        <w:t>第七</w:t>
      </w:r>
      <w:r>
        <w:rPr>
          <w:rFonts w:hint="default" w:ascii="Times New Roman" w:hAnsi="Times New Roman" w:eastAsia="仿宋" w:cs="Times New Roman"/>
          <w:b/>
          <w:bCs/>
          <w:color w:val="000000"/>
          <w:sz w:val="28"/>
          <w:szCs w:val="28"/>
          <w:highlight w:val="none"/>
          <w:lang w:eastAsia="zh-CN"/>
        </w:rPr>
        <w:t>（钼及其化合物（三氧化钼））</w:t>
      </w:r>
      <w:r>
        <w:rPr>
          <w:rFonts w:hint="default" w:ascii="Times New Roman" w:hAnsi="Times New Roman" w:eastAsia="仿宋" w:cs="Times New Roman"/>
          <w:b/>
          <w:bCs/>
          <w:color w:val="000000"/>
          <w:sz w:val="28"/>
          <w:szCs w:val="28"/>
          <w:highlight w:val="none"/>
        </w:rPr>
        <w:t>和第八部分全部风险物质</w:t>
      </w:r>
      <w:r>
        <w:rPr>
          <w:rFonts w:hint="default" w:ascii="Times New Roman" w:hAnsi="Times New Roman" w:eastAsia="仿宋" w:cs="Times New Roman"/>
          <w:b/>
          <w:bCs/>
          <w:color w:val="000000"/>
          <w:sz w:val="28"/>
          <w:szCs w:val="28"/>
          <w:highlight w:val="none"/>
          <w:lang w:eastAsia="zh-CN"/>
        </w:rPr>
        <w:t>（油类物质（废乳化液、废机油））</w:t>
      </w:r>
      <w:r>
        <w:rPr>
          <w:rFonts w:hint="default" w:ascii="Times New Roman" w:hAnsi="Times New Roman" w:eastAsia="仿宋" w:cs="Times New Roman"/>
          <w:color w:val="000000"/>
          <w:sz w:val="28"/>
          <w:szCs w:val="28"/>
          <w:highlight w:val="none"/>
        </w:rPr>
        <w:t>以及第一、第二部分中溶于水和遇水发生反应的风险物质，具体包括：硒化氢、甲醛、乙二腈、二氧化氯、氯化氢、氨、环氧乙烷、甲胺、丁烷、二甲胺、一氧化二氮，砷化氢、二氧化氮、三甲胺、二氧化硫、三氟化硼、硅烷、溴化氢、氯化氰、乙胺、二甲醚，以及遇水发生反应的乙烯酮、氟、四氟化硫、三氟溴乙烯。</w:t>
      </w:r>
    </w:p>
    <w:p>
      <w:pPr>
        <w:spacing w:line="360" w:lineRule="auto"/>
        <w:ind w:firstLine="560" w:firstLineChars="200"/>
        <w:rPr>
          <w:rFonts w:hint="default" w:ascii="Times New Roman" w:hAnsi="Times New Roman" w:eastAsia="仿宋" w:cs="Times New Roman"/>
          <w:b/>
          <w:bCs/>
          <w:color w:val="000000"/>
          <w:sz w:val="28"/>
          <w:szCs w:val="28"/>
          <w:highlight w:val="none"/>
          <w:lang w:eastAsia="zh-CN"/>
        </w:rPr>
      </w:pPr>
      <w:r>
        <w:rPr>
          <w:rFonts w:hint="default" w:ascii="Times New Roman" w:hAnsi="Times New Roman" w:eastAsia="仿宋" w:cs="Times New Roman"/>
          <w:color w:val="000000"/>
          <w:sz w:val="28"/>
          <w:szCs w:val="28"/>
          <w:highlight w:val="none"/>
        </w:rPr>
        <w:t>判断企业生产原料、产品、中间产品、副产品、催化剂、辅助生产物料、“三废”污染物等是否涉及水环境风险物质，计算涉水风险物质（混合或稀释的风险物质按其组分比例折算成纯物质）与其临界量的比值Q，计算方法同大气部分。</w:t>
      </w:r>
      <w:r>
        <w:rPr>
          <w:rFonts w:hint="default" w:ascii="Times New Roman" w:hAnsi="Times New Roman" w:eastAsia="仿宋" w:cs="Times New Roman"/>
          <w:b/>
          <w:bCs/>
          <w:color w:val="000000"/>
          <w:sz w:val="28"/>
          <w:szCs w:val="28"/>
          <w:highlight w:val="none"/>
        </w:rPr>
        <w:t>根据判断</w:t>
      </w:r>
      <w:r>
        <w:rPr>
          <w:rFonts w:hint="default" w:ascii="Times New Roman" w:hAnsi="Times New Roman" w:eastAsia="仿宋" w:cs="Times New Roman"/>
          <w:b/>
          <w:bCs/>
          <w:color w:val="000000"/>
          <w:sz w:val="28"/>
          <w:szCs w:val="28"/>
          <w:highlight w:val="none"/>
          <w:lang w:eastAsia="zh-CN"/>
        </w:rPr>
        <w:t>：</w:t>
      </w:r>
      <w:r>
        <w:rPr>
          <w:rFonts w:hint="default" w:ascii="Times New Roman" w:hAnsi="Times New Roman" w:eastAsia="仿宋" w:cs="Times New Roman"/>
          <w:b/>
          <w:bCs/>
          <w:color w:val="000000"/>
          <w:sz w:val="28"/>
          <w:szCs w:val="28"/>
          <w:highlight w:val="none"/>
        </w:rPr>
        <w:t>项目</w:t>
      </w:r>
      <w:r>
        <w:rPr>
          <w:rFonts w:hint="default" w:ascii="Times New Roman" w:hAnsi="Times New Roman" w:eastAsia="仿宋" w:cs="Times New Roman"/>
          <w:b/>
          <w:bCs/>
          <w:color w:val="000000"/>
          <w:sz w:val="28"/>
          <w:szCs w:val="28"/>
          <w:highlight w:val="none"/>
          <w:lang w:eastAsia="zh-CN"/>
        </w:rPr>
        <w:t>咸阳三毅优源投资有限公司</w:t>
      </w:r>
      <w:r>
        <w:rPr>
          <w:rFonts w:hint="default" w:ascii="Times New Roman" w:hAnsi="Times New Roman" w:eastAsia="仿宋" w:cs="Times New Roman"/>
          <w:b/>
          <w:bCs/>
          <w:color w:val="000000"/>
          <w:sz w:val="28"/>
          <w:szCs w:val="28"/>
          <w:highlight w:val="none"/>
        </w:rPr>
        <w:t>涉水风险物质为</w:t>
      </w:r>
      <w:r>
        <w:rPr>
          <w:rFonts w:hint="default" w:ascii="Times New Roman" w:hAnsi="Times New Roman" w:eastAsia="仿宋" w:cs="Times New Roman"/>
          <w:b/>
          <w:bCs/>
          <w:color w:val="000000"/>
          <w:sz w:val="28"/>
          <w:szCs w:val="28"/>
          <w:highlight w:val="none"/>
          <w:lang w:eastAsia="zh-CN"/>
        </w:rPr>
        <w:t>第七部分重金属及其化合物（钼及其化合物）和第八部分其他类物质及其污染物（油类物质）。</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（1）当企业只涉及一种风险物质时，该物质的数量与其临界量比值，即为Q。</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（2）当企业存在多种风险物质时，则按下式计算：</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object>
          <v:shape id="_x0000_i1026" o:spt="75" type="#_x0000_t75" style="height:34pt;width:130pt;" o:ole="t" filled="f" o:preferrelative="t" stroked="f" coordsize="21600,21600">
            <v:path/>
            <v:fill on="f" focussize="0,0"/>
            <v:stroke on="f"/>
            <v:imagedata r:id="rId13" o:title=""/>
            <o:lock v:ext="edit" aspectratio="t"/>
            <w10:wrap type="none"/>
            <w10:anchorlock/>
          </v:shape>
          <o:OLEObject Type="Embed" ProgID="Equation.KSEE3" ShapeID="_x0000_i1026" DrawAspect="Content" ObjectID="_1468075727" r:id="rId12">
            <o:LockedField>false</o:LockedField>
          </o:OLEObject>
        </w:objec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1</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2</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n</w:t>
      </w:r>
      <w:r>
        <w:rPr>
          <w:rFonts w:hint="default" w:ascii="Times New Roman" w:hAnsi="Times New Roman" w:eastAsia="仿宋" w:cs="Times New Roman"/>
          <w:color w:val="000000"/>
          <w:sz w:val="28"/>
          <w:szCs w:val="28"/>
          <w:highlight w:val="none"/>
        </w:rPr>
        <w:t>——每种风险物质的存在量，t；</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1</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2</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n</w:t>
      </w:r>
      <w:r>
        <w:rPr>
          <w:rFonts w:hint="default" w:ascii="Times New Roman" w:hAnsi="Times New Roman" w:eastAsia="仿宋" w:cs="Times New Roman"/>
          <w:color w:val="000000"/>
          <w:sz w:val="28"/>
          <w:szCs w:val="28"/>
          <w:highlight w:val="none"/>
        </w:rPr>
        <w:t>——每种风险物质的临界量，t。</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按照数值大小，将Q划分为4个水平：</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1）Q＜1，以Q</w:t>
      </w:r>
      <w:r>
        <w:rPr>
          <w:rFonts w:hint="default" w:ascii="Times New Roman" w:hAnsi="Times New Roman" w:eastAsia="仿宋" w:cs="Times New Roman"/>
          <w:color w:val="000000"/>
          <w:sz w:val="28"/>
          <w:szCs w:val="28"/>
          <w:highlight w:val="none"/>
          <w:vertAlign w:val="subscript"/>
        </w:rPr>
        <w:t>0</w:t>
      </w:r>
      <w:r>
        <w:rPr>
          <w:rFonts w:hint="default" w:ascii="Times New Roman" w:hAnsi="Times New Roman" w:eastAsia="仿宋" w:cs="Times New Roman"/>
          <w:color w:val="000000"/>
          <w:sz w:val="28"/>
          <w:szCs w:val="28"/>
          <w:highlight w:val="none"/>
        </w:rPr>
        <w:t>表示，企业直接评为一般环境风险等级；</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2）1≤Q＜10，以Q</w:t>
      </w:r>
      <w:r>
        <w:rPr>
          <w:rFonts w:hint="default" w:ascii="Times New Roman" w:hAnsi="Times New Roman" w:eastAsia="仿宋" w:cs="Times New Roman"/>
          <w:color w:val="000000"/>
          <w:sz w:val="28"/>
          <w:szCs w:val="28"/>
          <w:highlight w:val="none"/>
          <w:vertAlign w:val="subscript"/>
        </w:rPr>
        <w:t>1</w:t>
      </w:r>
      <w:r>
        <w:rPr>
          <w:rFonts w:hint="default" w:ascii="Times New Roman" w:hAnsi="Times New Roman" w:eastAsia="仿宋" w:cs="Times New Roman"/>
          <w:color w:val="000000"/>
          <w:sz w:val="28"/>
          <w:szCs w:val="28"/>
          <w:highlight w:val="none"/>
        </w:rPr>
        <w:t>表示；</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3）10≤Q＜100，以Q</w:t>
      </w:r>
      <w:r>
        <w:rPr>
          <w:rFonts w:hint="default" w:ascii="Times New Roman" w:hAnsi="Times New Roman" w:eastAsia="仿宋" w:cs="Times New Roman"/>
          <w:color w:val="000000"/>
          <w:sz w:val="28"/>
          <w:szCs w:val="28"/>
          <w:highlight w:val="none"/>
          <w:vertAlign w:val="subscript"/>
        </w:rPr>
        <w:t>2</w:t>
      </w:r>
      <w:r>
        <w:rPr>
          <w:rFonts w:hint="default" w:ascii="Times New Roman" w:hAnsi="Times New Roman" w:eastAsia="仿宋" w:cs="Times New Roman"/>
          <w:color w:val="000000"/>
          <w:sz w:val="28"/>
          <w:szCs w:val="28"/>
          <w:highlight w:val="none"/>
        </w:rPr>
        <w:t>表示；</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4）Q≥100，以Q</w:t>
      </w:r>
      <w:r>
        <w:rPr>
          <w:rFonts w:hint="default" w:ascii="Times New Roman" w:hAnsi="Times New Roman" w:eastAsia="仿宋" w:cs="Times New Roman"/>
          <w:color w:val="000000"/>
          <w:sz w:val="28"/>
          <w:szCs w:val="28"/>
          <w:highlight w:val="none"/>
          <w:vertAlign w:val="subscript"/>
        </w:rPr>
        <w:t>3</w:t>
      </w:r>
      <w:r>
        <w:rPr>
          <w:rFonts w:hint="default" w:ascii="Times New Roman" w:hAnsi="Times New Roman" w:eastAsia="仿宋" w:cs="Times New Roman"/>
          <w:color w:val="000000"/>
          <w:sz w:val="28"/>
          <w:szCs w:val="28"/>
          <w:highlight w:val="none"/>
        </w:rPr>
        <w:t>表示。</w:t>
      </w:r>
    </w:p>
    <w:p>
      <w:pPr>
        <w:spacing w:line="360" w:lineRule="auto"/>
        <w:ind w:firstLine="482" w:firstLineChars="200"/>
        <w:jc w:val="center"/>
        <w:rPr>
          <w:rFonts w:hint="eastAsia" w:ascii="Times New Roman" w:hAnsi="Times New Roman" w:eastAsia="仿宋" w:cs="Times New Roman"/>
          <w:b/>
          <w:bCs/>
          <w:snapToGrid w:val="0"/>
          <w:color w:val="auto"/>
          <w:kern w:val="0"/>
          <w:sz w:val="24"/>
          <w:szCs w:val="24"/>
        </w:rPr>
      </w:pPr>
      <w:r>
        <w:rPr>
          <w:rFonts w:hint="eastAsia" w:ascii="Times New Roman" w:hAnsi="Times New Roman" w:eastAsia="仿宋" w:cs="Times New Roman"/>
          <w:b/>
          <w:bCs/>
          <w:snapToGrid w:val="0"/>
          <w:color w:val="auto"/>
          <w:kern w:val="0"/>
          <w:sz w:val="24"/>
          <w:szCs w:val="24"/>
        </w:rPr>
        <w:t>表</w:t>
      </w:r>
      <w:r>
        <w:rPr>
          <w:rFonts w:hint="eastAsia" w:ascii="Times New Roman" w:hAnsi="Times New Roman" w:eastAsia="仿宋" w:cs="Times New Roman"/>
          <w:b/>
          <w:bCs/>
          <w:snapToGrid w:val="0"/>
          <w:color w:val="auto"/>
          <w:kern w:val="0"/>
          <w:sz w:val="24"/>
          <w:szCs w:val="24"/>
          <w:lang w:val="en-US" w:eastAsia="zh-CN"/>
        </w:rPr>
        <w:t>7</w:t>
      </w:r>
      <w:r>
        <w:rPr>
          <w:rFonts w:hint="eastAsia" w:ascii="Times New Roman" w:hAnsi="Times New Roman" w:eastAsia="仿宋" w:cs="Times New Roman"/>
          <w:b/>
          <w:bCs/>
          <w:snapToGrid w:val="0"/>
          <w:color w:val="auto"/>
          <w:kern w:val="0"/>
          <w:sz w:val="24"/>
          <w:szCs w:val="24"/>
        </w:rPr>
        <w:t>-1 涉</w:t>
      </w:r>
      <w:r>
        <w:rPr>
          <w:rFonts w:hint="eastAsia" w:ascii="Times New Roman" w:hAnsi="Times New Roman" w:eastAsia="仿宋" w:cs="Times New Roman"/>
          <w:b/>
          <w:bCs/>
          <w:snapToGrid w:val="0"/>
          <w:color w:val="auto"/>
          <w:kern w:val="0"/>
          <w:sz w:val="24"/>
          <w:szCs w:val="24"/>
          <w:lang w:eastAsia="zh-CN"/>
        </w:rPr>
        <w:t>水</w:t>
      </w:r>
      <w:r>
        <w:rPr>
          <w:rFonts w:hint="eastAsia" w:ascii="Times New Roman" w:hAnsi="Times New Roman" w:eastAsia="仿宋" w:cs="Times New Roman"/>
          <w:b/>
          <w:bCs/>
          <w:snapToGrid w:val="0"/>
          <w:color w:val="auto"/>
          <w:kern w:val="0"/>
          <w:sz w:val="24"/>
          <w:szCs w:val="24"/>
        </w:rPr>
        <w:t>风险物质与其临界量比值结果表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38"/>
        <w:gridCol w:w="2576"/>
        <w:gridCol w:w="1350"/>
        <w:gridCol w:w="1241"/>
        <w:gridCol w:w="1837"/>
        <w:gridCol w:w="13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default" w:ascii="Times New Roman" w:hAnsi="Times New Roman" w:eastAsia="仿宋" w:cs="Times New Roman"/>
                <w:b/>
                <w:bCs/>
                <w:color w:val="000000"/>
                <w:kern w:val="0"/>
                <w:sz w:val="24"/>
                <w:szCs w:val="24"/>
                <w:highlight w:val="none"/>
              </w:rPr>
            </w:pPr>
            <w:r>
              <w:rPr>
                <w:rFonts w:hint="default" w:ascii="Times New Roman" w:hAnsi="Times New Roman" w:eastAsia="仿宋" w:cs="Times New Roman"/>
                <w:b/>
                <w:bCs/>
                <w:color w:val="000000"/>
                <w:kern w:val="0"/>
                <w:sz w:val="24"/>
                <w:szCs w:val="24"/>
                <w:highlight w:val="none"/>
              </w:rPr>
              <w:t>序号</w:t>
            </w:r>
          </w:p>
        </w:tc>
        <w:tc>
          <w:tcPr>
            <w:tcW w:w="2576" w:type="dxa"/>
            <w:noWrap w:val="0"/>
            <w:vAlign w:val="center"/>
          </w:tcPr>
          <w:p>
            <w:pPr>
              <w:widowControl/>
              <w:jc w:val="center"/>
              <w:rPr>
                <w:rFonts w:hint="default" w:ascii="Times New Roman" w:hAnsi="Times New Roman" w:eastAsia="仿宋" w:cs="Times New Roman"/>
                <w:b/>
                <w:bCs/>
                <w:color w:val="000000"/>
                <w:kern w:val="0"/>
                <w:sz w:val="24"/>
                <w:szCs w:val="24"/>
                <w:highlight w:val="none"/>
              </w:rPr>
            </w:pPr>
            <w:r>
              <w:rPr>
                <w:rFonts w:hint="default" w:ascii="Times New Roman" w:hAnsi="Times New Roman" w:eastAsia="仿宋" w:cs="Times New Roman"/>
                <w:b/>
                <w:bCs/>
                <w:color w:val="000000"/>
                <w:kern w:val="0"/>
                <w:sz w:val="24"/>
                <w:szCs w:val="24"/>
                <w:highlight w:val="none"/>
              </w:rPr>
              <w:t>物质名称</w:t>
            </w:r>
          </w:p>
        </w:tc>
        <w:tc>
          <w:tcPr>
            <w:tcW w:w="1350" w:type="dxa"/>
            <w:noWrap w:val="0"/>
            <w:vAlign w:val="center"/>
          </w:tcPr>
          <w:p>
            <w:pPr>
              <w:widowControl/>
              <w:jc w:val="center"/>
              <w:rPr>
                <w:rFonts w:hint="default" w:ascii="Times New Roman" w:hAnsi="Times New Roman" w:eastAsia="仿宋" w:cs="Times New Roman"/>
                <w:b/>
                <w:bCs/>
                <w:color w:val="000000"/>
                <w:kern w:val="0"/>
                <w:sz w:val="24"/>
                <w:szCs w:val="24"/>
                <w:highlight w:val="none"/>
              </w:rPr>
            </w:pPr>
            <w:r>
              <w:rPr>
                <w:rFonts w:hint="default" w:ascii="Times New Roman" w:hAnsi="Times New Roman" w:eastAsia="仿宋" w:cs="Times New Roman"/>
                <w:b/>
                <w:bCs/>
                <w:color w:val="000000"/>
                <w:kern w:val="0"/>
                <w:sz w:val="24"/>
                <w:szCs w:val="24"/>
                <w:highlight w:val="none"/>
              </w:rPr>
              <w:t>CAS号</w:t>
            </w:r>
          </w:p>
        </w:tc>
        <w:tc>
          <w:tcPr>
            <w:tcW w:w="1241" w:type="dxa"/>
            <w:noWrap w:val="0"/>
            <w:vAlign w:val="center"/>
          </w:tcPr>
          <w:p>
            <w:pPr>
              <w:widowControl/>
              <w:jc w:val="center"/>
              <w:rPr>
                <w:rFonts w:hint="default" w:ascii="Times New Roman" w:hAnsi="Times New Roman" w:eastAsia="仿宋" w:cs="Times New Roman"/>
                <w:b/>
                <w:bCs/>
                <w:color w:val="000000"/>
                <w:kern w:val="0"/>
                <w:sz w:val="24"/>
                <w:szCs w:val="24"/>
                <w:highlight w:val="none"/>
              </w:rPr>
            </w:pPr>
            <w:r>
              <w:rPr>
                <w:rFonts w:hint="default" w:ascii="Times New Roman" w:hAnsi="Times New Roman" w:eastAsia="仿宋" w:cs="Times New Roman"/>
                <w:b/>
                <w:bCs/>
                <w:color w:val="000000"/>
                <w:kern w:val="0"/>
                <w:sz w:val="24"/>
                <w:szCs w:val="24"/>
                <w:highlight w:val="none"/>
              </w:rPr>
              <w:t>临界量（t）</w:t>
            </w:r>
          </w:p>
        </w:tc>
        <w:tc>
          <w:tcPr>
            <w:tcW w:w="1837" w:type="dxa"/>
            <w:noWrap w:val="0"/>
            <w:vAlign w:val="center"/>
          </w:tcPr>
          <w:p>
            <w:pPr>
              <w:widowControl/>
              <w:jc w:val="center"/>
              <w:rPr>
                <w:rFonts w:hint="default" w:ascii="Times New Roman" w:hAnsi="Times New Roman" w:eastAsia="仿宋" w:cs="Times New Roman"/>
                <w:b/>
                <w:bCs/>
                <w:color w:val="000000"/>
                <w:kern w:val="0"/>
                <w:sz w:val="24"/>
                <w:szCs w:val="24"/>
                <w:highlight w:val="none"/>
              </w:rPr>
            </w:pPr>
            <w:r>
              <w:rPr>
                <w:rFonts w:hint="eastAsia" w:ascii="Times New Roman" w:hAnsi="Times New Roman" w:eastAsia="仿宋" w:cs="Times New Roman"/>
                <w:b/>
                <w:bCs/>
                <w:color w:val="000000"/>
                <w:kern w:val="0"/>
                <w:sz w:val="24"/>
                <w:szCs w:val="24"/>
                <w:highlight w:val="none"/>
                <w:lang w:val="en-US" w:eastAsia="zh-CN"/>
              </w:rPr>
              <w:t>最大存放</w:t>
            </w:r>
            <w:r>
              <w:rPr>
                <w:rFonts w:hint="default" w:ascii="Times New Roman" w:hAnsi="Times New Roman" w:eastAsia="仿宋" w:cs="Times New Roman"/>
                <w:b/>
                <w:bCs/>
                <w:color w:val="000000"/>
                <w:kern w:val="0"/>
                <w:sz w:val="24"/>
                <w:szCs w:val="24"/>
                <w:highlight w:val="none"/>
              </w:rPr>
              <w:t>量（t）</w:t>
            </w:r>
          </w:p>
        </w:tc>
        <w:tc>
          <w:tcPr>
            <w:tcW w:w="1329" w:type="dxa"/>
            <w:noWrap w:val="0"/>
            <w:vAlign w:val="center"/>
          </w:tcPr>
          <w:p>
            <w:pPr>
              <w:widowControl/>
              <w:jc w:val="center"/>
              <w:rPr>
                <w:rFonts w:hint="default" w:ascii="Times New Roman" w:hAnsi="Times New Roman" w:eastAsia="仿宋" w:cs="Times New Roman"/>
                <w:b/>
                <w:bCs/>
                <w:color w:val="000000"/>
                <w:kern w:val="0"/>
                <w:sz w:val="24"/>
                <w:szCs w:val="24"/>
                <w:highlight w:val="none"/>
              </w:rPr>
            </w:pPr>
            <w:r>
              <w:rPr>
                <w:rFonts w:hint="default" w:ascii="Times New Roman" w:hAnsi="Times New Roman" w:eastAsia="仿宋" w:cs="Times New Roman"/>
                <w:b/>
                <w:bCs/>
                <w:color w:val="000000"/>
                <w:kern w:val="0"/>
                <w:sz w:val="24"/>
                <w:szCs w:val="24"/>
                <w:highlight w:val="none"/>
              </w:rPr>
              <w:t>Q</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1</w:t>
            </w:r>
          </w:p>
        </w:tc>
        <w:tc>
          <w:tcPr>
            <w:tcW w:w="2576"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lang w:eastAsia="zh-CN"/>
              </w:rPr>
              <w:t>油类物质（废乳化液）</w:t>
            </w:r>
          </w:p>
        </w:tc>
        <w:tc>
          <w:tcPr>
            <w:tcW w:w="1350"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Cs/>
                <w:sz w:val="24"/>
                <w:szCs w:val="24"/>
                <w:highlight w:val="none"/>
              </w:rPr>
              <w:t>68916-43-8</w:t>
            </w:r>
          </w:p>
        </w:tc>
        <w:tc>
          <w:tcPr>
            <w:tcW w:w="1241"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2500</w:t>
            </w:r>
          </w:p>
        </w:tc>
        <w:tc>
          <w:tcPr>
            <w:tcW w:w="1837"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0.008</w:t>
            </w:r>
          </w:p>
        </w:tc>
        <w:tc>
          <w:tcPr>
            <w:tcW w:w="132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3.2×10</w:t>
            </w:r>
            <w:r>
              <w:rPr>
                <w:rFonts w:hint="default" w:ascii="Times New Roman" w:hAnsi="Times New Roman" w:eastAsia="仿宋" w:cs="Times New Roman"/>
                <w:b w:val="0"/>
                <w:bCs w:val="0"/>
                <w:color w:val="000000"/>
                <w:kern w:val="0"/>
                <w:sz w:val="24"/>
                <w:szCs w:val="24"/>
                <w:highlight w:val="none"/>
                <w:vertAlign w:val="superscript"/>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2</w:t>
            </w:r>
          </w:p>
        </w:tc>
        <w:tc>
          <w:tcPr>
            <w:tcW w:w="2576"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eastAsia="zh-CN"/>
              </w:rPr>
              <w:t>油类物质（废机油）</w:t>
            </w:r>
          </w:p>
        </w:tc>
        <w:tc>
          <w:tcPr>
            <w:tcW w:w="1350"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bidi="ar"/>
              </w:rPr>
            </w:pPr>
            <w:r>
              <w:rPr>
                <w:rFonts w:hint="default" w:ascii="Times New Roman" w:hAnsi="Times New Roman" w:eastAsia="仿宋" w:cs="Times New Roman"/>
                <w:b w:val="0"/>
                <w:bCs w:val="0"/>
                <w:color w:val="000000"/>
                <w:kern w:val="0"/>
                <w:sz w:val="24"/>
                <w:szCs w:val="24"/>
                <w:highlight w:val="none"/>
                <w:lang w:val="en-US" w:eastAsia="zh-CN" w:bidi="ar"/>
              </w:rPr>
              <w:t>/</w:t>
            </w:r>
          </w:p>
        </w:tc>
        <w:tc>
          <w:tcPr>
            <w:tcW w:w="1241"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2500</w:t>
            </w:r>
          </w:p>
        </w:tc>
        <w:tc>
          <w:tcPr>
            <w:tcW w:w="1837"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0.002</w:t>
            </w:r>
          </w:p>
        </w:tc>
        <w:tc>
          <w:tcPr>
            <w:tcW w:w="1329"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8.0×10</w:t>
            </w:r>
            <w:r>
              <w:rPr>
                <w:rFonts w:hint="default" w:ascii="Times New Roman" w:hAnsi="Times New Roman" w:eastAsia="仿宋" w:cs="Times New Roman"/>
                <w:b w:val="0"/>
                <w:bCs w:val="0"/>
                <w:color w:val="000000"/>
                <w:kern w:val="0"/>
                <w:sz w:val="24"/>
                <w:szCs w:val="24"/>
                <w:highlight w:val="none"/>
                <w:vertAlign w:val="superscript"/>
                <w:lang w:val="en-US" w:eastAsia="zh-CN"/>
              </w:rPr>
              <w:t>-7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3</w:t>
            </w:r>
          </w:p>
        </w:tc>
        <w:tc>
          <w:tcPr>
            <w:tcW w:w="2576"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eastAsia="zh-CN"/>
              </w:rPr>
            </w:pPr>
            <w:r>
              <w:rPr>
                <w:rFonts w:hint="default" w:ascii="Times New Roman" w:hAnsi="Times New Roman" w:eastAsia="仿宋" w:cs="Times New Roman"/>
                <w:b w:val="0"/>
                <w:bCs w:val="0"/>
                <w:color w:val="000000"/>
                <w:kern w:val="0"/>
                <w:sz w:val="24"/>
                <w:szCs w:val="24"/>
                <w:highlight w:val="none"/>
                <w:lang w:eastAsia="zh-CN"/>
              </w:rPr>
              <w:t>钼及其化合物（废钼丝）</w:t>
            </w:r>
          </w:p>
        </w:tc>
        <w:tc>
          <w:tcPr>
            <w:tcW w:w="1350"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bidi="ar"/>
              </w:rPr>
            </w:pPr>
            <w:r>
              <w:rPr>
                <w:rFonts w:hint="default" w:ascii="Times New Roman" w:hAnsi="Times New Roman" w:eastAsia="仿宋" w:cs="Times New Roman"/>
                <w:i w:val="0"/>
                <w:caps w:val="0"/>
                <w:color w:val="333333"/>
                <w:spacing w:val="0"/>
                <w:sz w:val="24"/>
                <w:szCs w:val="24"/>
                <w:highlight w:val="none"/>
                <w:shd w:val="clear" w:color="auto" w:fill="FFFFFF"/>
              </w:rPr>
              <w:t>7439-98-7</w:t>
            </w:r>
          </w:p>
        </w:tc>
        <w:tc>
          <w:tcPr>
            <w:tcW w:w="1241"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0.25</w:t>
            </w:r>
          </w:p>
        </w:tc>
        <w:tc>
          <w:tcPr>
            <w:tcW w:w="1837"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0.001</w:t>
            </w:r>
          </w:p>
        </w:tc>
        <w:tc>
          <w:tcPr>
            <w:tcW w:w="132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4.0×10</w:t>
            </w:r>
            <w:r>
              <w:rPr>
                <w:rFonts w:hint="default" w:ascii="Times New Roman" w:hAnsi="Times New Roman" w:eastAsia="仿宋" w:cs="Times New Roman"/>
                <w:b w:val="0"/>
                <w:bCs w:val="0"/>
                <w:color w:val="000000"/>
                <w:kern w:val="0"/>
                <w:sz w:val="24"/>
                <w:szCs w:val="24"/>
                <w:highlight w:val="none"/>
                <w:vertAlign w:val="superscript"/>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eastAsia" w:ascii="Times New Roman" w:hAnsi="Times New Roman" w:eastAsia="仿宋" w:cs="Times New Roman"/>
                <w:b w:val="0"/>
                <w:bCs w:val="0"/>
                <w:color w:val="000000"/>
                <w:kern w:val="0"/>
                <w:sz w:val="24"/>
                <w:szCs w:val="24"/>
                <w:highlight w:val="none"/>
                <w:lang w:val="en-US" w:eastAsia="zh-CN"/>
              </w:rPr>
              <w:t>4</w:t>
            </w:r>
          </w:p>
        </w:tc>
        <w:tc>
          <w:tcPr>
            <w:tcW w:w="2576"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eastAsia="zh-CN"/>
              </w:rPr>
            </w:pPr>
            <w:r>
              <w:rPr>
                <w:rFonts w:hint="default" w:ascii="Times New Roman" w:hAnsi="Times New Roman" w:eastAsia="仿宋" w:cs="Times New Roman"/>
                <w:b/>
                <w:bCs/>
                <w:color w:val="000000"/>
                <w:kern w:val="0"/>
                <w:sz w:val="24"/>
                <w:szCs w:val="24"/>
                <w:highlight w:val="none"/>
                <w:lang w:eastAsia="zh-CN"/>
              </w:rPr>
              <w:t>油类物质（乳化液）</w:t>
            </w:r>
          </w:p>
        </w:tc>
        <w:tc>
          <w:tcPr>
            <w:tcW w:w="1350" w:type="dxa"/>
            <w:noWrap w:val="0"/>
            <w:vAlign w:val="center"/>
          </w:tcPr>
          <w:p>
            <w:pPr>
              <w:widowControl/>
              <w:jc w:val="center"/>
              <w:rPr>
                <w:rFonts w:hint="default" w:ascii="Times New Roman" w:hAnsi="Times New Roman" w:eastAsia="仿宋" w:cs="Times New Roman"/>
                <w:b/>
                <w:bCs/>
                <w:i w:val="0"/>
                <w:caps w:val="0"/>
                <w:color w:val="333333"/>
                <w:spacing w:val="0"/>
                <w:sz w:val="24"/>
                <w:szCs w:val="24"/>
                <w:highlight w:val="none"/>
                <w:shd w:val="clear" w:color="auto" w:fill="FFFFFF"/>
              </w:rPr>
            </w:pPr>
            <w:r>
              <w:rPr>
                <w:rFonts w:hint="default" w:ascii="Times New Roman" w:hAnsi="Times New Roman" w:eastAsia="仿宋" w:cs="Times New Roman"/>
                <w:b/>
                <w:bCs/>
                <w:sz w:val="24"/>
                <w:szCs w:val="24"/>
                <w:highlight w:val="none"/>
              </w:rPr>
              <w:t>68916-43-8</w:t>
            </w:r>
          </w:p>
        </w:tc>
        <w:tc>
          <w:tcPr>
            <w:tcW w:w="1241"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2500</w:t>
            </w:r>
          </w:p>
        </w:tc>
        <w:tc>
          <w:tcPr>
            <w:tcW w:w="1837"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eastAsia" w:ascii="Times New Roman" w:hAnsi="Times New Roman" w:eastAsia="仿宋" w:cs="Times New Roman"/>
                <w:b/>
                <w:bCs/>
                <w:color w:val="000000"/>
                <w:kern w:val="0"/>
                <w:sz w:val="24"/>
                <w:szCs w:val="24"/>
                <w:highlight w:val="none"/>
                <w:lang w:val="en-US" w:eastAsia="zh-CN"/>
              </w:rPr>
              <w:t>0.018</w:t>
            </w:r>
          </w:p>
        </w:tc>
        <w:tc>
          <w:tcPr>
            <w:tcW w:w="1329"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eastAsia" w:ascii="Times New Roman" w:hAnsi="Times New Roman" w:eastAsia="仿宋" w:cs="Times New Roman"/>
                <w:b/>
                <w:bCs/>
                <w:color w:val="000000"/>
                <w:kern w:val="0"/>
                <w:sz w:val="24"/>
                <w:szCs w:val="24"/>
                <w:highlight w:val="none"/>
                <w:lang w:val="en-US" w:eastAsia="zh-CN"/>
              </w:rPr>
              <w:t>7.2</w:t>
            </w:r>
            <w:r>
              <w:rPr>
                <w:rFonts w:hint="default" w:ascii="Times New Roman" w:hAnsi="Times New Roman" w:eastAsia="仿宋" w:cs="Times New Roman"/>
                <w:b/>
                <w:bCs/>
                <w:color w:val="000000"/>
                <w:kern w:val="0"/>
                <w:sz w:val="24"/>
                <w:szCs w:val="24"/>
                <w:highlight w:val="none"/>
                <w:lang w:val="en-US" w:eastAsia="zh-CN"/>
              </w:rPr>
              <w:t>×10</w:t>
            </w:r>
            <w:r>
              <w:rPr>
                <w:rFonts w:hint="default" w:ascii="Times New Roman" w:hAnsi="Times New Roman" w:eastAsia="仿宋" w:cs="Times New Roman"/>
                <w:b/>
                <w:bCs/>
                <w:color w:val="000000"/>
                <w:kern w:val="0"/>
                <w:sz w:val="24"/>
                <w:szCs w:val="24"/>
                <w:highlight w:val="none"/>
                <w:vertAlign w:val="superscript"/>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eastAsia" w:ascii="Times New Roman" w:hAnsi="Times New Roman" w:eastAsia="仿宋" w:cs="Times New Roman"/>
                <w:b w:val="0"/>
                <w:bCs w:val="0"/>
                <w:color w:val="000000"/>
                <w:kern w:val="0"/>
                <w:sz w:val="24"/>
                <w:szCs w:val="24"/>
                <w:highlight w:val="none"/>
                <w:lang w:val="en-US" w:eastAsia="zh-CN"/>
              </w:rPr>
            </w:pPr>
            <w:r>
              <w:rPr>
                <w:rFonts w:hint="eastAsia" w:ascii="Times New Roman" w:hAnsi="Times New Roman" w:eastAsia="仿宋" w:cs="Times New Roman"/>
                <w:b w:val="0"/>
                <w:bCs w:val="0"/>
                <w:color w:val="000000"/>
                <w:kern w:val="0"/>
                <w:sz w:val="24"/>
                <w:szCs w:val="24"/>
                <w:highlight w:val="none"/>
                <w:lang w:val="en-US" w:eastAsia="zh-CN"/>
              </w:rPr>
              <w:t>5</w:t>
            </w:r>
          </w:p>
        </w:tc>
        <w:tc>
          <w:tcPr>
            <w:tcW w:w="2576"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eastAsia="zh-CN"/>
              </w:rPr>
            </w:pPr>
            <w:r>
              <w:rPr>
                <w:rFonts w:hint="default" w:ascii="Times New Roman" w:hAnsi="Times New Roman" w:eastAsia="仿宋" w:cs="Times New Roman"/>
                <w:b/>
                <w:bCs/>
                <w:color w:val="000000"/>
                <w:kern w:val="0"/>
                <w:sz w:val="24"/>
                <w:szCs w:val="24"/>
                <w:highlight w:val="none"/>
                <w:lang w:eastAsia="zh-CN"/>
              </w:rPr>
              <w:t>油类物质（机油）</w:t>
            </w:r>
          </w:p>
        </w:tc>
        <w:tc>
          <w:tcPr>
            <w:tcW w:w="1350"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bidi="ar"/>
              </w:rPr>
            </w:pPr>
            <w:r>
              <w:rPr>
                <w:rFonts w:hint="default" w:ascii="Times New Roman" w:hAnsi="Times New Roman" w:eastAsia="仿宋" w:cs="Times New Roman"/>
                <w:b/>
                <w:bCs/>
                <w:color w:val="000000"/>
                <w:kern w:val="0"/>
                <w:sz w:val="24"/>
                <w:szCs w:val="24"/>
                <w:highlight w:val="none"/>
                <w:lang w:val="en-US" w:eastAsia="zh-CN" w:bidi="ar"/>
              </w:rPr>
              <w:t>/</w:t>
            </w:r>
          </w:p>
        </w:tc>
        <w:tc>
          <w:tcPr>
            <w:tcW w:w="1241"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2500</w:t>
            </w:r>
          </w:p>
        </w:tc>
        <w:tc>
          <w:tcPr>
            <w:tcW w:w="1837" w:type="dxa"/>
            <w:noWrap w:val="0"/>
            <w:vAlign w:val="center"/>
          </w:tcPr>
          <w:p>
            <w:pPr>
              <w:widowControl/>
              <w:jc w:val="center"/>
              <w:rPr>
                <w:rFonts w:hint="eastAsia" w:ascii="Times New Roman" w:hAnsi="Times New Roman" w:eastAsia="仿宋" w:cs="Times New Roman"/>
                <w:b/>
                <w:bCs/>
                <w:color w:val="000000"/>
                <w:kern w:val="0"/>
                <w:sz w:val="24"/>
                <w:szCs w:val="24"/>
                <w:highlight w:val="none"/>
                <w:lang w:val="en-US" w:eastAsia="zh-CN"/>
              </w:rPr>
            </w:pPr>
            <w:r>
              <w:rPr>
                <w:rFonts w:hint="eastAsia" w:ascii="Times New Roman" w:hAnsi="Times New Roman" w:eastAsia="仿宋" w:cs="Times New Roman"/>
                <w:b/>
                <w:bCs/>
                <w:color w:val="000000"/>
                <w:kern w:val="0"/>
                <w:sz w:val="24"/>
                <w:szCs w:val="24"/>
                <w:highlight w:val="none"/>
                <w:lang w:val="en-US" w:eastAsia="zh-CN"/>
              </w:rPr>
              <w:t>0.000182</w:t>
            </w:r>
          </w:p>
        </w:tc>
        <w:tc>
          <w:tcPr>
            <w:tcW w:w="1329" w:type="dxa"/>
            <w:noWrap w:val="0"/>
            <w:vAlign w:val="center"/>
          </w:tcPr>
          <w:p>
            <w:pPr>
              <w:widowControl/>
              <w:jc w:val="center"/>
              <w:rPr>
                <w:rFonts w:hint="eastAsia" w:ascii="Times New Roman" w:hAnsi="Times New Roman" w:eastAsia="仿宋" w:cs="Times New Roman"/>
                <w:b/>
                <w:bCs/>
                <w:color w:val="000000"/>
                <w:kern w:val="0"/>
                <w:sz w:val="24"/>
                <w:szCs w:val="24"/>
                <w:highlight w:val="none"/>
                <w:lang w:val="en-US" w:eastAsia="zh-CN"/>
              </w:rPr>
            </w:pPr>
            <w:r>
              <w:rPr>
                <w:rFonts w:hint="eastAsia" w:ascii="Times New Roman" w:hAnsi="Times New Roman" w:eastAsia="仿宋" w:cs="Times New Roman"/>
                <w:b/>
                <w:bCs/>
                <w:color w:val="000000"/>
                <w:kern w:val="0"/>
                <w:sz w:val="24"/>
                <w:szCs w:val="24"/>
                <w:highlight w:val="none"/>
                <w:lang w:val="en-US" w:eastAsia="zh-CN"/>
              </w:rPr>
              <w:t>7.28</w:t>
            </w:r>
            <w:r>
              <w:rPr>
                <w:rFonts w:hint="default" w:ascii="Times New Roman" w:hAnsi="Times New Roman" w:eastAsia="仿宋" w:cs="Times New Roman"/>
                <w:b/>
                <w:bCs/>
                <w:color w:val="000000"/>
                <w:kern w:val="0"/>
                <w:sz w:val="24"/>
                <w:szCs w:val="24"/>
                <w:highlight w:val="none"/>
                <w:lang w:val="en-US" w:eastAsia="zh-CN"/>
              </w:rPr>
              <w:t>×10</w:t>
            </w:r>
            <w:r>
              <w:rPr>
                <w:rFonts w:hint="default" w:ascii="Times New Roman" w:hAnsi="Times New Roman" w:eastAsia="仿宋" w:cs="Times New Roman"/>
                <w:b/>
                <w:bCs/>
                <w:color w:val="000000"/>
                <w:kern w:val="0"/>
                <w:sz w:val="24"/>
                <w:szCs w:val="24"/>
                <w:highlight w:val="none"/>
                <w:vertAlign w:val="superscript"/>
                <w:lang w:val="en-US" w:eastAsia="zh-CN"/>
              </w:rPr>
              <w:t>-</w:t>
            </w:r>
            <w:r>
              <w:rPr>
                <w:rFonts w:hint="eastAsia" w:ascii="Times New Roman" w:hAnsi="Times New Roman" w:eastAsia="仿宋" w:cs="Times New Roman"/>
                <w:b/>
                <w:bCs/>
                <w:color w:val="000000"/>
                <w:kern w:val="0"/>
                <w:sz w:val="24"/>
                <w:szCs w:val="24"/>
                <w:highlight w:val="none"/>
                <w:vertAlign w:val="superscript"/>
                <w:lang w:val="en-US" w:eastAsia="zh-CN"/>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eastAsia" w:ascii="Times New Roman" w:hAnsi="Times New Roman" w:eastAsia="仿宋" w:cs="Times New Roman"/>
                <w:b w:val="0"/>
                <w:bCs w:val="0"/>
                <w:color w:val="000000"/>
                <w:kern w:val="0"/>
                <w:sz w:val="24"/>
                <w:szCs w:val="24"/>
                <w:highlight w:val="none"/>
                <w:lang w:val="en-US" w:eastAsia="zh-CN"/>
              </w:rPr>
            </w:pPr>
            <w:r>
              <w:rPr>
                <w:rFonts w:hint="eastAsia" w:ascii="Times New Roman" w:hAnsi="Times New Roman" w:eastAsia="仿宋" w:cs="Times New Roman"/>
                <w:b w:val="0"/>
                <w:bCs w:val="0"/>
                <w:color w:val="000000"/>
                <w:kern w:val="0"/>
                <w:sz w:val="24"/>
                <w:szCs w:val="24"/>
                <w:highlight w:val="none"/>
                <w:lang w:val="en-US" w:eastAsia="zh-CN"/>
              </w:rPr>
              <w:t>6</w:t>
            </w:r>
          </w:p>
        </w:tc>
        <w:tc>
          <w:tcPr>
            <w:tcW w:w="2576"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eastAsia="zh-CN"/>
              </w:rPr>
            </w:pPr>
            <w:r>
              <w:rPr>
                <w:rFonts w:hint="default" w:ascii="Times New Roman" w:hAnsi="Times New Roman" w:eastAsia="仿宋" w:cs="Times New Roman"/>
                <w:b/>
                <w:bCs/>
                <w:color w:val="000000"/>
                <w:kern w:val="0"/>
                <w:sz w:val="24"/>
                <w:szCs w:val="24"/>
                <w:highlight w:val="none"/>
                <w:lang w:eastAsia="zh-CN"/>
              </w:rPr>
              <w:t>钼及其化合物（钼丝）</w:t>
            </w:r>
          </w:p>
        </w:tc>
        <w:tc>
          <w:tcPr>
            <w:tcW w:w="1350"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bidi="ar"/>
              </w:rPr>
            </w:pPr>
            <w:r>
              <w:rPr>
                <w:rFonts w:hint="default" w:ascii="Times New Roman" w:hAnsi="Times New Roman" w:eastAsia="仿宋" w:cs="Times New Roman"/>
                <w:b/>
                <w:bCs/>
                <w:i w:val="0"/>
                <w:caps w:val="0"/>
                <w:color w:val="333333"/>
                <w:spacing w:val="0"/>
                <w:sz w:val="24"/>
                <w:szCs w:val="24"/>
                <w:highlight w:val="none"/>
                <w:shd w:val="clear" w:color="auto" w:fill="FFFFFF"/>
              </w:rPr>
              <w:t>7439-98-7</w:t>
            </w:r>
          </w:p>
        </w:tc>
        <w:tc>
          <w:tcPr>
            <w:tcW w:w="1241"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0.25</w:t>
            </w:r>
          </w:p>
        </w:tc>
        <w:tc>
          <w:tcPr>
            <w:tcW w:w="1837" w:type="dxa"/>
            <w:noWrap w:val="0"/>
            <w:vAlign w:val="center"/>
          </w:tcPr>
          <w:p>
            <w:pPr>
              <w:widowControl/>
              <w:jc w:val="center"/>
              <w:rPr>
                <w:rFonts w:hint="eastAsia" w:ascii="Times New Roman" w:hAnsi="Times New Roman" w:eastAsia="仿宋" w:cs="Times New Roman"/>
                <w:b/>
                <w:bCs/>
                <w:color w:val="000000"/>
                <w:kern w:val="0"/>
                <w:sz w:val="24"/>
                <w:szCs w:val="24"/>
                <w:highlight w:val="none"/>
                <w:lang w:val="en-US" w:eastAsia="zh-CN"/>
              </w:rPr>
            </w:pPr>
            <w:r>
              <w:rPr>
                <w:rFonts w:hint="eastAsia" w:ascii="Times New Roman" w:hAnsi="Times New Roman" w:eastAsia="仿宋" w:cs="Times New Roman"/>
                <w:b/>
                <w:bCs/>
                <w:color w:val="000000"/>
                <w:kern w:val="0"/>
                <w:sz w:val="24"/>
                <w:szCs w:val="24"/>
                <w:highlight w:val="none"/>
                <w:lang w:val="en-US" w:eastAsia="zh-CN"/>
              </w:rPr>
              <w:t>0.0001</w:t>
            </w:r>
          </w:p>
        </w:tc>
        <w:tc>
          <w:tcPr>
            <w:tcW w:w="1329" w:type="dxa"/>
            <w:noWrap w:val="0"/>
            <w:vAlign w:val="center"/>
          </w:tcPr>
          <w:p>
            <w:pPr>
              <w:widowControl/>
              <w:jc w:val="center"/>
              <w:rPr>
                <w:rFonts w:hint="eastAsia"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4.0×10</w:t>
            </w:r>
            <w:r>
              <w:rPr>
                <w:rFonts w:hint="default" w:ascii="Times New Roman" w:hAnsi="Times New Roman" w:eastAsia="仿宋" w:cs="Times New Roman"/>
                <w:b/>
                <w:bCs/>
                <w:color w:val="000000"/>
                <w:kern w:val="0"/>
                <w:sz w:val="24"/>
                <w:szCs w:val="24"/>
                <w:highlight w:val="none"/>
                <w:vertAlign w:val="superscript"/>
                <w:lang w:val="en-US" w:eastAsia="zh-CN"/>
              </w:rPr>
              <w:t>-</w:t>
            </w:r>
            <w:r>
              <w:rPr>
                <w:rFonts w:hint="eastAsia" w:ascii="Times New Roman" w:hAnsi="Times New Roman" w:eastAsia="仿宋" w:cs="Times New Roman"/>
                <w:b/>
                <w:bCs/>
                <w:color w:val="000000"/>
                <w:kern w:val="0"/>
                <w:sz w:val="24"/>
                <w:szCs w:val="24"/>
                <w:highlight w:val="none"/>
                <w:vertAlign w:val="superscript"/>
                <w:lang w:val="en-US" w:eastAsia="zh-CN"/>
              </w:rPr>
              <w:t>4</w:t>
            </w:r>
          </w:p>
        </w:tc>
      </w:tr>
    </w:tbl>
    <w:p>
      <w:pPr>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由表</w:t>
      </w:r>
      <w:r>
        <w:rPr>
          <w:rFonts w:hint="default" w:ascii="Times New Roman" w:hAnsi="Times New Roman" w:eastAsia="仿宋" w:cs="Times New Roman"/>
          <w:color w:val="000000"/>
          <w:sz w:val="28"/>
          <w:szCs w:val="28"/>
          <w:highlight w:val="none"/>
          <w:lang w:val="en-US" w:eastAsia="zh-CN"/>
        </w:rPr>
        <w:t>7</w:t>
      </w:r>
      <w:r>
        <w:rPr>
          <w:rFonts w:hint="default" w:ascii="Times New Roman" w:hAnsi="Times New Roman" w:eastAsia="仿宋" w:cs="Times New Roman"/>
          <w:color w:val="000000"/>
          <w:sz w:val="28"/>
          <w:szCs w:val="28"/>
          <w:highlight w:val="none"/>
        </w:rPr>
        <w:t>-1可知，企业涉气风险物质数量与临界量比值Q</w:t>
      </w:r>
      <w:r>
        <w:rPr>
          <w:rFonts w:hint="default" w:ascii="Times New Roman" w:hAnsi="Times New Roman" w:eastAsia="仿宋" w:cs="Times New Roman"/>
          <w:color w:val="000000"/>
          <w:sz w:val="28"/>
          <w:szCs w:val="28"/>
          <w:highlight w:val="none"/>
          <w:lang w:val="en-US" w:eastAsia="zh-CN"/>
        </w:rPr>
        <w:t>0</w:t>
      </w:r>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color w:val="000000"/>
          <w:sz w:val="28"/>
          <w:szCs w:val="28"/>
          <w:highlight w:val="none"/>
          <w:lang w:val="en-US" w:eastAsia="zh-CN"/>
        </w:rPr>
        <w:t>0.0044</w:t>
      </w:r>
      <w:r>
        <w:rPr>
          <w:rFonts w:hint="default" w:ascii="Times New Roman" w:hAnsi="Times New Roman" w:eastAsia="仿宋" w:cs="Times New Roman"/>
          <w:color w:val="000000"/>
          <w:sz w:val="28"/>
          <w:szCs w:val="28"/>
          <w:highlight w:val="none"/>
        </w:rPr>
        <w:t>&lt;1，企业突发水环境事件风险等级表示为“一般-</w:t>
      </w:r>
      <w:r>
        <w:rPr>
          <w:rFonts w:hint="default" w:ascii="Times New Roman" w:hAnsi="Times New Roman" w:eastAsia="仿宋" w:cs="Times New Roman"/>
          <w:color w:val="000000"/>
          <w:sz w:val="28"/>
          <w:szCs w:val="28"/>
          <w:highlight w:val="none"/>
          <w:lang w:eastAsia="zh-CN"/>
        </w:rPr>
        <w:t>水</w:t>
      </w:r>
      <w:r>
        <w:rPr>
          <w:rFonts w:hint="default" w:ascii="Times New Roman" w:hAnsi="Times New Roman" w:eastAsia="仿宋" w:cs="Times New Roman"/>
          <w:color w:val="000000"/>
          <w:sz w:val="28"/>
          <w:szCs w:val="28"/>
          <w:highlight w:val="none"/>
        </w:rPr>
        <w:t>（Q</w:t>
      </w:r>
      <w:r>
        <w:rPr>
          <w:rFonts w:hint="default" w:ascii="Times New Roman" w:hAnsi="Times New Roman" w:eastAsia="仿宋" w:cs="Times New Roman"/>
          <w:color w:val="000000"/>
          <w:sz w:val="28"/>
          <w:szCs w:val="28"/>
          <w:highlight w:val="none"/>
          <w:vertAlign w:val="subscript"/>
        </w:rPr>
        <w:t>0</w:t>
      </w:r>
      <w:r>
        <w:rPr>
          <w:rFonts w:hint="default" w:ascii="Times New Roman" w:hAnsi="Times New Roman" w:eastAsia="仿宋" w:cs="Times New Roman"/>
          <w:color w:val="000000"/>
          <w:sz w:val="28"/>
          <w:szCs w:val="28"/>
          <w:highlight w:val="none"/>
        </w:rPr>
        <w:t>）”。</w:t>
      </w:r>
    </w:p>
    <w:p>
      <w:pPr>
        <w:keepNext/>
        <w:keepLines/>
        <w:widowControl w:val="0"/>
        <w:bidi w:val="0"/>
        <w:spacing w:line="360" w:lineRule="auto"/>
        <w:ind w:firstLine="643" w:firstLineChars="200"/>
        <w:jc w:val="left"/>
        <w:textAlignment w:val="baseline"/>
        <w:outlineLvl w:val="1"/>
        <w:rPr>
          <w:rFonts w:hint="default" w:ascii="Times New Roman" w:hAnsi="Times New Roman" w:eastAsia="楷体" w:cs="Times New Roman"/>
          <w:b/>
          <w:bCs/>
          <w:kern w:val="2"/>
          <w:sz w:val="32"/>
          <w:szCs w:val="32"/>
          <w:lang w:val="en-US" w:eastAsia="zh-CN" w:bidi="ar-SA"/>
        </w:rPr>
      </w:pPr>
      <w:bookmarkStart w:id="157" w:name="_Toc17625"/>
      <w:bookmarkStart w:id="158" w:name="_Toc3180"/>
      <w:bookmarkStart w:id="159" w:name="_Toc13324"/>
      <w:bookmarkStart w:id="160" w:name="_Toc18413"/>
      <w:r>
        <w:rPr>
          <w:rFonts w:hint="eastAsia" w:ascii="Times New Roman" w:hAnsi="Times New Roman" w:eastAsia="楷体" w:cs="Times New Roman"/>
          <w:b/>
          <w:bCs/>
          <w:kern w:val="2"/>
          <w:sz w:val="32"/>
          <w:szCs w:val="32"/>
          <w:lang w:val="en-US" w:eastAsia="zh-CN" w:bidi="ar-SA"/>
        </w:rPr>
        <w:t>7</w:t>
      </w:r>
      <w:r>
        <w:rPr>
          <w:rFonts w:hint="default" w:ascii="Times New Roman" w:hAnsi="Times New Roman" w:eastAsia="楷体" w:cs="Times New Roman"/>
          <w:b/>
          <w:bCs/>
          <w:kern w:val="2"/>
          <w:sz w:val="32"/>
          <w:szCs w:val="32"/>
          <w:lang w:val="en-US" w:eastAsia="zh-CN" w:bidi="ar-SA"/>
        </w:rPr>
        <w:t>.</w:t>
      </w:r>
      <w:r>
        <w:rPr>
          <w:rFonts w:hint="eastAsia" w:ascii="Times New Roman" w:hAnsi="Times New Roman" w:eastAsia="楷体" w:cs="Times New Roman"/>
          <w:b/>
          <w:bCs/>
          <w:kern w:val="2"/>
          <w:sz w:val="32"/>
          <w:szCs w:val="32"/>
          <w:lang w:val="en-US" w:eastAsia="zh-CN" w:bidi="ar-SA"/>
        </w:rPr>
        <w:t>4</w:t>
      </w:r>
      <w:r>
        <w:rPr>
          <w:rFonts w:hint="default" w:ascii="Times New Roman" w:hAnsi="Times New Roman" w:eastAsia="楷体" w:cs="Times New Roman"/>
          <w:b/>
          <w:bCs/>
          <w:kern w:val="2"/>
          <w:sz w:val="32"/>
          <w:szCs w:val="32"/>
          <w:lang w:val="en-US" w:eastAsia="zh-CN" w:bidi="ar-SA"/>
        </w:rPr>
        <w:t>企业突发环境事件风险等级</w:t>
      </w:r>
      <w:bookmarkEnd w:id="157"/>
      <w:r>
        <w:rPr>
          <w:rFonts w:hint="default" w:ascii="Times New Roman" w:hAnsi="Times New Roman" w:eastAsia="楷体" w:cs="Times New Roman"/>
          <w:b/>
          <w:bCs/>
          <w:kern w:val="2"/>
          <w:sz w:val="32"/>
          <w:szCs w:val="32"/>
          <w:lang w:val="en-US" w:eastAsia="zh-CN" w:bidi="ar-SA"/>
        </w:rPr>
        <w:t>确定</w:t>
      </w:r>
      <w:bookmarkEnd w:id="158"/>
      <w:bookmarkEnd w:id="159"/>
      <w:bookmarkEnd w:id="160"/>
    </w:p>
    <w:p>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企业突发大气环境事件风险等级为“一般-大气（Q</w:t>
      </w:r>
      <w:r>
        <w:rPr>
          <w:rFonts w:hint="eastAsia" w:ascii="仿宋" w:hAnsi="仿宋" w:eastAsia="仿宋" w:cs="仿宋"/>
          <w:color w:val="000000"/>
          <w:sz w:val="28"/>
          <w:szCs w:val="28"/>
          <w:highlight w:val="none"/>
          <w:vertAlign w:val="subscript"/>
        </w:rPr>
        <w:t>0</w:t>
      </w:r>
      <w:r>
        <w:rPr>
          <w:rFonts w:hint="eastAsia" w:ascii="仿宋" w:hAnsi="仿宋" w:eastAsia="仿宋" w:cs="仿宋"/>
          <w:color w:val="000000"/>
          <w:sz w:val="28"/>
          <w:szCs w:val="28"/>
          <w:highlight w:val="none"/>
        </w:rPr>
        <w:t>）”，突发水环境事件风险等级为“一般-水（Q</w:t>
      </w:r>
      <w:r>
        <w:rPr>
          <w:rFonts w:hint="eastAsia" w:ascii="仿宋" w:hAnsi="仿宋" w:eastAsia="仿宋" w:cs="仿宋"/>
          <w:color w:val="000000"/>
          <w:sz w:val="28"/>
          <w:szCs w:val="28"/>
          <w:highlight w:val="none"/>
          <w:vertAlign w:val="subscript"/>
        </w:rPr>
        <w:t>0</w:t>
      </w:r>
      <w:r>
        <w:rPr>
          <w:rFonts w:hint="eastAsia" w:ascii="仿宋" w:hAnsi="仿宋" w:eastAsia="仿宋" w:cs="仿宋"/>
          <w:color w:val="000000"/>
          <w:sz w:val="28"/>
          <w:szCs w:val="28"/>
          <w:highlight w:val="none"/>
        </w:rPr>
        <w:t>）”，因此企业突发环境事件风险等级确定为“一般”。</w:t>
      </w:r>
    </w:p>
    <w:p>
      <w:pPr>
        <w:keepNext/>
        <w:keepLines/>
        <w:widowControl w:val="0"/>
        <w:bidi w:val="0"/>
        <w:spacing w:line="360" w:lineRule="auto"/>
        <w:ind w:firstLine="643" w:firstLineChars="200"/>
        <w:jc w:val="left"/>
        <w:textAlignment w:val="baseline"/>
        <w:outlineLvl w:val="1"/>
        <w:rPr>
          <w:rFonts w:hint="default" w:ascii="Times New Roman" w:hAnsi="Times New Roman" w:eastAsia="楷体" w:cs="Times New Roman"/>
          <w:b/>
          <w:bCs/>
          <w:kern w:val="2"/>
          <w:sz w:val="32"/>
          <w:szCs w:val="32"/>
          <w:lang w:val="en-US" w:eastAsia="zh-CN" w:bidi="ar-SA"/>
        </w:rPr>
      </w:pPr>
      <w:bookmarkStart w:id="161" w:name="_Toc3348"/>
      <w:bookmarkStart w:id="162" w:name="_Toc31673"/>
      <w:bookmarkStart w:id="163" w:name="_Toc19649"/>
      <w:r>
        <w:rPr>
          <w:rFonts w:hint="eastAsia" w:ascii="Times New Roman" w:hAnsi="Times New Roman" w:eastAsia="楷体" w:cs="Times New Roman"/>
          <w:b/>
          <w:bCs/>
          <w:kern w:val="2"/>
          <w:sz w:val="32"/>
          <w:szCs w:val="32"/>
          <w:lang w:val="en-US" w:eastAsia="zh-CN" w:bidi="ar-SA"/>
        </w:rPr>
        <w:t>7</w:t>
      </w:r>
      <w:r>
        <w:rPr>
          <w:rFonts w:hint="default" w:ascii="Times New Roman" w:hAnsi="Times New Roman" w:eastAsia="楷体" w:cs="Times New Roman"/>
          <w:b/>
          <w:bCs/>
          <w:kern w:val="2"/>
          <w:sz w:val="32"/>
          <w:szCs w:val="32"/>
          <w:lang w:val="en-US" w:eastAsia="zh-CN" w:bidi="ar-SA"/>
        </w:rPr>
        <w:t>.</w:t>
      </w:r>
      <w:r>
        <w:rPr>
          <w:rFonts w:hint="eastAsia" w:ascii="Times New Roman" w:hAnsi="Times New Roman" w:eastAsia="楷体" w:cs="Times New Roman"/>
          <w:b/>
          <w:bCs/>
          <w:kern w:val="2"/>
          <w:sz w:val="32"/>
          <w:szCs w:val="32"/>
          <w:lang w:val="en-US" w:eastAsia="zh-CN" w:bidi="ar-SA"/>
        </w:rPr>
        <w:t>5</w:t>
      </w:r>
      <w:r>
        <w:rPr>
          <w:rFonts w:hint="default" w:ascii="Times New Roman" w:hAnsi="Times New Roman" w:eastAsia="楷体" w:cs="Times New Roman"/>
          <w:b/>
          <w:bCs/>
          <w:kern w:val="2"/>
          <w:sz w:val="32"/>
          <w:szCs w:val="32"/>
          <w:lang w:val="en-US" w:eastAsia="zh-CN" w:bidi="ar-SA"/>
        </w:rPr>
        <w:t>风险等级调整</w:t>
      </w:r>
      <w:bookmarkEnd w:id="161"/>
      <w:bookmarkEnd w:id="162"/>
      <w:bookmarkEnd w:id="163"/>
    </w:p>
    <w:p>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近三年内本企业不存在违法排放污染物，不存在环境保护主管部门处罚记录。故本企业突发环境事件风险等级不需要调高一级，为一般环境风险等级。</w:t>
      </w:r>
    </w:p>
    <w:p>
      <w:pPr>
        <w:pStyle w:val="2"/>
        <w:ind w:left="0" w:leftChars="0"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本企业近三年内未因违法排放污染物、非法转移处置危险废物等行为受到环境保护主管部门处罚，不涉及风险等级调整。</w:t>
      </w:r>
    </w:p>
    <w:p>
      <w:pPr>
        <w:pStyle w:val="4"/>
        <w:bidi w:val="0"/>
        <w:ind w:firstLine="643" w:firstLineChars="200"/>
        <w:rPr>
          <w:rFonts w:hint="default"/>
          <w:lang w:val="en-US" w:eastAsia="zh-CN"/>
        </w:rPr>
      </w:pPr>
      <w:bookmarkStart w:id="164" w:name="_Toc23859"/>
      <w:bookmarkStart w:id="165" w:name="_Toc781"/>
      <w:bookmarkStart w:id="166" w:name="_Toc573"/>
      <w:r>
        <w:rPr>
          <w:rFonts w:hint="eastAsia"/>
          <w:lang w:val="en-US" w:eastAsia="zh-CN"/>
        </w:rPr>
        <w:t>7</w:t>
      </w:r>
      <w:r>
        <w:rPr>
          <w:rFonts w:hint="default"/>
          <w:lang w:val="en-US" w:eastAsia="zh-CN"/>
        </w:rPr>
        <w:t>.</w:t>
      </w:r>
      <w:r>
        <w:rPr>
          <w:rFonts w:hint="eastAsia"/>
          <w:lang w:val="en-US" w:eastAsia="zh-CN"/>
        </w:rPr>
        <w:t>6</w:t>
      </w:r>
      <w:r>
        <w:rPr>
          <w:rFonts w:hint="default"/>
          <w:lang w:val="en-US" w:eastAsia="zh-CN"/>
        </w:rPr>
        <w:t>风险等级表征</w:t>
      </w:r>
      <w:bookmarkEnd w:id="164"/>
      <w:bookmarkEnd w:id="165"/>
      <w:bookmarkEnd w:id="166"/>
    </w:p>
    <w:p>
      <w:pPr>
        <w:ind w:firstLine="562" w:firstLineChars="200"/>
        <w:rPr>
          <w:rFonts w:hint="eastAsia" w:ascii="仿宋" w:hAnsi="仿宋" w:eastAsia="仿宋" w:cs="仿宋"/>
          <w:b/>
          <w:bCs/>
          <w:color w:val="000000"/>
          <w:sz w:val="28"/>
          <w:szCs w:val="28"/>
          <w:highlight w:val="none"/>
          <w:lang w:eastAsia="zh-CN"/>
        </w:rPr>
      </w:pPr>
      <w:r>
        <w:rPr>
          <w:rFonts w:hint="eastAsia" w:ascii="仿宋" w:hAnsi="仿宋" w:eastAsia="仿宋" w:cs="仿宋"/>
          <w:b/>
          <w:bCs/>
          <w:color w:val="000000"/>
          <w:sz w:val="28"/>
          <w:szCs w:val="28"/>
          <w:highlight w:val="none"/>
        </w:rPr>
        <w:t>企业突发环境事件等级为“一般[大气（Q</w:t>
      </w:r>
      <w:r>
        <w:rPr>
          <w:rFonts w:hint="eastAsia" w:ascii="仿宋" w:hAnsi="仿宋" w:eastAsia="仿宋" w:cs="仿宋"/>
          <w:b/>
          <w:bCs/>
          <w:color w:val="000000"/>
          <w:sz w:val="28"/>
          <w:szCs w:val="28"/>
          <w:highlight w:val="none"/>
          <w:vertAlign w:val="subscript"/>
        </w:rPr>
        <w:t>0</w:t>
      </w:r>
      <w:r>
        <w:rPr>
          <w:rFonts w:hint="eastAsia" w:ascii="仿宋" w:hAnsi="仿宋" w:eastAsia="仿宋" w:cs="仿宋"/>
          <w:b/>
          <w:bCs/>
          <w:color w:val="000000"/>
          <w:sz w:val="28"/>
          <w:szCs w:val="28"/>
          <w:highlight w:val="none"/>
        </w:rPr>
        <w:t>）+水（Q</w:t>
      </w:r>
      <w:r>
        <w:rPr>
          <w:rFonts w:hint="eastAsia" w:ascii="仿宋" w:hAnsi="仿宋" w:eastAsia="仿宋" w:cs="仿宋"/>
          <w:b/>
          <w:bCs/>
          <w:color w:val="000000"/>
          <w:sz w:val="28"/>
          <w:szCs w:val="28"/>
          <w:highlight w:val="none"/>
          <w:vertAlign w:val="subscript"/>
        </w:rPr>
        <w:t>0</w:t>
      </w:r>
      <w:r>
        <w:rPr>
          <w:rFonts w:hint="eastAsia" w:ascii="仿宋" w:hAnsi="仿宋" w:eastAsia="仿宋" w:cs="仿宋"/>
          <w:b/>
          <w:bCs/>
          <w:color w:val="000000"/>
          <w:sz w:val="28"/>
          <w:szCs w:val="28"/>
          <w:highlight w:val="none"/>
        </w:rPr>
        <w:t>）</w:t>
      </w:r>
      <w:r>
        <w:rPr>
          <w:rFonts w:hint="eastAsia" w:ascii="仿宋" w:hAnsi="仿宋" w:eastAsia="仿宋" w:cs="仿宋"/>
          <w:b/>
          <w:bCs/>
          <w:color w:val="000000"/>
          <w:sz w:val="28"/>
          <w:szCs w:val="28"/>
          <w:highlight w:val="none"/>
          <w:lang w:eastAsia="zh-CN"/>
        </w:rPr>
        <w:t>。</w:t>
      </w:r>
    </w:p>
    <w:p>
      <w:pPr>
        <w:rPr>
          <w:rFonts w:hint="default"/>
          <w:lang w:val="en-US" w:eastAsia="zh-CN"/>
        </w:rPr>
      </w:pPr>
      <w:r>
        <w:rPr>
          <w:rFonts w:hint="default"/>
          <w:lang w:val="en-US" w:eastAsia="zh-CN"/>
        </w:rPr>
        <w:br w:type="page"/>
      </w:r>
    </w:p>
    <w:p>
      <w:pPr>
        <w:keepNext/>
        <w:keepLines/>
        <w:pageBreakBefore/>
        <w:widowControl w:val="0"/>
        <w:bidi w:val="0"/>
        <w:spacing w:beforeLines="0" w:afterLines="0" w:line="480" w:lineRule="auto"/>
        <w:ind w:firstLine="643" w:firstLineChars="200"/>
        <w:jc w:val="left"/>
        <w:outlineLvl w:val="0"/>
        <w:rPr>
          <w:rFonts w:hint="default" w:ascii="Times New Roman" w:hAnsi="Times New Roman" w:eastAsia="仿宋" w:cs="仿宋"/>
          <w:b/>
          <w:bCs/>
          <w:kern w:val="44"/>
          <w:sz w:val="32"/>
          <w:szCs w:val="44"/>
          <w:lang w:val="en-US" w:eastAsia="zh-CN" w:bidi="ar-SA"/>
        </w:rPr>
      </w:pPr>
      <w:bookmarkStart w:id="167" w:name="_Toc912"/>
      <w:bookmarkStart w:id="168" w:name="_Toc22685"/>
      <w:bookmarkStart w:id="169" w:name="_Toc25545"/>
      <w:r>
        <w:rPr>
          <w:rFonts w:hint="eastAsia" w:ascii="Times New Roman" w:hAnsi="Times New Roman" w:eastAsia="仿宋" w:cs="仿宋"/>
          <w:b/>
          <w:bCs/>
          <w:kern w:val="44"/>
          <w:sz w:val="32"/>
          <w:szCs w:val="44"/>
          <w:lang w:val="en-US" w:eastAsia="zh-CN" w:bidi="ar-SA"/>
        </w:rPr>
        <w:t>8</w:t>
      </w:r>
      <w:r>
        <w:rPr>
          <w:rFonts w:hint="default" w:ascii="Times New Roman" w:hAnsi="Times New Roman" w:eastAsia="仿宋" w:cs="仿宋"/>
          <w:b/>
          <w:bCs/>
          <w:kern w:val="44"/>
          <w:sz w:val="32"/>
          <w:szCs w:val="44"/>
          <w:lang w:val="en-US" w:eastAsia="zh-CN" w:bidi="ar-SA"/>
        </w:rPr>
        <w:t>修订说明</w:t>
      </w:r>
      <w:bookmarkEnd w:id="167"/>
      <w:bookmarkEnd w:id="168"/>
      <w:bookmarkEnd w:id="169"/>
    </w:p>
    <w:p>
      <w:pPr>
        <w:bidi w:val="0"/>
        <w:spacing w:line="360" w:lineRule="auto"/>
        <w:ind w:firstLine="560" w:firstLineChars="200"/>
        <w:rPr>
          <w:rFonts w:hint="default" w:ascii="Times New Roman" w:hAnsi="Times New Roman" w:eastAsia="仿宋" w:cs="仿宋"/>
          <w:sz w:val="28"/>
          <w:szCs w:val="24"/>
          <w:lang w:val="en-US" w:eastAsia="zh-CN"/>
        </w:rPr>
      </w:pPr>
      <w:bookmarkStart w:id="170" w:name="_Toc7282"/>
      <w:r>
        <w:rPr>
          <w:rFonts w:hint="default" w:ascii="Times New Roman" w:hAnsi="Times New Roman" w:eastAsia="仿宋" w:cs="仿宋"/>
          <w:sz w:val="28"/>
          <w:szCs w:val="24"/>
          <w:lang w:val="en-US" w:eastAsia="zh-CN"/>
        </w:rPr>
        <w:t>有下列情形之一的，企业应当及时划定或重新划定本项目突发环境事件风险等级，编制或修订本项目的环境风险评估报告：</w:t>
      </w:r>
      <w:bookmarkEnd w:id="170"/>
    </w:p>
    <w:p>
      <w:pPr>
        <w:bidi w:val="0"/>
        <w:spacing w:line="360" w:lineRule="auto"/>
        <w:ind w:firstLine="560" w:firstLineChars="200"/>
        <w:outlineLvl w:val="0"/>
        <w:rPr>
          <w:rFonts w:hint="default" w:ascii="Times New Roman" w:hAnsi="Times New Roman" w:eastAsia="仿宋" w:cs="仿宋"/>
          <w:sz w:val="28"/>
          <w:szCs w:val="24"/>
        </w:rPr>
      </w:pPr>
      <w:bookmarkStart w:id="171" w:name="_Toc3927"/>
      <w:r>
        <w:rPr>
          <w:rFonts w:hint="default" w:ascii="Times New Roman" w:hAnsi="Times New Roman" w:eastAsia="仿宋" w:cs="仿宋"/>
          <w:sz w:val="28"/>
          <w:szCs w:val="24"/>
        </w:rPr>
        <w:t>1</w:t>
      </w:r>
      <w:r>
        <w:rPr>
          <w:rFonts w:hint="default" w:ascii="Times New Roman" w:hAnsi="Times New Roman" w:eastAsia="仿宋" w:cs="仿宋"/>
          <w:sz w:val="28"/>
          <w:szCs w:val="24"/>
          <w:lang w:val="en-US" w:eastAsia="zh-CN"/>
        </w:rPr>
        <w:t>、</w:t>
      </w:r>
      <w:r>
        <w:rPr>
          <w:rFonts w:hint="default" w:ascii="Times New Roman" w:hAnsi="Times New Roman" w:eastAsia="仿宋" w:cs="仿宋"/>
          <w:sz w:val="28"/>
          <w:szCs w:val="24"/>
        </w:rPr>
        <w:t>未划定环境风险等级或划定环境风险等级已满三年的；</w:t>
      </w:r>
      <w:bookmarkEnd w:id="171"/>
    </w:p>
    <w:p>
      <w:pPr>
        <w:bidi w:val="0"/>
        <w:spacing w:line="360" w:lineRule="auto"/>
        <w:ind w:firstLine="560" w:firstLineChars="200"/>
        <w:rPr>
          <w:rFonts w:hint="default" w:ascii="Times New Roman" w:hAnsi="Times New Roman" w:eastAsia="仿宋" w:cs="仿宋"/>
          <w:sz w:val="28"/>
          <w:szCs w:val="24"/>
        </w:rPr>
      </w:pPr>
      <w:r>
        <w:rPr>
          <w:rFonts w:hint="default" w:ascii="Times New Roman" w:hAnsi="Times New Roman" w:eastAsia="仿宋" w:cs="仿宋"/>
          <w:sz w:val="28"/>
          <w:szCs w:val="24"/>
        </w:rPr>
        <w:t>2</w:t>
      </w:r>
      <w:r>
        <w:rPr>
          <w:rFonts w:hint="default" w:ascii="Times New Roman" w:hAnsi="Times New Roman" w:eastAsia="仿宋" w:cs="仿宋"/>
          <w:sz w:val="28"/>
          <w:szCs w:val="24"/>
          <w:lang w:val="en-US" w:eastAsia="zh-CN"/>
        </w:rPr>
        <w:t>、</w:t>
      </w:r>
      <w:r>
        <w:rPr>
          <w:rFonts w:hint="default" w:ascii="Times New Roman" w:hAnsi="Times New Roman" w:eastAsia="仿宋" w:cs="仿宋"/>
          <w:sz w:val="28"/>
          <w:szCs w:val="24"/>
        </w:rPr>
        <w:t>涉及环境风险物质的种类或数量、生产工艺过程与环境风险防范措施或周边可能受影响的环境风险受体发生变化，导致企业环境风险等级变化的；</w:t>
      </w:r>
    </w:p>
    <w:p>
      <w:pPr>
        <w:bidi w:val="0"/>
        <w:spacing w:line="360" w:lineRule="auto"/>
        <w:ind w:firstLine="560" w:firstLineChars="200"/>
        <w:rPr>
          <w:rFonts w:hint="default" w:ascii="Times New Roman" w:hAnsi="Times New Roman" w:eastAsia="仿宋" w:cs="仿宋"/>
          <w:sz w:val="28"/>
          <w:szCs w:val="24"/>
        </w:rPr>
      </w:pPr>
      <w:r>
        <w:rPr>
          <w:rFonts w:hint="default" w:ascii="Times New Roman" w:hAnsi="Times New Roman" w:eastAsia="仿宋" w:cs="仿宋"/>
          <w:sz w:val="28"/>
          <w:szCs w:val="24"/>
        </w:rPr>
        <w:t>3</w:t>
      </w:r>
      <w:r>
        <w:rPr>
          <w:rFonts w:hint="default" w:ascii="Times New Roman" w:hAnsi="Times New Roman" w:eastAsia="仿宋" w:cs="仿宋"/>
          <w:sz w:val="28"/>
          <w:szCs w:val="24"/>
          <w:lang w:val="en-US" w:eastAsia="zh-CN"/>
        </w:rPr>
        <w:t>、</w:t>
      </w:r>
      <w:r>
        <w:rPr>
          <w:rFonts w:hint="default" w:ascii="Times New Roman" w:hAnsi="Times New Roman" w:eastAsia="仿宋" w:cs="仿宋"/>
          <w:sz w:val="28"/>
          <w:szCs w:val="24"/>
        </w:rPr>
        <w:t>发生突发环境事件并造成环境污染的；</w:t>
      </w:r>
    </w:p>
    <w:p>
      <w:pPr>
        <w:bidi w:val="0"/>
        <w:spacing w:line="360" w:lineRule="auto"/>
        <w:ind w:firstLine="560" w:firstLineChars="200"/>
        <w:rPr>
          <w:rFonts w:hint="default" w:ascii="Times New Roman" w:hAnsi="Times New Roman" w:eastAsia="仿宋" w:cs="仿宋"/>
          <w:sz w:val="28"/>
          <w:szCs w:val="24"/>
          <w:lang w:eastAsia="zh-CN"/>
        </w:rPr>
      </w:pPr>
      <w:r>
        <w:rPr>
          <w:rFonts w:hint="default" w:ascii="Times New Roman" w:hAnsi="Times New Roman" w:eastAsia="仿宋" w:cs="仿宋"/>
          <w:sz w:val="28"/>
          <w:szCs w:val="24"/>
        </w:rPr>
        <w:t>4</w:t>
      </w:r>
      <w:r>
        <w:rPr>
          <w:rFonts w:hint="default" w:ascii="Times New Roman" w:hAnsi="Times New Roman" w:eastAsia="仿宋" w:cs="仿宋"/>
          <w:sz w:val="28"/>
          <w:szCs w:val="24"/>
          <w:lang w:val="en-US" w:eastAsia="zh-CN"/>
        </w:rPr>
        <w:t>、</w:t>
      </w:r>
      <w:r>
        <w:rPr>
          <w:rFonts w:hint="default" w:ascii="Times New Roman" w:hAnsi="Times New Roman" w:eastAsia="仿宋" w:cs="仿宋"/>
          <w:sz w:val="28"/>
          <w:szCs w:val="24"/>
        </w:rPr>
        <w:t>有关企业环境风险评估标准或规范性文件发生变化</w:t>
      </w:r>
      <w:r>
        <w:rPr>
          <w:rFonts w:hint="default" w:ascii="Times New Roman" w:hAnsi="Times New Roman" w:eastAsia="仿宋" w:cs="仿宋"/>
          <w:sz w:val="28"/>
          <w:szCs w:val="24"/>
          <w:lang w:eastAsia="zh-CN"/>
        </w:rPr>
        <w:t>。</w:t>
      </w:r>
    </w:p>
    <w:p>
      <w:pPr>
        <w:widowControl w:val="0"/>
        <w:spacing w:line="360" w:lineRule="auto"/>
        <w:ind w:firstLine="560" w:firstLineChars="200"/>
        <w:jc w:val="both"/>
        <w:rPr>
          <w:rFonts w:hint="default" w:ascii="Times New Roman" w:hAnsi="Times New Roman" w:eastAsia="仿宋" w:cs="Times New Roman"/>
          <w:color w:val="auto"/>
          <w:kern w:val="2"/>
          <w:sz w:val="28"/>
          <w:szCs w:val="28"/>
          <w:lang w:val="en-US" w:eastAsia="zh-CN" w:bidi="ar-SA"/>
        </w:rPr>
      </w:pPr>
    </w:p>
    <w:p>
      <w:pPr>
        <w:rPr>
          <w:rFonts w:hint="default"/>
          <w:lang w:val="en-US" w:eastAsia="zh-CN"/>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left"/>
      <w:rPr>
        <w:rFonts w:hint="eastAsia" w:ascii="Times New Roman" w:hAnsi="Times New Roman" w:eastAsia="仿宋"/>
        <w:sz w:val="21"/>
        <w:szCs w:val="21"/>
      </w:rPr>
    </w:pPr>
  </w:p>
  <w:p>
    <w:pPr>
      <w:pStyle w:val="10"/>
      <w:pBdr>
        <w:bottom w:val="thinThickSmallGap" w:color="auto" w:sz="12" w:space="1"/>
      </w:pBdr>
      <w:jc w:val="left"/>
      <w:rPr>
        <w:rFonts w:hint="eastAsia" w:eastAsia="仿宋"/>
      </w:rPr>
    </w:pPr>
    <w:r>
      <w:rPr>
        <w:rFonts w:hint="eastAsia" w:ascii="Times New Roman" w:hAnsi="Times New Roman" w:eastAsia="仿宋"/>
        <w:sz w:val="21"/>
        <w:szCs w:val="21"/>
        <w:lang w:eastAsia="zh-CN"/>
      </w:rPr>
      <w:t>咸阳三毅优源投资有限公司</w:t>
    </w:r>
    <w:r>
      <w:rPr>
        <w:rFonts w:hint="eastAsia"/>
      </w:rPr>
      <w:t xml:space="preserve">               </w:t>
    </w:r>
    <w:r>
      <w:rPr>
        <w:rFonts w:hint="eastAsia"/>
        <w:lang w:val="en-US" w:eastAsia="zh-CN"/>
      </w:rPr>
      <w:t xml:space="preserve">                     </w:t>
    </w:r>
    <w:r>
      <w:rPr>
        <w:rFonts w:hint="eastAsia" w:ascii="Times New Roman" w:hAnsi="Times New Roman" w:eastAsia="仿宋"/>
        <w:sz w:val="21"/>
        <w:szCs w:val="21"/>
      </w:rPr>
      <w:t>突发环境事件风险评估报告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F1115"/>
    <w:multiLevelType w:val="multilevel"/>
    <w:tmpl w:val="1FCF1115"/>
    <w:lvl w:ilvl="0" w:tentative="0">
      <w:start w:val="1"/>
      <w:numFmt w:val="decimal"/>
      <w:pStyle w:val="17"/>
      <w:lvlText w:val="表%1"/>
      <w:lvlJc w:val="left"/>
      <w:pPr>
        <w:ind w:left="420" w:hanging="420"/>
      </w:pPr>
      <w:rPr>
        <w:rFonts w:hint="default" w:ascii="Times New Roman" w:hAnsi="Times New Roman" w:eastAsia="宋体" w:cs="Times New Roman"/>
        <w:b/>
        <w:i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5EF580"/>
    <w:multiLevelType w:val="singleLevel"/>
    <w:tmpl w:val="5A5EF580"/>
    <w:lvl w:ilvl="0" w:tentative="0">
      <w:start w:val="1"/>
      <w:numFmt w:val="decimal"/>
      <w:suff w:val="nothing"/>
      <w:lvlText w:val="（%1）"/>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NjY4OGVmY2Q2NjBjMTU0ZTgwMGRlMGRiZTU5NDIifQ=="/>
  </w:docVars>
  <w:rsids>
    <w:rsidRoot w:val="00000000"/>
    <w:rsid w:val="021D0546"/>
    <w:rsid w:val="096A6590"/>
    <w:rsid w:val="0F0142A8"/>
    <w:rsid w:val="13482EF0"/>
    <w:rsid w:val="29ED417A"/>
    <w:rsid w:val="2D811557"/>
    <w:rsid w:val="3531135C"/>
    <w:rsid w:val="36925193"/>
    <w:rsid w:val="3BF642F1"/>
    <w:rsid w:val="3D4E6F3C"/>
    <w:rsid w:val="45AC50F8"/>
    <w:rsid w:val="48A856FB"/>
    <w:rsid w:val="48BB5AB2"/>
    <w:rsid w:val="4D712E2F"/>
    <w:rsid w:val="4FF2358B"/>
    <w:rsid w:val="5A723D99"/>
    <w:rsid w:val="72E91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pageBreakBefore/>
      <w:spacing w:beforeLines="0" w:afterLines="0" w:line="480" w:lineRule="auto"/>
      <w:jc w:val="left"/>
      <w:outlineLvl w:val="0"/>
    </w:pPr>
    <w:rPr>
      <w:rFonts w:ascii="Times New Roman" w:hAnsi="Times New Roman"/>
      <w:b/>
      <w:bCs/>
      <w:kern w:val="44"/>
      <w:sz w:val="32"/>
      <w:szCs w:val="44"/>
    </w:rPr>
  </w:style>
  <w:style w:type="paragraph" w:styleId="4">
    <w:name w:val="heading 2"/>
    <w:basedOn w:val="1"/>
    <w:next w:val="1"/>
    <w:qFormat/>
    <w:uiPriority w:val="0"/>
    <w:pPr>
      <w:keepNext/>
      <w:keepLines/>
      <w:spacing w:line="360" w:lineRule="auto"/>
      <w:jc w:val="left"/>
      <w:textAlignment w:val="baseline"/>
      <w:outlineLvl w:val="1"/>
    </w:pPr>
    <w:rPr>
      <w:rFonts w:ascii="Times New Roman" w:hAnsi="Times New Roman" w:eastAsia="楷体" w:cs="Times New Roman"/>
      <w:b/>
      <w:bCs/>
      <w:sz w:val="32"/>
      <w:szCs w:val="32"/>
    </w:rPr>
  </w:style>
  <w:style w:type="paragraph" w:styleId="5">
    <w:name w:val="heading 3"/>
    <w:basedOn w:val="1"/>
    <w:next w:val="1"/>
    <w:qFormat/>
    <w:uiPriority w:val="0"/>
    <w:pPr>
      <w:keepNext/>
      <w:keepLines/>
      <w:spacing w:line="360" w:lineRule="auto"/>
      <w:jc w:val="left"/>
      <w:outlineLvl w:val="2"/>
    </w:pPr>
    <w:rPr>
      <w:rFonts w:ascii="Times New Roman" w:hAnsi="Times New Roman"/>
      <w:b/>
      <w:bCs/>
      <w:sz w:val="30"/>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1"/>
    <w:qFormat/>
    <w:uiPriority w:val="0"/>
    <w:pPr>
      <w:adjustRightInd/>
      <w:snapToGrid/>
      <w:spacing w:after="120" w:line="240" w:lineRule="auto"/>
      <w:ind w:left="420" w:leftChars="200" w:firstLine="420"/>
    </w:pPr>
    <w:rPr>
      <w:rFonts w:ascii="宋体" w:hAnsi="宋体"/>
    </w:rPr>
  </w:style>
  <w:style w:type="paragraph" w:styleId="6">
    <w:name w:val="Normal Indent"/>
    <w:basedOn w:val="1"/>
    <w:semiHidden/>
    <w:qFormat/>
    <w:uiPriority w:val="0"/>
    <w:pPr>
      <w:ind w:firstLine="420" w:firstLineChars="200"/>
    </w:pPr>
    <w:rPr>
      <w:rFonts w:ascii="Times New Roman" w:hAnsi="Times New Roman"/>
      <w:szCs w:val="24"/>
    </w:rPr>
  </w:style>
  <w:style w:type="paragraph" w:styleId="7">
    <w:name w:val="annotation text"/>
    <w:basedOn w:val="1"/>
    <w:qFormat/>
    <w:uiPriority w:val="0"/>
    <w:pPr>
      <w:jc w:val="left"/>
    </w:pPr>
  </w:style>
  <w:style w:type="paragraph" w:styleId="8">
    <w:name w:val="Plain Text"/>
    <w:basedOn w:val="1"/>
    <w:qFormat/>
    <w:uiPriority w:val="0"/>
    <w:rPr>
      <w:rFonts w:ascii="宋体" w:hAnsi="Courier New"/>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0"/>
    <w:pPr>
      <w:widowControl/>
      <w:spacing w:before="100" w:beforeAutospacing="1" w:after="100" w:afterAutospacing="1"/>
      <w:jc w:val="left"/>
    </w:pPr>
    <w:rPr>
      <w:rFonts w:ascii="宋体" w:hAnsi="宋体" w:cs="宋体"/>
      <w:color w:val="6600CC"/>
      <w:kern w:val="0"/>
      <w:sz w:val="24"/>
      <w:szCs w:val="2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Emphasis"/>
    <w:basedOn w:val="14"/>
    <w:qFormat/>
    <w:uiPriority w:val="0"/>
    <w:rPr>
      <w:i/>
    </w:rPr>
  </w:style>
  <w:style w:type="character" w:styleId="16">
    <w:name w:val="Hyperlink"/>
    <w:qFormat/>
    <w:uiPriority w:val="0"/>
    <w:rPr>
      <w:color w:val="0000FF"/>
      <w:u w:val="none"/>
    </w:rPr>
  </w:style>
  <w:style w:type="paragraph" w:customStyle="1" w:styleId="17">
    <w:name w:val="表头"/>
    <w:basedOn w:val="1"/>
    <w:qFormat/>
    <w:uiPriority w:val="0"/>
    <w:pPr>
      <w:numPr>
        <w:ilvl w:val="0"/>
        <w:numId w:val="1"/>
      </w:numPr>
      <w:adjustRightInd w:val="0"/>
      <w:snapToGrid w:val="0"/>
      <w:jc w:val="center"/>
    </w:pPr>
    <w:rPr>
      <w:b/>
      <w:color w:val="000000"/>
      <w:kern w:val="0"/>
      <w:sz w:val="20"/>
    </w:rPr>
  </w:style>
  <w:style w:type="paragraph" w:customStyle="1" w:styleId="18">
    <w:name w:val="正文（海诚）"/>
    <w:basedOn w:val="1"/>
    <w:qFormat/>
    <w:uiPriority w:val="0"/>
    <w:pPr>
      <w:spacing w:line="520" w:lineRule="exact"/>
      <w:ind w:firstLine="560" w:firstLineChars="200"/>
    </w:pPr>
    <w:rPr>
      <w:rFonts w:eastAsia="仿宋_GB2312"/>
      <w:kern w:val="2"/>
      <w:sz w:val="28"/>
      <w:lang w:val="en-US" w:eastAsia="zh-CN"/>
    </w:rPr>
  </w:style>
  <w:style w:type="paragraph" w:customStyle="1" w:styleId="19">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0">
    <w:name w:val="表格"/>
    <w:basedOn w:val="1"/>
    <w:qFormat/>
    <w:uiPriority w:val="0"/>
    <w:pPr>
      <w:jc w:val="center"/>
    </w:pPr>
    <w:rPr>
      <w:rFonts w:ascii="Calibri" w:hAnsi="Calibri"/>
      <w:szCs w:val="21"/>
    </w:rPr>
  </w:style>
  <w:style w:type="paragraph" w:customStyle="1" w:styleId="21">
    <w:name w:val="样式 仿宋_GB2312"/>
    <w:basedOn w:val="1"/>
    <w:qFormat/>
    <w:uiPriority w:val="0"/>
    <w:pPr>
      <w:ind w:firstLine="560" w:firstLineChars="200"/>
    </w:pPr>
    <w:rPr>
      <w:rFonts w:eastAsia="仿宋_GB2312" w:cs="宋体"/>
      <w:sz w:val="28"/>
      <w:szCs w:val="28"/>
    </w:rPr>
  </w:style>
  <w:style w:type="paragraph" w:customStyle="1" w:styleId="22">
    <w:name w:val="样式正文无级"/>
    <w:basedOn w:val="1"/>
    <w:qFormat/>
    <w:uiPriority w:val="0"/>
    <w:pPr>
      <w:spacing w:line="360" w:lineRule="auto"/>
      <w:ind w:firstLine="480" w:firstLineChars="200"/>
    </w:pPr>
    <w:rPr>
      <w:rFonts w:eastAsia="Times New Roman"/>
      <w:sz w:val="24"/>
      <w:szCs w:val="24"/>
    </w:rPr>
  </w:style>
  <w:style w:type="paragraph" w:customStyle="1" w:styleId="23">
    <w:name w:val="List Paragraph"/>
    <w:basedOn w:val="1"/>
    <w:qFormat/>
    <w:uiPriority w:val="0"/>
    <w:pPr>
      <w:ind w:firstLine="420" w:firstLineChars="200"/>
    </w:pPr>
    <w:rPr>
      <w:rFonts w:ascii="Calibri" w:hAnsi="Calibri" w:eastAsia="宋体" w:cs="Times New Roman"/>
      <w:sz w:val="21"/>
      <w:szCs w:val="22"/>
      <w:lang w:val="en-US" w:eastAsia="zh-CN" w:bidi="ar-SA"/>
    </w:rPr>
  </w:style>
  <w:style w:type="paragraph" w:customStyle="1" w:styleId="24">
    <w:name w:val="表格内容"/>
    <w:basedOn w:val="6"/>
    <w:qFormat/>
    <w:uiPriority w:val="0"/>
    <w:pPr>
      <w:spacing w:line="312" w:lineRule="auto"/>
      <w:ind w:firstLine="0" w:firstLineChars="0"/>
      <w:jc w:val="center"/>
    </w:pPr>
    <w:rPr>
      <w:szCs w:val="20"/>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wmf"/><Relationship Id="rId12" Type="http://schemas.openxmlformats.org/officeDocument/2006/relationships/oleObject" Target="embeddings/oleObject3.bin"/><Relationship Id="rId11" Type="http://schemas.openxmlformats.org/officeDocument/2006/relationships/image" Target="media/image4.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20201</Words>
  <Characters>22203</Characters>
  <Lines>0</Lines>
  <Paragraphs>0</Paragraphs>
  <TotalTime>6</TotalTime>
  <ScaleCrop>false</ScaleCrop>
  <LinksUpToDate>false</LinksUpToDate>
  <CharactersWithSpaces>22363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2022-08-24T06:27:00Z</dcterms:created>
  <dc:creator>Administrator</dc:creator>
  <cp:lastModifiedBy>汉斯小木屋</cp:lastModifiedBy>
  <dcterms:modified xsi:type="dcterms:W3CDTF">2022-10-10T10:33:53Z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B59A4CBDFE9A485DA34CDACA66DB282D</vt:lpwstr>
  </property>
</Properties>
</file>