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0" w:leftChars="0" w:firstLine="0" w:firstLineChars="0"/>
        <w:jc w:val="center"/>
        <w:rPr>
          <w:b/>
          <w:color w:val="auto"/>
          <w:sz w:val="32"/>
          <w:szCs w:val="32"/>
        </w:rPr>
      </w:pPr>
      <w:r>
        <w:rPr>
          <w:rFonts w:hint="eastAsia" w:ascii="Times New Roman" w:eastAsia="宋体"/>
          <w:b/>
          <w:color w:val="auto"/>
          <w:sz w:val="32"/>
          <w:szCs w:val="32"/>
          <w:lang w:val="en-US" w:eastAsia="zh-CN"/>
        </w:rPr>
        <w:t>咸阳三毅优源投资有限公司</w:t>
      </w:r>
      <w:r>
        <w:rPr>
          <w:b/>
          <w:color w:val="auto"/>
          <w:sz w:val="32"/>
          <w:szCs w:val="32"/>
        </w:rPr>
        <w:t>突发环境事件应急预案</w:t>
      </w:r>
    </w:p>
    <w:p>
      <w:pPr>
        <w:pStyle w:val="9"/>
        <w:jc w:val="center"/>
        <w:rPr>
          <w:rFonts w:hint="eastAsia"/>
          <w:b/>
          <w:color w:val="auto"/>
          <w:sz w:val="32"/>
          <w:szCs w:val="32"/>
          <w:lang w:val="en-US" w:eastAsia="zh-CN"/>
        </w:rPr>
      </w:pPr>
      <w:r>
        <w:rPr>
          <w:rFonts w:hint="eastAsia"/>
          <w:b/>
          <w:color w:val="auto"/>
          <w:sz w:val="32"/>
          <w:szCs w:val="32"/>
          <w:lang w:val="en-US" w:eastAsia="zh-CN"/>
        </w:rPr>
        <w:t>专家意见修改说明表</w:t>
      </w:r>
    </w:p>
    <w:tbl>
      <w:tblPr>
        <w:tblStyle w:val="1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5"/>
        <w:gridCol w:w="4145"/>
        <w:gridCol w:w="3664"/>
        <w:gridCol w:w="10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5" w:hRule="atLeast"/>
        </w:trPr>
        <w:tc>
          <w:tcPr>
            <w:tcW w:w="555" w:type="dxa"/>
            <w:tcBorders>
              <w:tl2br w:val="nil"/>
              <w:tr2bl w:val="nil"/>
            </w:tcBorders>
          </w:tcPr>
          <w:p>
            <w:pPr>
              <w:jc w:val="center"/>
              <w:rPr>
                <w:rFonts w:hint="default"/>
                <w:sz w:val="21"/>
                <w:szCs w:val="21"/>
                <w:vertAlign w:val="baseline"/>
                <w:lang w:val="en-US" w:eastAsia="zh-CN"/>
              </w:rPr>
            </w:pPr>
            <w:r>
              <w:rPr>
                <w:rFonts w:hint="eastAsia" w:ascii="Times New Roman" w:eastAsia="宋体"/>
                <w:sz w:val="21"/>
                <w:szCs w:val="21"/>
                <w:vertAlign w:val="baseline"/>
                <w:lang w:val="en-US" w:eastAsia="zh-CN"/>
              </w:rPr>
              <w:t>专家</w:t>
            </w:r>
          </w:p>
        </w:tc>
        <w:tc>
          <w:tcPr>
            <w:tcW w:w="414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snapToGrid/>
              <w:spacing w:line="360" w:lineRule="auto"/>
              <w:ind w:firstLine="1470" w:firstLineChars="700"/>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评审意见</w:t>
            </w:r>
          </w:p>
        </w:tc>
        <w:tc>
          <w:tcPr>
            <w:tcW w:w="3664" w:type="dxa"/>
            <w:tcBorders>
              <w:tl2br w:val="nil"/>
              <w:tr2bl w:val="nil"/>
            </w:tcBorders>
            <w:vAlign w:val="center"/>
          </w:tcPr>
          <w:p>
            <w:pPr>
              <w:jc w:val="center"/>
              <w:rPr>
                <w:rFonts w:hint="default" w:ascii="Times New Roman" w:hAnsi="Times New Roman" w:cs="Times New Roman"/>
                <w:sz w:val="21"/>
                <w:szCs w:val="21"/>
                <w:vertAlign w:val="baseline"/>
                <w:lang w:val="en-US" w:eastAsia="zh-CN"/>
              </w:rPr>
            </w:pPr>
            <w:r>
              <w:rPr>
                <w:rFonts w:hint="eastAsia" w:ascii="Times New Roman" w:hAnsi="Times New Roman" w:cs="Times New Roman"/>
                <w:sz w:val="21"/>
                <w:szCs w:val="21"/>
                <w:vertAlign w:val="baseline"/>
                <w:lang w:val="en-US" w:eastAsia="zh-CN"/>
              </w:rPr>
              <w:t>修改说明</w:t>
            </w:r>
          </w:p>
        </w:tc>
        <w:tc>
          <w:tcPr>
            <w:tcW w:w="1037" w:type="dxa"/>
            <w:tcBorders>
              <w:tl2br w:val="nil"/>
              <w:tr2bl w:val="nil"/>
            </w:tcBorders>
            <w:vAlign w:val="center"/>
          </w:tcPr>
          <w:p>
            <w:pPr>
              <w:jc w:val="center"/>
              <w:rPr>
                <w:rFonts w:hint="default"/>
                <w:sz w:val="21"/>
                <w:szCs w:val="21"/>
                <w:vertAlign w:val="baseline"/>
                <w:lang w:val="en-US" w:eastAsia="zh-CN"/>
              </w:rPr>
            </w:pPr>
            <w:r>
              <w:rPr>
                <w:rFonts w:hint="eastAsia" w:ascii="Times New Roman" w:eastAsia="宋体"/>
                <w:sz w:val="21"/>
                <w:szCs w:val="21"/>
                <w:vertAlign w:val="baseline"/>
                <w:lang w:val="en-US" w:eastAsia="zh-CN"/>
              </w:rPr>
              <w:t>索引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restart"/>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p>
          <w:p>
            <w:pPr>
              <w:pStyle w:val="9"/>
              <w:rPr>
                <w:rFonts w:hint="eastAsia"/>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vertAlign w:val="baseline"/>
                <w:lang w:val="en-US" w:eastAsia="zh-CN"/>
              </w:rPr>
            </w:pPr>
          </w:p>
          <w:p>
            <w:pPr>
              <w:pStyle w:val="9"/>
              <w:rPr>
                <w:rFonts w:hint="eastAsia"/>
                <w:b/>
                <w:bCs/>
                <w:sz w:val="21"/>
                <w:szCs w:val="21"/>
                <w:vertAlign w:val="baseline"/>
                <w:lang w:val="en-US" w:eastAsia="zh-CN"/>
              </w:rPr>
            </w:pPr>
          </w:p>
          <w:p>
            <w:pPr>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vertAlign w:val="baseli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1"/>
                <w:szCs w:val="21"/>
                <w:vertAlign w:val="baseline"/>
                <w:lang w:val="en-US" w:eastAsia="zh-CN"/>
              </w:rPr>
            </w:pPr>
          </w:p>
          <w:p>
            <w:pPr>
              <w:pStyle w:val="9"/>
              <w:rPr>
                <w:rFonts w:hint="eastAsia"/>
                <w:lang w:val="en-US" w:eastAsia="zh-CN"/>
              </w:rPr>
            </w:pPr>
            <w:r>
              <w:rPr>
                <w:rFonts w:hint="eastAsia"/>
                <w:b/>
                <w:bCs/>
                <w:sz w:val="21"/>
                <w:szCs w:val="21"/>
                <w:vertAlign w:val="baseline"/>
                <w:lang w:val="en-US" w:eastAsia="zh-CN"/>
              </w:rPr>
              <w:t>琪</w:t>
            </w:r>
          </w:p>
          <w:p>
            <w:pPr>
              <w:rPr>
                <w:rFonts w:hint="eastAsia"/>
                <w:lang w:val="en-US" w:eastAsia="zh-CN"/>
              </w:rPr>
            </w:pPr>
          </w:p>
          <w:p>
            <w:pPr>
              <w:pStyle w:val="9"/>
              <w:ind w:left="0" w:leftChars="0" w:firstLine="0" w:firstLineChars="0"/>
              <w:rPr>
                <w:rFonts w:hint="eastAsia"/>
                <w:lang w:val="en-US" w:eastAsia="zh-CN"/>
              </w:rPr>
            </w:pPr>
          </w:p>
          <w:p>
            <w:pPr>
              <w:rPr>
                <w:rFonts w:hint="eastAsia"/>
                <w:lang w:val="en-US" w:eastAsia="zh-CN"/>
              </w:rPr>
            </w:pPr>
          </w:p>
          <w:p>
            <w:pPr>
              <w:pStyle w:val="9"/>
              <w:rPr>
                <w:rFonts w:hint="eastAsia"/>
                <w:lang w:val="en-US" w:eastAsia="zh-CN"/>
              </w:rPr>
            </w:pPr>
          </w:p>
          <w:p>
            <w:pPr>
              <w:rPr>
                <w:rFonts w:hint="eastAsia"/>
                <w:lang w:val="en-US" w:eastAsia="zh-CN"/>
              </w:rPr>
            </w:pPr>
          </w:p>
          <w:p>
            <w:pPr>
              <w:pStyle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1、请对编制依据查重。</w:t>
            </w:r>
          </w:p>
        </w:tc>
        <w:tc>
          <w:tcPr>
            <w:tcW w:w="3664" w:type="dxa"/>
            <w:tcBorders>
              <w:tl2br w:val="nil"/>
              <w:tr2bl w:val="nil"/>
            </w:tcBorders>
          </w:tcPr>
          <w:p>
            <w:pPr>
              <w:spacing w:line="240" w:lineRule="auto"/>
              <w:jc w:val="left"/>
              <w:rPr>
                <w:rFonts w:hint="default" w:ascii="Times New Roman" w:hAnsi="Times New Roman" w:cs="Times New Roman"/>
                <w:sz w:val="18"/>
                <w:szCs w:val="18"/>
                <w:vertAlign w:val="baseline"/>
                <w:lang w:val="en-US" w:eastAsia="zh-CN"/>
              </w:rPr>
            </w:pPr>
            <w:r>
              <w:rPr>
                <w:rFonts w:hint="eastAsia" w:ascii="Times New Roman" w:hAnsi="Times New Roman" w:cs="Times New Roman"/>
                <w:sz w:val="18"/>
                <w:szCs w:val="18"/>
                <w:lang w:val="en-US" w:eastAsia="zh-CN"/>
              </w:rPr>
              <w:t>已删除关于发布《国务院办公厅关于印发国家突发环境事件应急预案的通知》（国办函〔2014〕119号，2014年12月29日）的重复依据</w:t>
            </w:r>
          </w:p>
        </w:tc>
        <w:tc>
          <w:tcPr>
            <w:tcW w:w="1037" w:type="dxa"/>
            <w:tcBorders>
              <w:tl2br w:val="nil"/>
              <w:tr2bl w:val="nil"/>
            </w:tcBorders>
          </w:tcPr>
          <w:p>
            <w:pPr>
              <w:pStyle w:val="9"/>
              <w:spacing w:line="240" w:lineRule="auto"/>
              <w:ind w:left="0" w:leftChars="0" w:firstLine="0" w:firstLineChars="0"/>
              <w:jc w:val="both"/>
              <w:rPr>
                <w:rFonts w:hint="default"/>
                <w:sz w:val="18"/>
                <w:szCs w:val="18"/>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2、请在“表 2.1-2 项目主要原辅材料用量”中注明原辅材料的储存方式、储存场所的名称。</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sz w:val="18"/>
                <w:szCs w:val="18"/>
                <w:vertAlign w:val="baseline"/>
                <w:lang w:val="en-US" w:eastAsia="zh-CN"/>
              </w:rPr>
            </w:pPr>
            <w:r>
              <w:rPr>
                <w:rFonts w:hint="eastAsia"/>
                <w:sz w:val="18"/>
                <w:szCs w:val="18"/>
                <w:vertAlign w:val="baseline"/>
                <w:lang w:val="en-US" w:eastAsia="zh-CN"/>
              </w:rPr>
              <w:t>已添加原辅料存放方式及位置</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bidi w:val="0"/>
              <w:rPr>
                <w:rFonts w:hint="default"/>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3、请说明危险废物暂存间建设的面积、设置的位置、危险废物的日常储量</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default"/>
                <w:sz w:val="18"/>
                <w:szCs w:val="18"/>
                <w:vertAlign w:val="baseline"/>
                <w:lang w:val="en-US" w:eastAsia="zh-CN"/>
              </w:rPr>
              <w:t>危废暂存间设立在7#车间通风处，占地6平方米，日常最大存储危废0.5吨</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应急预案P1</w:t>
            </w:r>
            <w:r>
              <w:rPr>
                <w:rFonts w:hint="eastAsia"/>
                <w:sz w:val="18"/>
                <w:szCs w:val="18"/>
                <w:vertAlign w:val="baseline"/>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bidi w:val="0"/>
              <w:rPr>
                <w:rFonts w:hint="default"/>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4、请说明本单位日常往来的车辆数和人数</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企业日均往来人数频次为1天/10次，车辆平均每日5次。</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应急预案P1</w:t>
            </w:r>
            <w:r>
              <w:rPr>
                <w:rFonts w:hint="eastAsia"/>
                <w:sz w:val="18"/>
                <w:szCs w:val="18"/>
                <w:vertAlign w:val="baseline"/>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5、请进一步细化各个应急小组的工作职责。</w:t>
            </w:r>
          </w:p>
        </w:tc>
        <w:tc>
          <w:tcPr>
            <w:tcW w:w="3664" w:type="dxa"/>
            <w:tcBorders>
              <w:tl2br w:val="nil"/>
              <w:tr2bl w:val="nil"/>
            </w:tcBorders>
          </w:tcPr>
          <w:p>
            <w:pPr>
              <w:bidi w:val="0"/>
              <w:spacing w:line="240" w:lineRule="auto"/>
              <w:rPr>
                <w:rFonts w:hint="default" w:eastAsia="宋体"/>
                <w:sz w:val="18"/>
                <w:szCs w:val="18"/>
                <w:vertAlign w:val="baseline"/>
                <w:lang w:val="en-US" w:eastAsia="zh-CN"/>
              </w:rPr>
            </w:pPr>
            <w:r>
              <w:rPr>
                <w:rFonts w:hint="eastAsia" w:ascii="Times New Roman" w:hAnsi="Times New Roman" w:eastAsia="宋体" w:cs="Times New Roman"/>
                <w:b w:val="0"/>
                <w:kern w:val="2"/>
                <w:sz w:val="18"/>
                <w:szCs w:val="18"/>
                <w:lang w:val="en-US" w:eastAsia="zh-CN" w:bidi="ar-SA"/>
              </w:rPr>
              <w:t>本企业应急小组包括</w:t>
            </w:r>
            <w:r>
              <w:rPr>
                <w:rFonts w:hint="default" w:ascii="Times New Roman" w:hAnsi="Times New Roman" w:eastAsia="宋体" w:cs="Times New Roman"/>
                <w:b w:val="0"/>
                <w:kern w:val="2"/>
                <w:sz w:val="18"/>
                <w:szCs w:val="18"/>
                <w:lang w:val="en-US" w:eastAsia="zh-CN" w:bidi="ar-SA"/>
              </w:rPr>
              <w:t>通讯联络组</w:t>
            </w:r>
            <w:r>
              <w:rPr>
                <w:rFonts w:hint="eastAsia" w:ascii="Times New Roman" w:hAnsi="Times New Roman" w:eastAsia="宋体" w:cs="Times New Roman"/>
                <w:b w:val="0"/>
                <w:kern w:val="2"/>
                <w:sz w:val="18"/>
                <w:szCs w:val="18"/>
                <w:lang w:val="en-US" w:eastAsia="zh-CN" w:bidi="ar-SA"/>
              </w:rPr>
              <w:t>、</w:t>
            </w:r>
            <w:r>
              <w:rPr>
                <w:rFonts w:hint="default" w:ascii="Times New Roman" w:hAnsi="Times New Roman" w:eastAsia="宋体" w:cs="Times New Roman"/>
                <w:b w:val="0"/>
                <w:kern w:val="2"/>
                <w:sz w:val="18"/>
                <w:szCs w:val="18"/>
                <w:lang w:val="en-US" w:eastAsia="zh-CN" w:bidi="ar-SA"/>
              </w:rPr>
              <w:t>物资供应组</w:t>
            </w:r>
            <w:r>
              <w:rPr>
                <w:rFonts w:hint="eastAsia" w:ascii="Times New Roman" w:hAnsi="Times New Roman" w:eastAsia="宋体" w:cs="Times New Roman"/>
                <w:b w:val="0"/>
                <w:kern w:val="2"/>
                <w:sz w:val="18"/>
                <w:szCs w:val="18"/>
                <w:lang w:val="en-US" w:eastAsia="zh-CN" w:bidi="ar-SA"/>
              </w:rPr>
              <w:t>、</w:t>
            </w:r>
            <w:r>
              <w:rPr>
                <w:rFonts w:hint="default" w:ascii="Times New Roman" w:hAnsi="Times New Roman" w:eastAsia="宋体" w:cs="Times New Roman"/>
                <w:b w:val="0"/>
                <w:kern w:val="2"/>
                <w:sz w:val="18"/>
                <w:szCs w:val="18"/>
                <w:lang w:val="en-US" w:eastAsia="zh-CN" w:bidi="ar-SA"/>
              </w:rPr>
              <w:t>医疗救护组</w:t>
            </w:r>
            <w:r>
              <w:rPr>
                <w:rFonts w:hint="eastAsia" w:ascii="Times New Roman" w:hAnsi="Times New Roman" w:eastAsia="宋体" w:cs="Times New Roman"/>
                <w:b w:val="0"/>
                <w:kern w:val="2"/>
                <w:sz w:val="18"/>
                <w:szCs w:val="18"/>
                <w:lang w:val="en-US" w:eastAsia="zh-CN" w:bidi="ar-SA"/>
              </w:rPr>
              <w:t>、治安警戒</w:t>
            </w:r>
            <w:r>
              <w:rPr>
                <w:rFonts w:hint="default" w:ascii="Times New Roman" w:hAnsi="Times New Roman" w:eastAsia="宋体" w:cs="Times New Roman"/>
                <w:b w:val="0"/>
                <w:kern w:val="2"/>
                <w:sz w:val="18"/>
                <w:szCs w:val="18"/>
                <w:lang w:val="en-US" w:eastAsia="zh-CN" w:bidi="ar-SA"/>
              </w:rPr>
              <w:t>组</w:t>
            </w:r>
            <w:r>
              <w:rPr>
                <w:rFonts w:hint="eastAsia" w:ascii="Times New Roman" w:hAnsi="Times New Roman" w:eastAsia="宋体" w:cs="Times New Roman"/>
                <w:b w:val="0"/>
                <w:kern w:val="2"/>
                <w:sz w:val="18"/>
                <w:szCs w:val="18"/>
                <w:lang w:val="en-US" w:eastAsia="zh-CN" w:bidi="ar-SA"/>
              </w:rPr>
              <w:t>、抢险救援组、应急监测组</w:t>
            </w:r>
            <w:r>
              <w:rPr>
                <w:rFonts w:hint="eastAsia" w:cs="Times New Roman"/>
                <w:b w:val="0"/>
                <w:kern w:val="2"/>
                <w:sz w:val="18"/>
                <w:szCs w:val="18"/>
                <w:lang w:val="en-US" w:eastAsia="zh-CN" w:bidi="ar-SA"/>
              </w:rPr>
              <w:t>。并对各个小组的工作职责加以细化。</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应急预案P1</w:t>
            </w:r>
            <w:r>
              <w:rPr>
                <w:rFonts w:hint="eastAsia"/>
                <w:sz w:val="18"/>
                <w:szCs w:val="18"/>
                <w:vertAlign w:val="baseline"/>
                <w:lang w:val="en-US" w:eastAsia="zh-CN"/>
              </w:rPr>
              <w:t>8-27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6、</w:t>
            </w:r>
            <w:r>
              <w:rPr>
                <w:rFonts w:hint="eastAsia" w:cs="Times New Roman"/>
                <w:sz w:val="18"/>
                <w:szCs w:val="18"/>
                <w:lang w:val="en-US" w:eastAsia="zh-CN"/>
              </w:rPr>
              <w:t>请在最大可信事故及后果分析中，明确本单位的最大可信事故是什么事故，并就该事故对环境的影响进行重点分析。</w:t>
            </w:r>
          </w:p>
        </w:tc>
        <w:tc>
          <w:tcPr>
            <w:tcW w:w="3664" w:type="dxa"/>
            <w:tcBorders>
              <w:tl2br w:val="nil"/>
              <w:tr2bl w:val="nil"/>
            </w:tcBorders>
          </w:tcPr>
          <w:p>
            <w:pPr>
              <w:pStyle w:val="13"/>
              <w:spacing w:line="240" w:lineRule="auto"/>
              <w:ind w:left="0" w:leftChars="0" w:firstLine="0" w:firstLineChars="0"/>
              <w:rPr>
                <w:rFonts w:hint="default"/>
                <w:sz w:val="18"/>
                <w:szCs w:val="18"/>
                <w:vertAlign w:val="baseline"/>
                <w:lang w:val="en-US" w:eastAsia="zh-CN"/>
              </w:rPr>
            </w:pPr>
            <w:r>
              <w:rPr>
                <w:rFonts w:hint="eastAsia" w:ascii="Times New Roman" w:hAnsi="Times New Roman" w:eastAsia="宋体" w:cs="Times New Roman"/>
                <w:kern w:val="2"/>
                <w:sz w:val="18"/>
                <w:szCs w:val="18"/>
                <w:lang w:val="en-US" w:eastAsia="zh-CN" w:bidi="ar-SA"/>
              </w:rPr>
              <w:t>本企业焊接烟尘处理设备发生故障时导致焊接烟尘没有被有效收集可能会使本单位下风向的环境空气中的颗粒物超标，从而对外环境造成污染为最大可信事故。</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7、建议删除“根据咸阳三毅优源投资有限公司突发环境事件可能发生的部位、事故的严重性、紧急程度和可能波及的范围，项目突发环境事件等级为：一般突发环境事件”，因为，此段文字所表述内容错误。</w:t>
            </w:r>
          </w:p>
        </w:tc>
        <w:tc>
          <w:tcPr>
            <w:tcW w:w="3664" w:type="dxa"/>
            <w:tcBorders>
              <w:tl2br w:val="nil"/>
              <w:tr2bl w:val="nil"/>
            </w:tcBorders>
          </w:tcPr>
          <w:p>
            <w:pPr>
              <w:bidi w:val="0"/>
              <w:spacing w:line="240" w:lineRule="auto"/>
              <w:rPr>
                <w:rFonts w:hint="default"/>
                <w:sz w:val="18"/>
                <w:szCs w:val="18"/>
                <w:vertAlign w:val="baseline"/>
                <w:lang w:val="en-US" w:eastAsia="zh-CN"/>
              </w:rPr>
            </w:pPr>
            <w:r>
              <w:rPr>
                <w:rFonts w:hint="eastAsia"/>
                <w:sz w:val="18"/>
                <w:szCs w:val="18"/>
                <w:vertAlign w:val="baseline"/>
                <w:lang w:val="en-US" w:eastAsia="zh-CN"/>
              </w:rPr>
              <w:t>已删除</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4</w:t>
            </w:r>
            <w:r>
              <w:rPr>
                <w:rFonts w:hint="eastAsia" w:ascii="Times New Roman" w:eastAsia="宋体"/>
                <w:sz w:val="18"/>
                <w:szCs w:val="18"/>
                <w:vertAlign w:val="baseline"/>
                <w:lang w:val="en-US" w:eastAsia="zh-CN"/>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8、建议删除“因此，对应预警级别为：一般突发环境事件”，因为，此段文字所表述内容错误。</w:t>
            </w:r>
          </w:p>
        </w:tc>
        <w:tc>
          <w:tcPr>
            <w:tcW w:w="3664" w:type="dxa"/>
            <w:tcBorders>
              <w:tl2br w:val="nil"/>
              <w:tr2bl w:val="nil"/>
            </w:tcBorders>
          </w:tcPr>
          <w:p>
            <w:pPr>
              <w:pStyle w:val="6"/>
              <w:bidi w:val="0"/>
              <w:spacing w:line="240" w:lineRule="auto"/>
              <w:rPr>
                <w:rFonts w:hint="default"/>
                <w:sz w:val="18"/>
                <w:szCs w:val="18"/>
                <w:vertAlign w:val="baseline"/>
                <w:lang w:val="en-US" w:eastAsia="zh-CN"/>
              </w:rPr>
            </w:pPr>
            <w:r>
              <w:rPr>
                <w:rFonts w:hint="eastAsia" w:cs="Times New Roman"/>
                <w:b w:val="0"/>
                <w:kern w:val="2"/>
                <w:sz w:val="18"/>
                <w:szCs w:val="18"/>
                <w:lang w:val="en-US" w:eastAsia="zh-CN" w:bidi="ar-SA"/>
              </w:rPr>
              <w:t>已删除</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9、请重新编写橙色预警和黄色预警的预警条件</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olor w:val="auto"/>
                <w:sz w:val="18"/>
                <w:szCs w:val="18"/>
                <w:lang w:val="en-US" w:eastAsia="zh-CN"/>
              </w:rPr>
            </w:pPr>
            <w:r>
              <w:rPr>
                <w:rFonts w:hint="eastAsia" w:ascii="Times New Roman" w:eastAsia="宋体"/>
                <w:color w:val="auto"/>
                <w:sz w:val="18"/>
                <w:szCs w:val="18"/>
                <w:vertAlign w:val="baseline"/>
                <w:lang w:val="en-US" w:eastAsia="zh-CN"/>
              </w:rPr>
              <w:t>已更改预警分级，按照突发事件严重性、紧急程度和可能波及的范围，和可能造成的危害程度，对可以预警的突发环境事件分为二级（</w:t>
            </w:r>
            <w:r>
              <w:rPr>
                <w:rFonts w:hint="eastAsia"/>
                <w:color w:val="auto"/>
                <w:sz w:val="18"/>
                <w:szCs w:val="18"/>
                <w:vertAlign w:val="baseline"/>
                <w:lang w:val="en-US" w:eastAsia="zh-CN"/>
              </w:rPr>
              <w:t>公司级</w:t>
            </w:r>
            <w:r>
              <w:rPr>
                <w:rFonts w:hint="eastAsia" w:ascii="Times New Roman" w:eastAsia="宋体"/>
                <w:color w:val="auto"/>
                <w:sz w:val="18"/>
                <w:szCs w:val="18"/>
                <w:vertAlign w:val="baseline"/>
                <w:lang w:val="en-US" w:eastAsia="zh-CN"/>
              </w:rPr>
              <w:t>，</w:t>
            </w:r>
            <w:r>
              <w:rPr>
                <w:rFonts w:hint="eastAsia"/>
                <w:color w:val="auto"/>
                <w:sz w:val="18"/>
                <w:szCs w:val="18"/>
                <w:vertAlign w:val="baseline"/>
                <w:lang w:val="en-US" w:eastAsia="zh-CN"/>
              </w:rPr>
              <w:t>车间</w:t>
            </w:r>
            <w:r>
              <w:rPr>
                <w:rFonts w:hint="eastAsia" w:ascii="Times New Roman" w:eastAsia="宋体"/>
                <w:color w:val="auto"/>
                <w:sz w:val="18"/>
                <w:szCs w:val="18"/>
                <w:vertAlign w:val="baseline"/>
                <w:lang w:val="en-US" w:eastAsia="zh-CN"/>
              </w:rPr>
              <w:t>级），由低到高依次用黄色和橙色表示。预计可能发生</w:t>
            </w:r>
            <w:r>
              <w:rPr>
                <w:rFonts w:hint="eastAsia"/>
                <w:color w:val="auto"/>
                <w:sz w:val="18"/>
                <w:szCs w:val="18"/>
                <w:vertAlign w:val="baseline"/>
                <w:lang w:val="en-US" w:eastAsia="zh-CN"/>
              </w:rPr>
              <w:t>公司</w:t>
            </w:r>
            <w:r>
              <w:rPr>
                <w:rFonts w:hint="eastAsia" w:ascii="Times New Roman" w:eastAsia="宋体"/>
                <w:color w:val="auto"/>
                <w:sz w:val="18"/>
                <w:szCs w:val="18"/>
                <w:vertAlign w:val="baseline"/>
                <w:lang w:val="en-US" w:eastAsia="zh-CN"/>
              </w:rPr>
              <w:t>级突发环境事件时，发布橙色预警；可能发生</w:t>
            </w:r>
            <w:r>
              <w:rPr>
                <w:rFonts w:hint="eastAsia"/>
                <w:color w:val="auto"/>
                <w:sz w:val="18"/>
                <w:szCs w:val="18"/>
                <w:vertAlign w:val="baseline"/>
                <w:lang w:val="en-US" w:eastAsia="zh-CN"/>
              </w:rPr>
              <w:t>车间</w:t>
            </w:r>
            <w:r>
              <w:rPr>
                <w:rFonts w:hint="eastAsia" w:ascii="Times New Roman" w:eastAsia="宋体"/>
                <w:color w:val="auto"/>
                <w:sz w:val="18"/>
                <w:szCs w:val="18"/>
                <w:vertAlign w:val="baseline"/>
                <w:lang w:val="en-US" w:eastAsia="zh-CN"/>
              </w:rPr>
              <w:t>级突发环境事件时，发布黄色预警。</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lang w:val="en-US" w:eastAsia="zh-CN"/>
              </w:rPr>
              <w:t>应急预案P</w:t>
            </w:r>
            <w:r>
              <w:rPr>
                <w:rFonts w:hint="eastAsia"/>
                <w:sz w:val="18"/>
                <w:szCs w:val="18"/>
                <w:lang w:val="en-US" w:eastAsia="zh-CN"/>
              </w:rPr>
              <w:t>43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color w:val="auto"/>
                <w:sz w:val="18"/>
                <w:szCs w:val="18"/>
                <w:lang w:val="en-US" w:eastAsia="zh-CN"/>
              </w:rPr>
            </w:pPr>
            <w:r>
              <w:rPr>
                <w:rFonts w:hint="eastAsia" w:ascii="Times New Roman" w:hAnsi="Times New Roman" w:cs="Times New Roman"/>
                <w:color w:val="auto"/>
                <w:sz w:val="18"/>
                <w:szCs w:val="18"/>
                <w:lang w:val="en-US" w:eastAsia="zh-CN"/>
              </w:rPr>
              <w:t>10、补充预警准备的内容</w:t>
            </w:r>
          </w:p>
        </w:tc>
        <w:tc>
          <w:tcPr>
            <w:tcW w:w="3664" w:type="dxa"/>
            <w:tcBorders>
              <w:tl2br w:val="nil"/>
              <w:tr2bl w:val="nil"/>
            </w:tcBorders>
          </w:tcPr>
          <w:p>
            <w:pPr>
              <w:bidi w:val="0"/>
              <w:spacing w:line="240" w:lineRule="auto"/>
              <w:rPr>
                <w:rFonts w:hint="default"/>
                <w:color w:val="auto"/>
                <w:sz w:val="18"/>
                <w:szCs w:val="18"/>
                <w:vertAlign w:val="baseline"/>
                <w:lang w:val="en-US" w:eastAsia="zh-CN"/>
              </w:rPr>
            </w:pPr>
            <w:r>
              <w:rPr>
                <w:rFonts w:hint="eastAsia" w:ascii="Times New Roman" w:eastAsia="宋体"/>
                <w:color w:val="auto"/>
                <w:sz w:val="18"/>
                <w:szCs w:val="18"/>
                <w:vertAlign w:val="baseline"/>
                <w:lang w:val="en-US" w:eastAsia="zh-CN"/>
              </w:rPr>
              <w:t>已根据更改后预警分级级别，对相应的预警准备进行了修改与补充。</w:t>
            </w:r>
          </w:p>
        </w:tc>
        <w:tc>
          <w:tcPr>
            <w:tcW w:w="1037" w:type="dxa"/>
            <w:tcBorders>
              <w:tl2br w:val="nil"/>
              <w:tr2bl w:val="nil"/>
            </w:tcBorders>
          </w:tcPr>
          <w:p>
            <w:pPr>
              <w:pStyle w:val="9"/>
              <w:spacing w:line="240" w:lineRule="auto"/>
              <w:ind w:left="0" w:leftChars="0" w:firstLine="0" w:firstLineChars="0"/>
              <w:rPr>
                <w:rFonts w:hint="default"/>
                <w:sz w:val="18"/>
                <w:szCs w:val="18"/>
                <w:lang w:val="en-US" w:eastAsia="zh-CN"/>
              </w:rPr>
            </w:pPr>
            <w:r>
              <w:rPr>
                <w:rFonts w:hint="eastAsia"/>
                <w:sz w:val="18"/>
                <w:szCs w:val="18"/>
                <w:lang w:val="en-US" w:eastAsia="zh-CN"/>
              </w:rPr>
              <w:t>应急预案P45-47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11、对于应急响应的分级即分级响应，应该是预警分为几个颜色级别，应急响应就要分为几级，应急响应的分级是与预警的分级相互一一对应的，即预警所示的可能发生的突发环境事件实际发生时就启动相应级别的应急响应</w:t>
            </w:r>
            <w:r>
              <w:rPr>
                <w:rFonts w:hint="eastAsia" w:cs="Times New Roman"/>
                <w:sz w:val="18"/>
                <w:szCs w:val="18"/>
                <w:lang w:val="en-US" w:eastAsia="zh-CN"/>
              </w:rPr>
              <w:t>，在分级响应中应该写明本单位的应急响应分为几级、不同级别的应急响应的本单位的现场最高指挥者是谁。</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预警响应已根据更改后的预警分级：黄色预警、橙色预警进行更改，与上文中的预警分级内容相对应。并写明相应的措施内容</w:t>
            </w:r>
            <w:r>
              <w:rPr>
                <w:rFonts w:hint="eastAsia"/>
                <w:sz w:val="18"/>
                <w:szCs w:val="18"/>
                <w:vertAlign w:val="baseline"/>
                <w:lang w:val="en-US" w:eastAsia="zh-CN"/>
              </w:rPr>
              <w:t>及指挥者</w:t>
            </w:r>
            <w:r>
              <w:rPr>
                <w:rFonts w:hint="eastAsia" w:ascii="Times New Roman" w:eastAsia="宋体"/>
                <w:sz w:val="18"/>
                <w:szCs w:val="18"/>
                <w:vertAlign w:val="baseline"/>
                <w:lang w:val="en-US" w:eastAsia="zh-CN"/>
              </w:rPr>
              <w:t>。</w:t>
            </w:r>
          </w:p>
        </w:tc>
        <w:tc>
          <w:tcPr>
            <w:tcW w:w="1037" w:type="dxa"/>
            <w:tcBorders>
              <w:tl2br w:val="nil"/>
              <w:tr2bl w:val="nil"/>
            </w:tcBorders>
          </w:tcPr>
          <w:p>
            <w:pPr>
              <w:pStyle w:val="9"/>
              <w:spacing w:line="240" w:lineRule="auto"/>
              <w:ind w:left="0" w:leftChars="0" w:firstLine="0" w:firstLineChars="0"/>
              <w:rPr>
                <w:rFonts w:hint="default"/>
                <w:sz w:val="18"/>
                <w:szCs w:val="18"/>
                <w:lang w:val="en-US" w:eastAsia="zh-CN"/>
              </w:rPr>
            </w:pPr>
            <w:r>
              <w:rPr>
                <w:rFonts w:hint="eastAsia"/>
                <w:sz w:val="18"/>
                <w:szCs w:val="18"/>
                <w:lang w:val="en-US" w:eastAsia="zh-CN"/>
              </w:rPr>
              <w:t>应急预案P56-57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12、建议进一步细化针对各个环境风险源在发生突发环境事件时的具体的处理处置措施。</w:t>
            </w:r>
          </w:p>
        </w:tc>
        <w:tc>
          <w:tcPr>
            <w:tcW w:w="3664" w:type="dxa"/>
            <w:tcBorders>
              <w:tl2br w:val="nil"/>
              <w:tr2bl w:val="nil"/>
            </w:tcBorders>
          </w:tcPr>
          <w:p>
            <w:pPr>
              <w:bidi w:val="0"/>
              <w:spacing w:line="240" w:lineRule="auto"/>
              <w:rPr>
                <w:rFonts w:hint="default"/>
                <w:sz w:val="18"/>
                <w:szCs w:val="18"/>
                <w:vertAlign w:val="baseline"/>
                <w:lang w:val="en-US" w:eastAsia="zh-CN"/>
              </w:rPr>
            </w:pPr>
            <w:r>
              <w:rPr>
                <w:rFonts w:hint="eastAsia"/>
                <w:sz w:val="18"/>
                <w:szCs w:val="18"/>
                <w:vertAlign w:val="baseline"/>
                <w:lang w:val="en-US" w:eastAsia="zh-CN"/>
              </w:rPr>
              <w:t>已细化</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60-63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13建议按照省厅126号文件的要求完善附图附件。</w:t>
            </w:r>
          </w:p>
        </w:tc>
        <w:tc>
          <w:tcPr>
            <w:tcW w:w="3664" w:type="dxa"/>
            <w:tcBorders>
              <w:tl2br w:val="nil"/>
              <w:tr2bl w:val="nil"/>
            </w:tcBorders>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sz w:val="18"/>
                <w:szCs w:val="18"/>
                <w:lang w:val="en-US" w:eastAsia="zh-CN"/>
              </w:rPr>
            </w:pPr>
            <w:r>
              <w:rPr>
                <w:rFonts w:hint="eastAsia" w:ascii="Times New Roman" w:eastAsia="宋体"/>
                <w:sz w:val="18"/>
                <w:szCs w:val="18"/>
                <w:lang w:val="en-US" w:eastAsia="zh-CN"/>
              </w:rPr>
              <w:t>已按照省厅126号文件的要求完善附图附件。</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附图附件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restart"/>
            <w:tcBorders>
              <w:tl2br w:val="nil"/>
              <w:tr2bl w:val="nil"/>
            </w:tcBorders>
          </w:tcPr>
          <w:p>
            <w:pPr>
              <w:pStyle w:val="5"/>
              <w:widowControl w:val="0"/>
              <w:ind w:left="0" w:leftChars="0" w:firstLine="0" w:firstLineChars="0"/>
              <w:jc w:val="both"/>
              <w:rPr>
                <w:rFonts w:hint="eastAsia"/>
                <w:b/>
                <w:bCs/>
                <w:sz w:val="28"/>
                <w:szCs w:val="28"/>
                <w:vertAlign w:val="baseline"/>
                <w:lang w:val="en-US" w:eastAsia="zh-CN"/>
              </w:rPr>
            </w:pPr>
          </w:p>
          <w:p>
            <w:pPr>
              <w:pStyle w:val="5"/>
              <w:widowControl w:val="0"/>
              <w:ind w:left="0" w:leftChars="0" w:firstLine="0" w:firstLineChars="0"/>
              <w:jc w:val="center"/>
              <w:rPr>
                <w:rFonts w:hint="eastAsia"/>
                <w:sz w:val="28"/>
                <w:szCs w:val="28"/>
                <w:vertAlign w:val="baseline"/>
                <w:lang w:val="en-US" w:eastAsia="zh-CN"/>
              </w:rPr>
            </w:pPr>
          </w:p>
          <w:p>
            <w:pPr>
              <w:pStyle w:val="5"/>
              <w:widowControl w:val="0"/>
              <w:ind w:left="0" w:leftChars="0" w:firstLine="0" w:firstLineChars="0"/>
              <w:jc w:val="center"/>
              <w:rPr>
                <w:rFonts w:hint="eastAsia"/>
                <w:sz w:val="28"/>
                <w:szCs w:val="28"/>
                <w:vertAlign w:val="baseline"/>
                <w:lang w:val="en-US" w:eastAsia="zh-CN"/>
              </w:rPr>
            </w:pPr>
          </w:p>
          <w:p>
            <w:pPr>
              <w:pStyle w:val="5"/>
              <w:widowControl w:val="0"/>
              <w:ind w:left="0" w:leftChars="0" w:firstLine="0" w:firstLineChars="0"/>
              <w:jc w:val="both"/>
              <w:rPr>
                <w:rFonts w:hint="eastAsia"/>
                <w:sz w:val="28"/>
                <w:szCs w:val="28"/>
                <w:vertAlign w:val="baseline"/>
                <w:lang w:val="en-US" w:eastAsia="zh-CN"/>
              </w:rPr>
            </w:pPr>
          </w:p>
          <w:p>
            <w:pPr>
              <w:pStyle w:val="5"/>
              <w:widowControl w:val="0"/>
              <w:ind w:left="0" w:leftChars="0" w:firstLine="0" w:firstLineChars="0"/>
              <w:jc w:val="center"/>
              <w:rPr>
                <w:rFonts w:hint="eastAsia"/>
                <w:sz w:val="28"/>
                <w:szCs w:val="28"/>
                <w:vertAlign w:val="baseline"/>
                <w:lang w:val="en-US" w:eastAsia="zh-CN"/>
              </w:rPr>
            </w:pPr>
          </w:p>
          <w:p>
            <w:pPr>
              <w:pStyle w:val="5"/>
              <w:widowControl w:val="0"/>
              <w:ind w:left="0" w:leftChars="0" w:firstLine="0" w:firstLineChars="0"/>
              <w:jc w:val="center"/>
              <w:rPr>
                <w:rFonts w:hint="eastAsia"/>
                <w:sz w:val="28"/>
                <w:szCs w:val="28"/>
                <w:vertAlign w:val="baseline"/>
                <w:lang w:val="en-US" w:eastAsia="zh-CN"/>
              </w:rPr>
            </w:pPr>
          </w:p>
          <w:p>
            <w:pPr>
              <w:pStyle w:val="5"/>
              <w:widowControl w:val="0"/>
              <w:ind w:left="0" w:leftChars="0" w:firstLine="0" w:firstLineChars="0"/>
              <w:jc w:val="center"/>
              <w:rPr>
                <w:rFonts w:hint="eastAsia"/>
                <w:sz w:val="28"/>
                <w:szCs w:val="28"/>
                <w:vertAlign w:val="baseline"/>
                <w:lang w:val="en-US" w:eastAsia="zh-CN"/>
              </w:rPr>
            </w:pPr>
          </w:p>
          <w:p>
            <w:pPr>
              <w:pStyle w:val="5"/>
              <w:widowControl w:val="0"/>
              <w:ind w:left="0" w:leftChars="0" w:firstLine="0" w:firstLineChars="0"/>
              <w:jc w:val="center"/>
              <w:rPr>
                <w:rFonts w:hint="eastAsia"/>
                <w:sz w:val="28"/>
                <w:szCs w:val="28"/>
                <w:vertAlign w:val="baseline"/>
                <w:lang w:val="en-US" w:eastAsia="zh-CN"/>
              </w:rPr>
            </w:pPr>
          </w:p>
          <w:p>
            <w:pPr>
              <w:pStyle w:val="5"/>
              <w:widowControl w:val="0"/>
              <w:ind w:left="0" w:leftChars="0" w:firstLine="0" w:firstLineChars="0"/>
              <w:jc w:val="center"/>
              <w:rPr>
                <w:rFonts w:hint="eastAsia"/>
                <w:sz w:val="28"/>
                <w:szCs w:val="28"/>
                <w:vertAlign w:val="baseline"/>
                <w:lang w:val="en-US" w:eastAsia="zh-CN"/>
              </w:rPr>
            </w:pPr>
          </w:p>
          <w:p>
            <w:pPr>
              <w:pStyle w:val="5"/>
              <w:widowControl w:val="0"/>
              <w:ind w:left="0" w:leftChars="0" w:firstLine="0" w:firstLineChars="0"/>
              <w:jc w:val="center"/>
              <w:rPr>
                <w:rFonts w:hint="eastAsia"/>
                <w:sz w:val="28"/>
                <w:szCs w:val="28"/>
                <w:vertAlign w:val="baseline"/>
                <w:lang w:val="en-US" w:eastAsia="zh-CN"/>
              </w:rPr>
            </w:pPr>
          </w:p>
          <w:p>
            <w:pPr>
              <w:pStyle w:val="5"/>
              <w:widowControl w:val="0"/>
              <w:ind w:left="0" w:leftChars="0" w:firstLine="0" w:firstLineChars="0"/>
              <w:jc w:val="center"/>
              <w:rPr>
                <w:rFonts w:hint="eastAsia"/>
                <w:sz w:val="28"/>
                <w:szCs w:val="28"/>
                <w:vertAlign w:val="baseline"/>
                <w:lang w:val="en-US" w:eastAsia="zh-CN"/>
              </w:rPr>
            </w:pPr>
          </w:p>
          <w:p>
            <w:pPr>
              <w:pStyle w:val="5"/>
              <w:widowControl w:val="0"/>
              <w:ind w:left="0" w:leftChars="0" w:firstLine="0" w:firstLineChars="0"/>
              <w:jc w:val="center"/>
              <w:rPr>
                <w:rFonts w:hint="eastAsia"/>
                <w:sz w:val="28"/>
                <w:szCs w:val="28"/>
                <w:vertAlign w:val="baseline"/>
                <w:lang w:val="en-US" w:eastAsia="zh-CN"/>
              </w:rPr>
            </w:pPr>
          </w:p>
          <w:p>
            <w:pPr>
              <w:pStyle w:val="5"/>
              <w:widowControl w:val="0"/>
              <w:ind w:left="0" w:leftChars="0" w:firstLine="0" w:firstLineChars="0"/>
              <w:jc w:val="center"/>
              <w:rPr>
                <w:rFonts w:hint="eastAsia"/>
                <w:sz w:val="28"/>
                <w:szCs w:val="28"/>
                <w:vertAlign w:val="baseline"/>
                <w:lang w:val="en-US" w:eastAsia="zh-CN"/>
              </w:rPr>
            </w:pPr>
          </w:p>
          <w:p>
            <w:pPr>
              <w:pStyle w:val="5"/>
              <w:widowControl w:val="0"/>
              <w:ind w:left="0" w:leftChars="0" w:firstLine="0" w:firstLineChars="0"/>
              <w:jc w:val="center"/>
              <w:rPr>
                <w:rFonts w:hint="eastAsia"/>
                <w:sz w:val="28"/>
                <w:szCs w:val="28"/>
                <w:vertAlign w:val="baseline"/>
                <w:lang w:val="en-US" w:eastAsia="zh-CN"/>
              </w:rPr>
            </w:pPr>
          </w:p>
          <w:p>
            <w:pPr>
              <w:pStyle w:val="5"/>
              <w:widowControl w:val="0"/>
              <w:ind w:left="0" w:leftChars="0" w:firstLine="0" w:firstLineChars="0"/>
              <w:jc w:val="center"/>
              <w:rPr>
                <w:rFonts w:hint="eastAsia"/>
                <w:sz w:val="28"/>
                <w:szCs w:val="28"/>
                <w:vertAlign w:val="baseline"/>
                <w:lang w:val="en-US" w:eastAsia="zh-CN"/>
              </w:rPr>
            </w:pPr>
          </w:p>
          <w:p>
            <w:pPr>
              <w:pStyle w:val="5"/>
              <w:widowControl w:val="0"/>
              <w:ind w:left="0" w:leftChars="0" w:firstLine="0" w:firstLineChars="0"/>
              <w:jc w:val="center"/>
              <w:rPr>
                <w:rFonts w:hint="default"/>
                <w:sz w:val="28"/>
                <w:szCs w:val="28"/>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修改完善企业基本情况：①增加危废暂存间的位置、个数、面积、建设情况；②增加每种危险废物的废物类别名称及废物代码；③增加企业的年产品方案及生产设备清单④增加企业的平面布置的内容；⑤企业的雨污分流系统及事故应急池的建设情况。⑥核实企业有食堂及油烟净化设施吗?有，增加分析内容。</w:t>
            </w:r>
          </w:p>
        </w:tc>
        <w:tc>
          <w:tcPr>
            <w:tcW w:w="3664"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①危废暂存间数据已添加；</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②已增加危废代码及类别；</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③增加企业年产品方案及生产设备清单</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④已增加企业平面布置内容；</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⑤</w:t>
            </w:r>
            <w:r>
              <w:rPr>
                <w:rFonts w:hint="eastAsia" w:cs="Times New Roman"/>
                <w:sz w:val="18"/>
                <w:szCs w:val="18"/>
                <w:lang w:val="en-US" w:eastAsia="zh-CN"/>
              </w:rPr>
              <w:t>已补充事故应急池的相应内容；</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lang w:val="en-US" w:eastAsia="zh-CN"/>
              </w:rPr>
            </w:pPr>
            <w:r>
              <w:rPr>
                <w:rFonts w:hint="eastAsia" w:ascii="Times New Roman" w:hAnsi="Times New Roman" w:eastAsia="宋体" w:cs="Times New Roman"/>
                <w:sz w:val="18"/>
                <w:szCs w:val="18"/>
                <w:lang w:val="en-US" w:eastAsia="zh-CN"/>
              </w:rPr>
              <w:t>⑥已核实企业无食堂及油烟净化设施</w:t>
            </w:r>
          </w:p>
        </w:tc>
        <w:tc>
          <w:tcPr>
            <w:tcW w:w="1037" w:type="dxa"/>
            <w:tcBorders>
              <w:tl2br w:val="nil"/>
              <w:tr2bl w:val="nil"/>
            </w:tcBorders>
            <w:vAlign w:val="top"/>
          </w:tcPr>
          <w:p>
            <w:pPr>
              <w:pStyle w:val="9"/>
              <w:spacing w:line="240" w:lineRule="auto"/>
              <w:ind w:left="0" w:leftChars="0" w:firstLine="0" w:firstLineChars="0"/>
              <w:jc w:val="both"/>
              <w:rPr>
                <w:rFonts w:hint="default"/>
                <w:sz w:val="18"/>
                <w:szCs w:val="18"/>
                <w:vertAlign w:val="baseline"/>
                <w:lang w:val="en-US" w:eastAsia="zh-CN"/>
              </w:rPr>
            </w:pPr>
            <w:r>
              <w:rPr>
                <w:rFonts w:hint="eastAsia"/>
                <w:sz w:val="18"/>
                <w:szCs w:val="18"/>
                <w:lang w:val="en-US" w:eastAsia="zh-CN"/>
              </w:rPr>
              <w:t>应急预案P16、P17、P10、P12、P41</w:t>
            </w: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2、在应急组织体系中补充完善各应急救援小组的具体负责部门、负责人、成员及其电话。</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sz w:val="18"/>
                <w:szCs w:val="18"/>
                <w:vertAlign w:val="baseline"/>
                <w:lang w:val="en-US" w:eastAsia="zh-CN"/>
              </w:rPr>
              <w:t>已增加完善</w:t>
            </w:r>
            <w:r>
              <w:rPr>
                <w:rFonts w:hint="eastAsia" w:ascii="Times New Roman" w:hAnsi="Times New Roman" w:cs="Times New Roman"/>
                <w:sz w:val="18"/>
                <w:szCs w:val="18"/>
                <w:lang w:val="en-US" w:eastAsia="zh-CN"/>
              </w:rPr>
              <w:t>应急组织体系中补充完善各应急救援小组的具体负责部门、负责人、成员及其电话</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应急预案P1</w:t>
            </w:r>
            <w:r>
              <w:rPr>
                <w:rFonts w:hint="eastAsia"/>
                <w:sz w:val="18"/>
                <w:szCs w:val="18"/>
                <w:vertAlign w:val="baseline"/>
                <w:lang w:val="en-US" w:eastAsia="zh-CN"/>
              </w:rPr>
              <w:t>8-26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3、请修改第五章的内容：①预警分级、预警准备、分级响应的级别和颜色都是一一对应一致的，请梳理修改；②根据本单位的具体实际情况，细化本单位发布和解除程序，细化不同级别预警的发布的范围。</w:t>
            </w:r>
          </w:p>
        </w:tc>
        <w:tc>
          <w:tcPr>
            <w:tcW w:w="3664"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eastAsia="宋体"/>
                <w:color w:val="auto"/>
                <w:sz w:val="18"/>
                <w:szCs w:val="18"/>
                <w:vertAlign w:val="baseline"/>
                <w:lang w:val="en-US" w:eastAsia="zh-CN"/>
              </w:rPr>
            </w:pPr>
            <w:r>
              <w:rPr>
                <w:rFonts w:hint="eastAsia" w:ascii="Times New Roman" w:eastAsia="宋体"/>
                <w:color w:val="auto"/>
                <w:sz w:val="18"/>
                <w:szCs w:val="18"/>
                <w:vertAlign w:val="baseline"/>
                <w:lang w:val="en-US" w:eastAsia="zh-CN"/>
              </w:rPr>
              <w:t>①已更改预警分级，按照突发事件严重性、紧急程度和可能波及的范围，和可能造成的危害程度，对可以预警的突发环境事件分为二级（</w:t>
            </w:r>
            <w:r>
              <w:rPr>
                <w:rFonts w:hint="eastAsia"/>
                <w:color w:val="auto"/>
                <w:sz w:val="18"/>
                <w:szCs w:val="18"/>
                <w:vertAlign w:val="baseline"/>
                <w:lang w:val="en-US" w:eastAsia="zh-CN"/>
              </w:rPr>
              <w:t>公司级</w:t>
            </w:r>
            <w:r>
              <w:rPr>
                <w:rFonts w:hint="eastAsia" w:ascii="Times New Roman" w:eastAsia="宋体"/>
                <w:color w:val="auto"/>
                <w:sz w:val="18"/>
                <w:szCs w:val="18"/>
                <w:vertAlign w:val="baseline"/>
                <w:lang w:val="en-US" w:eastAsia="zh-CN"/>
              </w:rPr>
              <w:t>，</w:t>
            </w:r>
            <w:r>
              <w:rPr>
                <w:rFonts w:hint="eastAsia"/>
                <w:color w:val="auto"/>
                <w:sz w:val="18"/>
                <w:szCs w:val="18"/>
                <w:vertAlign w:val="baseline"/>
                <w:lang w:val="en-US" w:eastAsia="zh-CN"/>
              </w:rPr>
              <w:t>车间</w:t>
            </w:r>
            <w:r>
              <w:rPr>
                <w:rFonts w:hint="eastAsia" w:ascii="Times New Roman" w:eastAsia="宋体"/>
                <w:color w:val="auto"/>
                <w:sz w:val="18"/>
                <w:szCs w:val="18"/>
                <w:vertAlign w:val="baseline"/>
                <w:lang w:val="en-US" w:eastAsia="zh-CN"/>
              </w:rPr>
              <w:t>级），由低到高依次用黄色和橙色表示。预计可能发生</w:t>
            </w:r>
            <w:r>
              <w:rPr>
                <w:rFonts w:hint="eastAsia"/>
                <w:color w:val="auto"/>
                <w:sz w:val="18"/>
                <w:szCs w:val="18"/>
                <w:vertAlign w:val="baseline"/>
                <w:lang w:val="en-US" w:eastAsia="zh-CN"/>
              </w:rPr>
              <w:t>公司</w:t>
            </w:r>
            <w:r>
              <w:rPr>
                <w:rFonts w:hint="eastAsia" w:ascii="Times New Roman" w:eastAsia="宋体"/>
                <w:color w:val="auto"/>
                <w:sz w:val="18"/>
                <w:szCs w:val="18"/>
                <w:vertAlign w:val="baseline"/>
                <w:lang w:val="en-US" w:eastAsia="zh-CN"/>
              </w:rPr>
              <w:t>级突发环境事件时，发布橙色预警；可能发生</w:t>
            </w:r>
            <w:r>
              <w:rPr>
                <w:rFonts w:hint="eastAsia"/>
                <w:color w:val="auto"/>
                <w:sz w:val="18"/>
                <w:szCs w:val="18"/>
                <w:vertAlign w:val="baseline"/>
                <w:lang w:val="en-US" w:eastAsia="zh-CN"/>
              </w:rPr>
              <w:t>车间</w:t>
            </w:r>
            <w:r>
              <w:rPr>
                <w:rFonts w:hint="eastAsia" w:ascii="Times New Roman" w:eastAsia="宋体"/>
                <w:color w:val="auto"/>
                <w:sz w:val="18"/>
                <w:szCs w:val="18"/>
                <w:vertAlign w:val="baseline"/>
                <w:lang w:val="en-US" w:eastAsia="zh-CN"/>
              </w:rPr>
              <w:t>级突发环境事件时，发布黄色预警。</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宋体" w:cs="Times New Roman"/>
                <w:color w:val="auto"/>
                <w:kern w:val="2"/>
                <w:sz w:val="18"/>
                <w:szCs w:val="18"/>
                <w:lang w:val="en-US" w:eastAsia="zh-CN" w:bidi="ar-SA"/>
              </w:rPr>
            </w:pPr>
            <w:r>
              <w:rPr>
                <w:rFonts w:hint="eastAsia" w:ascii="Times New Roman" w:eastAsia="宋体"/>
                <w:color w:val="auto"/>
                <w:sz w:val="18"/>
                <w:szCs w:val="18"/>
                <w:vertAlign w:val="baseline"/>
                <w:lang w:val="en-US" w:eastAsia="zh-CN"/>
              </w:rPr>
              <w:t>②已</w:t>
            </w:r>
            <w:r>
              <w:rPr>
                <w:rFonts w:hint="eastAsia" w:ascii="Times New Roman" w:hAnsi="Times New Roman" w:cs="Times New Roman"/>
                <w:sz w:val="18"/>
                <w:szCs w:val="18"/>
                <w:lang w:val="en-US" w:eastAsia="zh-CN"/>
              </w:rPr>
              <w:t>根据本单位的具体实际情况，细化本单位发布和解除程序，细化不同级别预警的发布的范围。</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w:t>
            </w:r>
            <w:r>
              <w:rPr>
                <w:rFonts w:hint="eastAsia"/>
                <w:sz w:val="18"/>
                <w:szCs w:val="18"/>
                <w:vertAlign w:val="baseline"/>
                <w:lang w:val="en-US" w:eastAsia="zh-CN"/>
              </w:rPr>
              <w:t>P48-49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4、结合预警分级，根据企业的实际情况补充完善预警准备的内容，贴合企业的自身实际情况。</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已根据更改后预警分级级别，对相应的预警准备进行了修改与补充。</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45-47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5、完善应急启动的条件，贴合企业的自身实际情况。</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cs="Times New Roman"/>
                <w:sz w:val="18"/>
                <w:szCs w:val="18"/>
                <w:lang w:val="en-US" w:eastAsia="zh-CN"/>
              </w:rPr>
              <w:t>已</w:t>
            </w:r>
            <w:r>
              <w:rPr>
                <w:rFonts w:hint="eastAsia" w:ascii="Times New Roman" w:hAnsi="Times New Roman" w:cs="Times New Roman"/>
                <w:sz w:val="18"/>
                <w:szCs w:val="18"/>
                <w:lang w:val="en-US" w:eastAsia="zh-CN"/>
              </w:rPr>
              <w:t>贴合企业的自身实际情况</w:t>
            </w:r>
            <w:r>
              <w:rPr>
                <w:rFonts w:hint="eastAsia" w:cs="Times New Roman"/>
                <w:sz w:val="18"/>
                <w:szCs w:val="18"/>
                <w:lang w:val="en-US" w:eastAsia="zh-CN"/>
              </w:rPr>
              <w:t>进行完善</w:t>
            </w:r>
            <w:r>
              <w:rPr>
                <w:rFonts w:hint="eastAsia" w:ascii="Times New Roman" w:hAnsi="Times New Roman" w:cs="Times New Roman"/>
                <w:sz w:val="18"/>
                <w:szCs w:val="18"/>
                <w:lang w:val="en-US" w:eastAsia="zh-CN"/>
              </w:rPr>
              <w:t>。</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51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cs="Times New Roman"/>
                <w:sz w:val="18"/>
                <w:szCs w:val="18"/>
                <w:lang w:val="en-US" w:eastAsia="zh-CN"/>
              </w:rPr>
            </w:pPr>
            <w:r>
              <w:rPr>
                <w:rFonts w:hint="eastAsia" w:cs="Times New Roman"/>
                <w:sz w:val="18"/>
                <w:szCs w:val="18"/>
                <w:lang w:val="en-US" w:eastAsia="zh-CN"/>
              </w:rPr>
              <w:t>6、</w:t>
            </w:r>
            <w:r>
              <w:rPr>
                <w:rFonts w:hint="eastAsia" w:ascii="Times New Roman" w:hAnsi="Times New Roman" w:cs="Times New Roman"/>
                <w:sz w:val="18"/>
                <w:szCs w:val="18"/>
                <w:lang w:val="en-US" w:eastAsia="zh-CN"/>
              </w:rPr>
              <w:t>结合本企业的实际情况，针对性的列出本企业的突发事件现场应急处置方法；在本应急预案的“突发事件现场应急处置方法”中增加在发生突发环境事件时对事故废水、消防废水、泄漏物的拦截、收集、转输措施的描述，确保各项废水及泄漏物能被有效的收集，不对外环境造成污染</w:t>
            </w:r>
          </w:p>
        </w:tc>
        <w:tc>
          <w:tcPr>
            <w:tcW w:w="3664"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18"/>
                <w:szCs w:val="18"/>
                <w:vertAlign w:val="baseline"/>
                <w:lang w:val="en-US" w:eastAsia="zh-CN"/>
              </w:rPr>
            </w:pPr>
            <w:r>
              <w:rPr>
                <w:rFonts w:hint="eastAsia"/>
                <w:sz w:val="18"/>
                <w:szCs w:val="18"/>
                <w:vertAlign w:val="baseline"/>
                <w:lang w:val="en-US" w:eastAsia="zh-CN"/>
              </w:rPr>
              <w:t>已根据企业实际情况添加事故废水、消防废水、泄漏物等应急处理措施。</w:t>
            </w:r>
          </w:p>
        </w:tc>
        <w:tc>
          <w:tcPr>
            <w:tcW w:w="1037"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sz w:val="18"/>
                <w:szCs w:val="18"/>
                <w:vertAlign w:val="baseline"/>
                <w:lang w:val="en-US" w:eastAsia="zh-CN"/>
              </w:rPr>
            </w:pPr>
            <w:r>
              <w:rPr>
                <w:rFonts w:hint="eastAsia" w:ascii="Times New Roman" w:eastAsia="宋体"/>
                <w:sz w:val="18"/>
                <w:szCs w:val="18"/>
                <w:vertAlign w:val="baseline"/>
                <w:lang w:val="en-US" w:eastAsia="zh-CN"/>
              </w:rPr>
              <w:t>应急预案</w:t>
            </w:r>
            <w:r>
              <w:rPr>
                <w:rFonts w:hint="eastAsia"/>
                <w:sz w:val="18"/>
                <w:szCs w:val="18"/>
                <w:vertAlign w:val="baseline"/>
                <w:lang w:val="en-US" w:eastAsia="zh-CN"/>
              </w:rPr>
              <w:t>P62-63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pStyle w:val="5"/>
              <w:widowControl w:val="0"/>
              <w:ind w:left="0" w:leftChars="0" w:firstLine="0" w:firstLineChars="0"/>
              <w:jc w:val="center"/>
              <w:rPr>
                <w:rFonts w:hint="default"/>
                <w:sz w:val="28"/>
                <w:szCs w:val="28"/>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7、建议按照省厅126号文件的要求完善附图附件。</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eastAsia="宋体"/>
                <w:sz w:val="18"/>
                <w:szCs w:val="18"/>
                <w:lang w:val="en-US" w:eastAsia="zh-CN"/>
              </w:rPr>
              <w:t>已按照省厅126号文件的要求完善附图附件。</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附图附件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8、结合企业的实际情况，调整补充应急物资内容。</w:t>
            </w:r>
          </w:p>
        </w:tc>
        <w:tc>
          <w:tcPr>
            <w:tcW w:w="3664" w:type="dxa"/>
            <w:tcBorders>
              <w:tl2br w:val="nil"/>
              <w:tr2bl w:val="nil"/>
            </w:tcBorders>
          </w:tcPr>
          <w:p>
            <w:pPr>
              <w:bidi w:val="0"/>
              <w:spacing w:line="240" w:lineRule="auto"/>
              <w:rPr>
                <w:rFonts w:hint="default"/>
                <w:sz w:val="18"/>
                <w:szCs w:val="18"/>
                <w:lang w:val="en-US" w:eastAsia="zh-CN"/>
              </w:rPr>
            </w:pPr>
            <w:r>
              <w:rPr>
                <w:rFonts w:hint="eastAsia"/>
                <w:sz w:val="18"/>
                <w:szCs w:val="18"/>
                <w:lang w:val="en-US" w:eastAsia="zh-CN"/>
              </w:rPr>
              <w:t>已核实应急物资内容数量符合</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sz w:val="18"/>
                <w:szCs w:val="18"/>
                <w:lang w:val="en-US" w:eastAsia="zh-CN"/>
              </w:rPr>
            </w:pPr>
            <w:r>
              <w:rPr>
                <w:rFonts w:hint="eastAsia"/>
                <w:sz w:val="18"/>
                <w:szCs w:val="18"/>
                <w:lang w:val="en-US" w:eastAsia="zh-CN"/>
              </w:rPr>
              <w:t>风险评估</w:t>
            </w:r>
            <w:r>
              <w:rPr>
                <w:rFonts w:hint="eastAsia" w:ascii="Times New Roman" w:eastAsia="宋体"/>
                <w:sz w:val="18"/>
                <w:szCs w:val="18"/>
                <w:lang w:val="en-US" w:eastAsia="zh-CN"/>
              </w:rPr>
              <w:t>P</w:t>
            </w:r>
            <w:r>
              <w:rPr>
                <w:rFonts w:hint="eastAsia"/>
                <w:sz w:val="18"/>
                <w:szCs w:val="18"/>
                <w:lang w:val="en-US" w:eastAsia="zh-CN"/>
              </w:rPr>
              <w:t>21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restart"/>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w:t>
            </w:r>
            <w:r>
              <w:rPr>
                <w:rFonts w:hint="eastAsia" w:cs="Times New Roman"/>
                <w:sz w:val="18"/>
                <w:szCs w:val="18"/>
                <w:lang w:val="en-US" w:eastAsia="zh-CN"/>
              </w:rPr>
              <w:t>、</w:t>
            </w:r>
            <w:r>
              <w:rPr>
                <w:rFonts w:hint="eastAsia" w:ascii="Times New Roman" w:hAnsi="Times New Roman" w:eastAsia="宋体" w:cs="Times New Roman"/>
                <w:sz w:val="18"/>
                <w:szCs w:val="18"/>
                <w:lang w:val="en-US" w:eastAsia="zh-CN"/>
              </w:rPr>
              <w:t>补充预案号和版本号，说明风险物质运输途中的责任单位，列明近三年有无环境违法排污和非法转移危险废物受处罚事件。</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已补充预案号和版本号；风险物资由陕西明瑞资源再生有限公司处理处置；已核实</w:t>
            </w:r>
            <w:r>
              <w:rPr>
                <w:rFonts w:hint="eastAsia" w:ascii="Times New Roman" w:hAnsi="Times New Roman" w:eastAsia="宋体" w:cs="Times New Roman"/>
                <w:sz w:val="18"/>
                <w:szCs w:val="18"/>
                <w:lang w:val="en-US" w:eastAsia="zh-CN"/>
              </w:rPr>
              <w:t>无环境违法排污和非法转移危险废物受处罚事件</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应急预案封面、P18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cs="Times New Roman"/>
                <w:sz w:val="18"/>
                <w:szCs w:val="18"/>
                <w:lang w:val="en-US" w:eastAsia="zh-CN"/>
              </w:rPr>
              <w:t>2、</w:t>
            </w:r>
            <w:r>
              <w:rPr>
                <w:rFonts w:hint="eastAsia" w:ascii="Times New Roman" w:hAnsi="Times New Roman" w:eastAsia="宋体" w:cs="Times New Roman"/>
                <w:sz w:val="18"/>
                <w:szCs w:val="18"/>
                <w:lang w:val="en-US" w:eastAsia="zh-CN"/>
              </w:rPr>
              <w:t>删除与环境风险物质防范与分析无关内容章节，原辅材料不必照搬环评。</w:t>
            </w:r>
          </w:p>
        </w:tc>
        <w:tc>
          <w:tcPr>
            <w:tcW w:w="3664" w:type="dxa"/>
            <w:tcBorders>
              <w:tl2br w:val="nil"/>
              <w:tr2bl w:val="nil"/>
            </w:tcBorders>
          </w:tcPr>
          <w:p>
            <w:pPr>
              <w:autoSpaceDE w:val="0"/>
              <w:autoSpaceDN w:val="0"/>
              <w:adjustRightInd w:val="0"/>
              <w:spacing w:line="240" w:lineRule="auto"/>
              <w:jc w:val="left"/>
              <w:rPr>
                <w:rFonts w:hint="default" w:ascii="Times New Roman" w:hAnsi="Times New Roman" w:eastAsia="宋体" w:cs="Times New Roman"/>
                <w:sz w:val="18"/>
                <w:szCs w:val="18"/>
                <w:lang w:val="en-US" w:eastAsia="zh-CN"/>
              </w:rPr>
            </w:pPr>
            <w:r>
              <w:rPr>
                <w:rFonts w:hint="eastAsia" w:cs="Times New Roman"/>
                <w:sz w:val="18"/>
                <w:szCs w:val="18"/>
                <w:lang w:val="en-US" w:eastAsia="zh-CN"/>
              </w:rPr>
              <w:t>已删除精简原辅料信息</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应急预案</w:t>
            </w:r>
            <w:r>
              <w:rPr>
                <w:rFonts w:hint="eastAsia" w:cs="Times New Roman"/>
                <w:sz w:val="18"/>
                <w:szCs w:val="18"/>
                <w:lang w:val="en-US" w:eastAsia="zh-CN"/>
              </w:rPr>
              <w:t>P11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w:t>
            </w:r>
            <w:r>
              <w:rPr>
                <w:rFonts w:hint="eastAsia" w:cs="Times New Roman"/>
                <w:sz w:val="18"/>
                <w:szCs w:val="18"/>
                <w:lang w:val="en-US" w:eastAsia="zh-CN"/>
              </w:rPr>
              <w:t>、</w:t>
            </w:r>
            <w:r>
              <w:rPr>
                <w:rFonts w:hint="eastAsia" w:ascii="Times New Roman" w:hAnsi="Times New Roman" w:eastAsia="宋体" w:cs="Times New Roman"/>
                <w:sz w:val="18"/>
                <w:szCs w:val="18"/>
                <w:lang w:val="en-US" w:eastAsia="zh-CN"/>
              </w:rPr>
              <w:t>增加同类型企业发生突发环境事件的案例。</w:t>
            </w:r>
          </w:p>
        </w:tc>
        <w:tc>
          <w:tcPr>
            <w:tcW w:w="3664" w:type="dxa"/>
            <w:tcBorders>
              <w:tl2br w:val="nil"/>
              <w:tr2bl w:val="nil"/>
            </w:tcBorders>
          </w:tcPr>
          <w:p>
            <w:pPr>
              <w:pStyle w:val="14"/>
              <w:kinsoku w:val="0"/>
              <w:overflowPunct w:val="0"/>
              <w:spacing w:line="240" w:lineRule="auto"/>
              <w:ind w:left="0" w:leftChars="0" w:firstLine="0" w:firstLineChars="0"/>
              <w:rPr>
                <w:rFonts w:hint="default" w:ascii="Times New Roman" w:hAnsi="Times New Roman" w:eastAsia="宋体" w:cs="Times New Roman"/>
                <w:sz w:val="18"/>
                <w:szCs w:val="18"/>
                <w:lang w:val="en-US" w:eastAsia="zh-CN"/>
              </w:rPr>
            </w:pPr>
            <w:r>
              <w:rPr>
                <w:rFonts w:hint="eastAsia" w:cs="Times New Roman"/>
                <w:sz w:val="18"/>
                <w:szCs w:val="18"/>
                <w:lang w:val="en-US" w:eastAsia="zh-CN"/>
              </w:rPr>
              <w:t>已增加</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cs="Times New Roman"/>
                <w:sz w:val="18"/>
                <w:szCs w:val="18"/>
                <w:lang w:val="en-US" w:eastAsia="zh-CN"/>
              </w:rPr>
            </w:pPr>
            <w:r>
              <w:rPr>
                <w:rFonts w:hint="eastAsia" w:ascii="Times New Roman" w:hAnsi="Times New Roman" w:eastAsia="宋体" w:cs="Times New Roman"/>
                <w:sz w:val="18"/>
                <w:szCs w:val="18"/>
                <w:lang w:val="en-US" w:eastAsia="zh-CN"/>
              </w:rPr>
              <w:t>应急预案P</w:t>
            </w:r>
            <w:r>
              <w:rPr>
                <w:rFonts w:hint="eastAsia" w:cs="Times New Roman"/>
                <w:sz w:val="18"/>
                <w:szCs w:val="18"/>
                <w:lang w:val="en-US" w:eastAsia="zh-CN"/>
              </w:rPr>
              <w:t>36-38</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风险评估P24-26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cs="Times New Roman"/>
                <w:sz w:val="18"/>
                <w:szCs w:val="18"/>
                <w:lang w:val="en-US" w:eastAsia="zh-CN"/>
              </w:rPr>
              <w:t>4、</w:t>
            </w:r>
            <w:r>
              <w:rPr>
                <w:rFonts w:hint="eastAsia" w:ascii="Times New Roman" w:hAnsi="Times New Roman" w:eastAsia="宋体" w:cs="Times New Roman"/>
                <w:sz w:val="18"/>
                <w:szCs w:val="18"/>
                <w:lang w:val="en-US" w:eastAsia="zh-CN"/>
              </w:rPr>
              <w:t>完善企业内部预警信息发布、接收、调整、解除程序、发布内容及责任人；细化预警、响应各级别转换条件。</w:t>
            </w:r>
          </w:p>
        </w:tc>
        <w:tc>
          <w:tcPr>
            <w:tcW w:w="3664"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已完善细化</w:t>
            </w:r>
          </w:p>
        </w:tc>
        <w:tc>
          <w:tcPr>
            <w:tcW w:w="1037" w:type="dxa"/>
            <w:tcBorders>
              <w:tl2br w:val="nil"/>
              <w:tr2bl w:val="nil"/>
            </w:tcBorders>
            <w:vAlign w:val="top"/>
          </w:tcPr>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宋体" w:cs="Times New Roman"/>
                <w:sz w:val="18"/>
                <w:szCs w:val="18"/>
                <w:lang w:val="en-US" w:eastAsia="zh-CN"/>
              </w:rPr>
            </w:pPr>
            <w:r>
              <w:rPr>
                <w:rFonts w:hint="eastAsia" w:ascii="Times New Roman" w:eastAsia="宋体"/>
                <w:sz w:val="18"/>
                <w:szCs w:val="18"/>
                <w:vertAlign w:val="baseline"/>
                <w:lang w:val="en-US" w:eastAsia="zh-CN"/>
              </w:rPr>
              <w:t>应急预案P</w:t>
            </w:r>
            <w:r>
              <w:rPr>
                <w:rFonts w:hint="eastAsia"/>
                <w:sz w:val="18"/>
                <w:szCs w:val="18"/>
                <w:vertAlign w:val="baseline"/>
                <w:lang w:val="en-US" w:eastAsia="zh-CN"/>
              </w:rPr>
              <w:t>43-50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cs="Times New Roman"/>
                <w:sz w:val="18"/>
                <w:szCs w:val="18"/>
                <w:lang w:val="en-US" w:eastAsia="zh-CN"/>
              </w:rPr>
              <w:t>5、</w:t>
            </w:r>
            <w:r>
              <w:rPr>
                <w:rFonts w:hint="eastAsia" w:ascii="Times New Roman" w:hAnsi="Times New Roman" w:eastAsia="宋体" w:cs="Times New Roman"/>
                <w:sz w:val="18"/>
                <w:szCs w:val="18"/>
                <w:lang w:val="en-US" w:eastAsia="zh-CN"/>
              </w:rPr>
              <w:t>明确紧急状况下的疏散方式、疏散负责人、安全安置点，补充说明受威胁范围、组织公众避险的方式方法，包括疏散、防护等，说明避险措施的原则性安排等。</w:t>
            </w:r>
          </w:p>
        </w:tc>
        <w:tc>
          <w:tcPr>
            <w:tcW w:w="3664" w:type="dxa"/>
            <w:tcBorders>
              <w:tl2br w:val="nil"/>
              <w:tr2bl w:val="nil"/>
            </w:tcBorders>
          </w:tcPr>
          <w:p>
            <w:pPr>
              <w:bidi w:val="0"/>
              <w:spacing w:line="240" w:lineRule="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已修改细化</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应急预案P</w:t>
            </w:r>
            <w:r>
              <w:rPr>
                <w:rFonts w:hint="eastAsia" w:cs="Times New Roman"/>
                <w:sz w:val="18"/>
                <w:szCs w:val="18"/>
                <w:lang w:val="en-US" w:eastAsia="zh-CN"/>
              </w:rPr>
              <w:t>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55" w:type="dxa"/>
            <w:vMerge w:val="continue"/>
            <w:tcBorders>
              <w:tl2br w:val="nil"/>
              <w:tr2bl w:val="nil"/>
            </w:tcBorders>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1"/>
                <w:szCs w:val="21"/>
                <w:vertAlign w:val="baseline"/>
                <w:lang w:val="en-US" w:eastAsia="zh-CN"/>
              </w:rPr>
            </w:pPr>
          </w:p>
        </w:tc>
        <w:tc>
          <w:tcPr>
            <w:tcW w:w="4145"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cs="Times New Roman"/>
                <w:sz w:val="18"/>
                <w:szCs w:val="18"/>
                <w:lang w:val="en-US" w:eastAsia="zh-CN"/>
              </w:rPr>
              <w:t>6、</w:t>
            </w:r>
            <w:r>
              <w:rPr>
                <w:rFonts w:hint="eastAsia" w:ascii="Times New Roman" w:hAnsi="Times New Roman" w:eastAsia="宋体" w:cs="Times New Roman"/>
                <w:sz w:val="18"/>
                <w:szCs w:val="18"/>
                <w:lang w:val="en-US" w:eastAsia="zh-CN"/>
              </w:rPr>
              <w:t>补充周边受影响的单位和居民联系方式，明确企业告知周边单位事件信息的负责人、程序、时限、方式及内容等。</w:t>
            </w:r>
          </w:p>
        </w:tc>
        <w:tc>
          <w:tcPr>
            <w:tcW w:w="3664"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ascii="Times New Roman" w:hAnsi="Times New Roman" w:eastAsia="宋体" w:cs="Times New Roman"/>
                <w:sz w:val="18"/>
                <w:szCs w:val="18"/>
                <w:lang w:val="en-US" w:eastAsia="zh-CN"/>
              </w:rPr>
            </w:pPr>
            <w:r>
              <w:rPr>
                <w:rFonts w:hint="eastAsia" w:cs="Times New Roman"/>
                <w:sz w:val="18"/>
                <w:szCs w:val="18"/>
                <w:lang w:val="en-US" w:eastAsia="zh-CN"/>
              </w:rPr>
              <w:t>已添加完善</w:t>
            </w:r>
          </w:p>
        </w:tc>
        <w:tc>
          <w:tcPr>
            <w:tcW w:w="1037" w:type="dxa"/>
            <w:tcBorders>
              <w:tl2br w:val="nil"/>
              <w:tr2bl w:val="nil"/>
            </w:tcBorders>
          </w:tcPr>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风险评估P22-23</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附件</w:t>
            </w:r>
          </w:p>
          <w:p>
            <w:pPr>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default"/>
                <w:lang w:val="en-US" w:eastAsia="zh-CN"/>
              </w:rPr>
            </w:pPr>
            <w:r>
              <w:rPr>
                <w:rFonts w:hint="eastAsia" w:ascii="Times New Roman" w:hAnsi="Times New Roman" w:eastAsia="宋体" w:cs="Times New Roman"/>
                <w:sz w:val="18"/>
                <w:szCs w:val="18"/>
                <w:lang w:val="en-US" w:eastAsia="zh-CN"/>
              </w:rPr>
              <w:t>应急资源调查</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sectPr>
      <w:pgSz w:w="11906" w:h="16838"/>
      <w:pgMar w:top="1417" w:right="1134" w:bottom="113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NjY4OGVmY2Q2NjBjMTU0ZTgwMGRlMGRiZTU5NDIifQ=="/>
  </w:docVars>
  <w:rsids>
    <w:rsidRoot w:val="76EC1976"/>
    <w:rsid w:val="397F0B6A"/>
    <w:rsid w:val="3DB42E7B"/>
    <w:rsid w:val="65CC2608"/>
    <w:rsid w:val="76EC1976"/>
    <w:rsid w:val="796B0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0" w:firstLineChars="0"/>
      <w:jc w:val="left"/>
    </w:pPr>
    <w:rPr>
      <w:rFonts w:ascii="Times New Roman" w:hAnsi="Times New Roman" w:eastAsia="宋体" w:cs="Times New Roman"/>
      <w:kern w:val="2"/>
      <w:sz w:val="21"/>
      <w:lang w:val="en-US" w:eastAsia="zh-CN" w:bidi="ar-SA"/>
    </w:rPr>
  </w:style>
  <w:style w:type="paragraph" w:styleId="3">
    <w:name w:val="heading 2"/>
    <w:basedOn w:val="1"/>
    <w:next w:val="4"/>
    <w:qFormat/>
    <w:uiPriority w:val="0"/>
    <w:pPr>
      <w:keepNext/>
      <w:keepLines/>
      <w:spacing w:line="360" w:lineRule="auto"/>
      <w:jc w:val="left"/>
      <w:outlineLvl w:val="1"/>
    </w:pPr>
    <w:rPr>
      <w:rFonts w:eastAsia="楷体"/>
      <w:b/>
      <w:sz w:val="32"/>
    </w:rPr>
  </w:style>
  <w:style w:type="paragraph" w:styleId="6">
    <w:name w:val="heading 3"/>
    <w:basedOn w:val="1"/>
    <w:next w:val="1"/>
    <w:unhideWhenUsed/>
    <w:qFormat/>
    <w:uiPriority w:val="0"/>
    <w:pPr>
      <w:keepNext/>
      <w:keepLines/>
      <w:spacing w:line="360" w:lineRule="auto"/>
      <w:jc w:val="left"/>
      <w:outlineLvl w:val="2"/>
    </w:pPr>
    <w:rPr>
      <w:rFonts w:ascii="Times New Roman" w:hAnsi="Times New Roman"/>
      <w:b/>
      <w:sz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adjustRightInd w:val="0"/>
      <w:snapToGrid w:val="0"/>
      <w:spacing w:line="360" w:lineRule="auto"/>
      <w:ind w:firstLine="560" w:firstLineChars="200"/>
    </w:pPr>
    <w:rPr>
      <w:rFonts w:ascii="Times New Roman" w:hAnsi="Times New Roman"/>
      <w:sz w:val="28"/>
      <w:szCs w:val="20"/>
    </w:rPr>
  </w:style>
  <w:style w:type="paragraph" w:styleId="4">
    <w:name w:val="Normal Indent"/>
    <w:basedOn w:val="1"/>
    <w:next w:val="5"/>
    <w:qFormat/>
    <w:uiPriority w:val="0"/>
    <w:pPr>
      <w:adjustRightInd w:val="0"/>
      <w:spacing w:line="312" w:lineRule="atLeast"/>
      <w:ind w:firstLine="420"/>
      <w:textAlignment w:val="baseline"/>
    </w:pPr>
    <w:rPr>
      <w:rFonts w:eastAsia="宋体"/>
      <w:sz w:val="28"/>
      <w:lang w:val="en-US" w:eastAsia="zh-CN" w:bidi="ar-SA"/>
    </w:rPr>
  </w:style>
  <w:style w:type="paragraph" w:customStyle="1" w:styleId="5">
    <w:name w:val="2007正文"/>
    <w:qFormat/>
    <w:uiPriority w:val="0"/>
    <w:pPr>
      <w:spacing w:line="500" w:lineRule="exact"/>
      <w:ind w:firstLine="560" w:firstLineChars="200"/>
      <w:jc w:val="both"/>
    </w:pPr>
    <w:rPr>
      <w:rFonts w:ascii="Times New Roman" w:hAnsi="Times New Roman" w:eastAsia="仿宋_GB2312" w:cs="Times New Roman"/>
      <w:kern w:val="2"/>
      <w:sz w:val="28"/>
      <w:lang w:val="en-GB" w:eastAsia="zh-CN" w:bidi="ar-SA"/>
    </w:rPr>
  </w:style>
  <w:style w:type="paragraph" w:styleId="7">
    <w:name w:val="Body Text"/>
    <w:basedOn w:val="1"/>
    <w:qFormat/>
    <w:uiPriority w:val="99"/>
  </w:style>
  <w:style w:type="paragraph" w:styleId="8">
    <w:name w:val="Body Text First Indent"/>
    <w:basedOn w:val="7"/>
    <w:qFormat/>
    <w:uiPriority w:val="0"/>
    <w:pPr>
      <w:ind w:firstLine="420" w:firstLineChars="100"/>
    </w:pPr>
    <w:rPr>
      <w:rFonts w:ascii="Times New Roman" w:hAnsi="Times New Roman" w:eastAsia="宋体" w:cs="Times New Roman"/>
      <w:szCs w:val="24"/>
    </w:rPr>
  </w:style>
  <w:style w:type="paragraph" w:styleId="9">
    <w:name w:val="Body Text First Indent 2"/>
    <w:basedOn w:val="2"/>
    <w:next w:val="8"/>
    <w:unhideWhenUsed/>
    <w:qFormat/>
    <w:uiPriority w:val="99"/>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海诚）"/>
    <w:basedOn w:val="1"/>
    <w:qFormat/>
    <w:uiPriority w:val="0"/>
    <w:pPr>
      <w:spacing w:line="520" w:lineRule="exact"/>
      <w:ind w:firstLine="560" w:firstLineChars="200"/>
    </w:pPr>
    <w:rPr>
      <w:rFonts w:eastAsia="仿宋_GB2312"/>
      <w:kern w:val="2"/>
      <w:sz w:val="28"/>
      <w:lang w:val="en-US" w:eastAsia="zh-CN"/>
    </w:rPr>
  </w:style>
  <w:style w:type="paragraph" w:customStyle="1" w:styleId="14">
    <w:name w:val="body text"/>
    <w:basedOn w:val="1"/>
    <w:unhideWhenUsed/>
    <w:qFormat/>
    <w:uiPriority w:val="99"/>
    <w:pPr>
      <w:ind w:left="104"/>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2578</Words>
  <Characters>2702</Characters>
  <Lines>0</Lines>
  <Paragraphs>0</Paragraphs>
  <TotalTime>3</TotalTime>
  <ScaleCrop>false</ScaleCrop>
  <LinksUpToDate>false</LinksUpToDate>
  <CharactersWithSpaces>2704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2022-10-10T06:50:00Z</dcterms:created>
  <dc:creator>汉斯小木屋</dc:creator>
  <cp:lastModifiedBy>汉斯小木屋</cp:lastModifiedBy>
  <dcterms:modified xsi:type="dcterms:W3CDTF">2022-10-11T07:41:26Z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EB654306018A4EED89449497A7EC2DDA</vt:lpwstr>
  </property>
</Properties>
</file>