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mc:Ignorable="w14 w15 wp14">
  <w:body>
    <w:p>
      <w:pPr>
        <w:jc w:val="center"/>
        <w:spacing w:before="0" w:beforeAutospacing="0" w:after="0" w:afterAutospacing="0" w:line="480" w:lineRule="exact"/>
        <w:rPr>
          <w:szCs w:val="15"/>
          <w:bCs/>
          <w:b w:val="1"/>
          <w:i w:val="0"/>
          <w:sz w:val="15"/>
          <w:spacing w:val="0"/>
          <w:w w:val="100"/>
          <w:rFonts w:ascii="宋体" w:cs="宋体"/>
          <w:caps w:val="0"/>
        </w:rPr>
        <w:snapToGrid w:val="0"/>
        <w:textAlignment w:val="baseline"/>
      </w:pPr>
      <w:r>
        <w:rPr>
          <w:szCs w:val="44"/>
          <w:bCs/>
          <w:b w:val="1"/>
          <w:i w:val="0"/>
          <w:sz w:val="44"/>
          <w:spacing w:val="0"/>
          <w:w w:val="100"/>
          <w:rFonts w:ascii="宋体" w:cs="宋体" w:hAnsi="宋体" w:hint="eastAsia"/>
          <w:caps w:val="0"/>
        </w:rPr>
        <w:t>突发环境事件应急预案评审意见表</w:t>
      </w:r>
    </w:p>
    <w:tbl>
      <w:tblPr>
        <w:tblStyle w:val="7"/>
        <w:tblW w:w="895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rPr>
          <w:trHeight w:val="434"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tcBorders>
              <w:top w:val="single" w:color="auto" w:sz="8" w:space="0"/>
            </w:tcBorders>
            <w:vAlign w:val="center"/>
          </w:tcPr>
          <w:p>
            <w:pPr>
              <w:jc w:val="left"/>
              <w:spacing w:before="0" w:beforeAutospacing="0" w:after="0" w:afterAutospacing="0" w:lineRule="auto" w:line="240"/>
              <w:rPr>
                <w:szCs w:val="21"/>
                <w:b w:val="0"/>
                <w:i w:val="0"/>
                <w:u w:val="single"/>
                <w:sz w:val="21"/>
                <w:spacing w:val="0"/>
                <w:w w:val="100"/>
                <w:rFonts w:ascii="宋体"/>
                <w:caps w:val="0"/>
              </w:rPr>
              <w:snapToGrid w:val="0"/>
              <w:textAlignment w:val="baseline"/>
            </w:pPr>
            <w:r>
              <w:rPr>
                <w:szCs w:val="21"/>
                <w:b w:val="0"/>
                <w:i w:val="0"/>
                <w:sz w:val="21"/>
                <w:spacing w:val="0"/>
                <w:w w:val="100"/>
                <w:rFonts w:ascii="宋体" w:hAnsi="宋体" w:hint="eastAsia"/>
                <w:caps w:val="0"/>
              </w:rPr>
              <w:t>评审时间</w:t>
            </w:r>
            <w:r>
              <w:rPr>
                <w:szCs w:val="21"/>
                <w:b w:val="0"/>
                <w:i w:val="0"/>
                <w:u w:val="single" w:color="000000"/>
                <w:sz w:val="21"/>
                <w:spacing w:val="0"/>
                <w:w w:val="100"/>
                <w:rFonts w:ascii="宋体" w:hAnsi="宋体" w:hint="eastAsia"/>
                <w:caps w:val="0"/>
              </w:rPr>
              <w:t>：</w:t>
            </w:r>
            <w:r>
              <w:rPr>
                <w:szCs w:val="21"/>
                <w:b w:val="0"/>
                <w:i w:val="0"/>
                <w:sz w:val="21"/>
                <w:spacing w:val="0"/>
                <w:w w:val="100"/>
                <w:rFonts w:ascii="宋体" w:hAnsi="宋体" w:hint="eastAsia"/>
                <w:caps w:val="0"/>
              </w:rPr>
              <w:t>地点：</w:t>
            </w:r>
          </w:p>
        </w:tc>
      </w:tr>
      <w:tr>
        <w:trPr>
          <w:trHeight w:val="465"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Rule="auto" w:line="240"/>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评审方式：</w:t>
            </w:r>
            <w:r>
              <w:rPr>
                <w:szCs w:val="21"/>
                <w:b w:val="0"/>
                <w:i w:val="0"/>
                <w:sz w:val="21"/>
                <w:spacing w:val="0"/>
                <w:w w:val="100"/>
                <w:rFonts w:ascii="宋体" w:cs="MS Mincho" w:eastAsia="MS Mincho" w:hAnsi="MS Mincho" w:hint="eastAsia"/>
                <w:caps w:val="0"/>
              </w:rPr>
              <w:t>☑</w:t>
            </w:r>
            <w:r>
              <w:rPr>
                <w:szCs w:val="21"/>
                <w:b w:val="0"/>
                <w:i w:val="0"/>
                <w:sz w:val="21"/>
                <w:spacing w:val="0"/>
                <w:w w:val="100"/>
                <w:rFonts w:ascii="宋体" w:hAnsi="宋体" w:hint="eastAsia"/>
                <w:caps w:val="0"/>
              </w:rPr>
              <w:t>函审，□会议评审，□函审、会议评审结合，□其他</w:t>
            </w:r>
          </w:p>
        </w:tc>
      </w:tr>
      <w:tr>
        <w:trPr>
          <w:trHeight w:val="443"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Rule="auto" w:line="240"/>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评审结论：□通过评审，</w:t>
            </w:r>
            <w:r>
              <w:rPr>
                <w:szCs w:val="21"/>
                <w:b w:val="0"/>
                <w:i w:val="0"/>
                <w:sz w:val="21"/>
                <w:spacing w:val="0"/>
                <w:w w:val="100"/>
                <w:rFonts w:ascii="宋体" w:cs="MS Mincho" w:eastAsia="MS Mincho" w:hAnsi="MS Mincho" w:hint="eastAsia"/>
                <w:caps w:val="0"/>
              </w:rPr>
              <w:t>☑</w:t>
            </w:r>
            <w:r>
              <w:rPr>
                <w:szCs w:val="21"/>
                <w:b w:val="0"/>
                <w:i w:val="0"/>
                <w:sz w:val="21"/>
                <w:spacing w:val="0"/>
                <w:w w:val="100"/>
                <w:rFonts w:ascii="宋体" w:hAnsi="宋体" w:hint="eastAsia"/>
                <w:caps w:val="0"/>
              </w:rPr>
              <w:t>原则通过但需进行修改复核，□未通过评审</w:t>
            </w:r>
          </w:p>
        </w:tc>
      </w:tr>
      <w:tr>
        <w:trPr>
          <w:trHeight w:val="1917"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400" w:lineRule="exact"/>
              <w:rPr>
                <w:szCs w:val="21"/>
                <w:b w:val="0"/>
                <w:i w:val="0"/>
                <w:sz w:val="21"/>
                <w:spacing w:val="0"/>
                <w:w w:val="100"/>
                <w:rFonts w:ascii="宋体"/>
                <w:caps w:val="0"/>
              </w:rPr>
              <w:snapToGrid w:val="0"/>
              <w:textAlignment w:val="baseline"/>
            </w:pPr>
            <w:r>
              <w:rPr>
                <w:szCs w:val="21"/>
                <w:b w:val="0"/>
                <w:i w:val="0"/>
                <w:sz w:val="21"/>
                <w:spacing w:val="0"/>
                <w:w w:val="100"/>
                <w:rFonts w:ascii="宋体" w:hAnsi="宋体" w:hint="eastAsia"/>
                <w:caps w:val="0"/>
              </w:rPr>
              <w:t>评审过程：</w:t>
            </w:r>
          </w:p>
          <w:p>
            <w:pPr>
              <w:jc w:val="both"/>
              <w:spacing w:before="0" w:beforeAutospacing="0" w:after="0" w:afterAutospacing="0" w:line="460" w:lineRule="exact"/>
              <w:rPr>
                <w:szCs w:val="21"/>
                <w:b w:val="0"/>
                <w:i w:val="0"/>
                <w:sz w:val="21"/>
                <w:spacing w:val="0"/>
                <w:w w:val="100"/>
                <w:rFonts w:ascii="宋体" w:hAnsi="宋体" w:hint="eastAsia"/>
                <w:caps w:val="0"/>
              </w:rPr>
              <w:snapToGrid/>
              <w:textAlignment w:val="baseline"/>
            </w:pPr>
            <w:r>
              <w:rPr>
                <w:szCs w:val="21"/>
                <w:b w:val="0"/>
                <w:i w:val="0"/>
                <w:sz w:val="21"/>
                <w:spacing w:val="0"/>
                <w:w w:val="100"/>
                <w:rFonts w:ascii="宋体" w:hAnsi="宋体" w:hint="eastAsia"/>
                <w:caps w:val="0"/>
              </w:rPr>
              <w:t xml:space="preserve">《咸阳三毅优源投资有限公司突发环境事件应急预案</w:t>
            </w:r>
            <w:r>
              <w:rPr>
                <w:szCs w:val="21"/>
                <w:b w:val="0"/>
                <w:i w:val="0"/>
                <w:sz w:val="21"/>
                <w:spacing w:val="0"/>
                <w:w w:val="100"/>
                <w:rFonts w:ascii="宋体" w:hAnsi="宋体" w:hint="eastAsia"/>
                <w:caps w:val="0"/>
              </w:rPr>
              <w:t>》编制单位邀请应急管理专家对该预案进行了函审，专家在详细查看编制方提供的各项资料后就本预案分别提出了修改意见和建议。</w:t>
            </w:r>
          </w:p>
          <w:p>
            <w:pPr>
              <w:jc w:val="both"/>
              <w:spacing w:before="0" w:beforeAutospacing="0" w:after="0" w:afterAutospacing="0" w:line="460" w:lineRule="exact"/>
              <w:rPr>
                <w:szCs w:val="21"/>
                <w:b w:val="0"/>
                <w:i w:val="0"/>
                <w:sz w:val="21"/>
                <w:spacing w:val="0"/>
                <w:w w:val="100"/>
                <w:rFonts w:hAnsi="宋体"/>
                <w:caps w:val="0"/>
              </w:rPr>
              <w:snapToGrid/>
              <w:textAlignment w:val="baseline"/>
            </w:pPr>
            <w:r>
              <w:rPr>
                <w:szCs w:val="21"/>
                <w:b w:val="0"/>
                <w:i w:val="0"/>
                <w:sz w:val="21"/>
                <w:spacing w:val="0"/>
                <w:w w:val="100"/>
                <w:rFonts w:ascii="宋体" w:hAnsi="宋体" w:hint="eastAsia"/>
                <w:caps w:val="0"/>
              </w:rPr>
              <w:t>总体评价：该预案章节结构齐全，格式规范，文字简洁，能认真梳理本单位实际存在的各个环境风险源，针对本单位的实际情况，制定的针对各个环境风险源的应急响应及处理处置措施也比较切实可行，原则同意本突发环境事件应急预案通过评审。</w:t>
            </w:r>
          </w:p>
        </w:tc>
      </w:tr>
      <w:tr>
        <w:trPr>
          <w:trHeight w:val="1704"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vAlign w:val="center"/>
          </w:tcPr>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修改意见和建议：</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1补充预案号和版本号，说明风险物质运输途中的责任单位，列明近三年有无环境违法排污和</w:t>
            </w:r>
            <w:r>
              <w:rPr>
                <w:szCs w:val="21"/>
                <w:lang w:eastAsia="zh-CN"/>
                <w:b w:val="0"/>
                <w:i w:val="0"/>
                <w:sz w:val="21"/>
                <w:spacing w:val="0"/>
                <w:w w:val="100"/>
                <w:rFonts w:cs="Times New Roman" w:eastAsia="宋体" w:hint="eastAsia"/>
                <w:caps w:val="0"/>
              </w:rPr>
              <w:t>非法转移危险废物受处罚</w:t>
            </w:r>
            <w:r>
              <w:rPr>
                <w:szCs w:val="21"/>
                <w:b w:val="0"/>
                <w:i w:val="0"/>
                <w:sz w:val="21"/>
                <w:spacing w:val="0"/>
                <w:w w:val="100"/>
                <w:rFonts w:cs="Times New Roman" w:eastAsia="宋体" w:hint="eastAsia"/>
                <w:caps w:val="0"/>
              </w:rPr>
              <w:t>事件。</w:t>
            </w:r>
          </w:p>
          <w:p>
            <w:pPr>
              <w:jc w:val="both"/>
              <w:spacing w:before="0" w:beforeAutospacing="0" w:after="0" w:afterAutospacing="0" w:line="400" w:lineRule="exact"/>
              <w:rPr>
                <w:szCs w:val="21"/>
                <w:lang w:eastAsia="zh-CN"/>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2删除与环境风险物质防范与分析无关内容章节，原辅材料不必照搬环评。</w:t>
            </w:r>
          </w:p>
          <w:p>
            <w:pPr>
              <w:jc w:val="both"/>
              <w:spacing w:before="0" w:beforeAutospacing="0" w:after="0" w:afterAutospacing="0" w:line="400" w:lineRule="exact"/>
              <w:rPr>
                <w:szCs w:val="21"/>
                <w:lang w:val="en-US" w:eastAsia="zh-CN"/>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3增加</w:t>
            </w:r>
            <w:r>
              <w:rPr>
                <w:szCs w:val="21"/>
                <w:lang w:eastAsia="zh-CN"/>
                <w:b w:val="0"/>
                <w:i w:val="0"/>
                <w:sz w:val="21"/>
                <w:spacing w:val="0"/>
                <w:w w:val="100"/>
                <w:rFonts w:cs="Times New Roman" w:hint="eastAsia"/>
                <w:caps w:val="0"/>
              </w:rPr>
              <w:t>同类型企业</w:t>
            </w:r>
            <w:r>
              <w:rPr>
                <w:szCs w:val="21"/>
                <w:b w:val="0"/>
                <w:i w:val="0"/>
                <w:sz w:val="21"/>
                <w:spacing w:val="0"/>
                <w:w w:val="100"/>
                <w:rFonts w:cs="Times New Roman" w:eastAsia="宋体" w:hint="eastAsia"/>
                <w:caps w:val="0"/>
              </w:rPr>
              <w:t>发生突发环境事件的案例。</w:t>
            </w:r>
          </w:p>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4完善企业内部预警信息发布、接收、调整、解除程序、发布内容及责任人；细化预警、响应各级别转换条件。</w:t>
            </w:r>
          </w:p>
          <w:p>
            <w:pPr>
              <w:jc w:val="both"/>
              <w:spacing w:before="0" w:beforeAutospacing="0" w:after="0" w:afterAutospacing="0" w:line="400" w:lineRule="exact"/>
              <w:rPr>
                <w:szCs w:val="21"/>
                <w:lang w:val="en-US" w:eastAsia="zh-CN"/>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5、明确紧急状况下的疏散方式、疏散负责人、安全安置点，补充说明受威胁范围、组织公众避险的方式方法，包括疏散、防护等，说明避险措施的原则性安排等。</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szCs w:val="21"/>
                <w:lang w:val="en-US" w:eastAsia="zh-CN"/>
                <w:b w:val="0"/>
                <w:i w:val="0"/>
                <w:sz w:val="21"/>
                <w:spacing w:val="0"/>
                <w:w w:val="100"/>
                <w:rFonts w:cs="Times New Roman" w:eastAsia="宋体" w:hint="eastAsia"/>
                <w:caps w:val="0"/>
              </w:rPr>
              <w:t>6、补充周边受影响的单位和居民联系方式，明确企业告知周边单位事件信息的负责人、程序、时限、方式及内容等。</w:t>
            </w:r>
          </w:p>
          <w:p>
            <w:pPr>
              <w:jc w:val="both"/>
              <w:spacing w:before="0" w:beforeAutospacing="0" w:after="0" w:afterAutospacing="0" w:line="400" w:lineRule="exact"/>
              <w:rPr>
                <w:szCs w:val="21"/>
                <w:b w:val="0"/>
                <w:i w:val="0"/>
                <w:sz w:val="21"/>
                <w:spacing w:val="0"/>
                <w:w w:val="100"/>
                <w:rFonts w:cs="Times New Roman" w:eastAsia="宋体" w:hint="eastAsia"/>
                <w:caps w:val="0"/>
              </w:rPr>
              <w:snapToGrid w:val="0"/>
              <w:textAlignment w:val="baseline"/>
            </w:pPr>
            <w:r>
              <w:rPr>
                <w:b w:val="0"/>
                <w:i w:val="0"/>
                <w:sz w:val="21"/>
                <w:spacing w:val="0"/>
                <w:w w:val="100"/>
                <w:rFonts w:cs="Times New Roman" w:eastAsia="宋体" w:hint="eastAsia"/>
                <w:caps w:val="0"/>
              </w:rPr>
              <w:t/>
            </w:r>
          </w:p>
        </w:tc>
      </w:tr>
      <w:tr>
        <w:trPr>
          <w:trHeight w:val="2230" w:hRule="atLeast"/>
        </w:trP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956" w:type="dxa"/>
            <w:tcBorders>
              <w:bottom w:val="single" w:color="auto" w:sz="8" w:space="0"/>
            </w:tcBorders>
            <w:vAlign w:val="center"/>
          </w:tcPr>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b w:val="0"/>
                <w:i w:val="0"/>
                <w:sz w:val="21"/>
                <w:spacing w:val="0"/>
                <w:w w:val="100"/>
                <w:rFonts w:cs="Times New Roman" w:eastAsia="宋体" w:hint="eastAsia"/>
                <w:caps w:val="0"/>
              </w:rPr>
              <w:t>评审人员：邱钢</w:t>
            </w:r>
          </w:p>
          <w:p>
            <w:pPr>
              <w:jc w:val="both"/>
              <w:spacing w:before="0" w:beforeAutospacing="0" w:after="0" w:afterAutospacing="0" w:line="400" w:lineRule="exact"/>
              <w:rPr>
                <w:b w:val="0"/>
                <w:i w:val="0"/>
                <w:sz w:val="21"/>
                <w:spacing w:val="0"/>
                <w:w w:val="100"/>
                <w:rFonts w:cs="Times New Roman" w:eastAsia="宋体" w:hint="eastAsia"/>
                <w:caps w:val="0"/>
              </w:rPr>
              <w:snapToGrid w:val="0"/>
              <w:textAlignment w:val="baseline"/>
            </w:pPr>
            <w:r>
              <w:rPr>
                <w:szCs w:val="21"/>
                <w:lang w:eastAsia="zh-CN"/>
                <w:b w:val="0"/>
                <w:i w:val="0"/>
                <w:sz w:val="21"/>
                <w:spacing w:val="0"/>
                <w:w w:val="100"/>
                <w:rFonts w:cs="Times New Roman" w:eastAsia="宋体" w:hint="eastAsia"/>
                <w:caps w:val="0"/>
              </w:rPr>
              <w:t>西安市李家河环境保护管理站 高工 副站长</w:t>
            </w:r>
          </w:p>
          <w:p>
            <w:pPr>
              <w:jc w:val="both"/>
              <w:spacing w:before="0" w:beforeAutospacing="0" w:after="0" w:afterAutospacing="0" w:line="400" w:lineRule="exact"/>
              <w:rPr>
                <w:szCs w:val="21"/>
                <w:lang w:eastAsia="zh-CN"/>
                <w:b w:val="0"/>
                <w:i w:val="0"/>
                <w:sz w:val="21"/>
                <w:spacing w:val="0"/>
                <w:w w:val="100"/>
                <w:rFonts w:cs="Times New Roman" w:eastAsia="宋体" w:hint="eastAsia"/>
                <w:caps w:val="0"/>
              </w:rPr>
              <w:snapToGrid w:val="0"/>
              <w:textAlignment w:val="baseline"/>
            </w:pPr>
            <w:r>
              <w:rPr>
                <w:szCs w:val="21"/>
                <w:lang w:eastAsia="zh-CN"/>
                <w:b w:val="0"/>
                <w:i w:val="0"/>
                <w:sz w:val="21"/>
                <w:spacing w:val="0"/>
                <w:w w:val="100"/>
                <w:rFonts w:cs="Times New Roman" w:eastAsia="宋体" w:hint="eastAsia"/>
                <w:caps w:val="0"/>
              </w:rPr>
              <w:t xml:space="preserve">13289329576                                    2022年10月8日</w:t>
            </w:r>
          </w:p>
          <w:p>
            <w:pPr>
              <w:jc w:val="both"/>
              <w:spacing w:before="0" w:beforeAutospacing="0" w:after="0" w:afterAutospacing="0" w:line="400" w:lineRule="exact"/>
              <w:rPr>
                <w:szCs w:val="21"/>
                <w:lang w:val="en-US" w:eastAsia="zh-CN"/>
                <w:b w:val="0"/>
                <w:i w:val="0"/>
                <w:sz w:val="21"/>
                <w:spacing w:val="0"/>
                <w:w w:val="100"/>
                <w:rFonts w:cs="Times New Roman" w:eastAsia="宋体" w:hint="default"/>
                <w:caps w:val="0"/>
              </w:rPr>
              <w:snapToGrid w:val="0"/>
              <w:textAlignment w:val="baseline"/>
            </w:pPr>
            <w:r>
              <w:rPr>
                <w:b w:val="0"/>
                <w:i w:val="0"/>
                <w:sz w:val="21"/>
                <w:spacing w:val="0"/>
                <w:w w:val="100"/>
                <w:rFonts w:cs="Times New Roman" w:eastAsia="宋体" w:hint="default"/>
                <w:caps w:val="0"/>
              </w:rPr>
              <w:t/>
            </w:r>
          </w:p>
        </w:tc>
      </w:tr>
    </w:tbl>
    <w:p>
      <w:pPr>
        <w:jc w:val="both"/>
        <w:spacing w:before="156" w:beforeAutospacing="0" w:after="0" w:afterAutospacing="0" w:lineRule="auto" w:line="240"/>
        <w:rPr>
          <w:szCs w:val="21"/>
          <w:b w:val="0"/>
          <w:i w:val="0"/>
          <w:sz w:val="21"/>
          <w:spacing w:val="0"/>
          <w:w w:val="100"/>
          <w:rFonts w:ascii="宋体"/>
          <w:caps w:val="0"/>
        </w:rPr>
        <w:snapToGrid w:val="0"/>
        <w:textAlignment w:val="baseline"/>
      </w:pPr>
      <w:r>
        <w:rPr>
          <w:b w:val="0"/>
          <w:i w:val="0"/>
          <w:sz w:val="21"/>
          <w:spacing w:val="0"/>
          <w:w w:val="100"/>
          <w:rFonts w:ascii="宋体"/>
          <w:caps w:val="0"/>
        </w:rPr>
        <w:t/>
      </w:r>
    </w:p>
    <w:sectPr>
      <w:footerReference r:id="rId3" w:type="default"/>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ascii="宋体"/>
        <w:sz w:val="28"/>
        <w:szCs w:val="28"/>
      </w:rPr>
    </w:pPr>
    <w:r>
      <w:rPr>
        <w:rStyle w:val="9"/>
        <w:rFonts w:ascii="宋体" w:hAnsi="宋体"/>
        <w:sz w:val="28"/>
        <w:szCs w:val="28"/>
      </w:rPr>
      <w:t>—</w:t>
    </w:r>
    <w:r>
      <w:rPr>
        <w:rStyle w:val="9"/>
        <w:rFonts w:ascii="宋体" w:hAnsi="宋体"/>
        <w:sz w:val="26"/>
        <w:szCs w:val="26"/>
      </w:rPr>
      <w:fldChar w:fldCharType="begin"/>
    </w:r>
    <w:r>
      <w:rPr>
        <w:rStyle w:val="9"/>
        <w:rFonts w:ascii="宋体" w:hAnsi="宋体"/>
        <w:sz w:val="26"/>
        <w:szCs w:val="26"/>
      </w:rPr>
      <w:instrText xml:space="preserve">PAGE  </w:instrText>
    </w:r>
    <w:r>
      <w:rPr>
        <w:rStyle w:val="9"/>
        <w:rFonts w:ascii="宋体" w:hAnsi="宋体"/>
        <w:sz w:val="26"/>
        <w:szCs w:val="26"/>
      </w:rPr>
      <w:fldChar w:fldCharType="separate"/>
    </w:r>
    <w:r>
      <w:rPr>
        <w:rStyle w:val="9"/>
        <w:rFonts w:ascii="宋体" w:hAnsi="宋体"/>
        <w:sz w:val="26"/>
        <w:szCs w:val="26"/>
      </w:rPr>
      <w:t>1</w:t>
    </w:r>
    <w:r>
      <w:rPr>
        <w:rStyle w:val="9"/>
        <w:rFonts w:ascii="宋体" w:hAnsi="宋体"/>
        <w:sz w:val="26"/>
        <w:szCs w:val="26"/>
      </w:rPr>
      <w:fldChar w:fldCharType="end"/>
    </w:r>
    <w:r>
      <w:rPr>
        <w:rStyle w:val="9"/>
        <w:rFonts w:ascii="宋体" w:hAnsi="宋体"/>
        <w:sz w:val="28"/>
        <w:szCs w:val="28"/>
      </w:rPr>
      <w:t>—</w:t>
    </w:r>
  </w:p>
  <w:p>
    <w:pPr>
      <w:pStyle w:val="5"/>
      <w:ind w:right="360" w:firstLine="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F58A0"/>
    <w:rsid w:val="00003E8B"/>
    <w:rsid w:val="00011CDD"/>
    <w:rsid w:val="00030889"/>
    <w:rsid w:val="00054769"/>
    <w:rsid w:val="00086AAA"/>
    <w:rsid w:val="000F6722"/>
    <w:rsid w:val="00113E43"/>
    <w:rsid w:val="00117A96"/>
    <w:rsid w:val="00163B30"/>
    <w:rsid w:val="00172597"/>
    <w:rsid w:val="001771D3"/>
    <w:rsid w:val="00196E81"/>
    <w:rsid w:val="001E67B2"/>
    <w:rsid w:val="00201BD3"/>
    <w:rsid w:val="002072D9"/>
    <w:rsid w:val="00215CCE"/>
    <w:rsid w:val="00216F2A"/>
    <w:rsid w:val="00246E7D"/>
    <w:rsid w:val="002907A7"/>
    <w:rsid w:val="002C2357"/>
    <w:rsid w:val="002D6BF8"/>
    <w:rsid w:val="002E2695"/>
    <w:rsid w:val="002E4C30"/>
    <w:rsid w:val="002F6646"/>
    <w:rsid w:val="00303083"/>
    <w:rsid w:val="003237FE"/>
    <w:rsid w:val="003723E6"/>
    <w:rsid w:val="00393B02"/>
    <w:rsid w:val="003C7999"/>
    <w:rsid w:val="003F3936"/>
    <w:rsid w:val="003F77DE"/>
    <w:rsid w:val="00407C5A"/>
    <w:rsid w:val="00413908"/>
    <w:rsid w:val="004146B3"/>
    <w:rsid w:val="00474DE9"/>
    <w:rsid w:val="00482A20"/>
    <w:rsid w:val="00484037"/>
    <w:rsid w:val="004B434F"/>
    <w:rsid w:val="004F2571"/>
    <w:rsid w:val="0053371D"/>
    <w:rsid w:val="0053476C"/>
    <w:rsid w:val="00554645"/>
    <w:rsid w:val="00562644"/>
    <w:rsid w:val="00564491"/>
    <w:rsid w:val="00593523"/>
    <w:rsid w:val="005B59C3"/>
    <w:rsid w:val="005D5C1D"/>
    <w:rsid w:val="005E5724"/>
    <w:rsid w:val="00625B6C"/>
    <w:rsid w:val="006361B6"/>
    <w:rsid w:val="00645B1C"/>
    <w:rsid w:val="00646582"/>
    <w:rsid w:val="006540DE"/>
    <w:rsid w:val="00690D2B"/>
    <w:rsid w:val="006A5594"/>
    <w:rsid w:val="006D0D65"/>
    <w:rsid w:val="006E0CBC"/>
    <w:rsid w:val="006E25EE"/>
    <w:rsid w:val="006F5895"/>
    <w:rsid w:val="007239BC"/>
    <w:rsid w:val="007552A6"/>
    <w:rsid w:val="00770963"/>
    <w:rsid w:val="007824BF"/>
    <w:rsid w:val="007C0F01"/>
    <w:rsid w:val="007C6595"/>
    <w:rsid w:val="007D6BC0"/>
    <w:rsid w:val="007E68FE"/>
    <w:rsid w:val="007F6CDF"/>
    <w:rsid w:val="008117BF"/>
    <w:rsid w:val="0081318B"/>
    <w:rsid w:val="00815911"/>
    <w:rsid w:val="00821CD9"/>
    <w:rsid w:val="008356CD"/>
    <w:rsid w:val="00864456"/>
    <w:rsid w:val="0087518D"/>
    <w:rsid w:val="00877AF6"/>
    <w:rsid w:val="008A46A5"/>
    <w:rsid w:val="008D4564"/>
    <w:rsid w:val="008F5B4E"/>
    <w:rsid w:val="00907FE7"/>
    <w:rsid w:val="00A51910"/>
    <w:rsid w:val="00AA1642"/>
    <w:rsid w:val="00AE4964"/>
    <w:rsid w:val="00AF6294"/>
    <w:rsid w:val="00B052FF"/>
    <w:rsid w:val="00B30EFA"/>
    <w:rsid w:val="00B6592C"/>
    <w:rsid w:val="00B727AF"/>
    <w:rsid w:val="00B74953"/>
    <w:rsid w:val="00B96616"/>
    <w:rsid w:val="00C06B75"/>
    <w:rsid w:val="00C2230A"/>
    <w:rsid w:val="00C24FE7"/>
    <w:rsid w:val="00C63915"/>
    <w:rsid w:val="00C85964"/>
    <w:rsid w:val="00C8641A"/>
    <w:rsid w:val="00D11A1E"/>
    <w:rsid w:val="00D21F11"/>
    <w:rsid w:val="00D369CF"/>
    <w:rsid w:val="00D914A5"/>
    <w:rsid w:val="00DB5E5C"/>
    <w:rsid w:val="00DC1B25"/>
    <w:rsid w:val="00DF5C5F"/>
    <w:rsid w:val="00E12E0A"/>
    <w:rsid w:val="00E2756F"/>
    <w:rsid w:val="00E7204C"/>
    <w:rsid w:val="00E93A3F"/>
    <w:rsid w:val="00EB0B9B"/>
    <w:rsid w:val="00EB7ABF"/>
    <w:rsid w:val="00ED5202"/>
    <w:rsid w:val="00ED62D3"/>
    <w:rsid w:val="00F050E3"/>
    <w:rsid w:val="00F32BF2"/>
    <w:rsid w:val="00F33F5B"/>
    <w:rsid w:val="00F81B9E"/>
    <w:rsid w:val="00F82972"/>
    <w:rsid w:val="00F84BF4"/>
    <w:rsid w:val="00F90F60"/>
    <w:rsid w:val="00FA7ECF"/>
    <w:rsid w:val="00FE509D"/>
    <w:rsid w:val="00FE5C83"/>
    <w:rsid w:val="0BFD4766"/>
    <w:rsid w:val="10203915"/>
    <w:rsid w:val="118F58A0"/>
    <w:rsid w:val="1A0F6038"/>
    <w:rsid w:val="239D7895"/>
    <w:rsid w:val="34516D1B"/>
    <w:rsid w:val="35D96116"/>
    <w:rsid w:val="3B0554F0"/>
    <w:rsid w:val="41315723"/>
    <w:rsid w:val="420A378D"/>
    <w:rsid w:val="454F2FB5"/>
    <w:rsid w:val="47D4369F"/>
    <w:rsid w:val="4F7439A6"/>
    <w:rsid w:val="51137BA5"/>
    <w:rsid w:val="65944EB0"/>
    <w:rsid w:val="66822A40"/>
    <w:rsid w:val="66D45154"/>
    <w:rsid w:val="77C47B62"/>
    <w:rsid w:val="7D0620F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name="Body Text" w:locked="1"/>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2"/>
      <w:lang w:val="en-US" w:eastAsia="zh-CN" w:bidi="ar-SA"/>
    </w:rPr>
  </w:style>
  <w:style w:type="paragraph" w:styleId="3">
    <w:name w:val="heading 2"/>
    <w:basedOn w:val="1"/>
    <w:next w:val="1"/>
    <w:link w:val="10"/>
    <w:qFormat/>
    <w:uiPriority w:val="99"/>
    <w:pPr>
      <w:keepNext/>
      <w:keepLines/>
      <w:spacing w:before="260" w:after="260" w:line="416" w:lineRule="auto"/>
      <w:outlineLvl w:val="1"/>
    </w:pPr>
    <w:rPr>
      <w:rFonts w:ascii="Cambria" w:hAnsi="Cambria"/>
      <w:b/>
      <w:bCs/>
      <w:szCs w:val="32"/>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locked/>
    <w:uiPriority w:val="0"/>
    <w:pPr>
      <w:spacing w:line="240" w:lineRule="auto"/>
      <w:ind w:left="0" w:firstLine="0" w:firstLineChars="0"/>
    </w:pPr>
    <w:rPr>
      <w:szCs w:val="24"/>
    </w:rPr>
  </w:style>
  <w:style w:type="paragraph" w:styleId="4">
    <w:name w:val="Body Text"/>
    <w:basedOn w:val="1"/>
    <w:link w:val="11"/>
    <w:semiHidden/>
    <w:qFormat/>
    <w:locked/>
    <w:uiPriority w:val="99"/>
    <w:pPr>
      <w:spacing w:after="120" w:line="360" w:lineRule="auto"/>
    </w:pPr>
    <w:rPr>
      <w:rFonts w:eastAsia="仿宋"/>
      <w:sz w:val="28"/>
    </w:rPr>
  </w:style>
  <w:style w:type="paragraph" w:styleId="5">
    <w:name w:val="footer"/>
    <w:basedOn w:val="1"/>
    <w:link w:val="12"/>
    <w:qFormat/>
    <w:uiPriority w:val="99"/>
    <w:pPr>
      <w:tabs>
        <w:tab w:val="center" w:pos="4153"/>
        <w:tab w:val="right" w:pos="8306"/>
      </w:tabs>
      <w:snapToGrid w:val="0"/>
      <w:jc w:val="left"/>
    </w:pPr>
    <w:rPr>
      <w:kern w:val="0"/>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Heading 2 Char"/>
    <w:basedOn w:val="8"/>
    <w:link w:val="3"/>
    <w:semiHidden/>
    <w:qFormat/>
    <w:locked/>
    <w:uiPriority w:val="99"/>
    <w:rPr>
      <w:rFonts w:ascii="Cambria" w:hAnsi="Cambria" w:eastAsia="宋体" w:cs="Times New Roman"/>
      <w:b/>
      <w:bCs/>
      <w:sz w:val="32"/>
      <w:szCs w:val="32"/>
    </w:rPr>
  </w:style>
  <w:style w:type="character" w:customStyle="1" w:styleId="11">
    <w:name w:val="Body Text Char"/>
    <w:basedOn w:val="8"/>
    <w:link w:val="4"/>
    <w:semiHidden/>
    <w:qFormat/>
    <w:locked/>
    <w:uiPriority w:val="99"/>
    <w:rPr>
      <w:rFonts w:ascii="Calibri" w:hAnsi="Calibri" w:cs="Times New Roman"/>
      <w:sz w:val="32"/>
    </w:rPr>
  </w:style>
  <w:style w:type="character" w:customStyle="1" w:styleId="12">
    <w:name w:val="Footer Char"/>
    <w:basedOn w:val="8"/>
    <w:link w:val="5"/>
    <w:semiHidden/>
    <w:qFormat/>
    <w:locked/>
    <w:uiPriority w:val="99"/>
    <w:rPr>
      <w:rFonts w:cs="Times New Roman"/>
      <w:sz w:val="18"/>
      <w:szCs w:val="18"/>
    </w:rPr>
  </w:style>
  <w:style w:type="character" w:customStyle="1" w:styleId="13">
    <w:name w:val="Header Char"/>
    <w:basedOn w:val="8"/>
    <w:link w:val="6"/>
    <w:qFormat/>
    <w:locked/>
    <w:uiPriority w:val="99"/>
    <w:rPr>
      <w:rFonts w:ascii="Calibri" w:hAnsi="Calibri" w:cs="Times New Roman"/>
      <w:kern w:val="2"/>
      <w:sz w:val="18"/>
      <w:szCs w:val="18"/>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99"/>
    <w:pPr>
      <w:ind w:firstLine="420" w:firstLineChars="200"/>
    </w:pPr>
  </w:style>
  <w:style w:type="character" w:customStyle="1" w:styleId="16">
    <w:name w:val="NormalCharacter"/>
    <w:semiHidden/>
    <w:qFormat/>
    <w:uiPriority w:val="99"/>
  </w:style>
</w:styles>
</file>

<file path=word/_rels/document.xml.rels><?xml version="1.0" encoding="UTF-8" standalone="yes"?><Relationships xmlns="http://schemas.openxmlformats.org/package/2006/relationships"><Relationship Id="rId6" Type="http://schemas.openxmlformats.org/officeDocument/2006/relationships/fontTable" Target="fontTable.xml" /><Relationship Id="rId5" Type="http://schemas.openxmlformats.org/officeDocument/2006/relationships/customXml" Target="../customXml/item1.xml" /><Relationship Id="rId4" Type="http://schemas.openxmlformats.org/officeDocument/2006/relationships/theme" Target="theme/theme1.xml" /><Relationship Id="rId3"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Pages>
  <Words>127</Words>
  <Characters>724</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2021-05-11T01:14:00Z</dcterms:created>
  <dc:creator>白钰</dc:creator>
  <cp:lastModifiedBy>lenovo</cp:lastModifiedBy>
  <cp:lastPrinted>2019-02-26T03:22:00Z</cp:lastPrinted>
  <dcterms:modified xsi:type="dcterms:W3CDTF">2022-05-16T10:05:00Z</dcterms:modified>
  <dc:title>突发环境事件应急预案评审意见表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beforeAutospacing="0" w:after="0" w:afterAutospacing="0" w:line="480" w:lineRule="exact"/>
        <w:jc w:val="center"/>
        <w:textAlignment w:val="baseline"/>
        <w:rPr>
          <w:rFonts w:ascii="宋体" w:cs="宋体"/>
          <w:b/>
          <w:bCs/>
          <w:i w:val="0"/>
          <w:caps w:val="0"/>
          <w:spacing w:val="0"/>
          <w:w w:val="100"/>
          <w:sz w:val="15"/>
          <w:szCs w:val="15"/>
        </w:rPr>
      </w:pPr>
      <w:r>
        <w:rPr>
          <w:rFonts w:hint="eastAsia" w:ascii="宋体" w:hAnsi="宋体" w:cs="宋体"/>
          <w:b/>
          <w:bCs/>
          <w:i w:val="0"/>
          <w:caps w:val="0"/>
          <w:spacing w:val="0"/>
          <w:w w:val="100"/>
          <w:sz w:val="44"/>
          <w:szCs w:val="44"/>
        </w:rPr>
        <w:t>突发环境事件应急预案评审意见表</w:t>
      </w:r>
    </w:p>
    <w:tbl>
      <w:tblPr>
        <w:tblStyle w:val="7"/>
        <w:tblW w:w="895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956" w:type="dxa"/>
            <w:tcBorders>
              <w:top w:val="single" w:color="auto" w:sz="8" w:space="0"/>
            </w:tcBorders>
            <w:vAlign w:val="center"/>
          </w:tcPr>
          <w:p>
            <w:pPr>
              <w:snapToGrid w:val="0"/>
              <w:spacing w:before="0" w:beforeAutospacing="0" w:after="0" w:afterAutospacing="0" w:line="240" w:lineRule="auto"/>
              <w:jc w:val="left"/>
              <w:textAlignment w:val="baseline"/>
              <w:rPr>
                <w:rFonts w:ascii="宋体"/>
                <w:b w:val="0"/>
                <w:i w:val="0"/>
                <w:caps w:val="0"/>
                <w:spacing w:val="0"/>
                <w:w w:val="100"/>
                <w:sz w:val="21"/>
                <w:szCs w:val="21"/>
                <w:u w:val="single"/>
              </w:rPr>
            </w:pPr>
            <w:r>
              <w:rPr>
                <w:rFonts w:hint="eastAsia" w:ascii="宋体" w:hAnsi="宋体"/>
                <w:b w:val="0"/>
                <w:i w:val="0"/>
                <w:caps w:val="0"/>
                <w:spacing w:val="0"/>
                <w:w w:val="100"/>
                <w:sz w:val="21"/>
                <w:szCs w:val="21"/>
              </w:rPr>
              <w:t>评审时间</w:t>
            </w:r>
            <w:r>
              <w:rPr>
                <w:rFonts w:hint="eastAsia" w:ascii="宋体" w:hAnsi="宋体"/>
                <w:b w:val="0"/>
                <w:i w:val="0"/>
                <w:caps w:val="0"/>
                <w:spacing w:val="0"/>
                <w:w w:val="100"/>
                <w:sz w:val="21"/>
                <w:szCs w:val="21"/>
                <w:u w:val="single" w:color="000000"/>
              </w:rPr>
              <w:t>：</w:t>
            </w:r>
            <w:r>
              <w:rPr>
                <w:rFonts w:hint="eastAsia" w:ascii="宋体" w:hAnsi="宋体"/>
                <w:b w:val="0"/>
                <w:i w:val="0"/>
                <w:caps w:val="0"/>
                <w:spacing w:val="0"/>
                <w:w w:val="100"/>
                <w:sz w:val="21"/>
                <w:szCs w:val="21"/>
              </w:rPr>
              <w:t>地点：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956" w:type="dxa"/>
            <w:vAlign w:val="center"/>
          </w:tcPr>
          <w:p>
            <w:pPr>
              <w:snapToGrid w:val="0"/>
              <w:spacing w:before="0" w:beforeAutospacing="0" w:after="0" w:afterAutospacing="0" w:line="240" w:lineRule="auto"/>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评审方式：</w:t>
            </w:r>
            <w:r>
              <w:rPr>
                <w:rFonts w:hint="eastAsia" w:ascii="宋体" w:hAnsi="MS Mincho" w:eastAsia="MS Mincho" w:cs="MS Mincho"/>
                <w:b w:val="0"/>
                <w:i w:val="0"/>
                <w:caps w:val="0"/>
                <w:spacing w:val="0"/>
                <w:w w:val="100"/>
                <w:sz w:val="21"/>
                <w:szCs w:val="21"/>
              </w:rPr>
              <w:t>☑</w:t>
            </w:r>
            <w:r>
              <w:rPr>
                <w:rFonts w:hint="eastAsia" w:ascii="宋体" w:hAnsi="宋体"/>
                <w:b w:val="0"/>
                <w:i w:val="0"/>
                <w:caps w:val="0"/>
                <w:spacing w:val="0"/>
                <w:w w:val="100"/>
                <w:sz w:val="21"/>
                <w:szCs w:val="21"/>
              </w:rPr>
              <w:t>函审，□会议评审，□函审、会议评审结合，□其他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956" w:type="dxa"/>
            <w:vAlign w:val="center"/>
          </w:tcPr>
          <w:p>
            <w:pPr>
              <w:snapToGrid w:val="0"/>
              <w:spacing w:before="0" w:beforeAutospacing="0" w:after="0" w:afterAutospacing="0" w:line="240" w:lineRule="auto"/>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评审结论：□通过评审，</w:t>
            </w:r>
            <w:r>
              <w:rPr>
                <w:rFonts w:hint="eastAsia" w:ascii="宋体" w:hAnsi="MS Mincho" w:eastAsia="MS Mincho" w:cs="MS Mincho"/>
                <w:b w:val="0"/>
                <w:i w:val="0"/>
                <w:caps w:val="0"/>
                <w:spacing w:val="0"/>
                <w:w w:val="100"/>
                <w:sz w:val="21"/>
                <w:szCs w:val="21"/>
              </w:rPr>
              <w:t>☑</w:t>
            </w:r>
            <w:r>
              <w:rPr>
                <w:rFonts w:hint="eastAsia" w:ascii="宋体" w:hAnsi="宋体"/>
                <w:b w:val="0"/>
                <w:i w:val="0"/>
                <w:caps w:val="0"/>
                <w:spacing w:val="0"/>
                <w:w w:val="100"/>
                <w:sz w:val="21"/>
                <w:szCs w:val="21"/>
              </w:rPr>
              <w:t>原则通过但需进行修改复核，□未通过评审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8956" w:type="dxa"/>
            <w:vAlign w:val="center"/>
          </w:tcPr>
          <w:p>
            <w:pPr>
              <w:snapToGrid w:val="0"/>
              <w:spacing w:before="0" w:beforeAutospacing="0" w:after="0" w:afterAutospacing="0" w:line="400" w:lineRule="exact"/>
              <w:jc w:val="both"/>
              <w:textAlignment w:val="baseline"/>
              <w:rPr>
                <w:rFonts w:ascii="宋体"/>
                <w:b w:val="0"/>
                <w:i w:val="0"/>
                <w:caps w:val="0"/>
                <w:spacing w:val="0"/>
                <w:w w:val="100"/>
                <w:sz w:val="21"/>
                <w:szCs w:val="21"/>
              </w:rPr>
            </w:pPr>
            <w:r>
              <w:rPr>
                <w:rFonts w:hint="eastAsia" w:ascii="宋体" w:hAnsi="宋体"/>
                <w:b w:val="0"/>
                <w:i w:val="0"/>
                <w:caps w:val="0"/>
                <w:spacing w:val="0"/>
                <w:w w:val="100"/>
                <w:sz w:val="21"/>
                <w:szCs w:val="21"/>
              </w:rPr>
              <w:t>评审过程：</w:t>
            </w:r>
          </w:p>
          <w:p>
            <w:pPr>
              <w:snapToGrid/>
              <w:spacing w:before="0" w:beforeAutospacing="0" w:after="0" w:afterAutospacing="0" w:line="460" w:lineRule="exact"/>
              <w:jc w:val="both"/>
              <w:textAlignment w:val="baseline"/>
              <w:rPr>
                <w:rFonts w:hint="eastAsia" w:ascii="宋体" w:hAnsi="宋体"/>
                <w:b w:val="0"/>
                <w:i w:val="0"/>
                <w:caps w:val="0"/>
                <w:spacing w:val="0"/>
                <w:w w:val="100"/>
                <w:sz w:val="21"/>
                <w:szCs w:val="21"/>
              </w:rPr>
            </w:pPr>
            <w:r>
              <w:rPr>
                <w:rFonts w:hint="eastAsia" w:ascii="宋体" w:hAnsi="宋体"/>
                <w:b w:val="0"/>
                <w:i w:val="0"/>
                <w:caps w:val="0"/>
                <w:spacing w:val="0"/>
                <w:w w:val="100"/>
                <w:sz w:val="21"/>
                <w:szCs w:val="21"/>
              </w:rPr>
              <w:t>《</w:t>
            </w:r>
            <w:r>
              <w:rPr>
                <w:rFonts w:hint="eastAsia" w:hAnsi="宋体"/>
                <w:b w:val="0"/>
                <w:i w:val="0"/>
                <w:caps w:val="0"/>
                <w:spacing w:val="0"/>
                <w:w w:val="100"/>
                <w:sz w:val="21"/>
                <w:szCs w:val="21"/>
                <w:lang w:eastAsia="zh-CN"/>
              </w:rPr>
              <w:t>咸阳卓越塑料印务有限公司</w:t>
            </w:r>
            <w:r>
              <w:rPr>
                <w:rFonts w:hint="eastAsia" w:ascii="宋体" w:hAnsi="宋体"/>
                <w:b w:val="0"/>
                <w:i w:val="0"/>
                <w:caps w:val="0"/>
                <w:spacing w:val="0"/>
                <w:w w:val="100"/>
                <w:sz w:val="21"/>
                <w:szCs w:val="21"/>
              </w:rPr>
              <w:t>突发环境事件应急预案》编制单位邀请应急管理专家对该预案进行了函审，专家在详细查看编制方提供的各项资料后就本预案分别提出了修改意见和建议。</w:t>
            </w:r>
          </w:p>
          <w:p>
            <w:pPr>
              <w:snapToGrid/>
              <w:spacing w:before="0" w:beforeAutospacing="0" w:after="0" w:afterAutospacing="0" w:line="460" w:lineRule="exact"/>
              <w:jc w:val="both"/>
              <w:textAlignment w:val="baseline"/>
              <w:rPr>
                <w:rFonts w:hAnsi="宋体"/>
                <w:b w:val="0"/>
                <w:i w:val="0"/>
                <w:caps w:val="0"/>
                <w:spacing w:val="0"/>
                <w:w w:val="100"/>
                <w:sz w:val="21"/>
                <w:szCs w:val="21"/>
              </w:rPr>
            </w:pPr>
            <w:r>
              <w:rPr>
                <w:rFonts w:hint="eastAsia" w:ascii="宋体" w:hAnsi="宋体"/>
                <w:b w:val="0"/>
                <w:i w:val="0"/>
                <w:caps w:val="0"/>
                <w:spacing w:val="0"/>
                <w:w w:val="100"/>
                <w:sz w:val="21"/>
                <w:szCs w:val="21"/>
              </w:rPr>
              <w:t>总体评价：该预案章节结构齐全，格式规范，文字简洁，能认真梳理本单位实际存在的各个环境风险源，针对本单位的实际情况，制定的针对各个环境风险源的应急响应及处理处置措施也比较切实可行，原则同意本突发环境事件应急预案通过评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8956" w:type="dxa"/>
            <w:vAlign w:val="center"/>
          </w:tcPr>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rPr>
              <w:t>修改意见和建议：</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rPr>
              <w:t>1说明风险物质运输途中的责任单位，列明近三年有无环境违法排污和</w:t>
            </w:r>
            <w:r>
              <w:rPr>
                <w:rFonts w:hint="eastAsia" w:eastAsia="宋体" w:cs="Times New Roman"/>
                <w:b w:val="0"/>
                <w:i w:val="0"/>
                <w:caps w:val="0"/>
                <w:spacing w:val="0"/>
                <w:w w:val="100"/>
                <w:sz w:val="21"/>
                <w:szCs w:val="21"/>
                <w:lang w:eastAsia="zh-CN"/>
              </w:rPr>
              <w:t>非法转移医疗废物受处罚</w:t>
            </w:r>
            <w:r>
              <w:rPr>
                <w:rFonts w:hint="eastAsia" w:eastAsia="宋体" w:cs="Times New Roman"/>
                <w:b w:val="0"/>
                <w:i w:val="0"/>
                <w:caps w:val="0"/>
                <w:spacing w:val="0"/>
                <w:w w:val="100"/>
                <w:sz w:val="21"/>
                <w:szCs w:val="21"/>
              </w:rPr>
              <w:t>事件。</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2</w:t>
            </w:r>
            <w:r>
              <w:rPr>
                <w:rFonts w:hint="eastAsia" w:cs="Times New Roman"/>
                <w:b w:val="0"/>
                <w:i w:val="0"/>
                <w:caps w:val="0"/>
                <w:spacing w:val="0"/>
                <w:w w:val="100"/>
                <w:sz w:val="21"/>
                <w:szCs w:val="21"/>
                <w:lang w:eastAsia="zh-CN"/>
              </w:rPr>
              <w:t>企业基本情况列表中补充日常来往人数</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3删除与环境风险物质防范与分析无关内容章节，原辅材料不必照搬环评。</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val="en-US" w:eastAsia="zh-CN"/>
              </w:rPr>
            </w:pPr>
            <w:r>
              <w:rPr>
                <w:rFonts w:hint="eastAsia" w:cs="Times New Roman"/>
                <w:b w:val="0"/>
                <w:i w:val="0"/>
                <w:caps w:val="0"/>
                <w:spacing w:val="0"/>
                <w:w w:val="100"/>
                <w:sz w:val="21"/>
                <w:szCs w:val="21"/>
                <w:lang w:val="en-US" w:eastAsia="zh-CN"/>
              </w:rPr>
              <w:t>4</w:t>
            </w:r>
            <w:r>
              <w:rPr>
                <w:rFonts w:hint="eastAsia" w:eastAsia="宋体" w:cs="Times New Roman"/>
                <w:b w:val="0"/>
                <w:i w:val="0"/>
                <w:caps w:val="0"/>
                <w:spacing w:val="0"/>
                <w:w w:val="100"/>
                <w:sz w:val="21"/>
                <w:szCs w:val="21"/>
              </w:rPr>
              <w:t>增加</w:t>
            </w:r>
            <w:r>
              <w:rPr>
                <w:rFonts w:hint="eastAsia" w:cs="Times New Roman"/>
                <w:b w:val="0"/>
                <w:i w:val="0"/>
                <w:caps w:val="0"/>
                <w:spacing w:val="0"/>
                <w:w w:val="100"/>
                <w:sz w:val="21"/>
                <w:szCs w:val="21"/>
                <w:lang w:eastAsia="zh-CN"/>
              </w:rPr>
              <w:t>同类型企业</w:t>
            </w:r>
            <w:r>
              <w:rPr>
                <w:rFonts w:hint="eastAsia" w:eastAsia="宋体" w:cs="Times New Roman"/>
                <w:b w:val="0"/>
                <w:i w:val="0"/>
                <w:caps w:val="0"/>
                <w:spacing w:val="0"/>
                <w:w w:val="100"/>
                <w:sz w:val="21"/>
                <w:szCs w:val="21"/>
              </w:rPr>
              <w:t>发生突发环境事件的案例。</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val="en-US" w:eastAsia="zh-CN"/>
              </w:rPr>
            </w:pPr>
            <w:r>
              <w:rPr>
                <w:rFonts w:hint="eastAsia" w:cs="Times New Roman"/>
                <w:b w:val="0"/>
                <w:i w:val="0"/>
                <w:caps w:val="0"/>
                <w:spacing w:val="0"/>
                <w:w w:val="100"/>
                <w:sz w:val="21"/>
                <w:szCs w:val="21"/>
                <w:lang w:val="en-US" w:eastAsia="zh-CN"/>
              </w:rPr>
              <w:t>5参照打分表第15项，完善本企业一二级事件分级条件，</w:t>
            </w:r>
            <w:r>
              <w:rPr>
                <w:rFonts w:hint="eastAsia" w:eastAsia="宋体" w:cs="Times New Roman"/>
                <w:b w:val="0"/>
                <w:i w:val="0"/>
                <w:caps w:val="0"/>
                <w:spacing w:val="0"/>
                <w:w w:val="100"/>
                <w:sz w:val="21"/>
                <w:szCs w:val="21"/>
                <w:lang w:val="en-US" w:eastAsia="zh-CN"/>
              </w:rPr>
              <w:t>完善企业内部预警信息发布、接收、调整、解除程序、发布内容及责任人；细化预警、响应各级别转换条件。8、明确紧急状况下的疏散方式、疏散负责人、安全安置点，补充说明受威胁范围、组织公众避险的方式方法，包括疏散、防护等，说明避险措施的原则性安排等。</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cs="Times New Roman"/>
                <w:b w:val="0"/>
                <w:i w:val="0"/>
                <w:caps w:val="0"/>
                <w:spacing w:val="0"/>
                <w:w w:val="100"/>
                <w:sz w:val="21"/>
                <w:szCs w:val="21"/>
                <w:lang w:val="en-US" w:eastAsia="zh-CN"/>
              </w:rPr>
              <w:t>6</w:t>
            </w:r>
            <w:r>
              <w:rPr>
                <w:rFonts w:hint="eastAsia" w:eastAsia="宋体" w:cs="Times New Roman"/>
                <w:b w:val="0"/>
                <w:i w:val="0"/>
                <w:caps w:val="0"/>
                <w:spacing w:val="0"/>
                <w:w w:val="100"/>
                <w:sz w:val="21"/>
                <w:szCs w:val="21"/>
                <w:lang w:val="en-US" w:eastAsia="zh-CN"/>
              </w:rPr>
              <w:t>、补充周边受影响的单位和居民联系方式，明确企业告知周边单位事件信息的负责人、程序、时限、方式及内容等。</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8956" w:type="dxa"/>
            <w:tcBorders>
              <w:bottom w:val="single" w:color="auto" w:sz="8" w:space="0"/>
            </w:tcBorders>
            <w:vAlign w:val="center"/>
          </w:tcPr>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lang w:eastAsia="zh-CN"/>
              </w:rPr>
            </w:pPr>
            <w:r>
              <w:rPr>
                <w:rFonts w:hint="eastAsia" w:eastAsia="宋体" w:cs="Times New Roman"/>
                <w:b w:val="0"/>
                <w:i w:val="0"/>
                <w:caps w:val="0"/>
                <w:spacing w:val="0"/>
                <w:w w:val="100"/>
                <w:sz w:val="21"/>
                <w:szCs w:val="21"/>
              </w:rPr>
              <w:t>评审人员：</w:t>
            </w:r>
            <w:r>
              <w:rPr>
                <w:rFonts w:hint="eastAsia" w:eastAsia="宋体" w:cs="Times New Roman"/>
                <w:b w:val="0"/>
                <w:i w:val="0"/>
                <w:caps w:val="0"/>
                <w:spacing w:val="0"/>
                <w:w w:val="100"/>
                <w:sz w:val="21"/>
                <w:szCs w:val="21"/>
                <w:lang w:eastAsia="zh-CN"/>
              </w:rPr>
              <w:t>邱钢</w:t>
            </w:r>
          </w:p>
          <w:p>
            <w:pPr>
              <w:snapToGrid w:val="0"/>
              <w:spacing w:before="0" w:beforeAutospacing="0" w:after="0" w:afterAutospacing="0" w:line="400" w:lineRule="exact"/>
              <w:jc w:val="both"/>
              <w:textAlignment w:val="baseline"/>
              <w:rPr>
                <w:rFonts w:hint="default" w:eastAsia="宋体" w:cs="Times New Roman"/>
                <w:b w:val="0"/>
                <w:i w:val="0"/>
                <w:caps w:val="0"/>
                <w:spacing w:val="0"/>
                <w:w w:val="100"/>
                <w:sz w:val="21"/>
                <w:szCs w:val="21"/>
                <w:lang w:val="en-US" w:eastAsia="zh-CN"/>
              </w:rPr>
            </w:pPr>
            <w:r>
              <w:rPr>
                <w:rFonts w:hint="eastAsia" w:eastAsia="宋体" w:cs="Times New Roman"/>
                <w:b w:val="0"/>
                <w:i w:val="0"/>
                <w:caps w:val="0"/>
                <w:spacing w:val="0"/>
                <w:w w:val="100"/>
                <w:sz w:val="21"/>
                <w:szCs w:val="21"/>
                <w:lang w:eastAsia="zh-CN"/>
              </w:rPr>
              <w:t>西安市李家河环保管理站</w:t>
            </w:r>
            <w:r>
              <w:rPr>
                <w:rFonts w:hint="eastAsia" w:eastAsia="宋体" w:cs="Times New Roman"/>
                <w:b w:val="0"/>
                <w:i w:val="0"/>
                <w:caps w:val="0"/>
                <w:spacing w:val="0"/>
                <w:w w:val="100"/>
                <w:sz w:val="21"/>
                <w:szCs w:val="21"/>
                <w:lang w:val="en-US" w:eastAsia="zh-CN"/>
              </w:rPr>
              <w:t xml:space="preserve"> 高工 副站长13289329576</w:t>
            </w:r>
          </w:p>
          <w:p>
            <w:pPr>
              <w:snapToGrid w:val="0"/>
              <w:spacing w:before="0" w:beforeAutospacing="0" w:after="0" w:afterAutospacing="0" w:line="400" w:lineRule="exact"/>
              <w:jc w:val="both"/>
              <w:textAlignment w:val="baseline"/>
              <w:rPr>
                <w:rFonts w:hint="eastAsia" w:eastAsia="宋体" w:cs="Times New Roman"/>
                <w:b w:val="0"/>
                <w:i w:val="0"/>
                <w:caps w:val="0"/>
                <w:spacing w:val="0"/>
                <w:w w:val="100"/>
                <w:sz w:val="21"/>
                <w:szCs w:val="21"/>
              </w:rPr>
            </w:pPr>
            <w:r>
              <w:rPr>
                <w:rFonts w:hint="eastAsia" w:eastAsia="宋体" w:cs="Times New Roman"/>
                <w:b w:val="0"/>
                <w:i w:val="0"/>
                <w:caps w:val="0"/>
                <w:spacing w:val="0"/>
                <w:w w:val="100"/>
                <w:sz w:val="21"/>
                <w:szCs w:val="21"/>
                <w:lang w:val="en-US" w:eastAsia="zh-CN"/>
              </w:rPr>
              <w:t>2022</w:t>
            </w:r>
            <w:r>
              <w:rPr>
                <w:rFonts w:hint="eastAsia" w:eastAsia="宋体" w:cs="Times New Roman"/>
                <w:b w:val="0"/>
                <w:i w:val="0"/>
                <w:caps w:val="0"/>
                <w:spacing w:val="0"/>
                <w:w w:val="100"/>
                <w:sz w:val="21"/>
                <w:szCs w:val="21"/>
              </w:rPr>
              <w:t>年</w:t>
            </w:r>
            <w:r>
              <w:rPr>
                <w:rFonts w:hint="eastAsia" w:eastAsia="宋体" w:cs="Times New Roman"/>
                <w:b w:val="0"/>
                <w:i w:val="0"/>
                <w:caps w:val="0"/>
                <w:spacing w:val="0"/>
                <w:w w:val="100"/>
                <w:sz w:val="21"/>
                <w:szCs w:val="21"/>
                <w:lang w:val="en-US" w:eastAsia="zh-CN"/>
              </w:rPr>
              <w:t>5</w:t>
            </w:r>
            <w:r>
              <w:rPr>
                <w:rFonts w:hint="eastAsia" w:eastAsia="宋体" w:cs="Times New Roman"/>
                <w:b w:val="0"/>
                <w:i w:val="0"/>
                <w:caps w:val="0"/>
                <w:spacing w:val="0"/>
                <w:w w:val="100"/>
                <w:sz w:val="21"/>
                <w:szCs w:val="21"/>
              </w:rPr>
              <w:t xml:space="preserve"> 月</w:t>
            </w:r>
            <w:r>
              <w:rPr>
                <w:rFonts w:hint="eastAsia" w:eastAsia="宋体" w:cs="Times New Roman"/>
                <w:b w:val="0"/>
                <w:i w:val="0"/>
                <w:caps w:val="0"/>
                <w:spacing w:val="0"/>
                <w:w w:val="100"/>
                <w:sz w:val="21"/>
                <w:szCs w:val="21"/>
                <w:lang w:val="en-US" w:eastAsia="zh-CN"/>
              </w:rPr>
              <w:t>1</w:t>
            </w:r>
            <w:r>
              <w:rPr>
                <w:rFonts w:hint="eastAsia" w:cs="Times New Roman"/>
                <w:b w:val="0"/>
                <w:i w:val="0"/>
                <w:caps w:val="0"/>
                <w:spacing w:val="0"/>
                <w:w w:val="100"/>
                <w:sz w:val="21"/>
                <w:szCs w:val="21"/>
                <w:lang w:val="en-US" w:eastAsia="zh-CN"/>
              </w:rPr>
              <w:t>5</w:t>
            </w:r>
            <w:bookmarkStart w:id="0" w:name="_GoBack"/>
            <w:bookmarkEnd w:id="0"/>
            <w:r>
              <w:rPr>
                <w:rFonts w:hint="eastAsia" w:eastAsia="宋体" w:cs="Times New Roman"/>
                <w:b w:val="0"/>
                <w:i w:val="0"/>
                <w:caps w:val="0"/>
                <w:spacing w:val="0"/>
                <w:w w:val="100"/>
                <w:sz w:val="21"/>
                <w:szCs w:val="21"/>
              </w:rPr>
              <w:t xml:space="preserve"> 日</w:t>
            </w:r>
          </w:p>
        </w:tc>
      </w:tr>
    </w:tbl>
    <w:p>
      <w:pPr>
        <w:snapToGrid w:val="0"/>
        <w:spacing w:before="156" w:beforeAutospacing="0" w:after="0" w:afterAutospacing="0" w:line="240" w:lineRule="auto"/>
        <w:jc w:val="both"/>
        <w:textAlignment w:val="baseline"/>
        <w:rPr>
          <w:rFonts w:ascii="宋体"/>
          <w:b w:val="0"/>
          <w:i w:val="0"/>
          <w:caps w:val="0"/>
          <w:spacing w:val="0"/>
          <w:w w:val="100"/>
          <w:sz w:val="21"/>
          <w:szCs w:val="21"/>
        </w:rPr>
      </w:pPr>
    </w:p>
    <w:sectPr>
      <w:footerReference r:id="rId3" w:type="default"/>
      <w:pgSz w:w="11850" w:h="16783"/>
      <w:pgMar w:top="1440" w:right="1800" w:bottom="1440" w:left="1800" w:header="851" w:footer="992" w:gutter="0"/>
      <w:cols w:space="425" w:num="1"/>
      <w:docGrid w:type="lines" w:linePitch="312" w:charSpace="0"/>
    </w:sectPr>
  </w:body>
</w:document>
</file>

<file path=treport/opRecord.xml>tbl_1(0,0);
</file>