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ascii="Times New Roman"/>
          <w:color w:val="auto"/>
          <w:sz w:val="20"/>
        </w:rPr>
      </w:pPr>
    </w:p>
    <w:p>
      <w:pPr>
        <w:pStyle w:val="5"/>
        <w:rPr>
          <w:rFonts w:ascii="Times New Roman"/>
          <w:color w:val="auto"/>
          <w:sz w:val="20"/>
        </w:rPr>
      </w:pPr>
    </w:p>
    <w:p>
      <w:pPr>
        <w:pStyle w:val="5"/>
        <w:rPr>
          <w:rFonts w:ascii="Times New Roman"/>
          <w:color w:val="auto"/>
          <w:sz w:val="20"/>
        </w:rPr>
      </w:pPr>
    </w:p>
    <w:p>
      <w:pPr>
        <w:pStyle w:val="5"/>
        <w:rPr>
          <w:rFonts w:ascii="Times New Roman"/>
          <w:color w:val="auto"/>
          <w:sz w:val="20"/>
        </w:rPr>
      </w:pPr>
    </w:p>
    <w:p>
      <w:pPr>
        <w:pStyle w:val="5"/>
        <w:rPr>
          <w:rFonts w:ascii="Times New Roman"/>
          <w:color w:val="auto"/>
          <w:sz w:val="20"/>
        </w:rPr>
      </w:pPr>
    </w:p>
    <w:p>
      <w:pPr>
        <w:pStyle w:val="5"/>
        <w:rPr>
          <w:rFonts w:ascii="Times New Roman"/>
          <w:color w:val="auto"/>
          <w:sz w:val="20"/>
        </w:rPr>
      </w:pPr>
    </w:p>
    <w:p>
      <w:pPr>
        <w:pStyle w:val="5"/>
        <w:rPr>
          <w:rFonts w:ascii="Times New Roman"/>
          <w:color w:val="auto"/>
          <w:sz w:val="20"/>
        </w:rPr>
      </w:pPr>
    </w:p>
    <w:p>
      <w:pPr>
        <w:pStyle w:val="5"/>
        <w:rPr>
          <w:rFonts w:ascii="Times New Roman"/>
          <w:color w:val="auto"/>
          <w:sz w:val="20"/>
        </w:rPr>
      </w:pPr>
    </w:p>
    <w:p>
      <w:pPr>
        <w:pStyle w:val="5"/>
        <w:rPr>
          <w:rFonts w:ascii="Times New Roman"/>
          <w:color w:val="auto"/>
          <w:sz w:val="20"/>
        </w:rPr>
      </w:pPr>
    </w:p>
    <w:p>
      <w:pPr>
        <w:pStyle w:val="5"/>
        <w:rPr>
          <w:rFonts w:ascii="Times New Roman"/>
          <w:color w:val="auto"/>
          <w:sz w:val="20"/>
        </w:rPr>
      </w:pPr>
    </w:p>
    <w:p>
      <w:pPr>
        <w:pStyle w:val="5"/>
        <w:rPr>
          <w:rFonts w:ascii="Times New Roman"/>
          <w:color w:val="auto"/>
          <w:sz w:val="20"/>
        </w:rPr>
      </w:pPr>
    </w:p>
    <w:p>
      <w:pPr>
        <w:pStyle w:val="5"/>
        <w:rPr>
          <w:rFonts w:ascii="Times New Roman"/>
          <w:color w:val="auto"/>
          <w:sz w:val="20"/>
        </w:rPr>
      </w:pPr>
    </w:p>
    <w:p>
      <w:pPr>
        <w:spacing w:before="181" w:line="364" w:lineRule="auto"/>
        <w:ind w:left="1960" w:right="961" w:hanging="1548"/>
        <w:jc w:val="center"/>
        <w:outlineLvl w:val="0"/>
        <w:rPr>
          <w:rFonts w:hint="eastAsia"/>
          <w:b/>
          <w:color w:val="auto"/>
          <w:sz w:val="44"/>
          <w:lang w:val="en-US" w:eastAsia="zh-CN"/>
        </w:rPr>
      </w:pPr>
      <w:bookmarkStart w:id="0" w:name="_Toc17695"/>
      <w:bookmarkStart w:id="1" w:name="_Toc21312"/>
      <w:bookmarkStart w:id="2" w:name="_Toc7892"/>
      <w:bookmarkStart w:id="3" w:name="_Toc7930"/>
      <w:r>
        <w:rPr>
          <w:rFonts w:hint="eastAsia"/>
          <w:b/>
          <w:color w:val="auto"/>
          <w:sz w:val="44"/>
          <w:lang w:val="en-US" w:eastAsia="zh-CN"/>
        </w:rPr>
        <w:t>咸阳市中心医院东郊分院</w:t>
      </w:r>
      <w:bookmarkEnd w:id="0"/>
      <w:bookmarkEnd w:id="1"/>
      <w:bookmarkEnd w:id="2"/>
      <w:bookmarkEnd w:id="3"/>
    </w:p>
    <w:p>
      <w:pPr>
        <w:spacing w:before="181" w:line="364" w:lineRule="auto"/>
        <w:ind w:left="1960" w:right="961" w:hanging="1548"/>
        <w:jc w:val="center"/>
        <w:outlineLvl w:val="0"/>
        <w:rPr>
          <w:b/>
          <w:color w:val="auto"/>
          <w:sz w:val="44"/>
        </w:rPr>
      </w:pPr>
      <w:bookmarkStart w:id="4" w:name="_Toc9397"/>
      <w:bookmarkStart w:id="5" w:name="_Toc22914"/>
      <w:bookmarkStart w:id="6" w:name="_Toc28941"/>
      <w:bookmarkStart w:id="7" w:name="_Toc16915"/>
      <w:r>
        <w:rPr>
          <w:b/>
          <w:color w:val="auto"/>
          <w:sz w:val="44"/>
        </w:rPr>
        <w:t>突发环境事件风险评估报告</w:t>
      </w:r>
      <w:bookmarkEnd w:id="4"/>
      <w:bookmarkEnd w:id="5"/>
      <w:bookmarkEnd w:id="6"/>
      <w:bookmarkEnd w:id="7"/>
    </w:p>
    <w:p>
      <w:pPr>
        <w:pStyle w:val="5"/>
        <w:rPr>
          <w:b/>
          <w:color w:val="auto"/>
          <w:sz w:val="44"/>
        </w:rPr>
      </w:pPr>
    </w:p>
    <w:p>
      <w:pPr>
        <w:pStyle w:val="5"/>
        <w:rPr>
          <w:b/>
          <w:color w:val="auto"/>
          <w:sz w:val="44"/>
        </w:rPr>
      </w:pPr>
    </w:p>
    <w:p>
      <w:pPr>
        <w:pStyle w:val="5"/>
        <w:rPr>
          <w:b/>
          <w:color w:val="auto"/>
          <w:sz w:val="44"/>
        </w:rPr>
      </w:pPr>
    </w:p>
    <w:p>
      <w:pPr>
        <w:pStyle w:val="5"/>
        <w:rPr>
          <w:b/>
          <w:color w:val="auto"/>
          <w:sz w:val="44"/>
        </w:rPr>
      </w:pPr>
    </w:p>
    <w:p>
      <w:pPr>
        <w:pStyle w:val="5"/>
        <w:rPr>
          <w:b/>
          <w:color w:val="auto"/>
          <w:sz w:val="44"/>
        </w:rPr>
      </w:pPr>
    </w:p>
    <w:p>
      <w:pPr>
        <w:pStyle w:val="5"/>
        <w:rPr>
          <w:b/>
          <w:color w:val="auto"/>
          <w:sz w:val="44"/>
        </w:rPr>
      </w:pPr>
    </w:p>
    <w:p>
      <w:pPr>
        <w:pStyle w:val="5"/>
        <w:rPr>
          <w:b/>
          <w:color w:val="auto"/>
          <w:sz w:val="44"/>
        </w:rPr>
      </w:pPr>
    </w:p>
    <w:p>
      <w:pPr>
        <w:pStyle w:val="5"/>
        <w:rPr>
          <w:b/>
          <w:color w:val="auto"/>
          <w:sz w:val="44"/>
        </w:rPr>
      </w:pPr>
    </w:p>
    <w:p>
      <w:pPr>
        <w:pStyle w:val="5"/>
        <w:rPr>
          <w:b/>
          <w:color w:val="auto"/>
          <w:sz w:val="44"/>
        </w:rPr>
      </w:pPr>
    </w:p>
    <w:p>
      <w:pPr>
        <w:pStyle w:val="5"/>
        <w:rPr>
          <w:b/>
          <w:color w:val="auto"/>
          <w:sz w:val="44"/>
        </w:rPr>
      </w:pPr>
    </w:p>
    <w:p>
      <w:pPr>
        <w:pStyle w:val="5"/>
        <w:spacing w:before="10"/>
        <w:rPr>
          <w:b/>
          <w:color w:val="auto"/>
          <w:sz w:val="46"/>
        </w:rPr>
      </w:pPr>
    </w:p>
    <w:p>
      <w:pPr>
        <w:pStyle w:val="3"/>
        <w:spacing w:before="0"/>
        <w:ind w:left="519" w:right="428" w:firstLine="0"/>
        <w:jc w:val="center"/>
        <w:outlineLvl w:val="0"/>
        <w:rPr>
          <w:rFonts w:hint="eastAsia" w:ascii="仿宋" w:eastAsia="仿宋"/>
          <w:color w:val="auto"/>
        </w:rPr>
      </w:pPr>
      <w:bookmarkStart w:id="8" w:name="_Toc13877"/>
      <w:bookmarkStart w:id="9" w:name="_Toc16659"/>
      <w:bookmarkStart w:id="10" w:name="_Toc28534"/>
      <w:bookmarkStart w:id="11" w:name="_Toc20945"/>
      <w:r>
        <w:rPr>
          <w:rFonts w:hint="eastAsia" w:ascii="仿宋" w:eastAsia="仿宋"/>
          <w:color w:val="auto"/>
          <w:lang w:val="en-US" w:eastAsia="zh-CN"/>
        </w:rPr>
        <w:t>咸阳市中心医院</w:t>
      </w:r>
      <w:bookmarkEnd w:id="8"/>
      <w:bookmarkEnd w:id="9"/>
      <w:bookmarkEnd w:id="10"/>
      <w:bookmarkEnd w:id="11"/>
    </w:p>
    <w:p>
      <w:pPr>
        <w:spacing w:before="212"/>
        <w:ind w:left="478" w:right="428" w:firstLine="0"/>
        <w:jc w:val="center"/>
        <w:rPr>
          <w:b/>
          <w:color w:val="auto"/>
          <w:sz w:val="30"/>
        </w:rPr>
      </w:pPr>
      <w:r>
        <w:rPr>
          <w:rFonts w:ascii="Times New Roman" w:eastAsia="Times New Roman"/>
          <w:b/>
          <w:color w:val="auto"/>
          <w:sz w:val="30"/>
        </w:rPr>
        <w:t xml:space="preserve">2022 </w:t>
      </w:r>
      <w:r>
        <w:rPr>
          <w:b/>
          <w:color w:val="auto"/>
          <w:sz w:val="30"/>
        </w:rPr>
        <w:t xml:space="preserve">年 </w:t>
      </w:r>
      <w:r>
        <w:rPr>
          <w:rFonts w:hint="eastAsia" w:ascii="Times New Roman" w:eastAsia="宋体"/>
          <w:b/>
          <w:color w:val="auto"/>
          <w:sz w:val="30"/>
          <w:lang w:val="en-US" w:eastAsia="zh-CN"/>
        </w:rPr>
        <w:t>10</w:t>
      </w:r>
      <w:r>
        <w:rPr>
          <w:rFonts w:ascii="Times New Roman" w:eastAsia="Times New Roman"/>
          <w:b/>
          <w:color w:val="auto"/>
          <w:sz w:val="30"/>
        </w:rPr>
        <w:t xml:space="preserve"> </w:t>
      </w:r>
      <w:r>
        <w:rPr>
          <w:b/>
          <w:color w:val="auto"/>
          <w:sz w:val="30"/>
        </w:rPr>
        <w:t>月</w:t>
      </w:r>
    </w:p>
    <w:p>
      <w:pPr>
        <w:spacing w:after="0"/>
        <w:jc w:val="center"/>
        <w:rPr>
          <w:color w:val="auto"/>
          <w:sz w:val="30"/>
        </w:rPr>
        <w:sectPr>
          <w:type w:val="continuous"/>
          <w:pgSz w:w="11910" w:h="16840"/>
          <w:pgMar w:top="1440" w:right="1803" w:bottom="1440" w:left="1803" w:header="720" w:footer="720" w:gutter="0"/>
          <w:pgBorders>
            <w:top w:val="none" w:sz="0" w:space="0"/>
            <w:left w:val="none" w:sz="0" w:space="0"/>
            <w:bottom w:val="none" w:sz="0" w:space="0"/>
            <w:right w:val="none" w:sz="0" w:space="0"/>
          </w:pgBorders>
          <w:cols w:space="720" w:num="1"/>
        </w:sectPr>
      </w:pPr>
    </w:p>
    <w:p>
      <w:pPr>
        <w:pStyle w:val="5"/>
        <w:spacing w:before="7"/>
        <w:rPr>
          <w:b/>
          <w:color w:val="auto"/>
          <w:sz w:val="10"/>
        </w:rPr>
        <w:sectPr>
          <w:headerReference r:id="rId5" w:type="default"/>
          <w:footerReference r:id="rId6" w:type="default"/>
          <w:pgSz w:w="11910" w:h="16840"/>
          <w:pgMar w:top="1440" w:right="1803" w:bottom="1440" w:left="1803" w:header="878" w:footer="846" w:gutter="0"/>
          <w:pgBorders>
            <w:top w:val="none" w:sz="0" w:space="0"/>
            <w:left w:val="none" w:sz="0" w:space="0"/>
            <w:bottom w:val="none" w:sz="0" w:space="0"/>
            <w:right w:val="none" w:sz="0" w:space="0"/>
          </w:pgBorders>
          <w:pgNumType w:start="1"/>
          <w:cols w:space="720" w:num="1"/>
        </w:sectPr>
      </w:pPr>
    </w:p>
    <w:p>
      <w:pPr>
        <w:pStyle w:val="5"/>
        <w:spacing w:before="7"/>
        <w:rPr>
          <w:b/>
          <w:color w:val="auto"/>
          <w:sz w:val="10"/>
        </w:rPr>
      </w:pPr>
    </w:p>
    <w:p>
      <w:pPr>
        <w:pStyle w:val="2"/>
        <w:tabs>
          <w:tab w:val="left" w:pos="839"/>
        </w:tabs>
        <w:spacing w:before="61"/>
        <w:ind w:left="0" w:right="428" w:firstLine="0"/>
        <w:jc w:val="center"/>
        <w:outlineLvl w:val="0"/>
        <w:rPr>
          <w:color w:val="auto"/>
        </w:rPr>
      </w:pPr>
      <w:bookmarkStart w:id="12" w:name="_Toc18169"/>
      <w:bookmarkStart w:id="13" w:name="_Toc24319"/>
      <w:bookmarkStart w:id="14" w:name="_Toc957"/>
      <w:bookmarkStart w:id="15" w:name="_Toc26517"/>
      <w:r>
        <w:rPr>
          <w:color w:val="auto"/>
        </w:rPr>
        <w:t>目</w:t>
      </w:r>
      <w:r>
        <w:rPr>
          <w:color w:val="auto"/>
        </w:rPr>
        <w:tab/>
      </w:r>
      <w:r>
        <w:rPr>
          <w:color w:val="auto"/>
        </w:rPr>
        <w:t>录</w:t>
      </w:r>
      <w:bookmarkEnd w:id="12"/>
      <w:bookmarkEnd w:id="13"/>
      <w:bookmarkEnd w:id="14"/>
      <w:bookmarkEnd w:id="15"/>
    </w:p>
    <w:sdt>
      <w:sdtPr>
        <w:rPr>
          <w:rFonts w:ascii="宋体" w:hAnsi="宋体" w:eastAsia="宋体" w:cs="仿宋"/>
          <w:color w:val="auto"/>
          <w:sz w:val="21"/>
          <w:szCs w:val="22"/>
          <w:lang w:val="zh-CN" w:eastAsia="zh-CN" w:bidi="zh-CN"/>
        </w:rPr>
        <w:id w:val="147483492"/>
        <w15:color w:val="DBDBDB"/>
        <w:docPartObj>
          <w:docPartGallery w:val="Table of Contents"/>
          <w:docPartUnique/>
        </w:docPartObj>
      </w:sdtPr>
      <w:sdtEndPr>
        <w:rPr>
          <w:rFonts w:ascii="宋体" w:hAnsi="宋体" w:eastAsia="宋体" w:cs="仿宋"/>
          <w:color w:val="auto"/>
          <w:sz w:val="21"/>
          <w:szCs w:val="22"/>
          <w:lang w:val="zh-CN" w:eastAsia="zh-CN" w:bidi="zh-CN"/>
        </w:rPr>
      </w:sdtEndPr>
      <w:sdtContent>
        <w:p>
          <w:pPr>
            <w:spacing w:before="0" w:beforeLines="0" w:after="0" w:afterLines="0" w:line="240" w:lineRule="auto"/>
            <w:ind w:left="0" w:leftChars="0" w:right="0" w:rightChars="0" w:firstLine="0" w:firstLineChars="0"/>
            <w:jc w:val="center"/>
            <w:rPr>
              <w:color w:val="auto"/>
            </w:rPr>
          </w:pPr>
          <w:bookmarkStart w:id="16" w:name="1 前  言"/>
          <w:bookmarkEnd w:id="16"/>
          <w:r>
            <w:rPr>
              <w:color w:val="auto"/>
            </w:rPr>
            <w:fldChar w:fldCharType="begin"/>
          </w:r>
          <w:r>
            <w:rPr>
              <w:color w:val="auto"/>
            </w:rPr>
            <w:instrText xml:space="preserve">TOC \o "1-1" \h \u </w:instrText>
          </w:r>
          <w:r>
            <w:rPr>
              <w:color w:val="auto"/>
            </w:rPr>
            <w:fldChar w:fldCharType="separate"/>
          </w:r>
        </w:p>
        <w:p>
          <w:pPr>
            <w:pStyle w:val="23"/>
            <w:tabs>
              <w:tab w:val="right" w:leader="dot" w:pos="8304"/>
            </w:tabs>
            <w:spacing w:line="360" w:lineRule="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_Toc11189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w w:val="99"/>
              <w:sz w:val="28"/>
              <w:szCs w:val="28"/>
              <w:lang w:val="zh-CN" w:eastAsia="zh-CN" w:bidi="zh-CN"/>
            </w:rPr>
            <w:t xml:space="preserve">1 </w:t>
          </w:r>
          <w:r>
            <w:rPr>
              <w:rFonts w:hint="default" w:ascii="Times New Roman" w:hAnsi="Times New Roman" w:eastAsia="宋体" w:cs="Times New Roman"/>
              <w:color w:val="auto"/>
              <w:sz w:val="28"/>
              <w:szCs w:val="28"/>
            </w:rPr>
            <w:t>前言</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_Toc11189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1</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tabs>
              <w:tab w:val="right" w:leader="dot" w:pos="8304"/>
            </w:tabs>
            <w:spacing w:line="360" w:lineRule="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_Toc5896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w w:val="99"/>
              <w:sz w:val="28"/>
              <w:szCs w:val="28"/>
              <w:lang w:val="zh-CN" w:eastAsia="zh-CN" w:bidi="zh-CN"/>
            </w:rPr>
            <w:t xml:space="preserve">2 </w:t>
          </w:r>
          <w:r>
            <w:rPr>
              <w:rFonts w:hint="default" w:ascii="Times New Roman" w:hAnsi="Times New Roman" w:eastAsia="宋体" w:cs="Times New Roman"/>
              <w:color w:val="auto"/>
              <w:sz w:val="28"/>
              <w:szCs w:val="28"/>
            </w:rPr>
            <w:t>总则</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_Toc5896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_Toc5645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spacing w:val="-1"/>
              <w:w w:val="99"/>
              <w:sz w:val="28"/>
              <w:szCs w:val="28"/>
              <w:lang w:val="zh-CN" w:eastAsia="zh-CN" w:bidi="zh-CN"/>
            </w:rPr>
            <w:t xml:space="preserve">2.1 </w:t>
          </w:r>
          <w:r>
            <w:rPr>
              <w:rFonts w:hint="default" w:ascii="Times New Roman" w:hAnsi="Times New Roman" w:eastAsia="宋体" w:cs="Times New Roman"/>
              <w:color w:val="auto"/>
              <w:sz w:val="28"/>
              <w:szCs w:val="28"/>
            </w:rPr>
            <w:t>编制原则</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_Toc5645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_Toc22000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spacing w:val="-1"/>
              <w:w w:val="99"/>
              <w:sz w:val="28"/>
              <w:szCs w:val="28"/>
              <w:lang w:val="zh-CN" w:eastAsia="zh-CN" w:bidi="zh-CN"/>
            </w:rPr>
            <w:t xml:space="preserve">2.2 </w:t>
          </w:r>
          <w:r>
            <w:rPr>
              <w:rFonts w:hint="default" w:ascii="Times New Roman" w:hAnsi="Times New Roman" w:eastAsia="宋体" w:cs="Times New Roman"/>
              <w:color w:val="auto"/>
              <w:sz w:val="28"/>
              <w:szCs w:val="28"/>
            </w:rPr>
            <w:t>编制依据</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_Toc22000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_Toc8096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spacing w:val="-1"/>
              <w:w w:val="99"/>
              <w:sz w:val="28"/>
              <w:szCs w:val="28"/>
              <w:lang w:val="zh-CN" w:eastAsia="zh-CN" w:bidi="zh-CN"/>
            </w:rPr>
            <w:t xml:space="preserve">2.3 </w:t>
          </w:r>
          <w:r>
            <w:rPr>
              <w:rFonts w:hint="default" w:ascii="Times New Roman" w:hAnsi="Times New Roman" w:eastAsia="宋体" w:cs="Times New Roman"/>
              <w:color w:val="auto"/>
              <w:w w:val="95"/>
              <w:sz w:val="28"/>
              <w:szCs w:val="28"/>
            </w:rPr>
            <w:t>企业突发环境事件风险评估程序</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_Toc8096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5</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tabs>
              <w:tab w:val="right" w:leader="dot" w:pos="8304"/>
            </w:tabs>
            <w:spacing w:line="360" w:lineRule="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_Toc9716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w w:val="99"/>
              <w:sz w:val="28"/>
              <w:szCs w:val="28"/>
              <w:lang w:val="zh-CN" w:eastAsia="zh-CN" w:bidi="zh-CN"/>
            </w:rPr>
            <w:t xml:space="preserve">3 </w:t>
          </w:r>
          <w:r>
            <w:rPr>
              <w:rFonts w:hint="default" w:ascii="Times New Roman" w:hAnsi="Times New Roman" w:eastAsia="宋体" w:cs="Times New Roman"/>
              <w:color w:val="auto"/>
              <w:sz w:val="28"/>
              <w:szCs w:val="28"/>
            </w:rPr>
            <w:t>资料准备与环境风险识别</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_Toc9716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6</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_Toc10875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3.1 </w:t>
          </w:r>
          <w:r>
            <w:rPr>
              <w:rFonts w:hint="default" w:ascii="Times New Roman" w:hAnsi="Times New Roman" w:eastAsia="宋体" w:cs="Times New Roman"/>
              <w:color w:val="auto"/>
              <w:sz w:val="28"/>
              <w:szCs w:val="28"/>
            </w:rPr>
            <w:t>企业基本信息</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_Toc10875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6</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_Toc20816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3.2 </w:t>
          </w:r>
          <w:r>
            <w:rPr>
              <w:rFonts w:hint="default" w:ascii="Times New Roman" w:hAnsi="Times New Roman" w:eastAsia="宋体" w:cs="Times New Roman"/>
              <w:color w:val="auto"/>
              <w:sz w:val="28"/>
              <w:szCs w:val="28"/>
            </w:rPr>
            <w:t>企业周边环境风险受体情况</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_Toc20816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10</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_Toc3780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3.3 </w:t>
          </w:r>
          <w:r>
            <w:rPr>
              <w:rFonts w:hint="default" w:ascii="Times New Roman" w:hAnsi="Times New Roman" w:eastAsia="宋体" w:cs="Times New Roman"/>
              <w:color w:val="auto"/>
              <w:sz w:val="28"/>
              <w:szCs w:val="28"/>
            </w:rPr>
            <w:t>涉及环境风险物质情况</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_Toc3780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12</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_Toc4867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3.4 </w:t>
          </w:r>
          <w:r>
            <w:rPr>
              <w:rFonts w:hint="default" w:ascii="Times New Roman" w:hAnsi="Times New Roman" w:eastAsia="宋体" w:cs="Times New Roman"/>
              <w:color w:val="auto"/>
              <w:sz w:val="28"/>
              <w:szCs w:val="28"/>
            </w:rPr>
            <w:t>企业工艺流程及设备</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_Toc4867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14</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_Toc6437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3.5 </w:t>
          </w:r>
          <w:r>
            <w:rPr>
              <w:rFonts w:hint="default" w:ascii="Times New Roman" w:hAnsi="Times New Roman" w:eastAsia="宋体" w:cs="Times New Roman"/>
              <w:color w:val="auto"/>
              <w:sz w:val="28"/>
              <w:szCs w:val="28"/>
            </w:rPr>
            <w:t>现有环境风险防控与应急措施</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_Toc6437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18</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_Toc13324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3.6 </w:t>
          </w:r>
          <w:r>
            <w:rPr>
              <w:rFonts w:hint="default" w:ascii="Times New Roman" w:hAnsi="Times New Roman" w:eastAsia="宋体" w:cs="Times New Roman"/>
              <w:color w:val="auto"/>
              <w:sz w:val="28"/>
              <w:szCs w:val="28"/>
            </w:rPr>
            <w:t>现有应急物资与装备、救援队伍情况</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_Toc13324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20</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tabs>
              <w:tab w:val="right" w:leader="dot" w:pos="8304"/>
            </w:tabs>
            <w:spacing w:line="360" w:lineRule="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_Toc27040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w w:val="99"/>
              <w:sz w:val="28"/>
              <w:szCs w:val="28"/>
              <w:lang w:val="zh-CN" w:eastAsia="zh-CN" w:bidi="zh-CN"/>
            </w:rPr>
            <w:t xml:space="preserve">4 </w:t>
          </w:r>
          <w:r>
            <w:rPr>
              <w:rFonts w:hint="default" w:ascii="Times New Roman" w:hAnsi="Times New Roman" w:eastAsia="宋体" w:cs="Times New Roman"/>
              <w:color w:val="auto"/>
              <w:sz w:val="28"/>
              <w:szCs w:val="28"/>
            </w:rPr>
            <w:t>突发环境事件及其后果分析</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_Toc27040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22</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_Toc19328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4.1 </w:t>
          </w:r>
          <w:r>
            <w:rPr>
              <w:rFonts w:hint="default" w:ascii="Times New Roman" w:hAnsi="Times New Roman" w:eastAsia="宋体" w:cs="Times New Roman"/>
              <w:color w:val="auto"/>
              <w:sz w:val="28"/>
              <w:szCs w:val="28"/>
            </w:rPr>
            <w:t>突发环境事件情景分析</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_Toc19328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23</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_Toc7609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4.2 </w:t>
          </w:r>
          <w:r>
            <w:rPr>
              <w:rFonts w:hint="default" w:ascii="Times New Roman" w:hAnsi="Times New Roman" w:eastAsia="宋体" w:cs="Times New Roman"/>
              <w:color w:val="auto"/>
              <w:sz w:val="28"/>
              <w:szCs w:val="28"/>
            </w:rPr>
            <w:t>最大可信事故</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_Toc7609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24</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_Toc108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4.3 </w:t>
          </w:r>
          <w:r>
            <w:rPr>
              <w:rFonts w:hint="default" w:ascii="Times New Roman" w:hAnsi="Times New Roman" w:eastAsia="宋体" w:cs="Times New Roman"/>
              <w:color w:val="auto"/>
              <w:sz w:val="28"/>
              <w:szCs w:val="28"/>
            </w:rPr>
            <w:t>释放环境风险物质的扩散途径、涉及环境风险防控</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_Toc108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24</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_Toc18794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4.4 </w:t>
          </w:r>
          <w:r>
            <w:rPr>
              <w:rFonts w:hint="default" w:ascii="Times New Roman" w:hAnsi="Times New Roman" w:eastAsia="宋体" w:cs="Times New Roman"/>
              <w:color w:val="auto"/>
              <w:sz w:val="28"/>
              <w:szCs w:val="28"/>
            </w:rPr>
            <w:t>具体应急措施</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_Toc18794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26</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_Toc7226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4.5 </w:t>
          </w:r>
          <w:r>
            <w:rPr>
              <w:rFonts w:hint="default" w:ascii="Times New Roman" w:hAnsi="Times New Roman" w:eastAsia="宋体" w:cs="Times New Roman"/>
              <w:color w:val="auto"/>
              <w:sz w:val="28"/>
              <w:szCs w:val="28"/>
            </w:rPr>
            <w:t>突发环境事件危害后果分析</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_Toc7226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28</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tabs>
              <w:tab w:val="right" w:leader="dot" w:pos="8304"/>
            </w:tabs>
            <w:spacing w:line="360" w:lineRule="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_Toc26808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w w:val="99"/>
              <w:sz w:val="28"/>
              <w:szCs w:val="28"/>
              <w:lang w:val="zh-CN" w:eastAsia="zh-CN" w:bidi="zh-CN"/>
            </w:rPr>
            <w:t xml:space="preserve">5 </w:t>
          </w:r>
          <w:r>
            <w:rPr>
              <w:rFonts w:hint="default" w:ascii="Times New Roman" w:hAnsi="Times New Roman" w:eastAsia="宋体" w:cs="Times New Roman"/>
              <w:color w:val="auto"/>
              <w:sz w:val="28"/>
              <w:szCs w:val="28"/>
            </w:rPr>
            <w:t>现有环境风险防控和应急措施差距分析</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_Toc26808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29</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_Toc15457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5.1 </w:t>
          </w:r>
          <w:r>
            <w:rPr>
              <w:rFonts w:hint="default" w:ascii="Times New Roman" w:hAnsi="Times New Roman" w:eastAsia="宋体" w:cs="Times New Roman"/>
              <w:color w:val="auto"/>
              <w:sz w:val="28"/>
              <w:szCs w:val="28"/>
            </w:rPr>
            <w:t>环境风险管理制度</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_Toc15457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29</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_Toc362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5.2 </w:t>
          </w:r>
          <w:r>
            <w:rPr>
              <w:rFonts w:hint="default" w:ascii="Times New Roman" w:hAnsi="Times New Roman" w:eastAsia="宋体" w:cs="Times New Roman"/>
              <w:color w:val="auto"/>
              <w:sz w:val="28"/>
              <w:szCs w:val="28"/>
            </w:rPr>
            <w:t>环境风险防控与应急措施</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_Toc362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29</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_Toc28660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5.3 </w:t>
          </w:r>
          <w:r>
            <w:rPr>
              <w:rFonts w:hint="default" w:ascii="Times New Roman" w:hAnsi="Times New Roman" w:eastAsia="宋体" w:cs="Times New Roman"/>
              <w:color w:val="auto"/>
              <w:sz w:val="28"/>
              <w:szCs w:val="28"/>
            </w:rPr>
            <w:t>环境应急资源</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_Toc28660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30</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_Toc12886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5.4 </w:t>
          </w:r>
          <w:r>
            <w:rPr>
              <w:rFonts w:hint="default" w:ascii="Times New Roman" w:hAnsi="Times New Roman" w:eastAsia="宋体" w:cs="Times New Roman"/>
              <w:color w:val="auto"/>
              <w:sz w:val="28"/>
              <w:szCs w:val="28"/>
            </w:rPr>
            <w:t>历史经验教训总结</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_Toc12886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30</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_Toc11359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5.5 </w:t>
          </w:r>
          <w:r>
            <w:rPr>
              <w:rFonts w:hint="default" w:ascii="Times New Roman" w:hAnsi="Times New Roman" w:eastAsia="宋体" w:cs="Times New Roman"/>
              <w:color w:val="auto"/>
              <w:sz w:val="28"/>
              <w:szCs w:val="28"/>
            </w:rPr>
            <w:t>需要整改的短期、中期和长期项目内容</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_Toc11359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30</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tabs>
              <w:tab w:val="right" w:leader="dot" w:pos="8304"/>
            </w:tabs>
            <w:spacing w:line="360" w:lineRule="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_Toc31021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w w:val="99"/>
              <w:sz w:val="28"/>
              <w:szCs w:val="28"/>
              <w:lang w:val="zh-CN" w:eastAsia="zh-CN" w:bidi="zh-CN"/>
            </w:rPr>
            <w:t xml:space="preserve">6 </w:t>
          </w:r>
          <w:r>
            <w:rPr>
              <w:rFonts w:hint="default" w:ascii="Times New Roman" w:hAnsi="Times New Roman" w:eastAsia="宋体" w:cs="Times New Roman"/>
              <w:color w:val="auto"/>
              <w:sz w:val="28"/>
              <w:szCs w:val="28"/>
            </w:rPr>
            <w:t>完善环境风险防控和应急措施的实施计划</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_Toc31021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31</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tabs>
              <w:tab w:val="right" w:leader="dot" w:pos="8304"/>
            </w:tabs>
            <w:spacing w:line="360" w:lineRule="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_Toc9909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w w:val="99"/>
              <w:sz w:val="28"/>
              <w:szCs w:val="28"/>
              <w:lang w:val="zh-CN" w:eastAsia="zh-CN" w:bidi="zh-CN"/>
            </w:rPr>
            <w:t xml:space="preserve">7 </w:t>
          </w:r>
          <w:r>
            <w:rPr>
              <w:rFonts w:hint="default" w:ascii="Times New Roman" w:hAnsi="Times New Roman" w:eastAsia="宋体" w:cs="Times New Roman"/>
              <w:color w:val="auto"/>
              <w:sz w:val="28"/>
              <w:szCs w:val="28"/>
            </w:rPr>
            <w:t>企业突发环境事件风险等级</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_Toc9909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32</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_Toc21554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7.1 </w:t>
          </w:r>
          <w:r>
            <w:rPr>
              <w:rFonts w:hint="default" w:ascii="Times New Roman" w:hAnsi="Times New Roman" w:eastAsia="宋体" w:cs="Times New Roman"/>
              <w:color w:val="auto"/>
              <w:sz w:val="28"/>
              <w:szCs w:val="28"/>
            </w:rPr>
            <w:t>企业突发环境事件风险等级划分方法</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_Toc21554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32</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_Toc5037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7.2 </w:t>
          </w:r>
          <w:r>
            <w:rPr>
              <w:rFonts w:hint="default" w:ascii="Times New Roman" w:hAnsi="Times New Roman" w:eastAsia="宋体" w:cs="Times New Roman"/>
              <w:color w:val="auto"/>
              <w:sz w:val="28"/>
              <w:szCs w:val="28"/>
            </w:rPr>
            <w:t>风险物质识别</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_Toc5037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32</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_Toc32470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7.3 </w:t>
          </w:r>
          <w:r>
            <w:rPr>
              <w:rFonts w:hint="default" w:ascii="Times New Roman" w:hAnsi="Times New Roman" w:eastAsia="宋体" w:cs="Times New Roman"/>
              <w:color w:val="auto"/>
              <w:sz w:val="28"/>
              <w:szCs w:val="28"/>
            </w:rPr>
            <w:t>突发大气环境事件风险分级</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_Toc32470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33</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_Toc31802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7.4 </w:t>
          </w:r>
          <w:r>
            <w:rPr>
              <w:rFonts w:hint="default" w:ascii="Times New Roman" w:hAnsi="Times New Roman" w:eastAsia="宋体" w:cs="Times New Roman"/>
              <w:color w:val="auto"/>
              <w:sz w:val="28"/>
              <w:szCs w:val="28"/>
            </w:rPr>
            <w:t>突发水环境事件风险分级</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_Toc31802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34</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_Toc21603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7.5 </w:t>
          </w:r>
          <w:r>
            <w:rPr>
              <w:rFonts w:hint="default" w:ascii="Times New Roman" w:hAnsi="Times New Roman" w:eastAsia="宋体" w:cs="Times New Roman"/>
              <w:color w:val="auto"/>
              <w:sz w:val="28"/>
              <w:szCs w:val="28"/>
            </w:rPr>
            <w:t>企业突发环境事件风险等级确定</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_Toc21603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35</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_Toc29724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7.6 </w:t>
          </w:r>
          <w:r>
            <w:rPr>
              <w:rFonts w:hint="default" w:ascii="Times New Roman" w:hAnsi="Times New Roman" w:eastAsia="宋体" w:cs="Times New Roman"/>
              <w:color w:val="auto"/>
              <w:sz w:val="28"/>
              <w:szCs w:val="28"/>
            </w:rPr>
            <w:t>风险等级调整</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_Toc29724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35</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keepNext w:val="0"/>
            <w:keepLines w:val="0"/>
            <w:pageBreakBefore w:val="0"/>
            <w:widowControl/>
            <w:tabs>
              <w:tab w:val="right" w:leader="dot" w:pos="8304"/>
            </w:tabs>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_Toc4297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lang w:val="zh-CN" w:eastAsia="zh-CN"/>
            </w:rPr>
            <w:t xml:space="preserve">7.7 </w:t>
          </w:r>
          <w:r>
            <w:rPr>
              <w:rFonts w:hint="default" w:ascii="Times New Roman" w:hAnsi="Times New Roman" w:eastAsia="宋体" w:cs="Times New Roman"/>
              <w:color w:val="auto"/>
              <w:sz w:val="28"/>
              <w:szCs w:val="28"/>
            </w:rPr>
            <w:t>风险等级表征</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_Toc4297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35</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pStyle w:val="23"/>
            <w:tabs>
              <w:tab w:val="right" w:leader="dot" w:pos="8304"/>
            </w:tabs>
            <w:spacing w:line="360" w:lineRule="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HYPERLINK \l _Toc10728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bCs/>
              <w:color w:val="auto"/>
              <w:w w:val="99"/>
              <w:sz w:val="28"/>
              <w:szCs w:val="28"/>
              <w:lang w:val="zh-CN" w:eastAsia="zh-CN" w:bidi="zh-CN"/>
            </w:rPr>
            <w:t xml:space="preserve">8 </w:t>
          </w:r>
          <w:r>
            <w:rPr>
              <w:rFonts w:hint="default" w:ascii="Times New Roman" w:hAnsi="Times New Roman" w:eastAsia="宋体" w:cs="Times New Roman"/>
              <w:color w:val="auto"/>
              <w:sz w:val="28"/>
              <w:szCs w:val="28"/>
            </w:rPr>
            <w:t>修订说明</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fldChar w:fldCharType="begin"/>
          </w:r>
          <w:r>
            <w:rPr>
              <w:rFonts w:hint="default" w:ascii="Times New Roman" w:hAnsi="Times New Roman" w:eastAsia="宋体" w:cs="Times New Roman"/>
              <w:color w:val="auto"/>
              <w:sz w:val="28"/>
              <w:szCs w:val="28"/>
            </w:rPr>
            <w:instrText xml:space="preserve"> PAGEREF _Toc10728 \h </w:instrText>
          </w:r>
          <w:r>
            <w:rPr>
              <w:rFonts w:hint="default" w:ascii="Times New Roman" w:hAnsi="Times New Roman" w:eastAsia="宋体" w:cs="Times New Roman"/>
              <w:color w:val="auto"/>
              <w:sz w:val="28"/>
              <w:szCs w:val="28"/>
            </w:rPr>
            <w:fldChar w:fldCharType="separate"/>
          </w:r>
          <w:r>
            <w:rPr>
              <w:rFonts w:hint="default" w:ascii="Times New Roman" w:hAnsi="Times New Roman" w:eastAsia="宋体" w:cs="Times New Roman"/>
              <w:color w:val="auto"/>
              <w:sz w:val="28"/>
              <w:szCs w:val="28"/>
            </w:rPr>
            <w:t>36</w:t>
          </w:r>
          <w:r>
            <w:rPr>
              <w:rFonts w:hint="default" w:ascii="Times New Roman" w:hAnsi="Times New Roman" w:eastAsia="宋体" w:cs="Times New Roman"/>
              <w:color w:val="auto"/>
              <w:sz w:val="28"/>
              <w:szCs w:val="28"/>
            </w:rPr>
            <w:fldChar w:fldCharType="end"/>
          </w:r>
          <w:r>
            <w:rPr>
              <w:rFonts w:hint="default" w:ascii="Times New Roman" w:hAnsi="Times New Roman" w:eastAsia="宋体" w:cs="Times New Roman"/>
              <w:color w:val="auto"/>
              <w:sz w:val="28"/>
              <w:szCs w:val="28"/>
            </w:rPr>
            <w:fldChar w:fldCharType="end"/>
          </w:r>
        </w:p>
        <w:p>
          <w:pPr>
            <w:rPr>
              <w:color w:val="auto"/>
            </w:rPr>
          </w:pPr>
          <w:r>
            <w:rPr>
              <w:color w:val="auto"/>
            </w:rPr>
            <w:fldChar w:fldCharType="end"/>
          </w:r>
        </w:p>
      </w:sdtContent>
    </w:sdt>
    <w:p>
      <w:pPr>
        <w:keepNext w:val="0"/>
        <w:keepLines w:val="0"/>
        <w:pageBreakBefore w:val="0"/>
        <w:widowControl w:val="0"/>
        <w:numPr>
          <w:ilvl w:val="0"/>
          <w:numId w:val="0"/>
        </w:numPr>
        <w:tabs>
          <w:tab w:val="left" w:pos="1147"/>
          <w:tab w:val="left" w:pos="1787"/>
        </w:tabs>
        <w:kinsoku/>
        <w:wordWrap/>
        <w:overflowPunct/>
        <w:topLinePunct w:val="0"/>
        <w:autoSpaceDE w:val="0"/>
        <w:autoSpaceDN w:val="0"/>
        <w:bidi w:val="0"/>
        <w:adjustRightInd/>
        <w:snapToGrid/>
        <w:spacing w:before="64" w:after="0" w:afterLines="100" w:line="240" w:lineRule="auto"/>
        <w:ind w:left="222" w:leftChars="0" w:right="0" w:rightChars="0"/>
        <w:jc w:val="left"/>
        <w:textAlignment w:val="auto"/>
        <w:outlineLvl w:val="9"/>
        <w:rPr>
          <w:rFonts w:hint="eastAsia" w:ascii="黑体" w:eastAsia="黑体"/>
          <w:color w:val="auto"/>
        </w:rPr>
      </w:pPr>
      <w:bookmarkStart w:id="17" w:name="_Toc11189"/>
    </w:p>
    <w:p>
      <w:pPr>
        <w:pStyle w:val="3"/>
        <w:keepNext w:val="0"/>
        <w:keepLines w:val="0"/>
        <w:pageBreakBefore w:val="0"/>
        <w:widowControl w:val="0"/>
        <w:numPr>
          <w:ilvl w:val="0"/>
          <w:numId w:val="1"/>
        </w:numPr>
        <w:tabs>
          <w:tab w:val="left" w:pos="1147"/>
          <w:tab w:val="left" w:pos="1787"/>
        </w:tabs>
        <w:kinsoku/>
        <w:wordWrap/>
        <w:overflowPunct/>
        <w:topLinePunct w:val="0"/>
        <w:autoSpaceDE w:val="0"/>
        <w:autoSpaceDN w:val="0"/>
        <w:bidi w:val="0"/>
        <w:adjustRightInd/>
        <w:snapToGrid/>
        <w:spacing w:before="64" w:after="0" w:afterLines="100" w:line="240" w:lineRule="auto"/>
        <w:ind w:left="539" w:leftChars="0" w:right="0" w:hanging="317" w:firstLineChars="0"/>
        <w:jc w:val="left"/>
        <w:textAlignment w:val="auto"/>
        <w:outlineLvl w:val="0"/>
        <w:rPr>
          <w:rFonts w:hint="eastAsia" w:ascii="黑体" w:eastAsia="黑体"/>
          <w:color w:val="auto"/>
        </w:rPr>
        <w:sectPr>
          <w:pgSz w:w="11910" w:h="16840"/>
          <w:pgMar w:top="1440" w:right="1803" w:bottom="1440" w:left="1803" w:header="878" w:footer="846" w:gutter="0"/>
          <w:pgBorders>
            <w:top w:val="none" w:sz="0" w:space="0"/>
            <w:left w:val="none" w:sz="0" w:space="0"/>
            <w:bottom w:val="none" w:sz="0" w:space="0"/>
            <w:right w:val="none" w:sz="0" w:space="0"/>
          </w:pgBorders>
          <w:pgNumType w:start="1"/>
          <w:cols w:space="720" w:num="1"/>
        </w:sectPr>
      </w:pPr>
    </w:p>
    <w:p>
      <w:pPr>
        <w:pStyle w:val="3"/>
        <w:keepNext w:val="0"/>
        <w:keepLines w:val="0"/>
        <w:pageBreakBefore w:val="0"/>
        <w:widowControl w:val="0"/>
        <w:numPr>
          <w:ilvl w:val="0"/>
          <w:numId w:val="1"/>
        </w:numPr>
        <w:tabs>
          <w:tab w:val="left" w:pos="1147"/>
          <w:tab w:val="left" w:pos="1787"/>
        </w:tabs>
        <w:kinsoku/>
        <w:wordWrap/>
        <w:overflowPunct/>
        <w:topLinePunct w:val="0"/>
        <w:autoSpaceDE w:val="0"/>
        <w:autoSpaceDN w:val="0"/>
        <w:bidi w:val="0"/>
        <w:adjustRightInd/>
        <w:snapToGrid/>
        <w:spacing w:before="64" w:after="0" w:afterLines="100" w:line="240" w:lineRule="auto"/>
        <w:ind w:left="539" w:leftChars="0" w:right="0" w:hanging="317" w:firstLineChars="0"/>
        <w:jc w:val="left"/>
        <w:textAlignment w:val="auto"/>
        <w:outlineLvl w:val="0"/>
        <w:rPr>
          <w:rFonts w:hint="eastAsia" w:ascii="黑体" w:eastAsia="黑体"/>
          <w:color w:val="auto"/>
        </w:rPr>
      </w:pPr>
      <w:r>
        <w:rPr>
          <w:rFonts w:hint="eastAsia" w:ascii="黑体" w:eastAsia="黑体"/>
          <w:color w:val="auto"/>
        </w:rPr>
        <w:t>前言</w:t>
      </w:r>
      <w:bookmarkEnd w:id="17"/>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突发环境事件是指突然发生，可能造成污染环境或生态破坏，危害人民群众生命财产安全，影响社会公共秩序，需要采取紧急措施予以应对的事件。通过对企业原辅材料、“三废”及生产工艺情况进行风险源识别，分析其风险事故类型及事故状态下对环境的影响，风险防范措施是否全面、可靠，进而评估企业环境风险等级。</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通过对企业突发环境事件风险进行评估，分析和预测存在的潜在危险、有害因素，工程建设和运行期间可能发生的突发环境事件，引起有毒有害和易燃易爆等物质泄漏，所造成的人身安全与环境影响和损害程度，提出合理可行的防范措施、应急与减缓措施，使企业的事故率、损失和环境影响能够达到可接受水平。在评估中把事故引起厂界外人群的伤害、环境质量的恶化以及防护作为评价重点，关注事故对厂界外环境的影响。</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color w:val="auto"/>
        </w:rPr>
      </w:pPr>
      <w:r>
        <w:rPr>
          <w:rFonts w:hint="default" w:ascii="Times New Roman" w:hAnsi="Times New Roman" w:eastAsia="宋体" w:cs="Times New Roman"/>
          <w:color w:val="auto"/>
          <w:spacing w:val="-7"/>
          <w:kern w:val="2"/>
          <w:sz w:val="28"/>
          <w:szCs w:val="28"/>
          <w:lang w:val="zh-CN" w:eastAsia="zh-CN" w:bidi="zh-CN"/>
        </w:rPr>
        <w:t>根据关于印发《企业事业单位突发环境事件应急预案备案管理办法（试行）》的通知（环发〔2015〕4 号）以及《陕西省人民政府办公厅关于印发省突发环境事件应急预案的通知》（陕政办函〔2015〕128 号）</w:t>
      </w:r>
      <w:r>
        <w:rPr>
          <w:rFonts w:hint="eastAsia" w:ascii="Times New Roman" w:hAnsi="Times New Roman" w:eastAsia="宋体" w:cs="Times New Roman"/>
          <w:color w:val="auto"/>
          <w:spacing w:val="-7"/>
          <w:kern w:val="2"/>
          <w:sz w:val="28"/>
          <w:szCs w:val="28"/>
          <w:lang w:val="zh-CN" w:eastAsia="zh-CN" w:bidi="zh-CN"/>
        </w:rPr>
        <w:t>咸阳市中心医院东郊分院</w:t>
      </w:r>
      <w:r>
        <w:rPr>
          <w:rFonts w:hint="default" w:ascii="Times New Roman" w:hAnsi="Times New Roman" w:eastAsia="宋体" w:cs="Times New Roman"/>
          <w:color w:val="auto"/>
          <w:spacing w:val="-7"/>
          <w:kern w:val="2"/>
          <w:sz w:val="28"/>
          <w:szCs w:val="28"/>
          <w:lang w:val="zh-CN" w:eastAsia="zh-CN" w:bidi="zh-CN"/>
        </w:rPr>
        <w:t>需要开展环境风险评估。通过分析本企业各类事故衍化规律、自然灾害影响程度，识别环境危险有害因素，分析与周边可能受影响的居民、单位、区域环境的关系，构建突发环境事件及其后果情景，确定环境风险等级。</w:t>
      </w:r>
    </w:p>
    <w:p>
      <w:pPr>
        <w:spacing w:after="0" w:line="417" w:lineRule="auto"/>
        <w:jc w:val="both"/>
        <w:rPr>
          <w:color w:val="auto"/>
        </w:rPr>
        <w:sectPr>
          <w:pgSz w:w="11910" w:h="16840"/>
          <w:pgMar w:top="1440" w:right="1803" w:bottom="1440" w:left="1803" w:header="878" w:footer="846" w:gutter="0"/>
          <w:pgBorders>
            <w:top w:val="none" w:sz="0" w:space="0"/>
            <w:left w:val="none" w:sz="0" w:space="0"/>
            <w:bottom w:val="none" w:sz="0" w:space="0"/>
            <w:right w:val="none" w:sz="0" w:space="0"/>
          </w:pgBorders>
          <w:pgNumType w:start="1"/>
          <w:cols w:space="720" w:num="1"/>
        </w:sectPr>
      </w:pPr>
    </w:p>
    <w:p>
      <w:pPr>
        <w:pStyle w:val="5"/>
        <w:spacing w:before="4"/>
        <w:rPr>
          <w:color w:val="auto"/>
          <w:sz w:val="8"/>
        </w:rPr>
      </w:pPr>
    </w:p>
    <w:p>
      <w:pPr>
        <w:pStyle w:val="3"/>
        <w:numPr>
          <w:ilvl w:val="0"/>
          <w:numId w:val="1"/>
        </w:numPr>
        <w:tabs>
          <w:tab w:val="left" w:pos="1147"/>
          <w:tab w:val="left" w:pos="1787"/>
        </w:tabs>
        <w:spacing w:before="64" w:after="0" w:line="240" w:lineRule="auto"/>
        <w:ind w:left="540" w:leftChars="0" w:right="0" w:hanging="320" w:firstLineChars="0"/>
        <w:jc w:val="left"/>
        <w:outlineLvl w:val="0"/>
        <w:rPr>
          <w:rFonts w:hint="eastAsia" w:ascii="黑体" w:eastAsia="黑体"/>
          <w:color w:val="auto"/>
        </w:rPr>
      </w:pPr>
      <w:bookmarkStart w:id="18" w:name="_bookmark1"/>
      <w:bookmarkEnd w:id="18"/>
      <w:bookmarkStart w:id="19" w:name="2 总  则"/>
      <w:bookmarkEnd w:id="19"/>
      <w:bookmarkStart w:id="20" w:name="_Toc5896"/>
      <w:r>
        <w:rPr>
          <w:rFonts w:hint="eastAsia" w:ascii="黑体" w:eastAsia="黑体"/>
          <w:color w:val="auto"/>
        </w:rPr>
        <w:t>总则</w:t>
      </w:r>
      <w:bookmarkEnd w:id="20"/>
    </w:p>
    <w:p>
      <w:pPr>
        <w:pStyle w:val="3"/>
        <w:keepNext w:val="0"/>
        <w:keepLines w:val="0"/>
        <w:pageBreakBefore w:val="0"/>
        <w:widowControl w:val="0"/>
        <w:numPr>
          <w:ilvl w:val="1"/>
          <w:numId w:val="1"/>
        </w:numPr>
        <w:tabs>
          <w:tab w:val="left" w:pos="1308"/>
        </w:tabs>
        <w:kinsoku/>
        <w:wordWrap/>
        <w:overflowPunct/>
        <w:topLinePunct w:val="0"/>
        <w:autoSpaceDE w:val="0"/>
        <w:autoSpaceDN w:val="0"/>
        <w:bidi w:val="0"/>
        <w:adjustRightInd/>
        <w:snapToGrid/>
        <w:spacing w:before="214" w:after="0" w:afterLines="50" w:line="240" w:lineRule="auto"/>
        <w:ind w:left="922" w:leftChars="0" w:right="0" w:hanging="482" w:firstLineChars="0"/>
        <w:jc w:val="left"/>
        <w:textAlignment w:val="auto"/>
        <w:outlineLvl w:val="0"/>
        <w:rPr>
          <w:color w:val="auto"/>
        </w:rPr>
      </w:pPr>
      <w:bookmarkStart w:id="21" w:name="_bookmark2"/>
      <w:bookmarkEnd w:id="21"/>
      <w:bookmarkStart w:id="22" w:name="2.1编制原则"/>
      <w:bookmarkEnd w:id="22"/>
      <w:bookmarkStart w:id="23" w:name="_Toc5645"/>
      <w:bookmarkStart w:id="24" w:name="_Toc11159"/>
      <w:r>
        <w:rPr>
          <w:color w:val="auto"/>
        </w:rPr>
        <w:t>编制原则</w:t>
      </w:r>
      <w:bookmarkEnd w:id="23"/>
      <w:bookmarkEnd w:id="24"/>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按照“以人为本”的宗旨，合理保障人民群众的身体健康和环境安全，严格规范企业突发环境事件风险评估行为，提高突发环境事件防控能力，全面落实企业环境风险防控主体，并遵循以下原则开展环境风险评估工作：</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color w:val="auto"/>
        </w:rPr>
      </w:pPr>
      <w:r>
        <w:rPr>
          <w:rFonts w:hint="default" w:ascii="Times New Roman" w:hAnsi="Times New Roman" w:eastAsia="宋体" w:cs="Times New Roman"/>
          <w:color w:val="auto"/>
          <w:spacing w:val="-7"/>
          <w:kern w:val="2"/>
          <w:sz w:val="28"/>
          <w:szCs w:val="28"/>
          <w:lang w:val="zh-CN" w:eastAsia="zh-CN" w:bidi="zh-CN"/>
        </w:rPr>
        <w:t>环境风险评估编制应体现科学性、规范性、客观性和真实性的原则。环境风险评估过程中应贯彻执行我国环保相关的法律法规、标准、政策，分析企业自身环境风险状况，明确环境风险防控措施</w:t>
      </w:r>
      <w:r>
        <w:rPr>
          <w:color w:val="auto"/>
          <w:spacing w:val="-3"/>
        </w:rPr>
        <w:t>。</w:t>
      </w:r>
    </w:p>
    <w:p>
      <w:pPr>
        <w:pStyle w:val="3"/>
        <w:numPr>
          <w:ilvl w:val="1"/>
          <w:numId w:val="1"/>
        </w:numPr>
        <w:tabs>
          <w:tab w:val="left" w:pos="1308"/>
        </w:tabs>
        <w:spacing w:before="0" w:after="0" w:line="384" w:lineRule="exact"/>
        <w:ind w:left="919" w:leftChars="0" w:right="0" w:hanging="481" w:firstLineChars="0"/>
        <w:jc w:val="left"/>
        <w:outlineLvl w:val="0"/>
        <w:rPr>
          <w:color w:val="auto"/>
        </w:rPr>
      </w:pPr>
      <w:bookmarkStart w:id="25" w:name="2.2编制依据"/>
      <w:bookmarkEnd w:id="25"/>
      <w:bookmarkStart w:id="26" w:name="_bookmark3"/>
      <w:bookmarkEnd w:id="26"/>
      <w:bookmarkStart w:id="27" w:name="_Toc7778"/>
      <w:bookmarkStart w:id="28" w:name="_Toc22000"/>
      <w:r>
        <w:rPr>
          <w:color w:val="auto"/>
        </w:rPr>
        <w:t>编制依据</w:t>
      </w:r>
      <w:bookmarkEnd w:id="27"/>
      <w:bookmarkEnd w:id="28"/>
    </w:p>
    <w:p>
      <w:pPr>
        <w:pStyle w:val="2"/>
        <w:keepNext w:val="0"/>
        <w:keepLines w:val="0"/>
        <w:pageBreakBefore w:val="0"/>
        <w:widowControl w:val="0"/>
        <w:numPr>
          <w:ilvl w:val="2"/>
          <w:numId w:val="1"/>
        </w:numPr>
        <w:tabs>
          <w:tab w:val="left" w:pos="1377"/>
        </w:tabs>
        <w:kinsoku/>
        <w:wordWrap/>
        <w:overflowPunct/>
        <w:topLinePunct w:val="0"/>
        <w:autoSpaceDE w:val="0"/>
        <w:autoSpaceDN w:val="0"/>
        <w:bidi w:val="0"/>
        <w:adjustRightInd/>
        <w:snapToGrid/>
        <w:spacing w:before="239" w:after="0" w:afterLines="100" w:line="240" w:lineRule="auto"/>
        <w:ind w:left="1378" w:right="0" w:hanging="629"/>
        <w:jc w:val="left"/>
        <w:textAlignment w:val="auto"/>
        <w:rPr>
          <w:color w:val="auto"/>
        </w:rPr>
      </w:pPr>
      <w:bookmarkStart w:id="29" w:name="2.2.1法律法规、政策"/>
      <w:bookmarkEnd w:id="29"/>
      <w:bookmarkStart w:id="30" w:name="2.2.1法律法规、政策"/>
      <w:bookmarkEnd w:id="30"/>
      <w:r>
        <w:rPr>
          <w:color w:val="auto"/>
        </w:rPr>
        <w:t>法律法规、政策</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bookmarkStart w:id="31" w:name="2.3.2 标准、技术规范"/>
      <w:bookmarkEnd w:id="31"/>
      <w:r>
        <w:rPr>
          <w:rFonts w:hint="default" w:ascii="Times New Roman" w:hAnsi="Times New Roman" w:eastAsia="宋体" w:cs="Times New Roman"/>
          <w:color w:val="auto"/>
          <w:spacing w:val="-7"/>
          <w:kern w:val="2"/>
          <w:sz w:val="28"/>
          <w:szCs w:val="28"/>
          <w:lang w:val="zh-CN" w:eastAsia="zh-CN" w:bidi="zh-CN"/>
        </w:rPr>
        <w:t>（1）《中华人民共和国突发事件应对法》，2007年11月1日实施；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（2）《中华人民共和国环境保护法》，第十二届全国人民代表大会常务委员会第八次会议修订，2015年1月1日实施；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（3）《中华人民共和国大气污染防治法》，2018年10月26日修正版；</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（4）《中华人民共和国水污染防治法》，第十二届全国人民代表大会常务委员会第二十八次会议修正，2018年1月1日实施；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（5）《中华人民共和国固体废物污染环境防治法》，2020年9月1日实施；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（6）《国家突发环境事件应急预案》，2014年12月29日实施；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（7）《突发环境事件调查处理办法》，2015年3月1日实施；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（8）《突发环境事件信息报告办法》（环境保护部令第17号），2011年12月1日实施；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（9）《企业突发环境事件风险评估指南（试行）》环办〔2014〕34号，2014年4月3日实施；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（10）《国务院办公厅关于印发国家突发环境事件应急预案的通知》国办函〔2014〕119号，2015年02月03日实施；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（11）关于发布《企业突发环境事件隐患排查和治理工作指南（试行）》的公告（环境保护部公告2016年第74号，2016年12月6日起实施）；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（12）《危险化学品安全管理条例》（国务院令第654号），2013年12月7日实施；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（13）《危险化学品名录》，2015年5月1日实施；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（14）《危险化学品安全管理条例》，国务院令第591号，2013年12月7日实施；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（15）《危险化学品重大危险源辨识》（GB18218-2018），2019年3月1日实施；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（16）《国家危险废物名录》，2021年1月1日实施；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（17）《陕西省突发环境事件应急预案》（陕政办函〔2015〕128号），2015年6月19日实施；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（18）《陕西省环境保护厅办公室关于进一步加强突发环境事件应急预案工作的通知》陕环办发〔2012〕126号，2012年9月17日实施；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（19）《陕西省突发环境事件应急预案管理暂行办法》，陕环发〔2016〕45号，2016年10月21日实施；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（20）《突发事件应急预案管理办法》，国办发〔2013〕101号，2013年10月25日实施；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（21）《企业突发环境事件风险分级方法》（HJ941-2018），2018年3月1日实施；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（22）《企事业单位突发环境事件应急预案备案管理办法（试行）》环发〔2015〕4号，2015年1月8日实施；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（23）《陕西省突发公共事件总体应急预案》，陕环发〔2005〕35号；</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（24）《陕西省人民政府办公厅关于印发突发环境事件应急预案的通知》，陕政办函〔2015〕128号；</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sz w:val="28"/>
          <w:szCs w:val="28"/>
          <w:lang w:val="zh-CN" w:eastAsia="zh-CN" w:bidi="zh-CN"/>
        </w:rPr>
      </w:pPr>
      <w:r>
        <w:rPr>
          <w:rFonts w:hint="default" w:ascii="Times New Roman" w:hAnsi="Times New Roman" w:eastAsia="宋体" w:cs="Times New Roman"/>
          <w:color w:val="auto"/>
          <w:spacing w:val="-7"/>
          <w:sz w:val="28"/>
          <w:szCs w:val="28"/>
          <w:lang w:val="zh-CN" w:eastAsia="zh-CN" w:bidi="zh-CN"/>
        </w:rPr>
        <w:t>（2</w:t>
      </w:r>
      <w:r>
        <w:rPr>
          <w:rFonts w:hint="eastAsia" w:ascii="Times New Roman" w:hAnsi="Times New Roman" w:eastAsia="宋体" w:cs="Times New Roman"/>
          <w:color w:val="auto"/>
          <w:spacing w:val="-7"/>
          <w:sz w:val="28"/>
          <w:szCs w:val="28"/>
          <w:lang w:val="en-US" w:eastAsia="zh-CN" w:bidi="zh-CN"/>
        </w:rPr>
        <w:t>5</w:t>
      </w:r>
      <w:r>
        <w:rPr>
          <w:rFonts w:hint="default" w:ascii="Times New Roman" w:hAnsi="Times New Roman" w:eastAsia="宋体" w:cs="Times New Roman"/>
          <w:color w:val="auto"/>
          <w:spacing w:val="-7"/>
          <w:sz w:val="28"/>
          <w:szCs w:val="28"/>
          <w:lang w:val="zh-CN" w:eastAsia="zh-CN" w:bidi="zh-CN"/>
        </w:rPr>
        <w:t>）《企业事业单位突发环境事件应急预案评审工作指南（试行）》的通知（2018年1月30日）；</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sz w:val="28"/>
          <w:szCs w:val="28"/>
          <w:lang w:val="zh-CN" w:eastAsia="zh-CN" w:bidi="zh-CN"/>
        </w:rPr>
      </w:pPr>
      <w:r>
        <w:rPr>
          <w:rFonts w:hint="default" w:ascii="Times New Roman" w:hAnsi="Times New Roman" w:eastAsia="宋体" w:cs="Times New Roman"/>
          <w:color w:val="auto"/>
          <w:spacing w:val="-7"/>
          <w:sz w:val="28"/>
          <w:szCs w:val="28"/>
          <w:lang w:val="zh-CN" w:eastAsia="zh-CN" w:bidi="zh-CN"/>
        </w:rPr>
        <w:t>（2</w:t>
      </w:r>
      <w:r>
        <w:rPr>
          <w:rFonts w:hint="eastAsia" w:ascii="Times New Roman" w:hAnsi="Times New Roman" w:eastAsia="宋体" w:cs="Times New Roman"/>
          <w:color w:val="auto"/>
          <w:spacing w:val="-7"/>
          <w:sz w:val="28"/>
          <w:szCs w:val="28"/>
          <w:lang w:val="en-US" w:eastAsia="zh-CN" w:bidi="zh-CN"/>
        </w:rPr>
        <w:t>6</w:t>
      </w:r>
      <w:r>
        <w:rPr>
          <w:rFonts w:hint="default" w:ascii="Times New Roman" w:hAnsi="Times New Roman" w:eastAsia="宋体" w:cs="Times New Roman"/>
          <w:color w:val="auto"/>
          <w:spacing w:val="-7"/>
          <w:sz w:val="28"/>
          <w:szCs w:val="28"/>
          <w:lang w:val="zh-CN" w:eastAsia="zh-CN" w:bidi="zh-CN"/>
        </w:rPr>
        <w:t>）《黄河流域（陕西段）污水综合排放标准》（DB61/224-2011）；</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sz w:val="28"/>
          <w:szCs w:val="28"/>
          <w:lang w:val="zh-CN" w:eastAsia="zh-CN" w:bidi="zh-CN"/>
        </w:rPr>
      </w:pPr>
      <w:r>
        <w:rPr>
          <w:rFonts w:hint="default" w:ascii="Times New Roman" w:hAnsi="Times New Roman" w:eastAsia="宋体" w:cs="Times New Roman"/>
          <w:color w:val="auto"/>
          <w:spacing w:val="-7"/>
          <w:sz w:val="28"/>
          <w:szCs w:val="28"/>
          <w:lang w:val="zh-CN" w:eastAsia="zh-CN" w:bidi="zh-CN"/>
        </w:rPr>
        <w:t>（2</w:t>
      </w:r>
      <w:r>
        <w:rPr>
          <w:rFonts w:hint="eastAsia" w:ascii="Times New Roman" w:hAnsi="Times New Roman" w:eastAsia="宋体" w:cs="Times New Roman"/>
          <w:color w:val="auto"/>
          <w:spacing w:val="-7"/>
          <w:sz w:val="28"/>
          <w:szCs w:val="28"/>
          <w:lang w:val="en-US" w:eastAsia="zh-CN" w:bidi="zh-CN"/>
        </w:rPr>
        <w:t>7</w:t>
      </w:r>
      <w:r>
        <w:rPr>
          <w:rFonts w:hint="default" w:ascii="Times New Roman" w:hAnsi="Times New Roman" w:eastAsia="宋体" w:cs="Times New Roman"/>
          <w:color w:val="auto"/>
          <w:spacing w:val="-7"/>
          <w:sz w:val="28"/>
          <w:szCs w:val="28"/>
          <w:lang w:val="zh-CN" w:eastAsia="zh-CN" w:bidi="zh-CN"/>
        </w:rPr>
        <w:t>）《大气污染物综合排放标准》（GB16297-1996）；</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sz w:val="28"/>
          <w:szCs w:val="28"/>
          <w:lang w:val="zh-CN" w:eastAsia="zh-CN" w:bidi="zh-CN"/>
        </w:rPr>
      </w:pPr>
      <w:r>
        <w:rPr>
          <w:rFonts w:hint="default" w:ascii="Times New Roman" w:hAnsi="Times New Roman" w:eastAsia="宋体" w:cs="Times New Roman"/>
          <w:color w:val="auto"/>
          <w:spacing w:val="-7"/>
          <w:sz w:val="28"/>
          <w:szCs w:val="28"/>
          <w:lang w:val="zh-CN" w:eastAsia="zh-CN" w:bidi="zh-CN"/>
        </w:rPr>
        <w:t>（2</w:t>
      </w:r>
      <w:r>
        <w:rPr>
          <w:rFonts w:hint="eastAsia" w:ascii="Times New Roman" w:hAnsi="Times New Roman" w:eastAsia="宋体" w:cs="Times New Roman"/>
          <w:color w:val="auto"/>
          <w:spacing w:val="-7"/>
          <w:sz w:val="28"/>
          <w:szCs w:val="28"/>
          <w:lang w:val="en-US" w:eastAsia="zh-CN" w:bidi="zh-CN"/>
        </w:rPr>
        <w:t>8</w:t>
      </w:r>
      <w:r>
        <w:rPr>
          <w:rFonts w:hint="default" w:ascii="Times New Roman" w:hAnsi="Times New Roman" w:eastAsia="宋体" w:cs="Times New Roman"/>
          <w:color w:val="auto"/>
          <w:spacing w:val="-7"/>
          <w:sz w:val="28"/>
          <w:szCs w:val="28"/>
          <w:lang w:val="zh-CN" w:eastAsia="zh-CN" w:bidi="zh-CN"/>
        </w:rPr>
        <w:t>）《一般工业固体废物贮存、处置场污染控制标准》（GB18599-2001）及其2013修改单；</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sz w:val="28"/>
          <w:szCs w:val="28"/>
          <w:lang w:val="zh-CN" w:eastAsia="zh-CN" w:bidi="zh-CN"/>
        </w:rPr>
      </w:pPr>
      <w:r>
        <w:rPr>
          <w:rFonts w:hint="default" w:ascii="Times New Roman" w:hAnsi="Times New Roman" w:eastAsia="宋体" w:cs="Times New Roman"/>
          <w:color w:val="auto"/>
          <w:spacing w:val="-7"/>
          <w:sz w:val="28"/>
          <w:szCs w:val="28"/>
          <w:lang w:val="zh-CN" w:eastAsia="zh-CN" w:bidi="zh-CN"/>
        </w:rPr>
        <w:t>（</w:t>
      </w:r>
      <w:r>
        <w:rPr>
          <w:rFonts w:hint="eastAsia" w:ascii="Times New Roman" w:hAnsi="Times New Roman" w:eastAsia="宋体" w:cs="Times New Roman"/>
          <w:color w:val="auto"/>
          <w:spacing w:val="-7"/>
          <w:sz w:val="28"/>
          <w:szCs w:val="28"/>
          <w:lang w:val="en-US" w:eastAsia="zh-CN" w:bidi="zh-CN"/>
        </w:rPr>
        <w:t>29</w:t>
      </w:r>
      <w:r>
        <w:rPr>
          <w:rFonts w:hint="default" w:ascii="Times New Roman" w:hAnsi="Times New Roman" w:eastAsia="宋体" w:cs="Times New Roman"/>
          <w:color w:val="auto"/>
          <w:spacing w:val="-7"/>
          <w:sz w:val="28"/>
          <w:szCs w:val="28"/>
          <w:lang w:val="zh-CN" w:eastAsia="zh-CN" w:bidi="zh-CN"/>
        </w:rPr>
        <w:t>）环办应急〔2019〕17号《环境应急资源调查指南》（试行）2018年10月26日；</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sz w:val="28"/>
          <w:szCs w:val="28"/>
          <w:lang w:val="en-US" w:eastAsia="zh-CN" w:bidi="zh-CN"/>
        </w:rPr>
      </w:pPr>
      <w:r>
        <w:rPr>
          <w:rFonts w:hint="eastAsia" w:ascii="Times New Roman" w:hAnsi="Times New Roman" w:eastAsia="宋体" w:cs="Times New Roman"/>
          <w:color w:val="auto"/>
          <w:spacing w:val="-7"/>
          <w:sz w:val="28"/>
          <w:szCs w:val="28"/>
          <w:lang w:val="zh-CN" w:eastAsia="zh-CN" w:bidi="zh-CN"/>
        </w:rPr>
        <w:t>（</w:t>
      </w:r>
      <w:r>
        <w:rPr>
          <w:rFonts w:hint="eastAsia" w:ascii="Times New Roman" w:hAnsi="Times New Roman" w:eastAsia="宋体" w:cs="Times New Roman"/>
          <w:color w:val="auto"/>
          <w:spacing w:val="-7"/>
          <w:sz w:val="28"/>
          <w:szCs w:val="28"/>
          <w:lang w:val="en-US" w:eastAsia="zh-CN" w:bidi="zh-CN"/>
        </w:rPr>
        <w:t>30</w:t>
      </w:r>
      <w:r>
        <w:rPr>
          <w:rFonts w:hint="eastAsia" w:ascii="Times New Roman" w:hAnsi="Times New Roman" w:eastAsia="宋体" w:cs="Times New Roman"/>
          <w:color w:val="auto"/>
          <w:spacing w:val="-7"/>
          <w:sz w:val="28"/>
          <w:szCs w:val="28"/>
          <w:lang w:val="zh-CN" w:eastAsia="zh-CN" w:bidi="zh-CN"/>
        </w:rPr>
        <w:t>）《西安市应急预案管理办法（修订稿）》，2021年2月9日实施</w:t>
      </w:r>
      <w:r>
        <w:rPr>
          <w:rFonts w:hint="eastAsia" w:ascii="Times New Roman" w:hAnsi="Times New Roman" w:eastAsia="宋体" w:cs="Times New Roman"/>
          <w:color w:val="auto"/>
          <w:spacing w:val="-7"/>
          <w:sz w:val="28"/>
          <w:szCs w:val="28"/>
          <w:lang w:val="en-US" w:eastAsia="zh-CN" w:bidi="zh-CN"/>
        </w:rPr>
        <w:t>。</w:t>
      </w:r>
    </w:p>
    <w:p>
      <w:pPr>
        <w:pStyle w:val="2"/>
        <w:keepNext w:val="0"/>
        <w:keepLines w:val="0"/>
        <w:pageBreakBefore w:val="0"/>
        <w:widowControl w:val="0"/>
        <w:kinsoku/>
        <w:wordWrap/>
        <w:overflowPunct/>
        <w:topLinePunct w:val="0"/>
        <w:autoSpaceDE w:val="0"/>
        <w:autoSpaceDN w:val="0"/>
        <w:bidi w:val="0"/>
        <w:adjustRightInd/>
        <w:snapToGrid/>
        <w:spacing w:after="0" w:afterLines="100" w:line="358" w:lineRule="exact"/>
        <w:ind w:left="748" w:firstLine="0"/>
        <w:textAlignment w:val="auto"/>
        <w:rPr>
          <w:color w:val="auto"/>
        </w:rPr>
      </w:pPr>
      <w:r>
        <w:rPr>
          <w:rFonts w:ascii="Times New Roman" w:eastAsia="Times New Roman"/>
          <w:color w:val="auto"/>
        </w:rPr>
        <w:t>2.3.2</w:t>
      </w:r>
      <w:r>
        <w:rPr>
          <w:rFonts w:ascii="Times New Roman" w:eastAsia="Times New Roman"/>
          <w:color w:val="auto"/>
          <w:spacing w:val="69"/>
        </w:rPr>
        <w:t xml:space="preserve"> </w:t>
      </w:r>
      <w:r>
        <w:rPr>
          <w:color w:val="auto"/>
        </w:rPr>
        <w:t>标准、技术规范</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（1）《危险化学品重大危险源辨识》（GB18218-2018）；</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（2）《突发事件环境应急监测技术规范》（HJ589-2010），2011年1月1日实施；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eastAsia"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（3）《建设项目环境风险评价技术导则》（HJ/T169-2018），2019年3月1日实施</w:t>
      </w:r>
      <w:r>
        <w:rPr>
          <w:rFonts w:hint="eastAsia" w:ascii="Times New Roman" w:hAnsi="Times New Roman" w:eastAsia="宋体" w:cs="Times New Roman"/>
          <w:color w:val="auto"/>
          <w:spacing w:val="-7"/>
          <w:kern w:val="2"/>
          <w:sz w:val="28"/>
          <w:szCs w:val="28"/>
          <w:lang w:val="en-US" w:eastAsia="zh-CN" w:bidi="zh-CN"/>
        </w:rPr>
        <w:t>；</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eastAsia"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（4）《危险废物收集贮存运输技术规范》(HJ2025-2012)，2013年3月1日实施</w:t>
      </w:r>
      <w:r>
        <w:rPr>
          <w:rFonts w:hint="eastAsia" w:ascii="Times New Roman" w:hAnsi="Times New Roman" w:eastAsia="宋体" w:cs="Times New Roman"/>
          <w:color w:val="auto"/>
          <w:spacing w:val="-7"/>
          <w:kern w:val="2"/>
          <w:sz w:val="28"/>
          <w:szCs w:val="28"/>
          <w:lang w:val="zh-CN" w:eastAsia="zh-CN" w:bidi="zh-CN"/>
        </w:rPr>
        <w:t>；</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rFonts w:hint="default"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（5）《危险废物贮存污染控制标准》（GB18597-2001），2002年7月1日实施</w:t>
      </w:r>
      <w:r>
        <w:rPr>
          <w:rFonts w:hint="eastAsia" w:ascii="Times New Roman" w:hAnsi="Times New Roman" w:eastAsia="宋体" w:cs="Times New Roman"/>
          <w:color w:val="auto"/>
          <w:spacing w:val="-7"/>
          <w:kern w:val="2"/>
          <w:sz w:val="28"/>
          <w:szCs w:val="28"/>
          <w:lang w:val="zh-CN" w:eastAsia="zh-CN" w:bidi="zh-CN"/>
        </w:rPr>
        <w:t>；</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532" w:firstLineChars="200"/>
        <w:jc w:val="both"/>
        <w:textAlignment w:val="auto"/>
        <w:rPr>
          <w:color w:val="auto"/>
          <w:sz w:val="9"/>
          <w:u w:val="single"/>
        </w:rPr>
      </w:pPr>
      <w:r>
        <w:rPr>
          <w:rFonts w:hint="default" w:ascii="Times New Roman" w:hAnsi="Times New Roman" w:eastAsia="宋体" w:cs="Times New Roman"/>
          <w:color w:val="auto"/>
          <w:spacing w:val="-7"/>
          <w:kern w:val="2"/>
          <w:sz w:val="28"/>
          <w:szCs w:val="28"/>
          <w:lang w:val="zh-CN" w:eastAsia="zh-CN" w:bidi="zh-CN"/>
        </w:rPr>
        <w:t>（6）</w:t>
      </w:r>
      <w:r>
        <w:rPr>
          <w:rFonts w:hint="default" w:ascii="Times New Roman" w:hAnsi="Times New Roman" w:eastAsia="宋体" w:cs="Times New Roman"/>
          <w:color w:val="auto"/>
          <w:spacing w:val="-7"/>
          <w:sz w:val="28"/>
          <w:szCs w:val="28"/>
          <w:lang w:val="zh-CN" w:eastAsia="zh-CN" w:bidi="zh-CN"/>
        </w:rPr>
        <w:t>《</w:t>
      </w:r>
      <w:r>
        <w:rPr>
          <w:rFonts w:hint="eastAsia" w:ascii="Times New Roman" w:hAnsi="Times New Roman" w:eastAsia="宋体" w:cs="Times New Roman"/>
          <w:color w:val="auto"/>
          <w:spacing w:val="-7"/>
          <w:sz w:val="28"/>
          <w:szCs w:val="28"/>
          <w:lang w:val="zh-CN" w:eastAsia="zh-CN" w:bidi="zh-CN"/>
        </w:rPr>
        <w:t>医疗机构水污染</w:t>
      </w:r>
      <w:r>
        <w:rPr>
          <w:rFonts w:hint="default" w:ascii="Times New Roman" w:hAnsi="Times New Roman" w:eastAsia="宋体" w:cs="Times New Roman"/>
          <w:color w:val="auto"/>
          <w:spacing w:val="-7"/>
          <w:sz w:val="28"/>
          <w:szCs w:val="28"/>
          <w:lang w:val="zh-CN" w:eastAsia="zh-CN" w:bidi="zh-CN"/>
        </w:rPr>
        <w:t>排放标准》（</w:t>
      </w:r>
      <w:r>
        <w:rPr>
          <w:rFonts w:hint="eastAsia" w:ascii="Times New Roman" w:hAnsi="Times New Roman" w:eastAsia="宋体" w:cs="Times New Roman"/>
          <w:color w:val="auto"/>
          <w:spacing w:val="-7"/>
          <w:sz w:val="28"/>
          <w:szCs w:val="28"/>
          <w:lang w:val="en-US" w:eastAsia="zh-CN" w:bidi="zh-CN"/>
        </w:rPr>
        <w:t>G</w:t>
      </w:r>
      <w:r>
        <w:rPr>
          <w:rFonts w:hint="default" w:ascii="Times New Roman" w:hAnsi="Times New Roman" w:eastAsia="宋体" w:cs="Times New Roman"/>
          <w:color w:val="auto"/>
          <w:spacing w:val="-7"/>
          <w:sz w:val="28"/>
          <w:szCs w:val="28"/>
          <w:lang w:val="zh-CN" w:eastAsia="zh-CN" w:bidi="zh-CN"/>
        </w:rPr>
        <w:t>B</w:t>
      </w:r>
      <w:r>
        <w:rPr>
          <w:rFonts w:hint="eastAsia" w:ascii="Times New Roman" w:hAnsi="Times New Roman" w:eastAsia="宋体" w:cs="Times New Roman"/>
          <w:color w:val="auto"/>
          <w:spacing w:val="-7"/>
          <w:sz w:val="28"/>
          <w:szCs w:val="28"/>
          <w:lang w:val="en-US" w:eastAsia="zh-CN" w:bidi="zh-CN"/>
        </w:rPr>
        <w:t>18466-2005</w:t>
      </w:r>
      <w:r>
        <w:rPr>
          <w:rFonts w:hint="default" w:ascii="Times New Roman" w:hAnsi="Times New Roman" w:eastAsia="宋体" w:cs="Times New Roman"/>
          <w:color w:val="auto"/>
          <w:spacing w:val="-7"/>
          <w:sz w:val="28"/>
          <w:szCs w:val="28"/>
          <w:lang w:val="zh-CN" w:eastAsia="zh-CN" w:bidi="zh-CN"/>
        </w:rPr>
        <w:t>）</w:t>
      </w:r>
      <w:r>
        <w:rPr>
          <w:rFonts w:hint="eastAsia" w:ascii="Times New Roman" w:hAnsi="Times New Roman" w:eastAsia="宋体" w:cs="Times New Roman"/>
          <w:color w:val="auto"/>
          <w:spacing w:val="-7"/>
          <w:kern w:val="2"/>
          <w:sz w:val="28"/>
          <w:szCs w:val="28"/>
          <w:lang w:val="zh-CN" w:eastAsia="zh-CN" w:bidi="zh-CN"/>
        </w:rPr>
        <w:t>。</w:t>
      </w:r>
    </w:p>
    <w:p>
      <w:pPr>
        <w:pStyle w:val="2"/>
        <w:keepNext w:val="0"/>
        <w:keepLines w:val="0"/>
        <w:pageBreakBefore w:val="0"/>
        <w:widowControl w:val="0"/>
        <w:kinsoku/>
        <w:wordWrap/>
        <w:overflowPunct/>
        <w:topLinePunct w:val="0"/>
        <w:autoSpaceDE w:val="0"/>
        <w:autoSpaceDN w:val="0"/>
        <w:bidi w:val="0"/>
        <w:adjustRightInd w:val="0"/>
        <w:snapToGrid w:val="0"/>
        <w:spacing w:before="20" w:after="0" w:afterLines="100"/>
        <w:ind w:left="748" w:firstLine="0"/>
        <w:textAlignment w:val="auto"/>
        <w:rPr>
          <w:color w:val="auto"/>
        </w:rPr>
      </w:pPr>
      <w:bookmarkStart w:id="32" w:name="2.2.3 本企业资料"/>
      <w:bookmarkEnd w:id="32"/>
      <w:r>
        <w:rPr>
          <w:rFonts w:ascii="Times New Roman" w:eastAsia="Times New Roman"/>
          <w:color w:val="auto"/>
        </w:rPr>
        <w:t>2.2.3</w:t>
      </w:r>
      <w:r>
        <w:rPr>
          <w:rFonts w:ascii="Times New Roman" w:eastAsia="Times New Roman"/>
          <w:color w:val="auto"/>
          <w:spacing w:val="66"/>
        </w:rPr>
        <w:t xml:space="preserve"> </w:t>
      </w:r>
      <w:r>
        <w:rPr>
          <w:color w:val="auto"/>
        </w:rPr>
        <w:t>本企业资料</w:t>
      </w:r>
    </w:p>
    <w:p>
      <w:pPr>
        <w:numPr>
          <w:ilvl w:val="0"/>
          <w:numId w:val="2"/>
        </w:numPr>
        <w:autoSpaceDE/>
        <w:autoSpaceDN/>
        <w:spacing w:before="0" w:after="0" w:line="360" w:lineRule="auto"/>
        <w:ind w:left="0" w:right="0" w:firstLine="532" w:firstLineChars="200"/>
        <w:jc w:val="both"/>
        <w:rPr>
          <w:rFonts w:hint="eastAsia"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w:t>
      </w:r>
      <w:r>
        <w:rPr>
          <w:rFonts w:hint="eastAsia" w:ascii="Times New Roman" w:hAnsi="Times New Roman" w:eastAsia="宋体" w:cs="Times New Roman"/>
          <w:color w:val="auto"/>
          <w:spacing w:val="-7"/>
          <w:kern w:val="2"/>
          <w:sz w:val="28"/>
          <w:szCs w:val="28"/>
          <w:lang w:val="zh-CN" w:eastAsia="zh-CN" w:bidi="zh-CN"/>
        </w:rPr>
        <w:t>咸阳市中心医院东郊分院项目竣工环境保护验收监测报告</w:t>
      </w:r>
      <w:r>
        <w:rPr>
          <w:rFonts w:hint="default" w:ascii="Times New Roman" w:hAnsi="Times New Roman" w:eastAsia="宋体" w:cs="Times New Roman"/>
          <w:color w:val="auto"/>
          <w:spacing w:val="-7"/>
          <w:kern w:val="2"/>
          <w:sz w:val="28"/>
          <w:szCs w:val="28"/>
          <w:lang w:val="zh-CN" w:eastAsia="zh-CN" w:bidi="zh-CN"/>
        </w:rPr>
        <w:t>》</w:t>
      </w:r>
      <w:r>
        <w:rPr>
          <w:rFonts w:hint="eastAsia" w:ascii="Times New Roman" w:hAnsi="Times New Roman" w:eastAsia="宋体" w:cs="Times New Roman"/>
          <w:color w:val="auto"/>
          <w:spacing w:val="-7"/>
          <w:kern w:val="2"/>
          <w:sz w:val="28"/>
          <w:szCs w:val="28"/>
          <w:lang w:val="zh-CN" w:eastAsia="zh-CN" w:bidi="zh-CN"/>
        </w:rPr>
        <w:t>（</w:t>
      </w:r>
      <w:r>
        <w:rPr>
          <w:rFonts w:hint="eastAsia" w:ascii="Times New Roman" w:hAnsi="Times New Roman" w:eastAsia="宋体" w:cs="Times New Roman"/>
          <w:color w:val="auto"/>
          <w:spacing w:val="-7"/>
          <w:kern w:val="2"/>
          <w:sz w:val="28"/>
          <w:szCs w:val="28"/>
          <w:lang w:val="en-US" w:eastAsia="zh-CN" w:bidi="zh-CN"/>
        </w:rPr>
        <w:t>2020年1月</w:t>
      </w:r>
      <w:r>
        <w:rPr>
          <w:rFonts w:hint="eastAsia" w:ascii="Times New Roman" w:hAnsi="Times New Roman" w:eastAsia="宋体" w:cs="Times New Roman"/>
          <w:color w:val="auto"/>
          <w:spacing w:val="-7"/>
          <w:kern w:val="2"/>
          <w:sz w:val="28"/>
          <w:szCs w:val="28"/>
          <w:lang w:val="zh-CN" w:eastAsia="zh-CN" w:bidi="zh-CN"/>
        </w:rPr>
        <w:t>）；</w:t>
      </w:r>
    </w:p>
    <w:p>
      <w:pPr>
        <w:numPr>
          <w:ilvl w:val="0"/>
          <w:numId w:val="2"/>
        </w:numPr>
        <w:autoSpaceDE/>
        <w:autoSpaceDN/>
        <w:spacing w:before="0" w:after="0" w:line="360" w:lineRule="auto"/>
        <w:ind w:left="0" w:right="0" w:firstLine="532" w:firstLineChars="200"/>
        <w:jc w:val="both"/>
        <w:rPr>
          <w:rFonts w:hint="eastAsia" w:ascii="Times New Roman" w:hAnsi="Times New Roman" w:eastAsia="宋体" w:cs="Times New Roman"/>
          <w:color w:val="auto"/>
          <w:spacing w:val="-7"/>
          <w:kern w:val="2"/>
          <w:sz w:val="28"/>
          <w:szCs w:val="28"/>
          <w:lang w:val="zh-CN" w:eastAsia="zh-CN" w:bidi="zh-CN"/>
        </w:rPr>
      </w:pPr>
      <w:r>
        <w:rPr>
          <w:rFonts w:hint="default" w:ascii="Times New Roman" w:hAnsi="Times New Roman" w:eastAsia="宋体" w:cs="Times New Roman"/>
          <w:color w:val="auto"/>
          <w:spacing w:val="-7"/>
          <w:kern w:val="2"/>
          <w:sz w:val="28"/>
          <w:szCs w:val="28"/>
          <w:lang w:val="zh-CN" w:eastAsia="zh-CN" w:bidi="zh-CN"/>
        </w:rPr>
        <w:t>《</w:t>
      </w:r>
      <w:r>
        <w:rPr>
          <w:rFonts w:hint="eastAsia" w:ascii="Times New Roman" w:hAnsi="Times New Roman" w:eastAsia="宋体" w:cs="Times New Roman"/>
          <w:color w:val="auto"/>
          <w:spacing w:val="-7"/>
          <w:kern w:val="2"/>
          <w:sz w:val="28"/>
          <w:szCs w:val="28"/>
          <w:lang w:val="zh-CN" w:eastAsia="zh-CN" w:bidi="zh-CN"/>
        </w:rPr>
        <w:t>咸阳市中心医院东郊分院项目环境影响报告表</w:t>
      </w:r>
      <w:r>
        <w:rPr>
          <w:rFonts w:hint="default" w:ascii="Times New Roman" w:hAnsi="Times New Roman" w:eastAsia="宋体" w:cs="Times New Roman"/>
          <w:color w:val="auto"/>
          <w:spacing w:val="-7"/>
          <w:kern w:val="2"/>
          <w:sz w:val="28"/>
          <w:szCs w:val="28"/>
          <w:lang w:val="zh-CN" w:eastAsia="zh-CN" w:bidi="zh-CN"/>
        </w:rPr>
        <w:t>》</w:t>
      </w:r>
      <w:r>
        <w:rPr>
          <w:rFonts w:hint="eastAsia" w:ascii="Times New Roman" w:hAnsi="Times New Roman" w:eastAsia="宋体" w:cs="Times New Roman"/>
          <w:color w:val="auto"/>
          <w:spacing w:val="-7"/>
          <w:kern w:val="2"/>
          <w:sz w:val="28"/>
          <w:szCs w:val="28"/>
          <w:lang w:val="zh-CN" w:eastAsia="zh-CN" w:bidi="zh-CN"/>
        </w:rPr>
        <w:t>（</w:t>
      </w:r>
      <w:r>
        <w:rPr>
          <w:rFonts w:hint="eastAsia" w:ascii="Times New Roman" w:hAnsi="Times New Roman" w:eastAsia="宋体" w:cs="Times New Roman"/>
          <w:color w:val="auto"/>
          <w:spacing w:val="-7"/>
          <w:kern w:val="2"/>
          <w:sz w:val="28"/>
          <w:szCs w:val="28"/>
          <w:lang w:val="en-US" w:eastAsia="zh-CN" w:bidi="zh-CN"/>
        </w:rPr>
        <w:t>2018年11月</w:t>
      </w:r>
      <w:r>
        <w:rPr>
          <w:rFonts w:hint="eastAsia" w:ascii="Times New Roman" w:hAnsi="Times New Roman" w:eastAsia="宋体" w:cs="Times New Roman"/>
          <w:color w:val="auto"/>
          <w:spacing w:val="-7"/>
          <w:kern w:val="2"/>
          <w:sz w:val="28"/>
          <w:szCs w:val="28"/>
          <w:lang w:val="zh-CN" w:eastAsia="zh-CN" w:bidi="zh-CN"/>
        </w:rPr>
        <w:t>）；</w:t>
      </w:r>
    </w:p>
    <w:p>
      <w:pPr>
        <w:numPr>
          <w:ilvl w:val="0"/>
          <w:numId w:val="2"/>
        </w:numPr>
        <w:autoSpaceDE/>
        <w:autoSpaceDN/>
        <w:spacing w:before="0" w:after="0" w:line="360" w:lineRule="auto"/>
        <w:ind w:left="0" w:right="0" w:firstLine="560" w:firstLineChars="200"/>
        <w:jc w:val="both"/>
        <w:rPr>
          <w:rFonts w:hint="default" w:ascii="Times New Roman" w:hAnsi="Times New Roman" w:cs="Times New Roman"/>
          <w:color w:val="auto"/>
          <w:kern w:val="2"/>
          <w:sz w:val="28"/>
          <w:szCs w:val="20"/>
          <w:lang w:val="zh-CN" w:eastAsia="zh-CN" w:bidi="ar-SA"/>
        </w:rPr>
      </w:pPr>
      <w:r>
        <w:rPr>
          <w:rFonts w:hint="eastAsia" w:ascii="宋体" w:hAnsi="宋体" w:eastAsia="宋体" w:cs="宋体"/>
          <w:color w:val="auto"/>
          <w:kern w:val="2"/>
          <w:sz w:val="28"/>
          <w:szCs w:val="28"/>
          <w:lang w:val="en-US" w:eastAsia="zh-CN" w:bidi="zh-CN"/>
        </w:rPr>
        <w:t>咸阳市中心医院东郊分院</w:t>
      </w:r>
      <w:r>
        <w:rPr>
          <w:rFonts w:hint="default" w:ascii="Times New Roman" w:hAnsi="Times New Roman" w:eastAsia="宋体" w:cs="Times New Roman"/>
          <w:color w:val="auto"/>
          <w:spacing w:val="-7"/>
          <w:kern w:val="2"/>
          <w:sz w:val="28"/>
          <w:szCs w:val="28"/>
          <w:lang w:val="zh-CN" w:eastAsia="zh-CN" w:bidi="zh-CN"/>
        </w:rPr>
        <w:t>提供的其他资料</w:t>
      </w:r>
      <w:r>
        <w:rPr>
          <w:rFonts w:hint="eastAsia" w:ascii="Times New Roman" w:hAnsi="Times New Roman" w:eastAsia="宋体" w:cs="Times New Roman"/>
          <w:color w:val="auto"/>
          <w:spacing w:val="-7"/>
          <w:kern w:val="2"/>
          <w:sz w:val="28"/>
          <w:szCs w:val="28"/>
          <w:lang w:val="zh-CN" w:eastAsia="zh-CN" w:bidi="zh-CN"/>
        </w:rPr>
        <w:t>。</w:t>
      </w:r>
    </w:p>
    <w:p>
      <w:pPr>
        <w:pStyle w:val="3"/>
        <w:keepNext w:val="0"/>
        <w:keepLines w:val="0"/>
        <w:pageBreakBefore w:val="0"/>
        <w:widowControl w:val="0"/>
        <w:numPr>
          <w:ilvl w:val="1"/>
          <w:numId w:val="1"/>
        </w:numPr>
        <w:tabs>
          <w:tab w:val="left" w:pos="1387"/>
        </w:tabs>
        <w:kinsoku/>
        <w:wordWrap/>
        <w:overflowPunct/>
        <w:topLinePunct w:val="0"/>
        <w:autoSpaceDE w:val="0"/>
        <w:autoSpaceDN w:val="0"/>
        <w:bidi w:val="0"/>
        <w:adjustRightInd/>
        <w:snapToGrid w:val="0"/>
        <w:spacing w:before="20" w:after="0" w:afterLines="100" w:line="240" w:lineRule="auto"/>
        <w:ind w:left="1001" w:leftChars="0" w:right="0" w:hanging="561" w:firstLineChars="0"/>
        <w:jc w:val="left"/>
        <w:textAlignment w:val="auto"/>
        <w:outlineLvl w:val="0"/>
        <w:rPr>
          <w:color w:val="auto"/>
        </w:rPr>
      </w:pPr>
      <w:bookmarkStart w:id="33" w:name="2.3 企业突发环境事件风险评估程序"/>
      <w:bookmarkEnd w:id="33"/>
      <w:bookmarkStart w:id="34" w:name="_bookmark4"/>
      <w:bookmarkEnd w:id="34"/>
      <w:bookmarkStart w:id="35" w:name="_Toc16701"/>
      <w:bookmarkStart w:id="36" w:name="_Toc8096"/>
      <w:r>
        <w:rPr>
          <w:color w:val="auto"/>
          <w:w w:val="95"/>
        </w:rPr>
        <w:t>企业突发环境事件风险评估程序</w:t>
      </w:r>
      <w:bookmarkEnd w:id="35"/>
      <w:bookmarkEnd w:id="36"/>
    </w:p>
    <w:p>
      <w:pPr>
        <w:pStyle w:val="5"/>
        <w:spacing w:before="239"/>
        <w:ind w:left="748"/>
        <w:rPr>
          <w:color w:val="auto"/>
        </w:rPr>
      </w:pPr>
      <w:r>
        <w:rPr>
          <w:rFonts w:hint="eastAsia" w:ascii="宋体" w:hAnsi="宋体" w:eastAsia="宋体" w:cs="宋体"/>
          <w:color w:val="auto"/>
          <w:kern w:val="2"/>
          <w:sz w:val="28"/>
          <w:szCs w:val="28"/>
          <w:lang w:val="en-US" w:eastAsia="zh-CN" w:bidi="zh-CN"/>
        </w:rPr>
        <w:t>企业突发环境事件风险等级划分流程示意图见 2.3-1</w:t>
      </w:r>
      <w:r>
        <w:rPr>
          <w:color w:val="auto"/>
        </w:rPr>
        <w:t>。</w:t>
      </w:r>
    </w:p>
    <w:p>
      <w:pPr>
        <w:pStyle w:val="5"/>
        <w:spacing w:before="4"/>
        <w:jc w:val="center"/>
        <w:rPr>
          <w:color w:val="auto"/>
          <w:sz w:val="29"/>
        </w:rPr>
      </w:pPr>
      <w:r>
        <w:rPr>
          <w:color w:val="auto"/>
        </w:rPr>
        <w:drawing>
          <wp:inline distT="0" distB="0" distL="0" distR="0">
            <wp:extent cx="3772535" cy="3194685"/>
            <wp:effectExtent l="0" t="0" r="18415" b="5715"/>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10" cstate="print"/>
                    <a:stretch>
                      <a:fillRect/>
                    </a:stretch>
                  </pic:blipFill>
                  <pic:spPr>
                    <a:xfrm>
                      <a:off x="0" y="0"/>
                      <a:ext cx="3772535" cy="3194685"/>
                    </a:xfrm>
                    <a:prstGeom prst="rect">
                      <a:avLst/>
                    </a:prstGeom>
                  </pic:spPr>
                </pic:pic>
              </a:graphicData>
            </a:graphic>
          </wp:inline>
        </w:drawing>
      </w:r>
    </w:p>
    <w:p>
      <w:pPr>
        <w:tabs>
          <w:tab w:val="left" w:pos="1159"/>
        </w:tabs>
        <w:spacing w:before="0"/>
        <w:ind w:left="0" w:right="208" w:firstLine="0"/>
        <w:jc w:val="center"/>
        <w:rPr>
          <w:b/>
          <w:color w:val="auto"/>
          <w:sz w:val="24"/>
        </w:rPr>
      </w:pPr>
      <w:r>
        <w:rPr>
          <w:b/>
          <w:color w:val="auto"/>
          <w:sz w:val="24"/>
        </w:rPr>
        <w:t>图</w:t>
      </w:r>
      <w:r>
        <w:rPr>
          <w:b/>
          <w:color w:val="auto"/>
          <w:spacing w:val="-62"/>
          <w:sz w:val="24"/>
        </w:rPr>
        <w:t xml:space="preserve"> </w:t>
      </w:r>
      <w:r>
        <w:rPr>
          <w:rFonts w:ascii="Times New Roman" w:eastAsia="Times New Roman"/>
          <w:b/>
          <w:color w:val="auto"/>
          <w:sz w:val="24"/>
        </w:rPr>
        <w:t>2.3-1</w:t>
      </w:r>
      <w:r>
        <w:rPr>
          <w:rFonts w:ascii="Times New Roman" w:eastAsia="Times New Roman"/>
          <w:b/>
          <w:color w:val="auto"/>
          <w:sz w:val="24"/>
        </w:rPr>
        <w:tab/>
      </w:r>
      <w:r>
        <w:rPr>
          <w:b/>
          <w:color w:val="auto"/>
          <w:sz w:val="24"/>
        </w:rPr>
        <w:t>企业突发环境事件风险等级划分流程示意图</w:t>
      </w:r>
    </w:p>
    <w:p>
      <w:pPr>
        <w:spacing w:after="0"/>
        <w:jc w:val="center"/>
        <w:rPr>
          <w:color w:val="auto"/>
          <w:sz w:val="24"/>
        </w:rPr>
        <w:sectPr>
          <w:pgSz w:w="11910" w:h="16840"/>
          <w:pgMar w:top="1440" w:right="1803" w:bottom="1440" w:left="1803" w:header="878" w:footer="846" w:gutter="0"/>
          <w:pgBorders>
            <w:top w:val="none" w:sz="0" w:space="0"/>
            <w:left w:val="none" w:sz="0" w:space="0"/>
            <w:bottom w:val="none" w:sz="0" w:space="0"/>
            <w:right w:val="none" w:sz="0" w:space="0"/>
          </w:pgBorders>
          <w:cols w:space="720" w:num="1"/>
        </w:sectPr>
      </w:pPr>
    </w:p>
    <w:p>
      <w:pPr>
        <w:pStyle w:val="5"/>
        <w:spacing w:before="4"/>
        <w:rPr>
          <w:b/>
          <w:color w:val="auto"/>
          <w:sz w:val="8"/>
        </w:rPr>
      </w:pPr>
    </w:p>
    <w:p>
      <w:pPr>
        <w:pStyle w:val="3"/>
        <w:numPr>
          <w:ilvl w:val="0"/>
          <w:numId w:val="1"/>
        </w:numPr>
        <w:tabs>
          <w:tab w:val="left" w:pos="1147"/>
        </w:tabs>
        <w:spacing w:before="64" w:after="0" w:line="240" w:lineRule="auto"/>
        <w:ind w:left="540" w:leftChars="0" w:right="0" w:hanging="320" w:firstLineChars="0"/>
        <w:jc w:val="left"/>
        <w:outlineLvl w:val="0"/>
        <w:rPr>
          <w:rFonts w:hint="eastAsia" w:ascii="黑体" w:eastAsia="黑体"/>
          <w:color w:val="auto"/>
        </w:rPr>
      </w:pPr>
      <w:bookmarkStart w:id="37" w:name="3 资料准备与环境风险识别"/>
      <w:bookmarkEnd w:id="37"/>
      <w:bookmarkStart w:id="38" w:name="_bookmark5"/>
      <w:bookmarkEnd w:id="38"/>
      <w:bookmarkStart w:id="39" w:name="_Toc9716"/>
      <w:r>
        <w:rPr>
          <w:rFonts w:hint="eastAsia" w:ascii="黑体" w:eastAsia="黑体"/>
          <w:color w:val="auto"/>
        </w:rPr>
        <w:t>资料准备与环境风险识别</w:t>
      </w:r>
      <w:bookmarkEnd w:id="39"/>
    </w:p>
    <w:p>
      <w:pPr>
        <w:pStyle w:val="3"/>
        <w:numPr>
          <w:ilvl w:val="1"/>
          <w:numId w:val="1"/>
        </w:numPr>
        <w:tabs>
          <w:tab w:val="left" w:pos="1387"/>
        </w:tabs>
        <w:spacing w:before="214" w:after="0" w:line="240" w:lineRule="auto"/>
        <w:ind w:left="998" w:leftChars="0" w:right="0" w:hanging="560" w:firstLineChars="0"/>
        <w:jc w:val="left"/>
        <w:outlineLvl w:val="0"/>
        <w:rPr>
          <w:color w:val="auto"/>
        </w:rPr>
      </w:pPr>
      <w:bookmarkStart w:id="40" w:name="_bookmark6"/>
      <w:bookmarkEnd w:id="40"/>
      <w:bookmarkStart w:id="41" w:name="3.1 企业基本信息"/>
      <w:bookmarkEnd w:id="41"/>
      <w:bookmarkStart w:id="42" w:name="_Toc10875"/>
      <w:bookmarkStart w:id="43" w:name="_Toc3557"/>
      <w:r>
        <w:rPr>
          <w:color w:val="auto"/>
        </w:rPr>
        <w:t>企业基本信息</w:t>
      </w:r>
      <w:bookmarkEnd w:id="42"/>
      <w:bookmarkEnd w:id="43"/>
    </w:p>
    <w:p>
      <w:pPr>
        <w:pStyle w:val="2"/>
        <w:numPr>
          <w:ilvl w:val="2"/>
          <w:numId w:val="1"/>
        </w:numPr>
        <w:tabs>
          <w:tab w:val="left" w:pos="1447"/>
        </w:tabs>
        <w:spacing w:before="240" w:after="0" w:line="240" w:lineRule="auto"/>
        <w:ind w:left="1446" w:right="0" w:hanging="699"/>
        <w:jc w:val="left"/>
        <w:rPr>
          <w:color w:val="auto"/>
        </w:rPr>
      </w:pPr>
      <w:bookmarkStart w:id="44" w:name="3.1.1 企业简况"/>
      <w:bookmarkEnd w:id="44"/>
      <w:bookmarkStart w:id="45" w:name="3.1.1 企业简况"/>
      <w:bookmarkEnd w:id="45"/>
      <w:r>
        <w:rPr>
          <w:color w:val="auto"/>
        </w:rPr>
        <w:t>企业简况</w:t>
      </w:r>
    </w:p>
    <w:p>
      <w:pPr>
        <w:pStyle w:val="5"/>
        <w:spacing w:before="265"/>
        <w:ind w:left="748"/>
        <w:rPr>
          <w:rFonts w:hint="eastAsia" w:ascii="宋体" w:hAnsi="宋体" w:eastAsia="宋体" w:cs="宋体"/>
          <w:color w:val="auto"/>
        </w:rPr>
      </w:pPr>
      <w:r>
        <w:rPr>
          <w:rFonts w:hint="eastAsia" w:ascii="宋体" w:hAnsi="宋体" w:eastAsia="宋体" w:cs="宋体"/>
          <w:color w:val="auto"/>
        </w:rPr>
        <w:t>本企业基本信息见表 3.1-1。</w:t>
      </w:r>
    </w:p>
    <w:p>
      <w:pPr>
        <w:tabs>
          <w:tab w:val="left" w:pos="1039"/>
        </w:tabs>
        <w:spacing w:before="135"/>
        <w:ind w:left="0" w:right="206" w:firstLine="0"/>
        <w:jc w:val="center"/>
        <w:rPr>
          <w:rFonts w:hint="eastAsia" w:ascii="宋体" w:hAnsi="宋体" w:eastAsia="宋体" w:cs="宋体"/>
          <w:b/>
          <w:color w:val="auto"/>
          <w:sz w:val="24"/>
        </w:rPr>
      </w:pPr>
      <w:r>
        <w:rPr>
          <w:rFonts w:hint="eastAsia" w:ascii="宋体" w:hAnsi="宋体" w:eastAsia="宋体" w:cs="宋体"/>
          <w:b/>
          <w:color w:val="auto"/>
          <w:sz w:val="24"/>
        </w:rPr>
        <w:t>表</w:t>
      </w:r>
      <w:r>
        <w:rPr>
          <w:rFonts w:hint="eastAsia" w:ascii="宋体" w:hAnsi="宋体" w:eastAsia="宋体" w:cs="宋体"/>
          <w:b/>
          <w:color w:val="auto"/>
          <w:spacing w:val="-62"/>
          <w:sz w:val="24"/>
        </w:rPr>
        <w:t xml:space="preserve"> </w:t>
      </w:r>
      <w:r>
        <w:rPr>
          <w:rFonts w:hint="eastAsia" w:ascii="宋体" w:hAnsi="宋体" w:eastAsia="宋体" w:cs="宋体"/>
          <w:b/>
          <w:color w:val="auto"/>
          <w:sz w:val="24"/>
        </w:rPr>
        <w:t>3.1-1</w:t>
      </w:r>
      <w:r>
        <w:rPr>
          <w:rFonts w:hint="eastAsia" w:ascii="宋体" w:hAnsi="宋体" w:eastAsia="宋体" w:cs="宋体"/>
          <w:b/>
          <w:color w:val="auto"/>
          <w:sz w:val="24"/>
        </w:rPr>
        <w:tab/>
      </w:r>
      <w:r>
        <w:rPr>
          <w:rFonts w:hint="eastAsia" w:ascii="宋体" w:hAnsi="宋体" w:eastAsia="宋体" w:cs="宋体"/>
          <w:b/>
          <w:color w:val="auto"/>
          <w:sz w:val="24"/>
        </w:rPr>
        <w:t>企业简况表</w:t>
      </w:r>
    </w:p>
    <w:tbl>
      <w:tblPr>
        <w:tblStyle w:val="13"/>
        <w:tblW w:w="4999" w:type="pct"/>
        <w:jc w:val="center"/>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Layout w:type="autofit"/>
        <w:tblCellMar>
          <w:top w:w="0" w:type="dxa"/>
          <w:left w:w="108" w:type="dxa"/>
          <w:bottom w:w="0" w:type="dxa"/>
          <w:right w:w="108" w:type="dxa"/>
        </w:tblCellMar>
      </w:tblPr>
      <w:tblGrid>
        <w:gridCol w:w="2055"/>
        <w:gridCol w:w="2713"/>
        <w:gridCol w:w="1656"/>
        <w:gridCol w:w="2094"/>
      </w:tblGrid>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614" w:hRule="atLeast"/>
          <w:jc w:val="center"/>
        </w:trPr>
        <w:tc>
          <w:tcPr>
            <w:tcW w:w="1206"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单位名称</w:t>
            </w:r>
          </w:p>
        </w:tc>
        <w:tc>
          <w:tcPr>
            <w:tcW w:w="3793" w:type="pct"/>
            <w:gridSpan w:val="3"/>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val="en-US" w:eastAsia="zh-CN"/>
              </w:rPr>
              <w:t>咸阳市中心医院</w:t>
            </w:r>
            <w:r>
              <w:rPr>
                <w:rFonts w:hint="eastAsia" w:ascii="Times New Roman" w:hAnsi="Times New Roman" w:eastAsia="宋体" w:cs="Times New Roman"/>
                <w:b/>
                <w:bCs/>
                <w:color w:val="auto"/>
                <w:sz w:val="21"/>
                <w:szCs w:val="21"/>
                <w:lang w:val="en-US" w:eastAsia="zh-CN"/>
              </w:rPr>
              <w:t>东郊分院</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1206"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单位地址</w:t>
            </w:r>
          </w:p>
        </w:tc>
        <w:tc>
          <w:tcPr>
            <w:tcW w:w="1592"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陕西省</w:t>
            </w:r>
            <w:r>
              <w:rPr>
                <w:rFonts w:hint="default" w:ascii="Times New Roman" w:hAnsi="Times New Roman" w:eastAsia="宋体" w:cs="Times New Roman"/>
                <w:color w:val="auto"/>
                <w:sz w:val="21"/>
                <w:szCs w:val="21"/>
                <w:lang w:eastAsia="zh-CN"/>
              </w:rPr>
              <w:t>西咸新区秦汉新城</w:t>
            </w:r>
            <w:r>
              <w:rPr>
                <w:rFonts w:hint="default" w:ascii="Times New Roman" w:hAnsi="Times New Roman" w:eastAsia="宋体" w:cs="Times New Roman"/>
                <w:color w:val="auto"/>
                <w:sz w:val="21"/>
                <w:szCs w:val="21"/>
              </w:rPr>
              <w:t>朝阳四路</w:t>
            </w:r>
          </w:p>
        </w:tc>
        <w:tc>
          <w:tcPr>
            <w:tcW w:w="972"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中心经度坐标</w:t>
            </w:r>
          </w:p>
        </w:tc>
        <w:tc>
          <w:tcPr>
            <w:tcW w:w="2094" w:type="dxa"/>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b/>
                <w:bCs/>
                <w:color w:val="auto"/>
                <w:sz w:val="21"/>
                <w:szCs w:val="21"/>
              </w:rPr>
            </w:pPr>
            <w:r>
              <w:rPr>
                <w:rFonts w:hint="eastAsia" w:ascii="Times New Roman" w:hAnsi="Times New Roman" w:eastAsia="宋体" w:cs="Times New Roman"/>
                <w:color w:val="auto"/>
                <w:sz w:val="21"/>
                <w:szCs w:val="21"/>
                <w:lang w:val="en-US" w:eastAsia="zh-CN"/>
              </w:rPr>
              <w:t>东经108°46' 35.777"</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250" w:hRule="atLeast"/>
          <w:jc w:val="center"/>
        </w:trPr>
        <w:tc>
          <w:tcPr>
            <w:tcW w:w="1206" w:type="pct"/>
            <w:vMerge w:val="restar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统一社会信用代码</w:t>
            </w:r>
          </w:p>
        </w:tc>
        <w:tc>
          <w:tcPr>
            <w:tcW w:w="1592" w:type="pct"/>
            <w:vMerge w:val="restart"/>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bookmarkStart w:id="214" w:name="_GoBack"/>
            <w:bookmarkEnd w:id="214"/>
            <w:r>
              <w:rPr>
                <w:rFonts w:hint="eastAsia" w:ascii="Times New Roman" w:hAnsi="Times New Roman" w:eastAsia="宋体" w:cs="Times New Roman"/>
                <w:color w:val="auto"/>
                <w:sz w:val="21"/>
                <w:szCs w:val="21"/>
                <w:lang w:eastAsia="zh-CN"/>
              </w:rPr>
              <w:t>126104004356319288</w:t>
            </w:r>
          </w:p>
        </w:tc>
        <w:tc>
          <w:tcPr>
            <w:tcW w:w="97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rPr>
              <w:t>中心纬度坐标</w:t>
            </w:r>
          </w:p>
        </w:tc>
        <w:tc>
          <w:tcPr>
            <w:tcW w:w="2094" w:type="dxa"/>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lang w:val="en-US" w:eastAsia="zh-CN"/>
              </w:rPr>
              <w:t>北纬34°22' 33.835"</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255" w:hRule="atLeast"/>
          <w:jc w:val="center"/>
        </w:trPr>
        <w:tc>
          <w:tcPr>
            <w:tcW w:w="1206" w:type="pct"/>
            <w:vMerge w:val="continue"/>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p>
        </w:tc>
        <w:tc>
          <w:tcPr>
            <w:tcW w:w="1592" w:type="pct"/>
            <w:vMerge w:val="continue"/>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p>
        </w:tc>
        <w:tc>
          <w:tcPr>
            <w:tcW w:w="972"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法人代表</w:t>
            </w:r>
          </w:p>
        </w:tc>
        <w:tc>
          <w:tcPr>
            <w:tcW w:w="1228"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徐晓峰</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334" w:hRule="atLeast"/>
          <w:jc w:val="center"/>
        </w:trPr>
        <w:tc>
          <w:tcPr>
            <w:tcW w:w="1206"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所属行业</w:t>
            </w:r>
          </w:p>
        </w:tc>
        <w:tc>
          <w:tcPr>
            <w:tcW w:w="1592" w:type="pct"/>
            <w:noWrap w:val="0"/>
            <w:vAlign w:val="center"/>
          </w:tcPr>
          <w:p>
            <w:pPr>
              <w:widowControl/>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[8451  专科医院]</w:t>
            </w:r>
          </w:p>
        </w:tc>
        <w:tc>
          <w:tcPr>
            <w:tcW w:w="972"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占地面积</w:t>
            </w:r>
          </w:p>
        </w:tc>
        <w:tc>
          <w:tcPr>
            <w:tcW w:w="1228"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18100.32</w:t>
            </w:r>
            <w:r>
              <w:rPr>
                <w:rFonts w:hint="default" w:ascii="Times New Roman" w:hAnsi="Times New Roman" w:eastAsia="宋体" w:cs="Times New Roman"/>
                <w:color w:val="auto"/>
                <w:sz w:val="21"/>
                <w:szCs w:val="21"/>
              </w:rPr>
              <w:t>平方米</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255" w:hRule="atLeast"/>
          <w:jc w:val="center"/>
        </w:trPr>
        <w:tc>
          <w:tcPr>
            <w:tcW w:w="1206"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成立</w:t>
            </w:r>
            <w:r>
              <w:rPr>
                <w:rFonts w:hint="eastAsia" w:ascii="Times New Roman" w:hAnsi="Times New Roman" w:eastAsia="宋体" w:cs="Times New Roman"/>
                <w:b/>
                <w:bCs/>
                <w:color w:val="auto"/>
                <w:sz w:val="21"/>
                <w:szCs w:val="21"/>
                <w:lang w:val="en-US" w:eastAsia="zh-CN"/>
              </w:rPr>
              <w:t>时间</w:t>
            </w:r>
          </w:p>
        </w:tc>
        <w:tc>
          <w:tcPr>
            <w:tcW w:w="1592"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1998</w:t>
            </w:r>
          </w:p>
        </w:tc>
        <w:tc>
          <w:tcPr>
            <w:tcW w:w="972"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职工人数</w:t>
            </w:r>
          </w:p>
        </w:tc>
        <w:tc>
          <w:tcPr>
            <w:tcW w:w="1228"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160</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255" w:hRule="atLeast"/>
          <w:jc w:val="center"/>
        </w:trPr>
        <w:tc>
          <w:tcPr>
            <w:tcW w:w="1206"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注册资本</w:t>
            </w:r>
          </w:p>
        </w:tc>
        <w:tc>
          <w:tcPr>
            <w:tcW w:w="1592"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9204</w:t>
            </w:r>
            <w:r>
              <w:rPr>
                <w:rFonts w:hint="default" w:ascii="Times New Roman" w:hAnsi="Times New Roman" w:eastAsia="宋体" w:cs="Times New Roman"/>
                <w:color w:val="auto"/>
                <w:sz w:val="21"/>
                <w:szCs w:val="21"/>
              </w:rPr>
              <w:t>万</w:t>
            </w:r>
          </w:p>
        </w:tc>
        <w:tc>
          <w:tcPr>
            <w:tcW w:w="972"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联系电话</w:t>
            </w:r>
          </w:p>
        </w:tc>
        <w:tc>
          <w:tcPr>
            <w:tcW w:w="1228"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18992018896</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255" w:hRule="atLeast"/>
          <w:jc w:val="center"/>
        </w:trPr>
        <w:tc>
          <w:tcPr>
            <w:tcW w:w="1206"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企业网站</w:t>
            </w:r>
          </w:p>
        </w:tc>
        <w:tc>
          <w:tcPr>
            <w:tcW w:w="3793" w:type="pct"/>
            <w:gridSpan w:val="3"/>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color w:val="auto"/>
                <w:sz w:val="21"/>
                <w:szCs w:val="21"/>
              </w:rPr>
              <w:t>/</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255" w:hRule="atLeast"/>
          <w:jc w:val="center"/>
        </w:trPr>
        <w:tc>
          <w:tcPr>
            <w:tcW w:w="1206" w:type="pct"/>
            <w:vMerge w:val="restar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四邻关系</w:t>
            </w:r>
          </w:p>
        </w:tc>
        <w:tc>
          <w:tcPr>
            <w:tcW w:w="1592" w:type="pct"/>
            <w:noWrap w:val="0"/>
            <w:vAlign w:val="center"/>
          </w:tcPr>
          <w:p>
            <w:pPr>
              <w:snapToGrid w:val="0"/>
              <w:spacing w:line="240" w:lineRule="auto"/>
              <w:ind w:firstLine="0" w:firstLineChars="0"/>
              <w:jc w:val="center"/>
              <w:textAlignment w:val="baseline"/>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东侧</w:t>
            </w:r>
          </w:p>
        </w:tc>
        <w:tc>
          <w:tcPr>
            <w:tcW w:w="2200" w:type="pct"/>
            <w:gridSpan w:val="2"/>
            <w:noWrap w:val="0"/>
            <w:vAlign w:val="center"/>
          </w:tcPr>
          <w:p>
            <w:pPr>
              <w:widowControl/>
              <w:spacing w:line="240" w:lineRule="auto"/>
              <w:ind w:firstLine="0" w:firstLineChars="0"/>
              <w:jc w:val="center"/>
              <w:rPr>
                <w:rFonts w:hint="default" w:ascii="Times New Roman" w:hAnsi="Times New Roman" w:eastAsia="宋体" w:cs="Times New Roman"/>
                <w:color w:val="auto"/>
                <w:kern w:val="0"/>
                <w:sz w:val="21"/>
                <w:szCs w:val="21"/>
                <w:lang w:val="en-US" w:eastAsia="zh-CN" w:bidi="ar"/>
              </w:rPr>
            </w:pPr>
            <w:r>
              <w:rPr>
                <w:rFonts w:hint="default" w:ascii="Times New Roman" w:hAnsi="Times New Roman" w:eastAsia="宋体" w:cs="Times New Roman"/>
                <w:color w:val="auto"/>
                <w:kern w:val="0"/>
                <w:sz w:val="21"/>
                <w:szCs w:val="21"/>
                <w:lang w:val="en-US" w:eastAsia="zh-CN" w:bidi="ar"/>
              </w:rPr>
              <w:t>陕西玻璃厂社区西区和中国邮政储蓄银行东郊支行</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255" w:hRule="atLeast"/>
          <w:jc w:val="center"/>
        </w:trPr>
        <w:tc>
          <w:tcPr>
            <w:tcW w:w="1206" w:type="pct"/>
            <w:vMerge w:val="continue"/>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p>
        </w:tc>
        <w:tc>
          <w:tcPr>
            <w:tcW w:w="1592" w:type="pct"/>
            <w:noWrap w:val="0"/>
            <w:vAlign w:val="center"/>
          </w:tcPr>
          <w:p>
            <w:pPr>
              <w:snapToGrid w:val="0"/>
              <w:spacing w:line="240" w:lineRule="auto"/>
              <w:ind w:firstLine="0" w:firstLineChars="0"/>
              <w:jc w:val="center"/>
              <w:textAlignment w:val="baseline"/>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南侧</w:t>
            </w:r>
          </w:p>
        </w:tc>
        <w:tc>
          <w:tcPr>
            <w:tcW w:w="2200" w:type="pct"/>
            <w:gridSpan w:val="2"/>
            <w:noWrap w:val="0"/>
            <w:vAlign w:val="center"/>
          </w:tcPr>
          <w:p>
            <w:pPr>
              <w:widowControl/>
              <w:spacing w:line="240" w:lineRule="auto"/>
              <w:ind w:firstLine="0" w:firstLineChars="0"/>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color w:val="auto"/>
                <w:kern w:val="0"/>
                <w:sz w:val="21"/>
                <w:szCs w:val="21"/>
                <w:lang w:val="zh-CN" w:eastAsia="zh-CN" w:bidi="ar"/>
              </w:rPr>
              <w:t>长陵路</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255" w:hRule="atLeast"/>
          <w:jc w:val="center"/>
        </w:trPr>
        <w:tc>
          <w:tcPr>
            <w:tcW w:w="1206" w:type="pct"/>
            <w:vMerge w:val="continue"/>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p>
        </w:tc>
        <w:tc>
          <w:tcPr>
            <w:tcW w:w="1592" w:type="pct"/>
            <w:noWrap w:val="0"/>
            <w:vAlign w:val="center"/>
          </w:tcPr>
          <w:p>
            <w:pPr>
              <w:snapToGrid w:val="0"/>
              <w:spacing w:line="240" w:lineRule="auto"/>
              <w:ind w:firstLine="0" w:firstLineChars="0"/>
              <w:jc w:val="center"/>
              <w:textAlignment w:val="baseline"/>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西侧</w:t>
            </w:r>
          </w:p>
        </w:tc>
        <w:tc>
          <w:tcPr>
            <w:tcW w:w="2200" w:type="pct"/>
            <w:gridSpan w:val="2"/>
            <w:noWrap w:val="0"/>
            <w:vAlign w:val="center"/>
          </w:tcPr>
          <w:p>
            <w:pPr>
              <w:widowControl/>
              <w:spacing w:line="240" w:lineRule="auto"/>
              <w:ind w:firstLine="0" w:firstLineChars="0"/>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color w:val="auto"/>
                <w:kern w:val="0"/>
                <w:sz w:val="21"/>
                <w:szCs w:val="21"/>
                <w:lang w:val="zh-CN" w:eastAsia="zh-CN" w:bidi="ar"/>
              </w:rPr>
              <w:t>咸阳市渭城派出所和咸阳凯达机电设备有限公司</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255" w:hRule="atLeast"/>
          <w:jc w:val="center"/>
        </w:trPr>
        <w:tc>
          <w:tcPr>
            <w:tcW w:w="1206" w:type="pct"/>
            <w:vMerge w:val="continue"/>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p>
        </w:tc>
        <w:tc>
          <w:tcPr>
            <w:tcW w:w="1592" w:type="pct"/>
            <w:noWrap w:val="0"/>
            <w:vAlign w:val="center"/>
          </w:tcPr>
          <w:p>
            <w:pPr>
              <w:snapToGrid w:val="0"/>
              <w:spacing w:line="240" w:lineRule="auto"/>
              <w:ind w:firstLine="0" w:firstLineChars="0"/>
              <w:jc w:val="center"/>
              <w:textAlignment w:val="baseline"/>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北侧</w:t>
            </w:r>
          </w:p>
        </w:tc>
        <w:tc>
          <w:tcPr>
            <w:tcW w:w="2200" w:type="pct"/>
            <w:gridSpan w:val="2"/>
            <w:noWrap w:val="0"/>
            <w:vAlign w:val="center"/>
          </w:tcPr>
          <w:p>
            <w:pPr>
              <w:widowControl/>
              <w:spacing w:line="240" w:lineRule="auto"/>
              <w:ind w:firstLine="0" w:firstLineChars="0"/>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color w:val="auto"/>
                <w:kern w:val="0"/>
                <w:sz w:val="21"/>
                <w:szCs w:val="21"/>
                <w:lang w:val="zh-CN" w:eastAsia="zh-CN" w:bidi="ar"/>
              </w:rPr>
              <w:t>陕西蓝星玻璃有限公司</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255" w:hRule="atLeast"/>
          <w:jc w:val="center"/>
        </w:trPr>
        <w:tc>
          <w:tcPr>
            <w:tcW w:w="1206" w:type="pct"/>
            <w:vMerge w:val="continue"/>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p>
        </w:tc>
        <w:tc>
          <w:tcPr>
            <w:tcW w:w="1592" w:type="pct"/>
            <w:noWrap w:val="0"/>
            <w:vAlign w:val="center"/>
          </w:tcPr>
          <w:p>
            <w:pPr>
              <w:snapToGrid w:val="0"/>
              <w:spacing w:line="240" w:lineRule="auto"/>
              <w:ind w:firstLine="0" w:firstLineChars="0"/>
              <w:jc w:val="center"/>
              <w:textAlignment w:val="baseline"/>
              <w:rPr>
                <w:rFonts w:hint="eastAsia" w:ascii="Times New Roman" w:hAnsi="Times New Roman" w:eastAsia="宋体" w:cs="Times New Roman"/>
                <w:b/>
                <w:bCs/>
                <w:color w:val="auto"/>
                <w:sz w:val="21"/>
                <w:szCs w:val="21"/>
                <w:lang w:eastAsia="zh-CN"/>
              </w:rPr>
            </w:pPr>
            <w:r>
              <w:rPr>
                <w:rFonts w:hint="eastAsia" w:ascii="Times New Roman" w:hAnsi="Times New Roman" w:eastAsia="宋体" w:cs="Times New Roman"/>
                <w:b/>
                <w:bCs/>
                <w:color w:val="auto"/>
                <w:sz w:val="21"/>
                <w:szCs w:val="21"/>
                <w:lang w:eastAsia="zh-CN"/>
              </w:rPr>
              <w:t>西北侧</w:t>
            </w:r>
          </w:p>
        </w:tc>
        <w:tc>
          <w:tcPr>
            <w:tcW w:w="2200" w:type="pct"/>
            <w:gridSpan w:val="2"/>
            <w:noWrap w:val="0"/>
            <w:vAlign w:val="center"/>
          </w:tcPr>
          <w:p>
            <w:pPr>
              <w:widowControl/>
              <w:spacing w:line="240" w:lineRule="auto"/>
              <w:ind w:firstLine="0" w:firstLineChars="0"/>
              <w:jc w:val="center"/>
              <w:rPr>
                <w:rFonts w:hint="default" w:ascii="Times New Roman" w:hAnsi="Times New Roman" w:eastAsia="宋体" w:cs="Times New Roman"/>
                <w:color w:val="auto"/>
                <w:kern w:val="0"/>
                <w:sz w:val="21"/>
                <w:szCs w:val="21"/>
                <w:lang w:val="zh-CN" w:eastAsia="zh-CN" w:bidi="ar"/>
              </w:rPr>
            </w:pPr>
            <w:r>
              <w:rPr>
                <w:rFonts w:hint="default" w:ascii="Times New Roman" w:hAnsi="Times New Roman" w:eastAsia="宋体" w:cs="Times New Roman"/>
                <w:color w:val="auto"/>
                <w:kern w:val="0"/>
                <w:sz w:val="21"/>
                <w:szCs w:val="21"/>
                <w:lang w:val="zh-CN" w:eastAsia="zh-CN" w:bidi="ar"/>
              </w:rPr>
              <w:t>中国石油集团川庆钻探工程公司长庆井下咸阳工业园</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108" w:type="dxa"/>
            <w:bottom w:w="0" w:type="dxa"/>
            <w:right w:w="108" w:type="dxa"/>
          </w:tblCellMar>
        </w:tblPrEx>
        <w:trPr>
          <w:trHeight w:val="971" w:hRule="atLeast"/>
          <w:jc w:val="center"/>
        </w:trPr>
        <w:tc>
          <w:tcPr>
            <w:tcW w:w="1206"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备注</w:t>
            </w:r>
          </w:p>
        </w:tc>
        <w:tc>
          <w:tcPr>
            <w:tcW w:w="3793" w:type="pct"/>
            <w:gridSpan w:val="3"/>
            <w:noWrap w:val="0"/>
            <w:vAlign w:val="center"/>
          </w:tcPr>
          <w:p>
            <w:pPr>
              <w:widowControl/>
              <w:spacing w:line="240" w:lineRule="auto"/>
              <w:ind w:firstLine="0" w:firstLineChars="0"/>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color w:val="auto"/>
                <w:sz w:val="21"/>
                <w:szCs w:val="21"/>
              </w:rPr>
              <w:t>本企业于</w:t>
            </w:r>
            <w:r>
              <w:rPr>
                <w:rFonts w:hint="eastAsia" w:ascii="Times New Roman" w:hAnsi="Times New Roman" w:eastAsia="宋体" w:cs="Times New Roman"/>
                <w:color w:val="auto"/>
                <w:sz w:val="21"/>
                <w:szCs w:val="21"/>
                <w:lang w:val="en-US" w:eastAsia="zh-CN"/>
              </w:rPr>
              <w:t>1998</w:t>
            </w:r>
            <w:r>
              <w:rPr>
                <w:rFonts w:hint="default" w:ascii="Times New Roman" w:hAnsi="Times New Roman" w:eastAsia="宋体" w:cs="Times New Roman"/>
                <w:color w:val="auto"/>
                <w:sz w:val="21"/>
                <w:szCs w:val="21"/>
              </w:rPr>
              <w:t>年成立，无违法排放污染物，非法转移、处置危险废物等突发环境事件发生。</w:t>
            </w:r>
          </w:p>
        </w:tc>
      </w:tr>
    </w:tbl>
    <w:p>
      <w:pPr>
        <w:pStyle w:val="5"/>
        <w:spacing w:before="11"/>
        <w:rPr>
          <w:b/>
          <w:color w:val="auto"/>
          <w:sz w:val="6"/>
        </w:rPr>
      </w:pPr>
    </w:p>
    <w:p>
      <w:pPr>
        <w:pStyle w:val="2"/>
        <w:keepNext w:val="0"/>
        <w:keepLines w:val="0"/>
        <w:pageBreakBefore w:val="0"/>
        <w:widowControl w:val="0"/>
        <w:numPr>
          <w:ilvl w:val="2"/>
          <w:numId w:val="1"/>
        </w:numPr>
        <w:tabs>
          <w:tab w:val="left" w:pos="1377"/>
        </w:tabs>
        <w:kinsoku/>
        <w:wordWrap/>
        <w:overflowPunct/>
        <w:topLinePunct w:val="0"/>
        <w:autoSpaceDE w:val="0"/>
        <w:autoSpaceDN w:val="0"/>
        <w:bidi w:val="0"/>
        <w:adjustRightInd/>
        <w:snapToGrid/>
        <w:spacing w:before="224" w:after="0" w:afterLines="100" w:line="240" w:lineRule="auto"/>
        <w:ind w:left="1378" w:right="0" w:hanging="629"/>
        <w:jc w:val="left"/>
        <w:textAlignment w:val="auto"/>
        <w:rPr>
          <w:color w:val="auto"/>
        </w:rPr>
      </w:pPr>
      <w:bookmarkStart w:id="46" w:name="3.1.2自然地理概况"/>
      <w:bookmarkEnd w:id="46"/>
      <w:bookmarkStart w:id="47" w:name="3.1.2自然地理概况"/>
      <w:bookmarkEnd w:id="47"/>
      <w:r>
        <w:rPr>
          <w:color w:val="auto"/>
        </w:rPr>
        <w:t>自然地理概况</w:t>
      </w:r>
    </w:p>
    <w:p>
      <w:pPr>
        <w:autoSpaceDE/>
        <w:autoSpaceDN/>
        <w:spacing w:before="0" w:after="0" w:line="360" w:lineRule="auto"/>
        <w:ind w:left="0" w:right="0" w:firstLine="562" w:firstLineChars="200"/>
        <w:jc w:val="both"/>
        <w:rPr>
          <w:rFonts w:ascii="Times New Roman" w:hAnsi="Times New Roman" w:cs="Times New Roman"/>
          <w:b/>
          <w:bCs/>
          <w:color w:val="auto"/>
          <w:kern w:val="2"/>
          <w:sz w:val="28"/>
          <w:szCs w:val="20"/>
          <w:lang w:val="en-US" w:bidi="ar-SA"/>
        </w:rPr>
      </w:pPr>
      <w:bookmarkStart w:id="48" w:name="_Toc386465456"/>
      <w:r>
        <w:rPr>
          <w:rFonts w:ascii="Times New Roman" w:hAnsi="Times New Roman" w:cs="Times New Roman"/>
          <w:b/>
          <w:bCs/>
          <w:color w:val="auto"/>
          <w:kern w:val="2"/>
          <w:sz w:val="28"/>
          <w:szCs w:val="20"/>
          <w:lang w:val="zh-CN" w:bidi="ar-SA"/>
        </w:rPr>
        <w:t>（1）地理位置</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kern w:val="2"/>
          <w:sz w:val="28"/>
          <w:szCs w:val="28"/>
          <w:lang w:val="zh-CN" w:eastAsia="zh-CN" w:bidi="zh-CN"/>
        </w:rPr>
      </w:pPr>
      <w:r>
        <w:rPr>
          <w:rFonts w:hint="default" w:ascii="Times New Roman" w:hAnsi="Times New Roman" w:eastAsia="宋体" w:cs="Times New Roman"/>
          <w:color w:val="auto"/>
          <w:spacing w:val="3"/>
          <w:kern w:val="2"/>
          <w:sz w:val="28"/>
          <w:szCs w:val="28"/>
          <w:lang w:val="zh-CN" w:eastAsia="zh-CN" w:bidi="zh-CN"/>
        </w:rPr>
        <w:t>项目位于西咸新区秦汉新城，秦汉新城是陕西省委、省政府按照国务院《关中</w:t>
      </w:r>
      <w:r>
        <w:rPr>
          <w:rFonts w:hint="eastAsia" w:ascii="Times New Roman" w:hAnsi="Times New Roman" w:eastAsia="宋体" w:cs="Times New Roman"/>
          <w:color w:val="auto"/>
          <w:spacing w:val="3"/>
          <w:kern w:val="2"/>
          <w:sz w:val="28"/>
          <w:szCs w:val="28"/>
          <w:lang w:val="en-US" w:eastAsia="zh-CN" w:bidi="zh-CN"/>
        </w:rPr>
        <w:t>-</w:t>
      </w:r>
      <w:r>
        <w:rPr>
          <w:rFonts w:hint="default" w:ascii="Times New Roman" w:hAnsi="Times New Roman" w:eastAsia="宋体" w:cs="Times New Roman"/>
          <w:color w:val="auto"/>
          <w:spacing w:val="3"/>
          <w:kern w:val="2"/>
          <w:sz w:val="28"/>
          <w:szCs w:val="28"/>
          <w:lang w:val="zh-CN" w:eastAsia="zh-CN" w:bidi="zh-CN"/>
        </w:rPr>
        <w:t>天水经济区发展规划》要求，重新规划成立的西咸新区管委会五个组团之一，总面积291km</w:t>
      </w:r>
      <w:r>
        <w:rPr>
          <w:rFonts w:hint="default" w:ascii="Times New Roman" w:hAnsi="Times New Roman" w:eastAsia="宋体" w:cs="Times New Roman"/>
          <w:color w:val="auto"/>
          <w:spacing w:val="3"/>
          <w:kern w:val="2"/>
          <w:sz w:val="28"/>
          <w:szCs w:val="28"/>
          <w:vertAlign w:val="superscript"/>
          <w:lang w:val="zh-CN" w:eastAsia="zh-CN" w:bidi="zh-CN"/>
        </w:rPr>
        <w:t>2</w:t>
      </w:r>
      <w:r>
        <w:rPr>
          <w:rFonts w:hint="default" w:ascii="Times New Roman" w:hAnsi="Times New Roman" w:eastAsia="宋体" w:cs="Times New Roman"/>
          <w:color w:val="auto"/>
          <w:spacing w:val="3"/>
          <w:kern w:val="2"/>
          <w:sz w:val="28"/>
          <w:szCs w:val="28"/>
          <w:lang w:val="zh-CN" w:eastAsia="zh-CN" w:bidi="zh-CN"/>
        </w:rPr>
        <w:t>，包括渭城区的正阳、窑店全镇以及渭城、周陵镇的部分区域，秦都区的双照镇，兴平市南位镇，泾阳县高庄镇的部分区域。规划建设用地50km</w:t>
      </w:r>
      <w:r>
        <w:rPr>
          <w:rFonts w:hint="default" w:ascii="Times New Roman" w:hAnsi="Times New Roman" w:eastAsia="宋体" w:cs="Times New Roman"/>
          <w:color w:val="auto"/>
          <w:spacing w:val="3"/>
          <w:kern w:val="2"/>
          <w:sz w:val="28"/>
          <w:szCs w:val="28"/>
          <w:vertAlign w:val="superscript"/>
          <w:lang w:val="zh-CN" w:eastAsia="zh-CN" w:bidi="zh-CN"/>
        </w:rPr>
        <w:t>2</w:t>
      </w:r>
      <w:r>
        <w:rPr>
          <w:rFonts w:hint="default" w:ascii="Times New Roman" w:hAnsi="Times New Roman" w:eastAsia="宋体" w:cs="Times New Roman"/>
          <w:color w:val="auto"/>
          <w:spacing w:val="3"/>
          <w:kern w:val="2"/>
          <w:sz w:val="28"/>
          <w:szCs w:val="28"/>
          <w:lang w:val="zh-CN" w:eastAsia="zh-CN" w:bidi="zh-CN"/>
        </w:rPr>
        <w:t>，遗址保护区面积104km</w:t>
      </w:r>
      <w:r>
        <w:rPr>
          <w:rFonts w:hint="default" w:ascii="Times New Roman" w:hAnsi="Times New Roman" w:eastAsia="宋体" w:cs="Times New Roman"/>
          <w:color w:val="auto"/>
          <w:spacing w:val="3"/>
          <w:kern w:val="2"/>
          <w:sz w:val="28"/>
          <w:szCs w:val="28"/>
          <w:vertAlign w:val="superscript"/>
          <w:lang w:val="zh-CN" w:eastAsia="zh-CN" w:bidi="zh-CN"/>
        </w:rPr>
        <w:t>2</w:t>
      </w:r>
      <w:r>
        <w:rPr>
          <w:rFonts w:hint="default" w:ascii="Times New Roman" w:hAnsi="Times New Roman" w:eastAsia="宋体" w:cs="Times New Roman"/>
          <w:color w:val="auto"/>
          <w:spacing w:val="3"/>
          <w:kern w:val="2"/>
          <w:sz w:val="28"/>
          <w:szCs w:val="28"/>
          <w:lang w:val="zh-CN" w:eastAsia="zh-CN" w:bidi="zh-CN"/>
        </w:rPr>
        <w:t>。项目位于西咸新区秦汉新城。西北侧为中国石油集团川庆钻探工程公司长庆井下咸阳工业园，北侧紧邻陕西蓝星玻璃有限公司；南侧紧邻长陵路，长陵路南侧为商铺和烤烟厂家属院；西侧紧邻咸阳市渭城派出所和咸阳凯达机电设备有限公司；东侧为陕西玻璃厂社区西区和中国邮政储蓄银行东郊支行。</w:t>
      </w:r>
    </w:p>
    <w:p>
      <w:pPr>
        <w:autoSpaceDE/>
        <w:autoSpaceDN/>
        <w:spacing w:before="0" w:after="0" w:line="360" w:lineRule="auto"/>
        <w:ind w:left="0" w:right="0" w:firstLine="562" w:firstLineChars="200"/>
        <w:jc w:val="both"/>
        <w:rPr>
          <w:rFonts w:ascii="Times New Roman" w:hAnsi="Times New Roman" w:cs="Times New Roman"/>
          <w:b/>
          <w:bCs/>
          <w:color w:val="auto"/>
          <w:kern w:val="2"/>
          <w:sz w:val="28"/>
          <w:szCs w:val="20"/>
          <w:lang w:val="en-US" w:bidi="ar-SA"/>
        </w:rPr>
      </w:pPr>
      <w:r>
        <w:rPr>
          <w:rFonts w:ascii="Times New Roman" w:hAnsi="Times New Roman" w:cs="Times New Roman"/>
          <w:b/>
          <w:bCs/>
          <w:color w:val="auto"/>
          <w:kern w:val="2"/>
          <w:sz w:val="28"/>
          <w:szCs w:val="20"/>
          <w:lang w:val="en-US" w:bidi="ar-SA"/>
        </w:rPr>
        <w:t>（2）地形地貌</w:t>
      </w:r>
    </w:p>
    <w:p>
      <w:pPr>
        <w:autoSpaceDE/>
        <w:autoSpaceDN/>
        <w:spacing w:before="0" w:after="0" w:line="360" w:lineRule="auto"/>
        <w:ind w:left="0" w:right="0" w:firstLine="572" w:firstLineChars="200"/>
        <w:jc w:val="both"/>
        <w:rPr>
          <w:rFonts w:hint="default" w:ascii="Times New Roman" w:hAnsi="Times New Roman" w:eastAsia="宋体" w:cs="Times New Roman"/>
          <w:color w:val="auto"/>
          <w:spacing w:val="3"/>
          <w:kern w:val="2"/>
          <w:sz w:val="28"/>
          <w:szCs w:val="28"/>
          <w:lang w:val="zh-CN" w:eastAsia="zh-CN" w:bidi="zh-CN"/>
        </w:rPr>
      </w:pPr>
      <w:r>
        <w:rPr>
          <w:rFonts w:hint="default" w:ascii="Times New Roman" w:hAnsi="Times New Roman" w:eastAsia="宋体" w:cs="Times New Roman"/>
          <w:color w:val="auto"/>
          <w:spacing w:val="3"/>
          <w:kern w:val="2"/>
          <w:sz w:val="28"/>
          <w:szCs w:val="28"/>
          <w:lang w:val="zh-CN" w:eastAsia="zh-CN" w:bidi="zh-CN"/>
        </w:rPr>
        <w:t>秦汉新城地处新生代渭河断陷盆地中部，地势西北高，东南低，北部黄土台原最高，海拔527m；南部渭河平原最低，海拔380m，高差147m，从北至南呈阶梯状向渭河倾斜。地貌分为黄土台原和渭河平原两部分，黄土台原原面开阔，土层深厚，主产粮、棉兼其他经济作物。渭河平原地势平坦，土质肥沃，井渠密布，旱涝保收，是蔬菜、棉、油等经济作物区。</w:t>
      </w:r>
    </w:p>
    <w:p>
      <w:pPr>
        <w:autoSpaceDE/>
        <w:autoSpaceDN/>
        <w:spacing w:before="0" w:after="0" w:line="360" w:lineRule="auto"/>
        <w:ind w:left="0" w:right="0" w:firstLine="562" w:firstLineChars="200"/>
        <w:jc w:val="both"/>
        <w:rPr>
          <w:rFonts w:ascii="Times New Roman" w:hAnsi="Times New Roman" w:cs="Times New Roman"/>
          <w:b/>
          <w:bCs/>
          <w:color w:val="auto"/>
          <w:kern w:val="2"/>
          <w:sz w:val="28"/>
          <w:szCs w:val="20"/>
          <w:lang w:val="en-US" w:bidi="ar-SA"/>
        </w:rPr>
      </w:pPr>
      <w:r>
        <w:rPr>
          <w:rFonts w:ascii="Times New Roman" w:hAnsi="Times New Roman" w:cs="Times New Roman"/>
          <w:b/>
          <w:bCs/>
          <w:color w:val="auto"/>
          <w:kern w:val="2"/>
          <w:sz w:val="28"/>
          <w:szCs w:val="20"/>
          <w:lang w:val="en-US" w:bidi="ar-SA"/>
        </w:rPr>
        <w:t>（3）气候、气象特征</w:t>
      </w:r>
    </w:p>
    <w:p>
      <w:pPr>
        <w:autoSpaceDE/>
        <w:autoSpaceDN/>
        <w:spacing w:before="0" w:after="0" w:line="360" w:lineRule="auto"/>
        <w:ind w:left="0" w:right="0" w:firstLine="572" w:firstLineChars="200"/>
        <w:jc w:val="both"/>
        <w:rPr>
          <w:rFonts w:hint="default" w:ascii="Times New Roman" w:hAnsi="Times New Roman" w:eastAsia="宋体" w:cs="Times New Roman"/>
          <w:color w:val="auto"/>
          <w:spacing w:val="3"/>
          <w:kern w:val="2"/>
          <w:sz w:val="28"/>
          <w:szCs w:val="28"/>
          <w:lang w:val="zh-CN" w:eastAsia="zh-CN" w:bidi="zh-CN"/>
        </w:rPr>
      </w:pPr>
      <w:r>
        <w:rPr>
          <w:rFonts w:hint="default" w:ascii="Times New Roman" w:hAnsi="Times New Roman" w:eastAsia="宋体" w:cs="Times New Roman"/>
          <w:color w:val="auto"/>
          <w:spacing w:val="3"/>
          <w:kern w:val="2"/>
          <w:sz w:val="28"/>
          <w:szCs w:val="28"/>
          <w:lang w:val="zh-CN" w:eastAsia="zh-CN" w:bidi="zh-CN"/>
        </w:rPr>
        <w:t>秦汉新城地处暖温带，属大陆性季风气候，四季冷热干湿分明。春季少雨，夏季伏旱，秋凉雨霖，冬寒干燥，气候温和，光、热、水资源丰富，利于农林牧副渔各业发展。年均降水量537-650mm，年平均温度9-13.2摄氏度，全年太阳辐射4.61*109-4.99*109焦耳/平方米。年累计光照时数为2017.2-2346.9小时，6、7、8三个月的日照时数约占全年的32%。</w:t>
      </w:r>
    </w:p>
    <w:p>
      <w:pPr>
        <w:autoSpaceDE/>
        <w:autoSpaceDN/>
        <w:spacing w:before="0" w:after="0" w:line="360" w:lineRule="auto"/>
        <w:ind w:left="0" w:right="0" w:firstLine="562" w:firstLineChars="200"/>
        <w:jc w:val="both"/>
        <w:rPr>
          <w:rFonts w:ascii="Times New Roman" w:hAnsi="Times New Roman" w:cs="Times New Roman"/>
          <w:b/>
          <w:bCs/>
          <w:color w:val="auto"/>
          <w:kern w:val="2"/>
          <w:sz w:val="28"/>
          <w:szCs w:val="20"/>
          <w:lang w:val="en-US" w:bidi="ar-SA"/>
        </w:rPr>
      </w:pPr>
      <w:r>
        <w:rPr>
          <w:rFonts w:ascii="Times New Roman" w:hAnsi="Times New Roman" w:cs="Times New Roman"/>
          <w:b/>
          <w:bCs/>
          <w:color w:val="auto"/>
          <w:kern w:val="2"/>
          <w:sz w:val="28"/>
          <w:szCs w:val="20"/>
          <w:lang w:val="en-US" w:bidi="ar-SA"/>
        </w:rPr>
        <w:t>（4）水文特征</w:t>
      </w:r>
    </w:p>
    <w:p>
      <w:pPr>
        <w:autoSpaceDE/>
        <w:autoSpaceDN/>
        <w:spacing w:before="0" w:after="0" w:line="360" w:lineRule="auto"/>
        <w:ind w:left="0" w:right="0" w:firstLine="572" w:firstLineChars="200"/>
        <w:jc w:val="both"/>
        <w:rPr>
          <w:rFonts w:hint="default" w:ascii="Times New Roman" w:hAnsi="Times New Roman" w:eastAsia="宋体" w:cs="Times New Roman"/>
          <w:color w:val="auto"/>
          <w:spacing w:val="3"/>
          <w:kern w:val="2"/>
          <w:sz w:val="28"/>
          <w:szCs w:val="28"/>
          <w:lang w:val="zh-CN" w:eastAsia="zh-CN" w:bidi="zh-CN"/>
        </w:rPr>
      </w:pPr>
      <w:r>
        <w:rPr>
          <w:rFonts w:hint="default" w:ascii="Times New Roman" w:hAnsi="Times New Roman" w:eastAsia="宋体" w:cs="Times New Roman"/>
          <w:color w:val="auto"/>
          <w:spacing w:val="3"/>
          <w:kern w:val="2"/>
          <w:sz w:val="28"/>
          <w:szCs w:val="28"/>
          <w:lang w:val="zh-CN" w:eastAsia="zh-CN" w:bidi="zh-CN"/>
        </w:rPr>
        <w:t>主要河流有渭、沣、沙、新、泥、白马、斗门7条，均属渭河水系。渭河，西东流向，由兴平县入境，境内流长19公里，常流量183立方米/秒。沣河流量不大；沙、新等河属季节性河流。秦汉新城内部的水利工程有宝鸡峡塬下北高干渠位：泾阳县县内有宝鸡峡灌区支渠6支，总长29776m；其中宝鸡峡塬下高干渠位于秦汉新城中部，东西贯穿新城。秦汉新城地下300m以内皆为第四纪松散堆积物，含水岩性为砂、砂砾卵石和部分黄土。潜水含水岩底板埋深45-75m；浅层承压水含水岩底板埋深170-200m；深层承压水含水岩底板埋深280-300m。</w:t>
      </w:r>
    </w:p>
    <w:p>
      <w:pPr>
        <w:autoSpaceDE/>
        <w:autoSpaceDN/>
        <w:spacing w:before="0" w:after="0" w:line="360" w:lineRule="auto"/>
        <w:ind w:left="0" w:right="0" w:firstLine="562" w:firstLineChars="200"/>
        <w:jc w:val="both"/>
        <w:rPr>
          <w:rFonts w:ascii="Times New Roman" w:hAnsi="Times New Roman" w:cs="Times New Roman"/>
          <w:b/>
          <w:bCs/>
          <w:color w:val="auto"/>
          <w:kern w:val="2"/>
          <w:sz w:val="28"/>
          <w:szCs w:val="20"/>
          <w:lang w:val="en-US" w:bidi="ar-SA"/>
        </w:rPr>
      </w:pPr>
      <w:r>
        <w:rPr>
          <w:rFonts w:ascii="Times New Roman" w:hAnsi="Times New Roman" w:cs="Times New Roman"/>
          <w:b/>
          <w:bCs/>
          <w:color w:val="auto"/>
          <w:kern w:val="2"/>
          <w:sz w:val="28"/>
          <w:szCs w:val="20"/>
          <w:lang w:val="en-US" w:bidi="ar-SA"/>
        </w:rPr>
        <w:t>（5）植被及生物多样性</w:t>
      </w:r>
    </w:p>
    <w:p>
      <w:pPr>
        <w:autoSpaceDE/>
        <w:autoSpaceDN/>
        <w:spacing w:before="0" w:after="0" w:line="360" w:lineRule="auto"/>
        <w:ind w:left="0" w:right="0" w:firstLine="572" w:firstLineChars="200"/>
        <w:jc w:val="both"/>
        <w:rPr>
          <w:rFonts w:hint="default" w:ascii="Times New Roman" w:hAnsi="Times New Roman" w:eastAsia="宋体" w:cs="Times New Roman"/>
          <w:color w:val="auto"/>
          <w:spacing w:val="3"/>
          <w:kern w:val="2"/>
          <w:sz w:val="28"/>
          <w:szCs w:val="28"/>
          <w:lang w:val="zh-CN" w:eastAsia="zh-CN" w:bidi="zh-CN"/>
        </w:rPr>
      </w:pPr>
      <w:r>
        <w:rPr>
          <w:rFonts w:hint="default" w:ascii="Times New Roman" w:hAnsi="Times New Roman" w:eastAsia="宋体" w:cs="Times New Roman"/>
          <w:color w:val="auto"/>
          <w:spacing w:val="3"/>
          <w:kern w:val="2"/>
          <w:sz w:val="28"/>
          <w:szCs w:val="28"/>
          <w:lang w:val="zh-CN" w:eastAsia="zh-CN" w:bidi="zh-CN"/>
        </w:rPr>
        <w:t>项目所在区主要植被类型分自然植被、人工植被两大类。项目所在地主要为人工植被。</w:t>
      </w:r>
    </w:p>
    <w:bookmarkEnd w:id="48"/>
    <w:p>
      <w:pPr>
        <w:pStyle w:val="5"/>
        <w:spacing w:before="10"/>
        <w:rPr>
          <w:color w:val="auto"/>
          <w:sz w:val="9"/>
        </w:rPr>
      </w:pPr>
    </w:p>
    <w:p>
      <w:pPr>
        <w:pStyle w:val="2"/>
        <w:keepNext w:val="0"/>
        <w:keepLines w:val="0"/>
        <w:pageBreakBefore w:val="0"/>
        <w:widowControl w:val="0"/>
        <w:numPr>
          <w:ilvl w:val="2"/>
          <w:numId w:val="1"/>
        </w:numPr>
        <w:tabs>
          <w:tab w:val="left" w:pos="1377"/>
        </w:tabs>
        <w:kinsoku/>
        <w:wordWrap/>
        <w:overflowPunct/>
        <w:topLinePunct w:val="0"/>
        <w:autoSpaceDE w:val="0"/>
        <w:autoSpaceDN w:val="0"/>
        <w:bidi w:val="0"/>
        <w:adjustRightInd/>
        <w:snapToGrid/>
        <w:spacing w:before="0" w:after="0" w:afterLines="100" w:line="358" w:lineRule="exact"/>
        <w:ind w:left="1378" w:right="0" w:hanging="629"/>
        <w:jc w:val="left"/>
        <w:textAlignment w:val="auto"/>
        <w:rPr>
          <w:color w:val="auto"/>
        </w:rPr>
      </w:pPr>
      <w:bookmarkStart w:id="49" w:name="3.1.3环境功能分区"/>
      <w:bookmarkEnd w:id="49"/>
      <w:bookmarkStart w:id="50" w:name="3.1.3环境功能分区"/>
      <w:bookmarkEnd w:id="50"/>
      <w:r>
        <w:rPr>
          <w:color w:val="auto"/>
        </w:rPr>
        <w:t>环境功能分区</w:t>
      </w:r>
    </w:p>
    <w:p>
      <w:pPr>
        <w:autoSpaceDE/>
        <w:autoSpaceDN/>
        <w:spacing w:before="0" w:after="0" w:line="360" w:lineRule="auto"/>
        <w:ind w:left="0" w:right="0" w:firstLine="574" w:firstLineChars="200"/>
        <w:jc w:val="both"/>
        <w:rPr>
          <w:rFonts w:hint="default" w:ascii="Times New Roman" w:hAnsi="Times New Roman" w:eastAsia="宋体" w:cs="Times New Roman"/>
          <w:b/>
          <w:bCs/>
          <w:color w:val="auto"/>
          <w:spacing w:val="3"/>
          <w:kern w:val="2"/>
          <w:sz w:val="28"/>
          <w:szCs w:val="28"/>
          <w:lang w:val="zh-CN" w:eastAsia="zh-CN" w:bidi="zh-CN"/>
        </w:rPr>
      </w:pPr>
      <w:r>
        <w:rPr>
          <w:rFonts w:hint="default" w:ascii="Times New Roman" w:hAnsi="Times New Roman" w:eastAsia="宋体" w:cs="Times New Roman"/>
          <w:b/>
          <w:bCs/>
          <w:color w:val="auto"/>
          <w:spacing w:val="3"/>
          <w:kern w:val="2"/>
          <w:sz w:val="28"/>
          <w:szCs w:val="28"/>
          <w:lang w:val="zh-CN" w:eastAsia="zh-CN" w:bidi="zh-CN"/>
        </w:rPr>
        <w:t>（1）环境空气功能区划</w:t>
      </w:r>
    </w:p>
    <w:p>
      <w:pPr>
        <w:autoSpaceDE/>
        <w:autoSpaceDN/>
        <w:spacing w:before="0" w:after="0" w:line="360" w:lineRule="auto"/>
        <w:ind w:left="0" w:right="0" w:firstLine="572" w:firstLineChars="200"/>
        <w:jc w:val="both"/>
        <w:rPr>
          <w:rFonts w:hint="default" w:ascii="Times New Roman" w:hAnsi="Times New Roman" w:eastAsia="宋体" w:cs="Times New Roman"/>
          <w:strike/>
          <w:dstrike w:val="0"/>
          <w:color w:val="auto"/>
          <w:spacing w:val="3"/>
          <w:kern w:val="2"/>
          <w:sz w:val="28"/>
          <w:szCs w:val="28"/>
          <w:lang w:val="zh-CN" w:eastAsia="zh-CN" w:bidi="zh-CN"/>
        </w:rPr>
      </w:pPr>
      <w:r>
        <w:rPr>
          <w:rFonts w:hint="default" w:ascii="Times New Roman" w:hAnsi="Times New Roman" w:eastAsia="宋体" w:cs="Times New Roman"/>
          <w:color w:val="auto"/>
          <w:spacing w:val="3"/>
          <w:kern w:val="2"/>
          <w:sz w:val="28"/>
          <w:szCs w:val="28"/>
          <w:lang w:val="zh-CN" w:eastAsia="zh-CN" w:bidi="zh-CN"/>
        </w:rPr>
        <w:t>企业所在区域，周边无自然保护区、风景名胜区等特殊保护区，依据环境空气质量功能区的分类，属二类区。</w:t>
      </w:r>
    </w:p>
    <w:p>
      <w:pPr>
        <w:autoSpaceDE/>
        <w:autoSpaceDN/>
        <w:spacing w:before="0" w:after="0" w:line="360" w:lineRule="auto"/>
        <w:ind w:left="0" w:right="0" w:firstLine="574" w:firstLineChars="200"/>
        <w:jc w:val="both"/>
        <w:rPr>
          <w:rFonts w:hint="default" w:ascii="Times New Roman" w:hAnsi="Times New Roman" w:eastAsia="宋体" w:cs="Times New Roman"/>
          <w:b/>
          <w:bCs/>
          <w:color w:val="auto"/>
          <w:spacing w:val="3"/>
          <w:kern w:val="2"/>
          <w:sz w:val="28"/>
          <w:szCs w:val="28"/>
          <w:lang w:val="zh-CN" w:eastAsia="zh-CN" w:bidi="zh-CN"/>
        </w:rPr>
      </w:pPr>
      <w:r>
        <w:rPr>
          <w:rFonts w:hint="default" w:ascii="Times New Roman" w:hAnsi="Times New Roman" w:eastAsia="宋体" w:cs="Times New Roman"/>
          <w:b/>
          <w:bCs/>
          <w:color w:val="auto"/>
          <w:spacing w:val="3"/>
          <w:kern w:val="2"/>
          <w:sz w:val="28"/>
          <w:szCs w:val="28"/>
          <w:lang w:val="zh-CN" w:eastAsia="zh-CN" w:bidi="zh-CN"/>
        </w:rPr>
        <w:t>（2）地表水环境功能区划</w:t>
      </w:r>
    </w:p>
    <w:p>
      <w:pPr>
        <w:autoSpaceDE/>
        <w:autoSpaceDN/>
        <w:spacing w:before="0" w:after="0" w:line="360" w:lineRule="auto"/>
        <w:ind w:left="0" w:right="0" w:firstLine="572" w:firstLineChars="200"/>
        <w:jc w:val="both"/>
        <w:rPr>
          <w:rFonts w:hint="default" w:ascii="Times New Roman" w:hAnsi="Times New Roman" w:eastAsia="宋体" w:cs="Times New Roman"/>
          <w:color w:val="auto"/>
          <w:spacing w:val="3"/>
          <w:kern w:val="2"/>
          <w:sz w:val="28"/>
          <w:szCs w:val="28"/>
          <w:lang w:val="zh-CN" w:eastAsia="zh-CN" w:bidi="zh-CN"/>
        </w:rPr>
      </w:pPr>
      <w:r>
        <w:rPr>
          <w:rFonts w:hint="default" w:ascii="Times New Roman" w:hAnsi="Times New Roman" w:eastAsia="宋体" w:cs="Times New Roman"/>
          <w:color w:val="auto"/>
          <w:spacing w:val="3"/>
          <w:kern w:val="2"/>
          <w:sz w:val="28"/>
          <w:szCs w:val="28"/>
          <w:lang w:val="zh-CN" w:eastAsia="zh-CN" w:bidi="zh-CN"/>
        </w:rPr>
        <w:t>企业最近地表水体为渭河，根据《陕西省水功能区划》，渭河地表水环境质量功能为Ⅳ类。</w:t>
      </w:r>
    </w:p>
    <w:p>
      <w:pPr>
        <w:autoSpaceDE/>
        <w:autoSpaceDN/>
        <w:spacing w:before="0" w:after="0" w:line="360" w:lineRule="auto"/>
        <w:ind w:left="0" w:right="0" w:firstLine="574" w:firstLineChars="200"/>
        <w:jc w:val="both"/>
        <w:rPr>
          <w:rFonts w:hint="default" w:ascii="Times New Roman" w:hAnsi="Times New Roman" w:eastAsia="宋体" w:cs="Times New Roman"/>
          <w:b/>
          <w:bCs/>
          <w:color w:val="auto"/>
          <w:spacing w:val="3"/>
          <w:kern w:val="2"/>
          <w:sz w:val="28"/>
          <w:szCs w:val="28"/>
          <w:lang w:val="zh-CN" w:eastAsia="zh-CN" w:bidi="zh-CN"/>
        </w:rPr>
      </w:pPr>
      <w:r>
        <w:rPr>
          <w:rFonts w:hint="default" w:ascii="Times New Roman" w:hAnsi="Times New Roman" w:eastAsia="宋体" w:cs="Times New Roman"/>
          <w:b/>
          <w:bCs/>
          <w:color w:val="auto"/>
          <w:spacing w:val="3"/>
          <w:kern w:val="2"/>
          <w:sz w:val="28"/>
          <w:szCs w:val="28"/>
          <w:lang w:val="zh-CN" w:eastAsia="zh-CN" w:bidi="zh-CN"/>
        </w:rPr>
        <w:t>（3）地下水功能区划</w:t>
      </w:r>
    </w:p>
    <w:p>
      <w:pPr>
        <w:autoSpaceDE/>
        <w:autoSpaceDN/>
        <w:spacing w:before="0" w:after="0" w:line="360" w:lineRule="auto"/>
        <w:ind w:left="0" w:right="0" w:firstLine="572" w:firstLineChars="200"/>
        <w:jc w:val="both"/>
        <w:rPr>
          <w:rFonts w:hint="default" w:ascii="Times New Roman" w:hAnsi="Times New Roman" w:eastAsia="宋体" w:cs="Times New Roman"/>
          <w:color w:val="auto"/>
          <w:spacing w:val="3"/>
          <w:kern w:val="2"/>
          <w:sz w:val="28"/>
          <w:szCs w:val="28"/>
          <w:lang w:val="zh-CN" w:eastAsia="zh-CN" w:bidi="zh-CN"/>
        </w:rPr>
      </w:pPr>
      <w:r>
        <w:rPr>
          <w:rFonts w:hint="default" w:ascii="Times New Roman" w:hAnsi="Times New Roman" w:eastAsia="宋体" w:cs="Times New Roman"/>
          <w:color w:val="auto"/>
          <w:spacing w:val="3"/>
          <w:kern w:val="2"/>
          <w:sz w:val="28"/>
          <w:szCs w:val="28"/>
          <w:lang w:val="zh-CN" w:eastAsia="zh-CN" w:bidi="zh-CN"/>
        </w:rPr>
        <w:t>根据《地下水质量标准》（GB/T14848-2017），地下水质量分类</w:t>
      </w:r>
      <w:r>
        <w:rPr>
          <w:rFonts w:hint="eastAsia" w:ascii="Times New Roman" w:hAnsi="Times New Roman" w:eastAsia="宋体" w:cs="Times New Roman"/>
          <w:color w:val="auto"/>
          <w:spacing w:val="3"/>
          <w:kern w:val="2"/>
          <w:sz w:val="28"/>
          <w:szCs w:val="28"/>
          <w:lang w:val="zh-CN" w:eastAsia="zh-CN" w:bidi="zh-CN"/>
        </w:rPr>
        <w:t>“</w:t>
      </w:r>
      <w:r>
        <w:rPr>
          <w:rFonts w:hint="default" w:ascii="Times New Roman" w:hAnsi="Times New Roman" w:eastAsia="宋体" w:cs="Times New Roman"/>
          <w:color w:val="auto"/>
          <w:spacing w:val="3"/>
          <w:kern w:val="2"/>
          <w:sz w:val="28"/>
          <w:szCs w:val="28"/>
          <w:lang w:val="zh-CN" w:eastAsia="zh-CN" w:bidi="zh-CN"/>
        </w:rPr>
        <w:t>以人体健康基准值为依据</w:t>
      </w:r>
      <w:r>
        <w:rPr>
          <w:rFonts w:hint="eastAsia" w:ascii="Times New Roman" w:hAnsi="Times New Roman" w:eastAsia="宋体" w:cs="Times New Roman"/>
          <w:color w:val="auto"/>
          <w:spacing w:val="3"/>
          <w:kern w:val="2"/>
          <w:sz w:val="28"/>
          <w:szCs w:val="28"/>
          <w:lang w:val="zh-CN" w:eastAsia="zh-CN" w:bidi="zh-CN"/>
        </w:rPr>
        <w:t>”</w:t>
      </w:r>
      <w:r>
        <w:rPr>
          <w:rFonts w:hint="default" w:ascii="Times New Roman" w:hAnsi="Times New Roman" w:eastAsia="宋体" w:cs="Times New Roman"/>
          <w:color w:val="auto"/>
          <w:spacing w:val="3"/>
          <w:kern w:val="2"/>
          <w:sz w:val="28"/>
          <w:szCs w:val="28"/>
          <w:lang w:val="zh-CN" w:eastAsia="zh-CN" w:bidi="zh-CN"/>
        </w:rPr>
        <w:t>的要求，主要适用于集中式生活饮用水水源及工、农业用水的地下水为Ⅲ类水质，执行《地下水质量标准》（GB/T14848-2017）中的Ⅲ类标准。项目地下水满足Ⅲ类标准。</w:t>
      </w:r>
    </w:p>
    <w:p>
      <w:pPr>
        <w:pStyle w:val="3"/>
        <w:numPr>
          <w:ilvl w:val="1"/>
          <w:numId w:val="1"/>
        </w:numPr>
        <w:tabs>
          <w:tab w:val="left" w:pos="1308"/>
        </w:tabs>
        <w:spacing w:before="64" w:after="0" w:line="240" w:lineRule="auto"/>
        <w:ind w:left="919" w:leftChars="0" w:right="0" w:hanging="481" w:firstLineChars="0"/>
        <w:jc w:val="both"/>
        <w:outlineLvl w:val="0"/>
        <w:rPr>
          <w:color w:val="auto"/>
        </w:rPr>
      </w:pPr>
      <w:bookmarkStart w:id="51" w:name="3.2企业周边环境风险受体情况"/>
      <w:bookmarkEnd w:id="51"/>
      <w:bookmarkStart w:id="52" w:name="_bookmark7"/>
      <w:bookmarkEnd w:id="52"/>
      <w:bookmarkStart w:id="53" w:name="_Toc20816"/>
      <w:bookmarkStart w:id="54" w:name="_Toc21362"/>
      <w:r>
        <w:rPr>
          <w:color w:val="auto"/>
        </w:rPr>
        <w:t>企业周边环境风险受体情况</w:t>
      </w:r>
      <w:bookmarkEnd w:id="53"/>
      <w:bookmarkEnd w:id="54"/>
    </w:p>
    <w:p>
      <w:pPr>
        <w:pStyle w:val="2"/>
        <w:keepNext w:val="0"/>
        <w:keepLines w:val="0"/>
        <w:pageBreakBefore w:val="0"/>
        <w:widowControl w:val="0"/>
        <w:numPr>
          <w:ilvl w:val="2"/>
          <w:numId w:val="1"/>
        </w:numPr>
        <w:tabs>
          <w:tab w:val="left" w:pos="1377"/>
        </w:tabs>
        <w:kinsoku/>
        <w:wordWrap/>
        <w:overflowPunct/>
        <w:topLinePunct w:val="0"/>
        <w:autoSpaceDE w:val="0"/>
        <w:autoSpaceDN w:val="0"/>
        <w:bidi w:val="0"/>
        <w:adjustRightInd w:val="0"/>
        <w:snapToGrid w:val="0"/>
        <w:spacing w:before="240" w:after="0" w:afterLines="100" w:line="240" w:lineRule="auto"/>
        <w:ind w:left="1378" w:right="0" w:hanging="629"/>
        <w:jc w:val="both"/>
        <w:textAlignment w:val="auto"/>
        <w:rPr>
          <w:color w:val="auto"/>
        </w:rPr>
      </w:pPr>
      <w:bookmarkStart w:id="55" w:name="3.2.1环境保护目标"/>
      <w:bookmarkEnd w:id="55"/>
      <w:bookmarkStart w:id="56" w:name="3.2.1环境保护目标"/>
      <w:bookmarkEnd w:id="56"/>
      <w:r>
        <w:rPr>
          <w:color w:val="auto"/>
        </w:rPr>
        <w:t>环境保护目标</w:t>
      </w:r>
    </w:p>
    <w:p>
      <w:pPr>
        <w:pStyle w:val="5"/>
        <w:spacing w:before="4" w:line="360" w:lineRule="auto"/>
        <w:ind w:left="186" w:right="390" w:firstLine="561"/>
        <w:jc w:val="both"/>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经调查，企业周边无珍稀、濒危、保护类生态物种，也无文物古迹、风景名胜、自然保护区、饮用水源地保护区等敏感目标，项目环境保护目标见表 3.2-1，企业周边环境受体分布情况见附图。</w:t>
      </w:r>
    </w:p>
    <w:p>
      <w:pPr>
        <w:keepNext w:val="0"/>
        <w:keepLines w:val="0"/>
        <w:pageBreakBefore w:val="0"/>
        <w:widowControl w:val="0"/>
        <w:tabs>
          <w:tab w:val="left" w:pos="1039"/>
        </w:tabs>
        <w:kinsoku/>
        <w:wordWrap/>
        <w:overflowPunct/>
        <w:topLinePunct w:val="0"/>
        <w:autoSpaceDE w:val="0"/>
        <w:autoSpaceDN w:val="0"/>
        <w:bidi w:val="0"/>
        <w:adjustRightInd w:val="0"/>
        <w:snapToGrid w:val="0"/>
        <w:spacing w:before="20" w:line="360" w:lineRule="auto"/>
        <w:ind w:left="0" w:right="0" w:firstLine="0"/>
        <w:jc w:val="center"/>
        <w:textAlignment w:val="auto"/>
        <w:rPr>
          <w:b/>
          <w:color w:val="auto"/>
          <w:sz w:val="24"/>
        </w:rPr>
      </w:pPr>
      <w:r>
        <w:rPr>
          <w:rFonts w:hint="eastAsia" w:ascii="宋体" w:eastAsia="宋体"/>
          <w:b/>
          <w:color w:val="auto"/>
          <w:sz w:val="24"/>
        </w:rPr>
        <w:t>表</w:t>
      </w:r>
      <w:r>
        <w:rPr>
          <w:rFonts w:hint="eastAsia" w:ascii="宋体" w:eastAsia="宋体"/>
          <w:b/>
          <w:color w:val="auto"/>
          <w:spacing w:val="-62"/>
          <w:sz w:val="24"/>
        </w:rPr>
        <w:t xml:space="preserve"> </w:t>
      </w:r>
      <w:r>
        <w:rPr>
          <w:rFonts w:ascii="Times New Roman" w:eastAsia="Times New Roman"/>
          <w:b/>
          <w:color w:val="auto"/>
          <w:sz w:val="24"/>
        </w:rPr>
        <w:t>3.2-1</w:t>
      </w:r>
      <w:r>
        <w:rPr>
          <w:rFonts w:ascii="Times New Roman" w:eastAsia="Times New Roman"/>
          <w:b/>
          <w:color w:val="auto"/>
          <w:sz w:val="24"/>
        </w:rPr>
        <w:tab/>
      </w:r>
      <w:r>
        <w:rPr>
          <w:b/>
          <w:color w:val="auto"/>
          <w:sz w:val="24"/>
        </w:rPr>
        <w:t>本企业周边敏感点分布表</w:t>
      </w:r>
    </w:p>
    <w:tbl>
      <w:tblPr>
        <w:tblStyle w:val="13"/>
        <w:tblW w:w="4998" w:type="pct"/>
        <w:jc w:val="center"/>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933"/>
        <w:gridCol w:w="1801"/>
        <w:gridCol w:w="632"/>
        <w:gridCol w:w="1084"/>
        <w:gridCol w:w="1578"/>
        <w:gridCol w:w="2489"/>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108" w:type="dxa"/>
            <w:bottom w:w="0" w:type="dxa"/>
            <w:right w:w="108" w:type="dxa"/>
          </w:tblCellMar>
        </w:tblPrEx>
        <w:trPr>
          <w:trHeight w:val="757" w:hRule="atLeast"/>
          <w:jc w:val="center"/>
        </w:trPr>
        <w:tc>
          <w:tcPr>
            <w:tcW w:w="548"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类别</w:t>
            </w:r>
          </w:p>
        </w:tc>
        <w:tc>
          <w:tcPr>
            <w:tcW w:w="1057"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环境保护目标</w:t>
            </w:r>
          </w:p>
        </w:tc>
        <w:tc>
          <w:tcPr>
            <w:tcW w:w="371"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方位</w:t>
            </w:r>
          </w:p>
        </w:tc>
        <w:tc>
          <w:tcPr>
            <w:tcW w:w="636"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与项目边界最近距离（m）</w:t>
            </w:r>
          </w:p>
        </w:tc>
        <w:tc>
          <w:tcPr>
            <w:tcW w:w="926"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规模</w:t>
            </w:r>
          </w:p>
        </w:tc>
        <w:tc>
          <w:tcPr>
            <w:tcW w:w="1458"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保护级别</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108" w:type="dxa"/>
            <w:bottom w:w="0" w:type="dxa"/>
            <w:right w:w="108" w:type="dxa"/>
          </w:tblCellMar>
        </w:tblPrEx>
        <w:trPr>
          <w:trHeight w:val="412" w:hRule="atLeast"/>
          <w:jc w:val="center"/>
        </w:trPr>
        <w:tc>
          <w:tcPr>
            <w:tcW w:w="548" w:type="pct"/>
            <w:vMerge w:val="restar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环境空气、声环境</w:t>
            </w:r>
          </w:p>
        </w:tc>
        <w:tc>
          <w:tcPr>
            <w:tcW w:w="1057"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val="en-US" w:eastAsia="zh-CN"/>
              </w:rPr>
              <w:t>陕西玻璃厂社区西区</w:t>
            </w:r>
          </w:p>
        </w:tc>
        <w:tc>
          <w:tcPr>
            <w:tcW w:w="371"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E</w:t>
            </w:r>
          </w:p>
        </w:tc>
        <w:tc>
          <w:tcPr>
            <w:tcW w:w="636"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val="en-US" w:eastAsia="zh-CN"/>
              </w:rPr>
              <w:t>紧邻</w:t>
            </w:r>
          </w:p>
        </w:tc>
        <w:tc>
          <w:tcPr>
            <w:tcW w:w="926"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400户，2000人</w:t>
            </w:r>
          </w:p>
        </w:tc>
        <w:tc>
          <w:tcPr>
            <w:tcW w:w="1458" w:type="pct"/>
            <w:vMerge w:val="restar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《环境空气质量标准》（GB3095-2012）中的二级标准；《声环境质量标准》(GB3096-2008)2类标准</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108" w:type="dxa"/>
            <w:bottom w:w="0" w:type="dxa"/>
            <w:right w:w="108" w:type="dxa"/>
          </w:tblCellMar>
        </w:tblPrEx>
        <w:trPr>
          <w:trHeight w:val="412" w:hRule="atLeast"/>
          <w:jc w:val="center"/>
        </w:trPr>
        <w:tc>
          <w:tcPr>
            <w:tcW w:w="548" w:type="pct"/>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p>
        </w:tc>
        <w:tc>
          <w:tcPr>
            <w:tcW w:w="1057"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咸阳市渭城派出所家属院</w:t>
            </w:r>
          </w:p>
        </w:tc>
        <w:tc>
          <w:tcPr>
            <w:tcW w:w="371"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WS</w:t>
            </w:r>
          </w:p>
        </w:tc>
        <w:tc>
          <w:tcPr>
            <w:tcW w:w="636"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val="en-US" w:eastAsia="zh-CN"/>
              </w:rPr>
              <w:t>紧邻</w:t>
            </w:r>
          </w:p>
        </w:tc>
        <w:tc>
          <w:tcPr>
            <w:tcW w:w="926"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200人</w:t>
            </w:r>
          </w:p>
        </w:tc>
        <w:tc>
          <w:tcPr>
            <w:tcW w:w="1458" w:type="pct"/>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108" w:type="dxa"/>
            <w:bottom w:w="0" w:type="dxa"/>
            <w:right w:w="108" w:type="dxa"/>
          </w:tblCellMar>
        </w:tblPrEx>
        <w:trPr>
          <w:trHeight w:val="412" w:hRule="atLeast"/>
          <w:jc w:val="center"/>
        </w:trPr>
        <w:tc>
          <w:tcPr>
            <w:tcW w:w="548" w:type="pct"/>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p>
        </w:tc>
        <w:tc>
          <w:tcPr>
            <w:tcW w:w="1057"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烤烟厂家属院</w:t>
            </w:r>
          </w:p>
        </w:tc>
        <w:tc>
          <w:tcPr>
            <w:tcW w:w="371"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S</w:t>
            </w:r>
          </w:p>
        </w:tc>
        <w:tc>
          <w:tcPr>
            <w:tcW w:w="636"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81</w:t>
            </w:r>
          </w:p>
        </w:tc>
        <w:tc>
          <w:tcPr>
            <w:tcW w:w="926"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220户，1080人</w:t>
            </w:r>
          </w:p>
        </w:tc>
        <w:tc>
          <w:tcPr>
            <w:tcW w:w="1458" w:type="pct"/>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548"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地表水环境</w:t>
            </w:r>
          </w:p>
        </w:tc>
        <w:tc>
          <w:tcPr>
            <w:tcW w:w="1057"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渭河</w:t>
            </w:r>
          </w:p>
        </w:tc>
        <w:tc>
          <w:tcPr>
            <w:tcW w:w="371"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val="en-US" w:eastAsia="zh-CN"/>
              </w:rPr>
              <w:t>N</w:t>
            </w:r>
          </w:p>
        </w:tc>
        <w:tc>
          <w:tcPr>
            <w:tcW w:w="636"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1800</w:t>
            </w:r>
          </w:p>
        </w:tc>
        <w:tc>
          <w:tcPr>
            <w:tcW w:w="926"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w:t>
            </w:r>
          </w:p>
        </w:tc>
        <w:tc>
          <w:tcPr>
            <w:tcW w:w="1458"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kern w:val="0"/>
                <w:sz w:val="21"/>
                <w:szCs w:val="21"/>
                <w:lang w:eastAsia="zh-CN"/>
              </w:rPr>
            </w:pPr>
            <w:r>
              <w:rPr>
                <w:rFonts w:hint="default" w:ascii="Times New Roman" w:hAnsi="Times New Roman" w:eastAsia="宋体" w:cs="Times New Roman"/>
                <w:bCs/>
                <w:color w:val="auto"/>
                <w:kern w:val="0"/>
                <w:sz w:val="21"/>
                <w:szCs w:val="21"/>
                <w:lang w:eastAsia="zh-CN"/>
              </w:rPr>
              <w:t>地表水环境质量标准》（GB3838-2002）Ⅳ类水域</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108" w:type="dxa"/>
            <w:bottom w:w="0" w:type="dxa"/>
            <w:right w:w="108" w:type="dxa"/>
          </w:tblCellMar>
        </w:tblPrEx>
        <w:trPr>
          <w:trHeight w:val="568" w:hRule="atLeast"/>
          <w:jc w:val="center"/>
        </w:trPr>
        <w:tc>
          <w:tcPr>
            <w:tcW w:w="548" w:type="pct"/>
            <w:tcBorders>
              <w:tl2br w:val="nil"/>
              <w:tr2bl w:val="nil"/>
            </w:tcBorders>
            <w:noWrap w:val="0"/>
            <w:vAlign w:val="center"/>
          </w:tcPr>
          <w:p>
            <w:pPr>
              <w:pStyle w:val="19"/>
              <w:spacing w:line="240" w:lineRule="auto"/>
              <w:ind w:firstLine="0" w:firstLineChars="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生 态</w:t>
            </w:r>
          </w:p>
        </w:tc>
        <w:tc>
          <w:tcPr>
            <w:tcW w:w="4451" w:type="pct"/>
            <w:gridSpan w:val="5"/>
            <w:tcBorders>
              <w:tl2br w:val="nil"/>
              <w:tr2bl w:val="nil"/>
            </w:tcBorders>
            <w:noWrap w:val="0"/>
            <w:vAlign w:val="center"/>
          </w:tcPr>
          <w:p>
            <w:pPr>
              <w:pStyle w:val="19"/>
              <w:spacing w:line="240" w:lineRule="auto"/>
              <w:ind w:firstLine="0" w:firstLineChars="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厂界四周无特殊保护目标</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不改变其生态功能</w:t>
            </w:r>
          </w:p>
        </w:tc>
      </w:tr>
    </w:tbl>
    <w:p>
      <w:pPr>
        <w:spacing w:before="0"/>
        <w:ind w:left="220" w:right="428" w:firstLine="0"/>
        <w:jc w:val="center"/>
        <w:rPr>
          <w:b/>
          <w:color w:val="auto"/>
          <w:sz w:val="24"/>
        </w:rPr>
      </w:pPr>
      <w:r>
        <w:rPr>
          <w:b/>
          <w:color w:val="auto"/>
          <w:sz w:val="24"/>
        </w:rPr>
        <w:t xml:space="preserve">表 </w:t>
      </w:r>
      <w:r>
        <w:rPr>
          <w:rFonts w:ascii="Times New Roman" w:eastAsia="Times New Roman"/>
          <w:b/>
          <w:color w:val="auto"/>
          <w:sz w:val="24"/>
        </w:rPr>
        <w:t xml:space="preserve">3.2-2  </w:t>
      </w:r>
      <w:r>
        <w:rPr>
          <w:b/>
          <w:color w:val="auto"/>
          <w:sz w:val="24"/>
        </w:rPr>
        <w:t>本企业周边</w:t>
      </w:r>
      <w:r>
        <w:rPr>
          <w:rFonts w:hint="eastAsia"/>
          <w:b/>
          <w:color w:val="auto"/>
          <w:sz w:val="24"/>
          <w:lang w:val="en-US" w:eastAsia="zh-CN"/>
        </w:rPr>
        <w:t>1</w:t>
      </w:r>
      <w:r>
        <w:rPr>
          <w:rFonts w:ascii="Times New Roman" w:eastAsia="Times New Roman"/>
          <w:b/>
          <w:color w:val="auto"/>
          <w:sz w:val="24"/>
        </w:rPr>
        <w:t xml:space="preserve">000 </w:t>
      </w:r>
      <w:r>
        <w:rPr>
          <w:b/>
          <w:color w:val="auto"/>
          <w:sz w:val="24"/>
        </w:rPr>
        <w:t>米敏感点分布表</w:t>
      </w:r>
    </w:p>
    <w:tbl>
      <w:tblPr>
        <w:tblStyle w:val="13"/>
        <w:tblW w:w="4604" w:type="pct"/>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4152"/>
        <w:gridCol w:w="1901"/>
        <w:gridCol w:w="1792"/>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保护对象</w:t>
            </w:r>
          </w:p>
        </w:tc>
        <w:tc>
          <w:tcPr>
            <w:tcW w:w="1211" w:type="pct"/>
            <w:noWrap w:val="0"/>
            <w:vAlign w:val="center"/>
          </w:tcPr>
          <w:p>
            <w:pPr>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相对厂址方位</w:t>
            </w:r>
          </w:p>
        </w:tc>
        <w:tc>
          <w:tcPr>
            <w:tcW w:w="1142" w:type="pct"/>
            <w:noWrap w:val="0"/>
            <w:vAlign w:val="center"/>
          </w:tcPr>
          <w:p>
            <w:pPr>
              <w:spacing w:line="240" w:lineRule="auto"/>
              <w:ind w:firstLine="0" w:firstLineChars="0"/>
              <w:jc w:val="center"/>
              <w:rPr>
                <w:rFonts w:hint="eastAsia"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rPr>
              <w:t>相对厂界距离</w:t>
            </w:r>
            <w:r>
              <w:rPr>
                <w:rFonts w:hint="eastAsia" w:ascii="Times New Roman" w:hAnsi="Times New Roman" w:eastAsia="宋体" w:cs="Times New Roman"/>
                <w:b/>
                <w:bCs/>
                <w:color w:val="auto"/>
                <w:sz w:val="21"/>
                <w:szCs w:val="21"/>
                <w:lang w:eastAsia="zh-CN"/>
              </w:rPr>
              <w:t>（</w:t>
            </w:r>
            <w:r>
              <w:rPr>
                <w:rFonts w:hint="eastAsia" w:ascii="Times New Roman" w:hAnsi="Times New Roman" w:eastAsia="宋体" w:cs="Times New Roman"/>
                <w:b/>
                <w:bCs/>
                <w:color w:val="auto"/>
                <w:sz w:val="21"/>
                <w:szCs w:val="21"/>
                <w:lang w:val="en-US" w:eastAsia="zh-CN"/>
              </w:rPr>
              <w:t>m</w:t>
            </w:r>
            <w:r>
              <w:rPr>
                <w:rFonts w:hint="eastAsia" w:ascii="Times New Roman" w:hAnsi="Times New Roman" w:eastAsia="宋体" w:cs="Times New Roman"/>
                <w:b/>
                <w:bCs/>
                <w:color w:val="auto"/>
                <w:sz w:val="21"/>
                <w:szCs w:val="21"/>
                <w:lang w:eastAsia="zh-CN"/>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三五三零家属院</w:t>
            </w:r>
          </w:p>
        </w:tc>
        <w:tc>
          <w:tcPr>
            <w:tcW w:w="1211" w:type="pct"/>
            <w:noWrap w:val="0"/>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西南</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605</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eastAsia" w:ascii="Times New Roman" w:hAnsi="Times New Roman" w:eastAsia="宋体" w:cs="Times New Roman"/>
                <w:color w:val="auto"/>
                <w:sz w:val="21"/>
                <w:szCs w:val="21"/>
                <w:highlight w:val="yellow"/>
                <w:lang w:eastAsia="zh-CN" w:bidi="ar"/>
              </w:rPr>
            </w:pPr>
            <w:r>
              <w:rPr>
                <w:rFonts w:hint="eastAsia" w:ascii="Times New Roman" w:hAnsi="Times New Roman" w:eastAsia="宋体" w:cs="Times New Roman"/>
                <w:color w:val="auto"/>
                <w:sz w:val="21"/>
                <w:szCs w:val="21"/>
                <w:highlight w:val="none"/>
                <w:lang w:eastAsia="zh-CN" w:bidi="ar"/>
              </w:rPr>
              <w:t>星光幼儿园</w:t>
            </w:r>
          </w:p>
        </w:tc>
        <w:tc>
          <w:tcPr>
            <w:tcW w:w="1211"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eastAsia="zh-CN"/>
              </w:rPr>
              <w:t>西南</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762</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bidi="ar"/>
              </w:rPr>
            </w:pPr>
            <w:r>
              <w:rPr>
                <w:rFonts w:hint="eastAsia" w:ascii="Times New Roman" w:hAnsi="Times New Roman" w:eastAsia="宋体" w:cs="Times New Roman"/>
                <w:color w:val="auto"/>
                <w:sz w:val="21"/>
                <w:szCs w:val="21"/>
                <w:highlight w:val="none"/>
                <w:lang w:val="en-US" w:eastAsia="zh-CN" w:bidi="ar"/>
              </w:rPr>
              <w:t>望贤城启居民区</w:t>
            </w:r>
          </w:p>
        </w:tc>
        <w:tc>
          <w:tcPr>
            <w:tcW w:w="1211"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西</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412</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
              </w:rPr>
            </w:pPr>
            <w:r>
              <w:rPr>
                <w:rFonts w:hint="eastAsia" w:ascii="Times New Roman" w:hAnsi="Times New Roman" w:eastAsia="宋体" w:cs="Times New Roman"/>
                <w:color w:val="auto"/>
                <w:kern w:val="2"/>
                <w:sz w:val="21"/>
                <w:szCs w:val="21"/>
                <w:highlight w:val="none"/>
                <w:lang w:val="en-US" w:eastAsia="zh-CN" w:bidi="ar"/>
              </w:rPr>
              <w:t>龚家湾小学</w:t>
            </w:r>
          </w:p>
        </w:tc>
        <w:tc>
          <w:tcPr>
            <w:tcW w:w="1211" w:type="pct"/>
            <w:noWrap w:val="0"/>
            <w:vAlign w:val="center"/>
          </w:tcPr>
          <w:p>
            <w:pPr>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西北</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853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lang w:eastAsia="zh-CN" w:bidi="ar"/>
              </w:rPr>
            </w:pPr>
            <w:r>
              <w:rPr>
                <w:rFonts w:hint="eastAsia" w:ascii="Times New Roman" w:hAnsi="Times New Roman" w:eastAsia="宋体" w:cs="Times New Roman"/>
                <w:color w:val="auto"/>
                <w:sz w:val="21"/>
                <w:szCs w:val="21"/>
                <w:highlight w:val="none"/>
                <w:lang w:eastAsia="zh-CN" w:bidi="ar"/>
              </w:rPr>
              <w:t>烤烟厂家属院</w:t>
            </w:r>
          </w:p>
        </w:tc>
        <w:tc>
          <w:tcPr>
            <w:tcW w:w="1211" w:type="pct"/>
            <w:noWrap w:val="0"/>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东南</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81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bidi="ar"/>
              </w:rPr>
            </w:pPr>
            <w:r>
              <w:rPr>
                <w:rFonts w:hint="default" w:ascii="Times New Roman" w:hAnsi="Times New Roman" w:eastAsia="宋体" w:cs="Times New Roman"/>
                <w:bCs/>
                <w:color w:val="auto"/>
                <w:kern w:val="0"/>
                <w:sz w:val="21"/>
                <w:szCs w:val="21"/>
                <w:lang w:val="en-US" w:eastAsia="zh-CN"/>
              </w:rPr>
              <w:t>咸阳市渭城派出所家属院</w:t>
            </w:r>
          </w:p>
        </w:tc>
        <w:tc>
          <w:tcPr>
            <w:tcW w:w="1211"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西南</w:t>
            </w:r>
          </w:p>
        </w:tc>
        <w:tc>
          <w:tcPr>
            <w:tcW w:w="1142" w:type="pct"/>
            <w:noWrap w:val="0"/>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紧邻</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bidi="ar"/>
              </w:rPr>
            </w:pPr>
            <w:r>
              <w:rPr>
                <w:rFonts w:hint="default" w:ascii="Times New Roman" w:hAnsi="Times New Roman" w:eastAsia="宋体" w:cs="Times New Roman"/>
                <w:bCs/>
                <w:color w:val="auto"/>
                <w:kern w:val="0"/>
                <w:sz w:val="21"/>
                <w:szCs w:val="21"/>
                <w:lang w:val="en-US" w:eastAsia="zh-CN"/>
              </w:rPr>
              <w:t>陕西玻璃厂社区西区</w:t>
            </w:r>
          </w:p>
        </w:tc>
        <w:tc>
          <w:tcPr>
            <w:tcW w:w="1211"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东</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eastAsia="zh-CN"/>
              </w:rPr>
              <w:t>紧邻</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lang w:eastAsia="zh-CN" w:bidi="ar"/>
              </w:rPr>
            </w:pPr>
            <w:r>
              <w:rPr>
                <w:rFonts w:hint="eastAsia" w:ascii="Times New Roman" w:hAnsi="Times New Roman" w:eastAsia="宋体" w:cs="Times New Roman"/>
                <w:color w:val="auto"/>
                <w:sz w:val="21"/>
                <w:szCs w:val="21"/>
                <w:highlight w:val="none"/>
                <w:lang w:eastAsia="zh-CN" w:bidi="ar"/>
              </w:rPr>
              <w:t>华北局三普东生活区</w:t>
            </w:r>
          </w:p>
        </w:tc>
        <w:tc>
          <w:tcPr>
            <w:tcW w:w="1211" w:type="pct"/>
            <w:noWrap w:val="0"/>
            <w:vAlign w:val="center"/>
          </w:tcPr>
          <w:p>
            <w:pPr>
              <w:spacing w:line="240" w:lineRule="auto"/>
              <w:ind w:left="0" w:leftChars="0" w:firstLine="0" w:firstLineChars="0"/>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东</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343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eastAsia="zh-CN" w:bidi="ar"/>
              </w:rPr>
            </w:pPr>
            <w:r>
              <w:rPr>
                <w:rFonts w:hint="eastAsia" w:ascii="Times New Roman" w:hAnsi="Times New Roman" w:eastAsia="宋体" w:cs="Times New Roman"/>
                <w:color w:val="auto"/>
                <w:sz w:val="21"/>
                <w:szCs w:val="21"/>
                <w:highlight w:val="none"/>
                <w:lang w:eastAsia="zh-CN" w:bidi="ar"/>
              </w:rPr>
              <w:t>华秦学校</w:t>
            </w:r>
          </w:p>
        </w:tc>
        <w:tc>
          <w:tcPr>
            <w:tcW w:w="1211" w:type="pct"/>
            <w:noWrap w:val="0"/>
            <w:vAlign w:val="center"/>
          </w:tcPr>
          <w:p>
            <w:pPr>
              <w:spacing w:line="240" w:lineRule="auto"/>
              <w:ind w:left="0" w:leftChars="0" w:firstLine="0" w:firstLineChars="0"/>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东北</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423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lang w:eastAsia="zh-CN" w:bidi="ar"/>
              </w:rPr>
            </w:pPr>
            <w:r>
              <w:rPr>
                <w:rFonts w:hint="eastAsia" w:ascii="Times New Roman" w:hAnsi="Times New Roman" w:eastAsia="宋体" w:cs="Times New Roman"/>
                <w:color w:val="auto"/>
                <w:sz w:val="21"/>
                <w:szCs w:val="21"/>
                <w:highlight w:val="none"/>
                <w:lang w:eastAsia="zh-CN" w:bidi="ar"/>
              </w:rPr>
              <w:t>九治小区</w:t>
            </w:r>
          </w:p>
        </w:tc>
        <w:tc>
          <w:tcPr>
            <w:tcW w:w="1211"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东北</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834</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bidi="ar"/>
              </w:rPr>
            </w:pPr>
            <w:r>
              <w:rPr>
                <w:rFonts w:hint="eastAsia" w:ascii="Times New Roman" w:hAnsi="Times New Roman" w:eastAsia="宋体" w:cs="Times New Roman"/>
                <w:color w:val="auto"/>
                <w:sz w:val="21"/>
                <w:szCs w:val="21"/>
                <w:highlight w:val="none"/>
                <w:lang w:val="en-US" w:eastAsia="zh-CN" w:bidi="ar"/>
              </w:rPr>
              <w:t>冉王村</w:t>
            </w:r>
          </w:p>
        </w:tc>
        <w:tc>
          <w:tcPr>
            <w:tcW w:w="1211"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西北</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738</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bidi="ar"/>
              </w:rPr>
            </w:pPr>
            <w:r>
              <w:rPr>
                <w:rFonts w:hint="eastAsia" w:ascii="Times New Roman" w:hAnsi="Times New Roman" w:eastAsia="宋体" w:cs="Times New Roman"/>
                <w:color w:val="auto"/>
                <w:sz w:val="21"/>
                <w:szCs w:val="21"/>
                <w:highlight w:val="none"/>
                <w:lang w:val="en-US" w:eastAsia="zh-CN" w:bidi="ar"/>
              </w:rPr>
              <w:t>龚东村</w:t>
            </w:r>
          </w:p>
        </w:tc>
        <w:tc>
          <w:tcPr>
            <w:tcW w:w="1211" w:type="pct"/>
            <w:noWrap w:val="0"/>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西北</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758</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646"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bidi="ar"/>
              </w:rPr>
            </w:pPr>
            <w:r>
              <w:rPr>
                <w:rFonts w:hint="eastAsia" w:ascii="Times New Roman" w:hAnsi="Times New Roman" w:eastAsia="宋体" w:cs="Times New Roman"/>
                <w:color w:val="auto"/>
                <w:sz w:val="21"/>
                <w:szCs w:val="21"/>
                <w:highlight w:val="none"/>
                <w:lang w:val="en-US" w:eastAsia="zh-CN" w:bidi="ar"/>
              </w:rPr>
              <w:t>龚家湾村</w:t>
            </w:r>
          </w:p>
        </w:tc>
        <w:tc>
          <w:tcPr>
            <w:tcW w:w="1211"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bidi="ar-SA"/>
              </w:rPr>
              <w:t>西北</w:t>
            </w:r>
          </w:p>
        </w:tc>
        <w:tc>
          <w:tcPr>
            <w:tcW w:w="1142" w:type="pct"/>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bidi="ar-SA"/>
              </w:rPr>
              <w:t>789</w:t>
            </w:r>
          </w:p>
        </w:tc>
      </w:tr>
    </w:tbl>
    <w:p>
      <w:pPr>
        <w:pStyle w:val="5"/>
        <w:spacing w:before="10"/>
        <w:rPr>
          <w:b/>
          <w:color w:val="auto"/>
          <w:sz w:val="6"/>
        </w:rPr>
      </w:pPr>
    </w:p>
    <w:p>
      <w:pPr>
        <w:spacing w:after="0"/>
        <w:jc w:val="center"/>
        <w:rPr>
          <w:rFonts w:ascii="Times New Roman"/>
          <w:color w:val="auto"/>
          <w:sz w:val="21"/>
        </w:rPr>
        <w:sectPr>
          <w:pgSz w:w="11910" w:h="16840"/>
          <w:pgMar w:top="1440" w:right="1803" w:bottom="1440" w:left="1803" w:header="878" w:footer="846" w:gutter="0"/>
          <w:pgBorders>
            <w:top w:val="none" w:sz="0" w:space="0"/>
            <w:left w:val="none" w:sz="0" w:space="0"/>
            <w:bottom w:val="none" w:sz="0" w:space="0"/>
            <w:right w:val="none" w:sz="0" w:space="0"/>
          </w:pgBorders>
          <w:cols w:space="720" w:num="1"/>
        </w:sectPr>
      </w:pPr>
    </w:p>
    <w:p>
      <w:pPr>
        <w:pStyle w:val="3"/>
        <w:numPr>
          <w:ilvl w:val="1"/>
          <w:numId w:val="1"/>
        </w:numPr>
        <w:tabs>
          <w:tab w:val="left" w:pos="1308"/>
        </w:tabs>
        <w:spacing w:before="64" w:after="0" w:line="240" w:lineRule="auto"/>
        <w:ind w:left="919" w:leftChars="0" w:right="0" w:hanging="481" w:firstLineChars="0"/>
        <w:jc w:val="left"/>
        <w:outlineLvl w:val="0"/>
        <w:rPr>
          <w:color w:val="auto"/>
        </w:rPr>
      </w:pPr>
      <w:bookmarkStart w:id="57" w:name="_bookmark8"/>
      <w:bookmarkEnd w:id="57"/>
      <w:bookmarkStart w:id="58" w:name="3.3涉及环境风险物质情况"/>
      <w:bookmarkEnd w:id="58"/>
      <w:bookmarkStart w:id="59" w:name="_Toc3780"/>
      <w:bookmarkStart w:id="60" w:name="_Toc24237"/>
      <w:r>
        <w:rPr>
          <w:color w:val="auto"/>
        </w:rPr>
        <w:t>涉及环境风险物质情况</w:t>
      </w:r>
      <w:bookmarkEnd w:id="59"/>
      <w:bookmarkEnd w:id="60"/>
    </w:p>
    <w:p>
      <w:pPr>
        <w:pStyle w:val="2"/>
        <w:keepNext w:val="0"/>
        <w:keepLines w:val="0"/>
        <w:pageBreakBefore w:val="0"/>
        <w:widowControl w:val="0"/>
        <w:numPr>
          <w:ilvl w:val="2"/>
          <w:numId w:val="1"/>
        </w:numPr>
        <w:tabs>
          <w:tab w:val="left" w:pos="1377"/>
        </w:tabs>
        <w:kinsoku/>
        <w:wordWrap/>
        <w:overflowPunct/>
        <w:topLinePunct w:val="0"/>
        <w:autoSpaceDE w:val="0"/>
        <w:autoSpaceDN w:val="0"/>
        <w:bidi w:val="0"/>
        <w:adjustRightInd/>
        <w:snapToGrid/>
        <w:spacing w:before="240" w:after="0" w:afterLines="100" w:line="240" w:lineRule="auto"/>
        <w:ind w:left="1378" w:right="0" w:hanging="629"/>
        <w:jc w:val="left"/>
        <w:textAlignment w:val="auto"/>
        <w:rPr>
          <w:color w:val="auto"/>
        </w:rPr>
      </w:pPr>
      <w:bookmarkStart w:id="61" w:name="3.3.1危险化学品识别"/>
      <w:bookmarkEnd w:id="61"/>
      <w:bookmarkStart w:id="62" w:name="3.3.1危险化学品识别"/>
      <w:bookmarkEnd w:id="62"/>
      <w:r>
        <w:rPr>
          <w:color w:val="auto"/>
        </w:rPr>
        <w:t>危险化学品识别</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561"/>
        <w:jc w:val="both"/>
        <w:textAlignment w:val="auto"/>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本院涉及的主要风险物质及存在部位见表 3.3-1。</w:t>
      </w:r>
    </w:p>
    <w:p>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0"/>
        <w:jc w:val="center"/>
        <w:textAlignment w:val="auto"/>
        <w:rPr>
          <w:b/>
          <w:color w:val="auto"/>
          <w:sz w:val="24"/>
        </w:rPr>
      </w:pPr>
      <w:r>
        <w:rPr>
          <w:b/>
          <w:color w:val="auto"/>
          <w:sz w:val="24"/>
        </w:rPr>
        <w:t xml:space="preserve">表 </w:t>
      </w:r>
      <w:r>
        <w:rPr>
          <w:rFonts w:ascii="Times New Roman" w:eastAsia="Times New Roman"/>
          <w:b/>
          <w:color w:val="auto"/>
          <w:sz w:val="24"/>
        </w:rPr>
        <w:t xml:space="preserve">3.3-1  </w:t>
      </w:r>
      <w:r>
        <w:rPr>
          <w:b/>
          <w:color w:val="auto"/>
          <w:sz w:val="24"/>
        </w:rPr>
        <w:t>环境风险物质储运情况</w:t>
      </w:r>
    </w:p>
    <w:tbl>
      <w:tblPr>
        <w:tblStyle w:val="13"/>
        <w:tblW w:w="5000" w:type="pct"/>
        <w:jc w:val="center"/>
        <w:tblBorders>
          <w:top w:val="thinThickLargeGap" w:color="000000" w:sz="24" w:space="0"/>
          <w:left w:val="thinThickLargeGap" w:color="000000" w:sz="24" w:space="0"/>
          <w:bottom w:val="thickThinLargeGap" w:color="000000" w:sz="24" w:space="0"/>
          <w:right w:val="thickThinLargeGap" w:color="000000" w:sz="24" w:space="0"/>
          <w:insideH w:val="single" w:color="000000" w:sz="6" w:space="0"/>
          <w:insideV w:val="single" w:color="000000" w:sz="6" w:space="0"/>
        </w:tblBorders>
        <w:tblLayout w:type="autofit"/>
        <w:tblCellMar>
          <w:top w:w="0" w:type="dxa"/>
          <w:left w:w="108" w:type="dxa"/>
          <w:bottom w:w="0" w:type="dxa"/>
          <w:right w:w="108" w:type="dxa"/>
        </w:tblCellMar>
      </w:tblPr>
      <w:tblGrid>
        <w:gridCol w:w="451"/>
        <w:gridCol w:w="1344"/>
        <w:gridCol w:w="1499"/>
        <w:gridCol w:w="1337"/>
        <w:gridCol w:w="1257"/>
        <w:gridCol w:w="1315"/>
        <w:gridCol w:w="1317"/>
      </w:tblGrid>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6" w:space="0"/>
            <w:insideV w:val="single" w:color="000000" w:sz="6" w:space="0"/>
          </w:tblBorders>
          <w:tblCellMar>
            <w:top w:w="0" w:type="dxa"/>
            <w:left w:w="108" w:type="dxa"/>
            <w:bottom w:w="0" w:type="dxa"/>
            <w:right w:w="108" w:type="dxa"/>
          </w:tblCellMar>
        </w:tblPrEx>
        <w:trPr>
          <w:trHeight w:val="1151" w:hRule="atLeast"/>
          <w:jc w:val="center"/>
        </w:trPr>
        <w:tc>
          <w:tcPr>
            <w:tcW w:w="26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序号</w:t>
            </w:r>
          </w:p>
        </w:tc>
        <w:tc>
          <w:tcPr>
            <w:tcW w:w="78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名称</w:t>
            </w:r>
          </w:p>
        </w:tc>
        <w:tc>
          <w:tcPr>
            <w:tcW w:w="87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年用量（t/a）</w:t>
            </w:r>
          </w:p>
        </w:tc>
        <w:tc>
          <w:tcPr>
            <w:tcW w:w="784"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贮存方式</w:t>
            </w:r>
          </w:p>
        </w:tc>
        <w:tc>
          <w:tcPr>
            <w:tcW w:w="73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最大存储量（t/a）</w:t>
            </w:r>
          </w:p>
        </w:tc>
        <w:tc>
          <w:tcPr>
            <w:tcW w:w="77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来源</w:t>
            </w:r>
          </w:p>
        </w:tc>
        <w:tc>
          <w:tcPr>
            <w:tcW w:w="77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储存地点</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6" w:space="0"/>
            <w:insideV w:val="single" w:color="000000" w:sz="6" w:space="0"/>
          </w:tblBorders>
          <w:tblCellMar>
            <w:top w:w="0" w:type="dxa"/>
            <w:left w:w="108" w:type="dxa"/>
            <w:bottom w:w="0" w:type="dxa"/>
            <w:right w:w="108" w:type="dxa"/>
          </w:tblCellMar>
        </w:tblPrEx>
        <w:trPr>
          <w:trHeight w:val="633" w:hRule="atLeast"/>
          <w:jc w:val="center"/>
        </w:trPr>
        <w:tc>
          <w:tcPr>
            <w:tcW w:w="26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w:t>
            </w:r>
          </w:p>
        </w:tc>
        <w:tc>
          <w:tcPr>
            <w:tcW w:w="78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二氧化氯</w:t>
            </w:r>
          </w:p>
        </w:tc>
        <w:tc>
          <w:tcPr>
            <w:tcW w:w="87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2.4</w:t>
            </w:r>
          </w:p>
        </w:tc>
        <w:tc>
          <w:tcPr>
            <w:tcW w:w="784"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桶装</w:t>
            </w:r>
          </w:p>
        </w:tc>
        <w:tc>
          <w:tcPr>
            <w:tcW w:w="73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w:t>
            </w:r>
          </w:p>
        </w:tc>
        <w:tc>
          <w:tcPr>
            <w:tcW w:w="77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外购</w:t>
            </w:r>
          </w:p>
        </w:tc>
        <w:tc>
          <w:tcPr>
            <w:tcW w:w="77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库房</w:t>
            </w:r>
          </w:p>
        </w:tc>
      </w:tr>
    </w:tbl>
    <w:p>
      <w:pPr>
        <w:pStyle w:val="2"/>
        <w:numPr>
          <w:ilvl w:val="2"/>
          <w:numId w:val="1"/>
        </w:numPr>
        <w:tabs>
          <w:tab w:val="left" w:pos="1377"/>
        </w:tabs>
        <w:spacing w:before="223" w:after="0" w:line="240" w:lineRule="auto"/>
        <w:ind w:left="1376" w:right="0" w:hanging="629"/>
        <w:jc w:val="left"/>
        <w:rPr>
          <w:color w:val="auto"/>
        </w:rPr>
      </w:pPr>
      <w:bookmarkStart w:id="63" w:name="3.3.2主要物质理化性质"/>
      <w:bookmarkEnd w:id="63"/>
      <w:bookmarkStart w:id="64" w:name="3.3.2主要物质理化性质"/>
      <w:bookmarkEnd w:id="64"/>
      <w:r>
        <w:rPr>
          <w:color w:val="auto"/>
        </w:rPr>
        <w:t>主要物质理化性质</w:t>
      </w:r>
    </w:p>
    <w:p>
      <w:pPr>
        <w:spacing w:before="145"/>
        <w:ind w:left="220" w:right="428" w:firstLine="560" w:firstLineChars="200"/>
        <w:jc w:val="both"/>
        <w:rPr>
          <w:rFonts w:hint="eastAsia" w:ascii="宋体" w:hAnsi="宋体" w:eastAsia="宋体" w:cs="宋体"/>
          <w:color w:val="auto"/>
          <w:sz w:val="28"/>
          <w:szCs w:val="28"/>
          <w:lang w:val="zh-CN" w:eastAsia="zh-CN" w:bidi="zh-CN"/>
        </w:rPr>
      </w:pPr>
      <w:r>
        <w:rPr>
          <w:rFonts w:hint="eastAsia" w:ascii="宋体" w:hAnsi="宋体" w:eastAsia="宋体" w:cs="宋体"/>
          <w:color w:val="auto"/>
          <w:sz w:val="28"/>
          <w:szCs w:val="28"/>
          <w:lang w:val="zh-CN" w:eastAsia="zh-CN" w:bidi="zh-CN"/>
        </w:rPr>
        <w:t>主要物质理化性质及危险特性见下表：</w:t>
      </w:r>
    </w:p>
    <w:p>
      <w:pPr>
        <w:spacing w:before="145"/>
        <w:ind w:left="220" w:right="428" w:firstLine="0"/>
        <w:jc w:val="center"/>
        <w:rPr>
          <w:color w:val="auto"/>
          <w:sz w:val="24"/>
          <w:szCs w:val="24"/>
        </w:rPr>
      </w:pPr>
      <w:r>
        <w:rPr>
          <w:b/>
          <w:color w:val="auto"/>
          <w:sz w:val="24"/>
        </w:rPr>
        <w:t xml:space="preserve">表 </w:t>
      </w:r>
      <w:r>
        <w:rPr>
          <w:rFonts w:ascii="Times New Roman" w:eastAsia="Times New Roman"/>
          <w:b/>
          <w:color w:val="auto"/>
          <w:sz w:val="24"/>
        </w:rPr>
        <w:t xml:space="preserve">3.3-2 </w:t>
      </w:r>
      <w:r>
        <w:rPr>
          <w:rFonts w:hint="eastAsia" w:ascii="Times New Roman" w:hAnsi="Times New Roman" w:cs="Times New Roman"/>
          <w:b/>
          <w:bCs/>
          <w:color w:val="auto"/>
          <w:kern w:val="0"/>
          <w:sz w:val="24"/>
          <w:szCs w:val="24"/>
          <w:lang w:eastAsia="zh-CN" w:bidi="ar"/>
        </w:rPr>
        <w:t>二氧化氯</w:t>
      </w:r>
      <w:r>
        <w:rPr>
          <w:rFonts w:ascii="Times New Roman" w:hAnsi="Times New Roman" w:cs="Times New Roman"/>
          <w:b/>
          <w:bCs/>
          <w:color w:val="auto"/>
          <w:kern w:val="0"/>
          <w:sz w:val="24"/>
          <w:szCs w:val="24"/>
          <w:lang w:bidi="ar"/>
        </w:rPr>
        <w:t>的</w:t>
      </w:r>
      <w:r>
        <w:rPr>
          <w:b/>
          <w:bCs/>
          <w:color w:val="auto"/>
          <w:kern w:val="0"/>
          <w:sz w:val="24"/>
          <w:szCs w:val="24"/>
          <w:lang w:bidi="ar"/>
        </w:rPr>
        <w:t>理化性质及危险特性表</w:t>
      </w:r>
    </w:p>
    <w:tbl>
      <w:tblPr>
        <w:tblStyle w:val="13"/>
        <w:tblW w:w="9017" w:type="dxa"/>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2181"/>
        <w:gridCol w:w="1619"/>
        <w:gridCol w:w="463"/>
        <w:gridCol w:w="668"/>
        <w:gridCol w:w="202"/>
        <w:gridCol w:w="1035"/>
        <w:gridCol w:w="465"/>
        <w:gridCol w:w="377"/>
        <w:gridCol w:w="413"/>
        <w:gridCol w:w="1043"/>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551" w:type="dxa"/>
            <w:vMerge w:val="restart"/>
            <w:noWrap w:val="0"/>
            <w:vAlign w:val="center"/>
          </w:tcPr>
          <w:p>
            <w:pPr>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标识</w:t>
            </w:r>
          </w:p>
        </w:tc>
        <w:tc>
          <w:tcPr>
            <w:tcW w:w="2181" w:type="dxa"/>
            <w:noWrap w:val="0"/>
            <w:vAlign w:val="center"/>
          </w:tcPr>
          <w:p>
            <w:pPr>
              <w:pStyle w:val="20"/>
              <w:pBdr>
                <w:bottom w:val="none" w:color="auto" w:sz="0" w:space="0"/>
              </w:pBdr>
              <w:spacing w:before="0" w:beforeAutospacing="0" w:after="0" w:afterAutospacing="0" w:line="360" w:lineRule="exact"/>
              <w:ind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英文名</w:t>
            </w:r>
          </w:p>
        </w:tc>
        <w:tc>
          <w:tcPr>
            <w:tcW w:w="2082" w:type="dxa"/>
            <w:gridSpan w:val="2"/>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Chlorine dioxide</w:t>
            </w:r>
          </w:p>
        </w:tc>
        <w:tc>
          <w:tcPr>
            <w:tcW w:w="870" w:type="dxa"/>
            <w:gridSpan w:val="2"/>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分子式</w:t>
            </w:r>
          </w:p>
        </w:tc>
        <w:tc>
          <w:tcPr>
            <w:tcW w:w="1035"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vertAlign w:val="subscript"/>
                <w:lang w:val="en-US" w:eastAsia="zh-CN"/>
              </w:rPr>
            </w:pPr>
            <w:r>
              <w:rPr>
                <w:rFonts w:hint="eastAsia" w:ascii="Times New Roman" w:hAnsi="Times New Roman" w:eastAsia="宋体" w:cs="Times New Roman"/>
                <w:color w:val="auto"/>
                <w:sz w:val="21"/>
                <w:szCs w:val="21"/>
                <w:lang w:val="en-US" w:eastAsia="zh-CN"/>
              </w:rPr>
              <w:t>ClO</w:t>
            </w:r>
            <w:r>
              <w:rPr>
                <w:rFonts w:hint="eastAsia" w:ascii="Times New Roman" w:hAnsi="Times New Roman" w:eastAsia="宋体" w:cs="Times New Roman"/>
                <w:color w:val="auto"/>
                <w:sz w:val="21"/>
                <w:szCs w:val="21"/>
                <w:vertAlign w:val="subscript"/>
                <w:lang w:val="en-US" w:eastAsia="zh-CN"/>
              </w:rPr>
              <w:t>2</w:t>
            </w:r>
          </w:p>
        </w:tc>
        <w:tc>
          <w:tcPr>
            <w:tcW w:w="1255" w:type="dxa"/>
            <w:gridSpan w:val="3"/>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分子量</w:t>
            </w:r>
          </w:p>
        </w:tc>
        <w:tc>
          <w:tcPr>
            <w:tcW w:w="1043"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67.45</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551" w:type="dxa"/>
            <w:vMerge w:val="continue"/>
            <w:noWrap w:val="0"/>
            <w:vAlign w:val="center"/>
          </w:tcPr>
          <w:p>
            <w:pPr>
              <w:ind w:firstLine="420"/>
              <w:jc w:val="center"/>
              <w:rPr>
                <w:rFonts w:hint="default" w:ascii="Times New Roman" w:hAnsi="Times New Roman" w:eastAsia="宋体" w:cs="Times New Roman"/>
                <w:color w:val="auto"/>
                <w:sz w:val="21"/>
                <w:szCs w:val="21"/>
              </w:rPr>
            </w:pPr>
          </w:p>
        </w:tc>
        <w:tc>
          <w:tcPr>
            <w:tcW w:w="2181" w:type="dxa"/>
            <w:noWrap w:val="0"/>
            <w:vAlign w:val="center"/>
          </w:tcPr>
          <w:p>
            <w:pPr>
              <w:pStyle w:val="20"/>
              <w:pBdr>
                <w:bottom w:val="none" w:color="auto" w:sz="0" w:space="0"/>
              </w:pBdr>
              <w:spacing w:before="0" w:beforeAutospacing="0" w:after="0" w:afterAutospacing="0" w:line="360" w:lineRule="exact"/>
              <w:ind w:firstLine="0" w:firstLineChars="0"/>
              <w:jc w:val="center"/>
              <w:textAlignment w:val="auto"/>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危险化学品目录序号</w:t>
            </w:r>
          </w:p>
        </w:tc>
        <w:tc>
          <w:tcPr>
            <w:tcW w:w="2082" w:type="dxa"/>
            <w:gridSpan w:val="2"/>
            <w:noWrap w:val="0"/>
            <w:vAlign w:val="center"/>
          </w:tcPr>
          <w:p>
            <w:pPr>
              <w:spacing w:line="360" w:lineRule="exact"/>
              <w:ind w:firstLine="42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640</w:t>
            </w:r>
          </w:p>
        </w:tc>
        <w:tc>
          <w:tcPr>
            <w:tcW w:w="1905" w:type="dxa"/>
            <w:gridSpan w:val="3"/>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UN编号</w:t>
            </w:r>
          </w:p>
        </w:tc>
        <w:tc>
          <w:tcPr>
            <w:tcW w:w="2298" w:type="dxa"/>
            <w:gridSpan w:val="4"/>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9191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551" w:type="dxa"/>
            <w:vMerge w:val="continue"/>
            <w:noWrap w:val="0"/>
            <w:vAlign w:val="center"/>
          </w:tcPr>
          <w:p>
            <w:pPr>
              <w:ind w:firstLine="420"/>
              <w:jc w:val="center"/>
              <w:rPr>
                <w:rFonts w:hint="default" w:ascii="Times New Roman" w:hAnsi="Times New Roman" w:eastAsia="宋体" w:cs="Times New Roman"/>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CAS号</w:t>
            </w:r>
          </w:p>
        </w:tc>
        <w:tc>
          <w:tcPr>
            <w:tcW w:w="6285" w:type="dxa"/>
            <w:gridSpan w:val="9"/>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10049-04-4</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551" w:type="dxa"/>
            <w:vMerge w:val="restart"/>
            <w:noWrap w:val="0"/>
            <w:vAlign w:val="center"/>
          </w:tcPr>
          <w:p>
            <w:pPr>
              <w:spacing w:line="360" w:lineRule="exact"/>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理化</w:t>
            </w:r>
          </w:p>
          <w:p>
            <w:pPr>
              <w:pStyle w:val="20"/>
              <w:widowControl w:val="0"/>
              <w:pBdr>
                <w:bottom w:val="none" w:color="auto" w:sz="0" w:space="0"/>
              </w:pBdr>
              <w:spacing w:before="0" w:beforeAutospacing="0" w:after="0" w:afterAutospacing="0" w:line="360" w:lineRule="exact"/>
              <w:ind w:firstLine="0" w:firstLineChars="0"/>
              <w:jc w:val="center"/>
              <w:textAlignment w:val="auto"/>
              <w:rPr>
                <w:rFonts w:hint="default" w:ascii="Times New Roman" w:hAnsi="Times New Roman" w:eastAsia="宋体" w:cs="Times New Roman"/>
                <w:b/>
                <w:bCs/>
                <w:color w:val="auto"/>
                <w:kern w:val="2"/>
                <w:sz w:val="21"/>
                <w:szCs w:val="21"/>
              </w:rPr>
            </w:pPr>
            <w:r>
              <w:rPr>
                <w:rFonts w:hint="default" w:ascii="Times New Roman" w:hAnsi="Times New Roman" w:eastAsia="宋体" w:cs="Times New Roman"/>
                <w:b/>
                <w:bCs/>
                <w:color w:val="auto"/>
                <w:kern w:val="2"/>
                <w:sz w:val="21"/>
                <w:szCs w:val="21"/>
              </w:rPr>
              <w:t>性质</w:t>
            </w: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外观与性状</w:t>
            </w:r>
          </w:p>
        </w:tc>
        <w:tc>
          <w:tcPr>
            <w:tcW w:w="6285" w:type="dxa"/>
            <w:gridSpan w:val="9"/>
            <w:noWrap w:val="0"/>
            <w:vAlign w:val="center"/>
          </w:tcPr>
          <w:p>
            <w:pPr>
              <w:spacing w:line="360" w:lineRule="exact"/>
              <w:ind w:firstLine="42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黄红色气体，有刺激性气味。</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熔点℃</w:t>
            </w:r>
          </w:p>
        </w:tc>
        <w:tc>
          <w:tcPr>
            <w:tcW w:w="2082" w:type="dxa"/>
            <w:gridSpan w:val="2"/>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59</w:t>
            </w:r>
          </w:p>
        </w:tc>
        <w:tc>
          <w:tcPr>
            <w:tcW w:w="2747" w:type="dxa"/>
            <w:gridSpan w:val="5"/>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相对密度（空气=1）</w:t>
            </w:r>
          </w:p>
        </w:tc>
        <w:tc>
          <w:tcPr>
            <w:tcW w:w="1456" w:type="dxa"/>
            <w:gridSpan w:val="2"/>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沸点℃</w:t>
            </w:r>
          </w:p>
        </w:tc>
        <w:tc>
          <w:tcPr>
            <w:tcW w:w="2082" w:type="dxa"/>
            <w:gridSpan w:val="2"/>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9.9</w:t>
            </w:r>
          </w:p>
        </w:tc>
        <w:tc>
          <w:tcPr>
            <w:tcW w:w="2747" w:type="dxa"/>
            <w:gridSpan w:val="5"/>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临界温度℃</w:t>
            </w:r>
          </w:p>
        </w:tc>
        <w:tc>
          <w:tcPr>
            <w:tcW w:w="1456" w:type="dxa"/>
            <w:gridSpan w:val="2"/>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eastAsia="zh-CN"/>
              </w:rPr>
              <w:t>无资料</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相对密度（水=1）</w:t>
            </w:r>
          </w:p>
        </w:tc>
        <w:tc>
          <w:tcPr>
            <w:tcW w:w="2082" w:type="dxa"/>
            <w:gridSpan w:val="2"/>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3.09</w:t>
            </w:r>
          </w:p>
        </w:tc>
        <w:tc>
          <w:tcPr>
            <w:tcW w:w="2747" w:type="dxa"/>
            <w:gridSpan w:val="5"/>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临界压力MPa</w:t>
            </w:r>
          </w:p>
        </w:tc>
        <w:tc>
          <w:tcPr>
            <w:tcW w:w="1456" w:type="dxa"/>
            <w:gridSpan w:val="2"/>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无资料</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饱和蒸汽压KPa</w:t>
            </w:r>
          </w:p>
        </w:tc>
        <w:tc>
          <w:tcPr>
            <w:tcW w:w="2082" w:type="dxa"/>
            <w:gridSpan w:val="2"/>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eastAsia="zh-CN"/>
              </w:rPr>
              <w:t>无资料</w:t>
            </w:r>
          </w:p>
        </w:tc>
        <w:tc>
          <w:tcPr>
            <w:tcW w:w="2747" w:type="dxa"/>
            <w:gridSpan w:val="5"/>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燃烧热Kj/mol</w:t>
            </w:r>
          </w:p>
        </w:tc>
        <w:tc>
          <w:tcPr>
            <w:tcW w:w="1456" w:type="dxa"/>
            <w:gridSpan w:val="2"/>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eastAsia="zh-CN"/>
              </w:rPr>
              <w:t>无资料</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最小引燃能量mJ</w:t>
            </w:r>
          </w:p>
        </w:tc>
        <w:tc>
          <w:tcPr>
            <w:tcW w:w="6285" w:type="dxa"/>
            <w:gridSpan w:val="9"/>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溶解性</w:t>
            </w:r>
          </w:p>
        </w:tc>
        <w:tc>
          <w:tcPr>
            <w:tcW w:w="6285" w:type="dxa"/>
            <w:gridSpan w:val="9"/>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不溶于水。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主要用途</w:t>
            </w:r>
          </w:p>
        </w:tc>
        <w:tc>
          <w:tcPr>
            <w:tcW w:w="6285" w:type="dxa"/>
            <w:gridSpan w:val="9"/>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用作漂白剂、除臭剂、氧化剂等。</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475" w:hRule="atLeast"/>
          <w:jc w:val="center"/>
        </w:trPr>
        <w:tc>
          <w:tcPr>
            <w:tcW w:w="551" w:type="dxa"/>
            <w:vMerge w:val="restart"/>
            <w:noWrap w:val="0"/>
            <w:vAlign w:val="center"/>
          </w:tcPr>
          <w:p>
            <w:pPr>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毒性与危害</w:t>
            </w: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接触限值</w:t>
            </w:r>
          </w:p>
        </w:tc>
        <w:tc>
          <w:tcPr>
            <w:tcW w:w="6285" w:type="dxa"/>
            <w:gridSpan w:val="9"/>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美国TLV-TWA：AGGIH 0.1ppm，0.28mg/m</w:t>
            </w:r>
            <w:r>
              <w:rPr>
                <w:rFonts w:hint="eastAsia" w:ascii="Times New Roman" w:hAnsi="Times New Roman" w:eastAsia="宋体" w:cs="Times New Roman"/>
                <w:color w:val="auto"/>
                <w:sz w:val="21"/>
                <w:szCs w:val="21"/>
                <w:vertAlign w:val="superscript"/>
                <w:lang w:val="en-US" w:eastAsia="zh-CN"/>
              </w:rPr>
              <w:t>3</w:t>
            </w:r>
          </w:p>
          <w:p>
            <w:pPr>
              <w:spacing w:line="360" w:lineRule="exact"/>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美国TLV-STEL：AGGIH 0.3ppm，0.38mg/m</w:t>
            </w:r>
            <w:r>
              <w:rPr>
                <w:rFonts w:hint="eastAsia" w:ascii="Times New Roman" w:hAnsi="Times New Roman" w:eastAsia="宋体" w:cs="Times New Roman"/>
                <w:color w:val="auto"/>
                <w:sz w:val="21"/>
                <w:szCs w:val="21"/>
                <w:vertAlign w:val="superscript"/>
                <w:lang w:val="en-US" w:eastAsia="zh-CN"/>
              </w:rPr>
              <w:t>3</w:t>
            </w:r>
          </w:p>
          <w:p>
            <w:pPr>
              <w:spacing w:line="360" w:lineRule="exact"/>
              <w:ind w:firstLine="0" w:firstLineChars="0"/>
              <w:jc w:val="center"/>
              <w:rPr>
                <w:rFonts w:hint="default" w:ascii="Times New Roman" w:hAnsi="Times New Roman" w:eastAsia="宋体" w:cs="Times New Roman"/>
                <w:color w:val="auto"/>
                <w:sz w:val="21"/>
                <w:szCs w:val="21"/>
                <w:lang w:val="en-US" w:eastAsia="zh-CN"/>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侵入途径</w:t>
            </w:r>
          </w:p>
        </w:tc>
        <w:tc>
          <w:tcPr>
            <w:tcW w:w="6285" w:type="dxa"/>
            <w:gridSpan w:val="9"/>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吸入、食入、经皮吸收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vMerge w:val="restart"/>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毒性</w:t>
            </w:r>
          </w:p>
        </w:tc>
        <w:tc>
          <w:tcPr>
            <w:tcW w:w="1619"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LD</w:t>
            </w:r>
            <w:r>
              <w:rPr>
                <w:rFonts w:hint="eastAsia" w:ascii="Times New Roman" w:hAnsi="Times New Roman" w:eastAsia="宋体" w:cs="Times New Roman"/>
                <w:color w:val="auto"/>
                <w:sz w:val="21"/>
                <w:szCs w:val="21"/>
                <w:vertAlign w:val="subscript"/>
                <w:lang w:val="en-US" w:eastAsia="zh-CN"/>
              </w:rPr>
              <w:t>50</w:t>
            </w:r>
          </w:p>
        </w:tc>
        <w:tc>
          <w:tcPr>
            <w:tcW w:w="4666" w:type="dxa"/>
            <w:gridSpan w:val="8"/>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1432mg/kg 小鼠经口（固体8%）</w:t>
            </w:r>
          </w:p>
          <w:p>
            <w:pPr>
              <w:pStyle w:val="12"/>
              <w:ind w:left="0" w:leftChars="0" w:firstLine="420" w:firstLineChars="200"/>
              <w:rPr>
                <w:rFonts w:hint="default"/>
                <w:color w:val="auto"/>
                <w:lang w:val="en-US" w:eastAsia="zh-CN"/>
              </w:rPr>
            </w:pPr>
            <w:r>
              <w:rPr>
                <w:rFonts w:hint="eastAsia" w:ascii="Times New Roman" w:hAnsi="Times New Roman" w:eastAsia="宋体" w:cs="Times New Roman"/>
                <w:color w:val="auto"/>
                <w:kern w:val="2"/>
                <w:sz w:val="21"/>
                <w:szCs w:val="21"/>
                <w:lang w:val="en-US" w:eastAsia="zh-CN" w:bidi="ar-SA"/>
              </w:rPr>
              <w:t>5000mg/kg 小鼠经口（液体2%）</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551" w:type="dxa"/>
            <w:vMerge w:val="continue"/>
            <w:noWrap w:val="0"/>
            <w:vAlign w:val="center"/>
          </w:tcPr>
          <w:p>
            <w:pPr>
              <w:spacing w:line="360" w:lineRule="exact"/>
              <w:ind w:firstLine="0" w:firstLineChars="0"/>
              <w:jc w:val="center"/>
              <w:rPr>
                <w:color w:val="auto"/>
              </w:rPr>
            </w:pPr>
          </w:p>
        </w:tc>
        <w:tc>
          <w:tcPr>
            <w:tcW w:w="2181" w:type="dxa"/>
            <w:vMerge w:val="continue"/>
            <w:noWrap w:val="0"/>
            <w:vAlign w:val="center"/>
          </w:tcPr>
          <w:p>
            <w:pPr>
              <w:spacing w:line="360" w:lineRule="exact"/>
              <w:ind w:firstLine="0" w:firstLineChars="0"/>
              <w:jc w:val="center"/>
              <w:rPr>
                <w:color w:val="auto"/>
              </w:rPr>
            </w:pPr>
          </w:p>
        </w:tc>
        <w:tc>
          <w:tcPr>
            <w:tcW w:w="1619"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LC</w:t>
            </w:r>
            <w:r>
              <w:rPr>
                <w:rFonts w:hint="eastAsia" w:ascii="Times New Roman" w:hAnsi="Times New Roman" w:eastAsia="宋体" w:cs="Times New Roman"/>
                <w:color w:val="auto"/>
                <w:sz w:val="21"/>
                <w:szCs w:val="21"/>
                <w:vertAlign w:val="subscript"/>
                <w:lang w:val="en-US" w:eastAsia="zh-CN"/>
              </w:rPr>
              <w:t>50</w:t>
            </w:r>
          </w:p>
        </w:tc>
        <w:tc>
          <w:tcPr>
            <w:tcW w:w="4666" w:type="dxa"/>
            <w:gridSpan w:val="8"/>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5000mg/kg 小鼠经口（固体8%溶5倍）</w:t>
            </w:r>
          </w:p>
          <w:p>
            <w:pPr>
              <w:spacing w:line="360" w:lineRule="exact"/>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kern w:val="2"/>
                <w:sz w:val="21"/>
                <w:szCs w:val="21"/>
                <w:lang w:val="en-US" w:eastAsia="zh-CN" w:bidi="ar-SA"/>
              </w:rPr>
              <w:t>10000mg/kg 小鼠经口（液体2%）</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786"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健康危害</w:t>
            </w:r>
          </w:p>
        </w:tc>
        <w:tc>
          <w:tcPr>
            <w:tcW w:w="6285" w:type="dxa"/>
            <w:gridSpan w:val="9"/>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本品具有强烈刺激性。接触后主要引起眼和呼吸道刺激。吸入高浓度可发生肺水肿。能致死。对呼吸道产生严重损伤浓度的本品气体，可能对皮肤有刺激性。皮肤接触或摄入本品的高浓度溶液，可引起强烈刺激和腐蚀。长期接触可导致慢性支气管炎。</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51" w:type="dxa"/>
            <w:vMerge w:val="restart"/>
            <w:noWrap w:val="0"/>
            <w:vAlign w:val="center"/>
          </w:tcPr>
          <w:p>
            <w:pPr>
              <w:spacing w:line="360" w:lineRule="exact"/>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燃烧</w:t>
            </w:r>
          </w:p>
          <w:p>
            <w:pPr>
              <w:spacing w:line="360" w:lineRule="exact"/>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爆炸</w:t>
            </w:r>
          </w:p>
          <w:p>
            <w:pPr>
              <w:pStyle w:val="6"/>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危险</w:t>
            </w:r>
          </w:p>
          <w:p>
            <w:pPr>
              <w:spacing w:line="360" w:lineRule="exact"/>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性</w:t>
            </w: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燃烧性</w:t>
            </w:r>
          </w:p>
        </w:tc>
        <w:tc>
          <w:tcPr>
            <w:tcW w:w="2750" w:type="dxa"/>
            <w:gridSpan w:val="3"/>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eastAsia="zh-CN"/>
              </w:rPr>
              <w:t>助</w:t>
            </w:r>
            <w:r>
              <w:rPr>
                <w:rFonts w:hint="default" w:ascii="Times New Roman" w:hAnsi="Times New Roman" w:eastAsia="宋体" w:cs="Times New Roman"/>
                <w:color w:val="auto"/>
                <w:sz w:val="21"/>
                <w:szCs w:val="21"/>
              </w:rPr>
              <w:t>燃</w:t>
            </w:r>
          </w:p>
        </w:tc>
        <w:tc>
          <w:tcPr>
            <w:tcW w:w="1702" w:type="dxa"/>
            <w:gridSpan w:val="3"/>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燃烧分解物</w:t>
            </w:r>
          </w:p>
        </w:tc>
        <w:tc>
          <w:tcPr>
            <w:tcW w:w="1833" w:type="dxa"/>
            <w:gridSpan w:val="3"/>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氯化氢</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731"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自燃温度℃</w:t>
            </w:r>
          </w:p>
        </w:tc>
        <w:tc>
          <w:tcPr>
            <w:tcW w:w="2750" w:type="dxa"/>
            <w:gridSpan w:val="3"/>
            <w:noWrap w:val="0"/>
            <w:vAlign w:val="center"/>
          </w:tcPr>
          <w:p>
            <w:pPr>
              <w:pStyle w:val="20"/>
              <w:pBdr>
                <w:bottom w:val="none" w:color="auto" w:sz="0" w:space="0"/>
              </w:pBdr>
              <w:spacing w:before="0" w:beforeAutospacing="0" w:after="0" w:afterAutospacing="0" w:line="360" w:lineRule="exact"/>
              <w:ind w:firstLine="0" w:firstLineChars="0"/>
              <w:jc w:val="center"/>
              <w:textAlignment w:val="auto"/>
              <w:rPr>
                <w:rFonts w:hint="default" w:ascii="Times New Roman" w:hAnsi="Times New Roman" w:eastAsia="宋体" w:cs="Times New Roman"/>
                <w:color w:val="auto"/>
                <w:sz w:val="21"/>
                <w:szCs w:val="21"/>
              </w:rPr>
            </w:pPr>
          </w:p>
        </w:tc>
        <w:tc>
          <w:tcPr>
            <w:tcW w:w="1702" w:type="dxa"/>
            <w:gridSpan w:val="3"/>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爆炸极限%</w:t>
            </w:r>
          </w:p>
        </w:tc>
        <w:tc>
          <w:tcPr>
            <w:tcW w:w="1833" w:type="dxa"/>
            <w:gridSpan w:val="3"/>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782"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危险特性</w:t>
            </w:r>
          </w:p>
        </w:tc>
        <w:tc>
          <w:tcPr>
            <w:tcW w:w="6285" w:type="dxa"/>
            <w:gridSpan w:val="9"/>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其蒸汽与空气形成爆炸性混合物，遇明火、高热能引起燃烧爆炸。与氧化剂能发生强烈反应。其蒸汽比空气重，能在较低处扩散到相当远的地方，遇火源引着回燃。若遇高热，容器内压增大，有开裂和爆炸的危险。流速过快，容易产生和积聚静电。</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建规火险分级</w:t>
            </w:r>
          </w:p>
        </w:tc>
        <w:tc>
          <w:tcPr>
            <w:tcW w:w="6285" w:type="dxa"/>
            <w:gridSpan w:val="9"/>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乙类</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稳定性</w:t>
            </w:r>
          </w:p>
        </w:tc>
        <w:tc>
          <w:tcPr>
            <w:tcW w:w="6285" w:type="dxa"/>
            <w:gridSpan w:val="9"/>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稳定</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聚合危害</w:t>
            </w:r>
          </w:p>
        </w:tc>
        <w:tc>
          <w:tcPr>
            <w:tcW w:w="6285" w:type="dxa"/>
            <w:gridSpan w:val="9"/>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不</w:t>
            </w:r>
            <w:r>
              <w:rPr>
                <w:rFonts w:hint="eastAsia" w:ascii="Times New Roman" w:hAnsi="Times New Roman" w:eastAsia="宋体" w:cs="Times New Roman"/>
                <w:color w:val="auto"/>
                <w:sz w:val="21"/>
                <w:szCs w:val="21"/>
                <w:lang w:eastAsia="zh-CN"/>
              </w:rPr>
              <w:t>聚合</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禁忌物</w:t>
            </w:r>
          </w:p>
        </w:tc>
        <w:tc>
          <w:tcPr>
            <w:tcW w:w="6285" w:type="dxa"/>
            <w:gridSpan w:val="9"/>
            <w:noWrap w:val="0"/>
            <w:vAlign w:val="center"/>
          </w:tcPr>
          <w:p>
            <w:pPr>
              <w:spacing w:line="360" w:lineRule="exact"/>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还原剂、易燃或可燃物、活性金属粉末</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551" w:type="dxa"/>
            <w:vMerge w:val="continue"/>
            <w:noWrap w:val="0"/>
            <w:vAlign w:val="center"/>
          </w:tcPr>
          <w:p>
            <w:pPr>
              <w:ind w:firstLine="420"/>
              <w:jc w:val="center"/>
              <w:rPr>
                <w:rFonts w:hint="default" w:ascii="Times New Roman" w:hAnsi="Times New Roman" w:eastAsia="宋体" w:cs="Times New Roman"/>
                <w:b/>
                <w:bCs/>
                <w:color w:val="auto"/>
                <w:sz w:val="21"/>
                <w:szCs w:val="21"/>
              </w:rPr>
            </w:pPr>
          </w:p>
        </w:tc>
        <w:tc>
          <w:tcPr>
            <w:tcW w:w="2181" w:type="dxa"/>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灭火方法</w:t>
            </w:r>
          </w:p>
        </w:tc>
        <w:tc>
          <w:tcPr>
            <w:tcW w:w="6285" w:type="dxa"/>
            <w:gridSpan w:val="9"/>
            <w:noWrap w:val="0"/>
            <w:vAlign w:val="center"/>
          </w:tcPr>
          <w:p>
            <w:pPr>
              <w:spacing w:line="360" w:lineRule="exact"/>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消防人员必须佩戴过滤式防毒面具（全面罩）或隔离式呼吸器、穿全身防火防毒服，在上风向灭火。迅速切断气源，用水喷淋保护切断气源的人员，然后根据着火原因选择适当灭火剂灭火。尽可能将容器从火场移至空旷处。喷水保持火场容器冷却，直至灭火结束。</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55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bCs/>
                <w:color w:val="auto"/>
                <w:sz w:val="21"/>
                <w:szCs w:val="21"/>
                <w:lang w:eastAsia="zh-CN"/>
              </w:rPr>
            </w:pPr>
            <w:r>
              <w:rPr>
                <w:rFonts w:hint="eastAsia" w:ascii="Times New Roman" w:hAnsi="Times New Roman" w:eastAsia="宋体" w:cs="Times New Roman"/>
                <w:b/>
                <w:bCs/>
                <w:color w:val="auto"/>
                <w:sz w:val="21"/>
                <w:szCs w:val="21"/>
                <w:lang w:eastAsia="zh-CN"/>
              </w:rPr>
              <w:t>急救方法</w:t>
            </w:r>
          </w:p>
        </w:tc>
        <w:tc>
          <w:tcPr>
            <w:tcW w:w="8466" w:type="dxa"/>
            <w:gridSpan w:val="10"/>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皮肤接触∶</w:t>
            </w:r>
            <w:r>
              <w:rPr>
                <w:rFonts w:hint="default" w:ascii="Times New Roman" w:hAnsi="Times New Roman" w:eastAsia="宋体" w:cs="Times New Roman"/>
                <w:color w:val="auto"/>
                <w:sz w:val="21"/>
                <w:szCs w:val="21"/>
              </w:rPr>
              <w:t>立即脱去污染的衣着，用大量流动清水冲洗至少15分钟。就医。</w:t>
            </w:r>
          </w:p>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眼睛接触∶</w:t>
            </w:r>
            <w:r>
              <w:rPr>
                <w:rFonts w:hint="default" w:ascii="Times New Roman" w:hAnsi="Times New Roman" w:eastAsia="宋体" w:cs="Times New Roman"/>
                <w:color w:val="auto"/>
                <w:sz w:val="21"/>
                <w:szCs w:val="21"/>
              </w:rPr>
              <w:t>立即提起眼睑，用大量流动清水或生理盐水彻底冲洗至少15分钟。就医。</w:t>
            </w:r>
          </w:p>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吸入</w:t>
            </w:r>
            <w:r>
              <w:rPr>
                <w:rFonts w:hint="eastAsia" w:ascii="Times New Roman" w:hAnsi="Times New Roman" w:eastAsia="宋体" w:cs="Times New Roman"/>
                <w:b/>
                <w:bCs/>
                <w:color w:val="auto"/>
                <w:sz w:val="21"/>
                <w:szCs w:val="21"/>
                <w:lang w:eastAsia="zh-CN"/>
              </w:rPr>
              <w:t>：</w:t>
            </w:r>
            <w:r>
              <w:rPr>
                <w:rFonts w:hint="default" w:ascii="Times New Roman" w:hAnsi="Times New Roman" w:eastAsia="宋体" w:cs="Times New Roman"/>
                <w:color w:val="auto"/>
                <w:sz w:val="21"/>
                <w:szCs w:val="21"/>
              </w:rPr>
              <w:t>迅速脱离现场至空气新鲜处。保持呼吸道通畅。如呼吸困难，给输氧。如呼吸停止，立即进行人工呼吸。就医。</w:t>
            </w:r>
          </w:p>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食入∶</w:t>
            </w:r>
            <w:r>
              <w:rPr>
                <w:rFonts w:hint="default" w:ascii="Times New Roman" w:hAnsi="Times New Roman" w:eastAsia="宋体" w:cs="Times New Roman"/>
                <w:color w:val="auto"/>
                <w:sz w:val="21"/>
                <w:szCs w:val="21"/>
              </w:rPr>
              <w:t>用水漱口，给饮牛奶或蛋清。就医。</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2916" w:hRule="atLeast"/>
          <w:jc w:val="center"/>
        </w:trPr>
        <w:tc>
          <w:tcPr>
            <w:tcW w:w="55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bCs/>
                <w:color w:val="auto"/>
                <w:sz w:val="21"/>
                <w:szCs w:val="21"/>
                <w:lang w:eastAsia="zh-CN"/>
              </w:rPr>
            </w:pPr>
            <w:r>
              <w:rPr>
                <w:rFonts w:hint="eastAsia" w:ascii="Times New Roman" w:hAnsi="Times New Roman" w:eastAsia="宋体" w:cs="Times New Roman"/>
                <w:b/>
                <w:bCs/>
                <w:color w:val="auto"/>
                <w:sz w:val="21"/>
                <w:szCs w:val="21"/>
                <w:lang w:eastAsia="zh-CN"/>
              </w:rPr>
              <w:t>储运条件</w:t>
            </w:r>
          </w:p>
        </w:tc>
        <w:tc>
          <w:tcPr>
            <w:tcW w:w="8466" w:type="dxa"/>
            <w:gridSpan w:val="10"/>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b/>
                <w:bCs/>
                <w:color w:val="auto"/>
                <w:sz w:val="21"/>
                <w:szCs w:val="21"/>
              </w:rPr>
              <w:t>储存注意事项</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储存于阴凉、通风的库房。远离火种、热源。保持容器密封。应与易（可）燃物、还原剂等分开存放，切忌混储。储区应备有泄漏应急处理设备。</w:t>
            </w:r>
            <w:r>
              <w:rPr>
                <w:rFonts w:hint="default" w:ascii="Times New Roman" w:hAnsi="Times New Roman" w:eastAsia="宋体" w:cs="Times New Roman"/>
                <w:b/>
                <w:bCs/>
                <w:color w:val="auto"/>
                <w:sz w:val="21"/>
                <w:szCs w:val="21"/>
              </w:rPr>
              <w:t>运输注意事项∶</w:t>
            </w:r>
            <w:r>
              <w:rPr>
                <w:rFonts w:hint="default" w:ascii="Times New Roman" w:hAnsi="Times New Roman" w:eastAsia="宋体" w:cs="Times New Roman"/>
                <w:color w:val="auto"/>
                <w:sz w:val="21"/>
                <w:szCs w:val="21"/>
              </w:rPr>
              <w:t>铁路运输时应严格按照铁道部《危险货物运输规则》中的危险货物配装表进行配装。采用刚瓶运输时必须戴好钢,瓶上的安全帽。钢瓶一般平放，并应将瓶口朝同一方向，不可交叉；高度不得超过车辆的防护栏板，并用三角木垫卡牢，防止滚动。严禁与易燃物或可燃物、还原剂、食用化学品等混装混运。夏季应早晚运输，防止日光曝晒。公路运输时要按规定路线行驶，禁止在居民区和人口稠密区停留。铁路运输时要禁止溜放。</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55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bCs/>
                <w:color w:val="auto"/>
                <w:sz w:val="21"/>
                <w:szCs w:val="21"/>
                <w:lang w:eastAsia="zh-CN"/>
              </w:rPr>
            </w:pPr>
            <w:r>
              <w:rPr>
                <w:rFonts w:hint="eastAsia" w:ascii="Times New Roman" w:hAnsi="Times New Roman" w:eastAsia="宋体" w:cs="Times New Roman"/>
                <w:b/>
                <w:bCs/>
                <w:color w:val="auto"/>
                <w:sz w:val="21"/>
                <w:szCs w:val="21"/>
                <w:lang w:eastAsia="zh-CN"/>
              </w:rPr>
              <w:t>泄漏处理</w:t>
            </w:r>
          </w:p>
        </w:tc>
        <w:tc>
          <w:tcPr>
            <w:tcW w:w="8466" w:type="dxa"/>
            <w:gridSpan w:val="10"/>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迅速撤离泄漏污染区人员至上风处，并进行隔离，严格限制出入。建议应急处理人员戴自给正压式呼吸器，穿防毒服。从上风处进入现场。尽可能切断泄漏源。用工业覆盖层或吸附/吸收剂盖住泄漏点附近的下水道等地方，防止气体进入。喷雾状水稀释。漏气容器要妥善处理，修复、检验后再用。</w:t>
            </w:r>
          </w:p>
        </w:tc>
      </w:tr>
    </w:tbl>
    <w:p>
      <w:pPr>
        <w:pStyle w:val="3"/>
        <w:numPr>
          <w:ilvl w:val="1"/>
          <w:numId w:val="1"/>
        </w:numPr>
        <w:tabs>
          <w:tab w:val="left" w:pos="1308"/>
        </w:tabs>
        <w:spacing w:before="64" w:after="0" w:line="360" w:lineRule="auto"/>
        <w:ind w:left="919" w:leftChars="0" w:right="0" w:hanging="481" w:firstLineChars="0"/>
        <w:jc w:val="left"/>
        <w:outlineLvl w:val="0"/>
        <w:rPr>
          <w:color w:val="auto"/>
        </w:rPr>
      </w:pPr>
      <w:bookmarkStart w:id="65" w:name="3.4企业工艺流程及设备"/>
      <w:bookmarkEnd w:id="65"/>
      <w:bookmarkStart w:id="66" w:name="_bookmark9"/>
      <w:bookmarkEnd w:id="66"/>
      <w:bookmarkStart w:id="67" w:name="_Toc4867"/>
      <w:bookmarkStart w:id="68" w:name="_Toc19976"/>
      <w:r>
        <w:rPr>
          <w:color w:val="auto"/>
        </w:rPr>
        <w:t>企业工艺流程及设备</w:t>
      </w:r>
      <w:bookmarkEnd w:id="67"/>
      <w:bookmarkEnd w:id="68"/>
    </w:p>
    <w:p>
      <w:pPr>
        <w:pStyle w:val="2"/>
        <w:numPr>
          <w:ilvl w:val="2"/>
          <w:numId w:val="1"/>
        </w:numPr>
        <w:tabs>
          <w:tab w:val="left" w:pos="1377"/>
        </w:tabs>
        <w:spacing w:before="1" w:after="0" w:line="360" w:lineRule="auto"/>
        <w:ind w:left="1376" w:right="0" w:hanging="629"/>
        <w:jc w:val="left"/>
        <w:rPr>
          <w:rFonts w:hint="eastAsia"/>
          <w:color w:val="auto"/>
          <w:lang w:val="en-US" w:eastAsia="zh-CN"/>
        </w:rPr>
      </w:pPr>
      <w:bookmarkStart w:id="69" w:name="3.4.1工艺流程"/>
      <w:bookmarkEnd w:id="69"/>
      <w:bookmarkStart w:id="70" w:name="3.4.2主要污染物产排情况"/>
      <w:bookmarkEnd w:id="70"/>
      <w:bookmarkStart w:id="71" w:name="3.4.2主要污染物产排情况"/>
      <w:bookmarkEnd w:id="71"/>
      <w:bookmarkStart w:id="72" w:name="3.4.1工艺流程"/>
      <w:bookmarkEnd w:id="72"/>
      <w:bookmarkStart w:id="73" w:name="_Toc3410"/>
      <w:bookmarkStart w:id="74" w:name="_Toc5918"/>
      <w:r>
        <w:rPr>
          <w:rFonts w:hint="eastAsia"/>
          <w:color w:val="auto"/>
          <w:lang w:val="en-US" w:eastAsia="zh-CN"/>
        </w:rPr>
        <w:t>医院工程分析</w:t>
      </w:r>
      <w:bookmarkEnd w:id="73"/>
      <w:bookmarkEnd w:id="74"/>
    </w:p>
    <w:p>
      <w:pPr>
        <w:jc w:val="center"/>
        <w:rPr>
          <w:color w:val="auto"/>
        </w:rPr>
      </w:pPr>
      <w:r>
        <w:rPr>
          <w:rFonts w:hint="eastAsia" w:eastAsia="仿宋"/>
          <w:color w:val="auto"/>
          <w:lang w:eastAsia="zh-CN"/>
        </w:rPr>
        <w:drawing>
          <wp:inline distT="0" distB="0" distL="114300" distR="114300">
            <wp:extent cx="4295775" cy="3232785"/>
            <wp:effectExtent l="0" t="0" r="9525" b="5715"/>
            <wp:docPr id="5" name="图片 1" descr="db38ba197bf41835a2cb012d3aadd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db38ba197bf41835a2cb012d3aaddbb"/>
                    <pic:cNvPicPr>
                      <a:picLocks noChangeAspect="1"/>
                    </pic:cNvPicPr>
                  </pic:nvPicPr>
                  <pic:blipFill>
                    <a:blip r:embed="rId11"/>
                    <a:stretch>
                      <a:fillRect/>
                    </a:stretch>
                  </pic:blipFill>
                  <pic:spPr>
                    <a:xfrm>
                      <a:off x="0" y="0"/>
                      <a:ext cx="4295775" cy="3232785"/>
                    </a:xfrm>
                    <a:prstGeom prst="rect">
                      <a:avLst/>
                    </a:prstGeom>
                    <a:noFill/>
                    <a:ln>
                      <a:noFill/>
                    </a:ln>
                  </pic:spPr>
                </pic:pic>
              </a:graphicData>
            </a:graphic>
          </wp:inline>
        </w:drawing>
      </w:r>
    </w:p>
    <w:p>
      <w:pPr>
        <w:pStyle w:val="12"/>
        <w:spacing w:line="360" w:lineRule="auto"/>
        <w:ind w:firstLine="482"/>
        <w:jc w:val="center"/>
        <w:rPr>
          <w:rFonts w:hint="default"/>
          <w:b/>
          <w:color w:val="auto"/>
          <w:sz w:val="24"/>
        </w:rPr>
      </w:pPr>
      <w:r>
        <w:rPr>
          <w:b/>
          <w:color w:val="auto"/>
          <w:sz w:val="24"/>
        </w:rPr>
        <w:t>图</w:t>
      </w:r>
      <w:r>
        <w:rPr>
          <w:rFonts w:hint="eastAsia"/>
          <w:b/>
          <w:color w:val="auto"/>
          <w:sz w:val="24"/>
          <w:lang w:val="en-US" w:eastAsia="zh-CN"/>
        </w:rPr>
        <w:t>3.4-</w:t>
      </w:r>
      <w:r>
        <w:rPr>
          <w:b/>
          <w:color w:val="auto"/>
          <w:sz w:val="24"/>
        </w:rPr>
        <w:t xml:space="preserve">1 </w:t>
      </w:r>
      <w:r>
        <w:rPr>
          <w:rFonts w:hint="default"/>
          <w:b/>
          <w:color w:val="auto"/>
          <w:sz w:val="24"/>
        </w:rPr>
        <w:t>营运期工艺流程及产污环节框图</w:t>
      </w:r>
    </w:p>
    <w:p>
      <w:pPr>
        <w:pStyle w:val="2"/>
        <w:numPr>
          <w:ilvl w:val="2"/>
          <w:numId w:val="1"/>
        </w:numPr>
        <w:tabs>
          <w:tab w:val="left" w:pos="1377"/>
        </w:tabs>
        <w:spacing w:before="1" w:after="0" w:line="360" w:lineRule="auto"/>
        <w:ind w:left="1376" w:right="0" w:hanging="629"/>
        <w:jc w:val="left"/>
        <w:rPr>
          <w:rFonts w:hint="eastAsia"/>
          <w:color w:val="auto"/>
          <w:lang w:val="en-US" w:eastAsia="zh-CN"/>
        </w:rPr>
      </w:pPr>
      <w:bookmarkStart w:id="75" w:name="_Toc625"/>
      <w:bookmarkStart w:id="76" w:name="_Toc26056"/>
      <w:r>
        <w:rPr>
          <w:rFonts w:hint="eastAsia"/>
          <w:color w:val="auto"/>
          <w:lang w:val="en-US" w:eastAsia="zh-CN"/>
        </w:rPr>
        <w:t>P2+实验室工艺流程及产污环节分析</w:t>
      </w:r>
      <w:bookmarkEnd w:id="75"/>
      <w:bookmarkEnd w:id="76"/>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eastAsia" w:ascii="Times New Roman" w:hAnsi="Times New Roman" w:eastAsia="宋体" w:cs="Times New Roman"/>
          <w:color w:val="auto"/>
          <w:spacing w:val="3"/>
          <w:sz w:val="28"/>
          <w:szCs w:val="28"/>
          <w:lang w:val="en-US" w:eastAsia="zh-CN" w:bidi="zh-CN"/>
        </w:rPr>
      </w:pPr>
      <w:r>
        <w:rPr>
          <w:rFonts w:hint="eastAsia" w:ascii="Times New Roman" w:hAnsi="Times New Roman" w:eastAsia="宋体" w:cs="Times New Roman"/>
          <w:color w:val="auto"/>
          <w:spacing w:val="3"/>
          <w:sz w:val="28"/>
          <w:szCs w:val="28"/>
          <w:lang w:val="en-US" w:eastAsia="zh-CN" w:bidi="zh-CN"/>
        </w:rPr>
        <w:t>P2+实验室主要是以病人的血液</w:t>
      </w:r>
      <w:r>
        <w:rPr>
          <w:rFonts w:hint="eastAsia" w:ascii="Times New Roman" w:hAnsi="Times New Roman" w:eastAsia="宋体" w:cs="Times New Roman"/>
          <w:color w:val="auto"/>
          <w:spacing w:val="3"/>
          <w:sz w:val="28"/>
          <w:szCs w:val="28"/>
          <w:lang w:val="zh-CN" w:eastAsia="zh-CN" w:bidi="zh-CN"/>
        </w:rPr>
        <w:t>、</w:t>
      </w:r>
      <w:r>
        <w:rPr>
          <w:rFonts w:hint="eastAsia" w:ascii="Times New Roman" w:hAnsi="Times New Roman" w:eastAsia="宋体" w:cs="Times New Roman"/>
          <w:color w:val="auto"/>
          <w:spacing w:val="3"/>
          <w:sz w:val="28"/>
          <w:szCs w:val="28"/>
          <w:lang w:val="en-US" w:eastAsia="zh-CN" w:bidi="zh-CN"/>
        </w:rPr>
        <w:t>痰</w:t>
      </w:r>
      <w:r>
        <w:rPr>
          <w:rFonts w:hint="eastAsia" w:ascii="Times New Roman" w:hAnsi="Times New Roman" w:eastAsia="宋体" w:cs="Times New Roman"/>
          <w:color w:val="auto"/>
          <w:spacing w:val="3"/>
          <w:sz w:val="28"/>
          <w:szCs w:val="28"/>
          <w:lang w:val="zh-CN" w:eastAsia="zh-CN" w:bidi="zh-CN"/>
        </w:rPr>
        <w:t>、</w:t>
      </w:r>
      <w:r>
        <w:rPr>
          <w:rFonts w:hint="eastAsia" w:ascii="Times New Roman" w:hAnsi="Times New Roman" w:eastAsia="宋体" w:cs="Times New Roman"/>
          <w:color w:val="auto"/>
          <w:spacing w:val="3"/>
          <w:sz w:val="28"/>
          <w:szCs w:val="28"/>
          <w:lang w:val="en-US" w:eastAsia="zh-CN" w:bidi="zh-CN"/>
        </w:rPr>
        <w:t>胸腹水为样本，进行基因扩增和乙肝</w:t>
      </w:r>
      <w:r>
        <w:rPr>
          <w:rFonts w:hint="eastAsia" w:ascii="Times New Roman" w:hAnsi="Times New Roman" w:eastAsia="宋体" w:cs="Times New Roman"/>
          <w:color w:val="auto"/>
          <w:spacing w:val="3"/>
          <w:sz w:val="28"/>
          <w:szCs w:val="28"/>
          <w:lang w:val="zh-CN" w:eastAsia="zh-CN" w:bidi="zh-CN"/>
        </w:rPr>
        <w:t>、</w:t>
      </w:r>
      <w:r>
        <w:rPr>
          <w:rFonts w:hint="eastAsia" w:ascii="Times New Roman" w:hAnsi="Times New Roman" w:eastAsia="宋体" w:cs="Times New Roman"/>
          <w:color w:val="auto"/>
          <w:spacing w:val="3"/>
          <w:sz w:val="28"/>
          <w:szCs w:val="28"/>
          <w:lang w:val="en-US" w:eastAsia="zh-CN" w:bidi="zh-CN"/>
        </w:rPr>
        <w:t>丙肝以及结核分枝杆菌检测，其工艺流程基本相似，在取得样本后，先进行样本预处理，处理后可直接放入仪器进行基因扩增和乙肝</w:t>
      </w:r>
      <w:r>
        <w:rPr>
          <w:rFonts w:hint="eastAsia" w:ascii="Times New Roman" w:hAnsi="Times New Roman" w:eastAsia="宋体" w:cs="Times New Roman"/>
          <w:color w:val="auto"/>
          <w:spacing w:val="3"/>
          <w:sz w:val="28"/>
          <w:szCs w:val="28"/>
          <w:lang w:val="zh-CN" w:eastAsia="zh-CN" w:bidi="zh-CN"/>
        </w:rPr>
        <w:t>、</w:t>
      </w:r>
      <w:r>
        <w:rPr>
          <w:rFonts w:hint="eastAsia" w:ascii="Times New Roman" w:hAnsi="Times New Roman" w:eastAsia="宋体" w:cs="Times New Roman"/>
          <w:color w:val="auto"/>
          <w:spacing w:val="3"/>
          <w:sz w:val="28"/>
          <w:szCs w:val="28"/>
          <w:lang w:val="en-US" w:eastAsia="zh-CN" w:bidi="zh-CN"/>
        </w:rPr>
        <w:t>丙肝以及结核分枝杆菌检测，经过仪器的分析可直接得到检测报告。具体工艺流程说明如下：</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（1）</w:t>
      </w:r>
      <w:r>
        <w:rPr>
          <w:rFonts w:hint="eastAsia" w:ascii="Times New Roman" w:hAnsi="Times New Roman" w:eastAsia="宋体" w:cs="Times New Roman"/>
          <w:color w:val="auto"/>
          <w:spacing w:val="3"/>
          <w:sz w:val="28"/>
          <w:szCs w:val="28"/>
          <w:lang w:val="en-US" w:eastAsia="zh-CN" w:bidi="zh-CN"/>
        </w:rPr>
        <w:t>样本</w:t>
      </w:r>
      <w:r>
        <w:rPr>
          <w:rFonts w:hint="default" w:ascii="Times New Roman" w:hAnsi="Times New Roman" w:eastAsia="宋体" w:cs="Times New Roman"/>
          <w:color w:val="auto"/>
          <w:spacing w:val="3"/>
          <w:sz w:val="28"/>
          <w:szCs w:val="28"/>
          <w:lang w:val="en-US" w:eastAsia="zh-CN" w:bidi="zh-CN"/>
        </w:rPr>
        <w:t>接收：接收的</w:t>
      </w:r>
      <w:r>
        <w:rPr>
          <w:rFonts w:hint="eastAsia" w:ascii="Times New Roman" w:hAnsi="Times New Roman" w:eastAsia="宋体" w:cs="Times New Roman"/>
          <w:color w:val="auto"/>
          <w:spacing w:val="3"/>
          <w:sz w:val="28"/>
          <w:szCs w:val="28"/>
          <w:lang w:val="en-US" w:eastAsia="zh-CN" w:bidi="zh-CN"/>
        </w:rPr>
        <w:t>样本</w:t>
      </w:r>
      <w:r>
        <w:rPr>
          <w:rFonts w:hint="default" w:ascii="Times New Roman" w:hAnsi="Times New Roman" w:eastAsia="宋体" w:cs="Times New Roman"/>
          <w:color w:val="auto"/>
          <w:spacing w:val="3"/>
          <w:sz w:val="28"/>
          <w:szCs w:val="28"/>
          <w:lang w:val="en-US" w:eastAsia="zh-CN" w:bidi="zh-CN"/>
        </w:rPr>
        <w:t>主要是以病人的</w:t>
      </w:r>
      <w:r>
        <w:rPr>
          <w:rFonts w:hint="eastAsia" w:ascii="Times New Roman" w:hAnsi="Times New Roman" w:eastAsia="宋体" w:cs="Times New Roman"/>
          <w:color w:val="auto"/>
          <w:spacing w:val="3"/>
          <w:sz w:val="28"/>
          <w:szCs w:val="28"/>
          <w:lang w:val="en-US" w:eastAsia="zh-CN" w:bidi="zh-CN"/>
        </w:rPr>
        <w:t>血液</w:t>
      </w:r>
      <w:r>
        <w:rPr>
          <w:rFonts w:hint="default" w:ascii="Times New Roman" w:hAnsi="Times New Roman" w:eastAsia="宋体" w:cs="Times New Roman"/>
          <w:color w:val="auto"/>
          <w:spacing w:val="3"/>
          <w:sz w:val="28"/>
          <w:szCs w:val="28"/>
          <w:lang w:val="en-US" w:eastAsia="zh-CN" w:bidi="zh-CN"/>
        </w:rPr>
        <w:t>、</w:t>
      </w:r>
      <w:r>
        <w:rPr>
          <w:rFonts w:hint="eastAsia" w:ascii="Times New Roman" w:hAnsi="Times New Roman" w:eastAsia="宋体" w:cs="Times New Roman"/>
          <w:color w:val="auto"/>
          <w:spacing w:val="3"/>
          <w:sz w:val="28"/>
          <w:szCs w:val="28"/>
          <w:lang w:val="en-US" w:eastAsia="zh-CN" w:bidi="zh-CN"/>
        </w:rPr>
        <w:t>痰</w:t>
      </w:r>
      <w:r>
        <w:rPr>
          <w:rFonts w:hint="default" w:ascii="Times New Roman" w:hAnsi="Times New Roman" w:eastAsia="宋体" w:cs="Times New Roman"/>
          <w:color w:val="auto"/>
          <w:spacing w:val="3"/>
          <w:sz w:val="28"/>
          <w:szCs w:val="28"/>
          <w:lang w:val="en-US" w:eastAsia="zh-CN" w:bidi="zh-CN"/>
        </w:rPr>
        <w:t>、</w:t>
      </w:r>
      <w:r>
        <w:rPr>
          <w:rFonts w:hint="eastAsia" w:ascii="Times New Roman" w:hAnsi="Times New Roman" w:eastAsia="宋体" w:cs="Times New Roman"/>
          <w:color w:val="auto"/>
          <w:spacing w:val="3"/>
          <w:sz w:val="28"/>
          <w:szCs w:val="28"/>
          <w:lang w:val="en-US" w:eastAsia="zh-CN" w:bidi="zh-CN"/>
        </w:rPr>
        <w:t>胸腹水</w:t>
      </w:r>
      <w:r>
        <w:rPr>
          <w:rFonts w:hint="default" w:ascii="Times New Roman" w:hAnsi="Times New Roman" w:eastAsia="宋体" w:cs="Times New Roman"/>
          <w:color w:val="auto"/>
          <w:spacing w:val="3"/>
          <w:sz w:val="28"/>
          <w:szCs w:val="28"/>
          <w:lang w:val="en-US" w:eastAsia="zh-CN" w:bidi="zh-CN"/>
        </w:rPr>
        <w:t>为主，存于采血管或离心管中，核对申请单与</w:t>
      </w:r>
      <w:r>
        <w:rPr>
          <w:rFonts w:hint="eastAsia" w:ascii="Times New Roman" w:hAnsi="Times New Roman" w:eastAsia="宋体" w:cs="Times New Roman"/>
          <w:color w:val="auto"/>
          <w:spacing w:val="3"/>
          <w:sz w:val="28"/>
          <w:szCs w:val="28"/>
          <w:lang w:val="en-US" w:eastAsia="zh-CN" w:bidi="zh-CN"/>
        </w:rPr>
        <w:t>样本</w:t>
      </w:r>
      <w:r>
        <w:rPr>
          <w:rFonts w:hint="default" w:ascii="Times New Roman" w:hAnsi="Times New Roman" w:eastAsia="宋体" w:cs="Times New Roman"/>
          <w:color w:val="auto"/>
          <w:spacing w:val="3"/>
          <w:sz w:val="28"/>
          <w:szCs w:val="28"/>
          <w:lang w:val="en-US" w:eastAsia="zh-CN" w:bidi="zh-CN"/>
        </w:rPr>
        <w:t>编号是否对应，确认无误后对样品的标记，记录相关信息并冰箱定位保存。</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（2）</w:t>
      </w:r>
      <w:r>
        <w:rPr>
          <w:rFonts w:hint="eastAsia" w:ascii="Times New Roman" w:hAnsi="Times New Roman" w:eastAsia="宋体" w:cs="Times New Roman"/>
          <w:color w:val="auto"/>
          <w:spacing w:val="3"/>
          <w:sz w:val="28"/>
          <w:szCs w:val="28"/>
          <w:lang w:val="en-US" w:eastAsia="zh-CN" w:bidi="zh-CN"/>
        </w:rPr>
        <w:t>样本</w:t>
      </w:r>
      <w:r>
        <w:rPr>
          <w:rFonts w:hint="default" w:ascii="Times New Roman" w:hAnsi="Times New Roman" w:eastAsia="宋体" w:cs="Times New Roman"/>
          <w:color w:val="auto"/>
          <w:spacing w:val="3"/>
          <w:sz w:val="28"/>
          <w:szCs w:val="28"/>
          <w:lang w:val="en-US" w:eastAsia="zh-CN" w:bidi="zh-CN"/>
        </w:rPr>
        <w:t>处理：</w:t>
      </w:r>
      <w:r>
        <w:rPr>
          <w:rFonts w:hint="eastAsia" w:ascii="Times New Roman" w:hAnsi="Times New Roman" w:eastAsia="宋体" w:cs="Times New Roman"/>
          <w:color w:val="auto"/>
          <w:spacing w:val="3"/>
          <w:sz w:val="28"/>
          <w:szCs w:val="28"/>
          <w:lang w:val="en-US" w:eastAsia="zh-CN" w:bidi="zh-CN"/>
        </w:rPr>
        <w:t>通过传递窗传递标本，</w:t>
      </w:r>
      <w:r>
        <w:rPr>
          <w:rFonts w:hint="default" w:ascii="Times New Roman" w:hAnsi="Times New Roman" w:eastAsia="宋体" w:cs="Times New Roman"/>
          <w:color w:val="auto"/>
          <w:spacing w:val="3"/>
          <w:sz w:val="28"/>
          <w:szCs w:val="28"/>
          <w:lang w:val="en-US" w:eastAsia="zh-CN" w:bidi="zh-CN"/>
        </w:rPr>
        <w:t>将提取的样本放入生物安全柜进行</w:t>
      </w:r>
      <w:r>
        <w:rPr>
          <w:rFonts w:hint="eastAsia" w:ascii="Times New Roman" w:hAnsi="Times New Roman" w:eastAsia="宋体" w:cs="Times New Roman"/>
          <w:color w:val="auto"/>
          <w:spacing w:val="3"/>
          <w:sz w:val="28"/>
          <w:szCs w:val="28"/>
          <w:lang w:val="en-US" w:eastAsia="zh-CN" w:bidi="zh-CN"/>
        </w:rPr>
        <w:t>样本</w:t>
      </w:r>
      <w:r>
        <w:rPr>
          <w:rFonts w:hint="default" w:ascii="Times New Roman" w:hAnsi="Times New Roman" w:eastAsia="宋体" w:cs="Times New Roman"/>
          <w:color w:val="auto"/>
          <w:spacing w:val="3"/>
          <w:sz w:val="28"/>
          <w:szCs w:val="28"/>
          <w:lang w:val="en-US" w:eastAsia="zh-CN" w:bidi="zh-CN"/>
        </w:rPr>
        <w:t>处理</w:t>
      </w:r>
      <w:r>
        <w:rPr>
          <w:rFonts w:hint="eastAsia" w:ascii="Times New Roman" w:hAnsi="Times New Roman" w:eastAsia="宋体" w:cs="Times New Roman"/>
          <w:color w:val="auto"/>
          <w:spacing w:val="3"/>
          <w:sz w:val="28"/>
          <w:szCs w:val="28"/>
          <w:lang w:val="en-US" w:eastAsia="zh-CN" w:bidi="zh-CN"/>
        </w:rPr>
        <w:t>，样本的预处理根据检测因子的不同加入不同的试剂</w:t>
      </w:r>
      <w:r>
        <w:rPr>
          <w:rFonts w:hint="default" w:ascii="Times New Roman" w:hAnsi="Times New Roman" w:eastAsia="宋体" w:cs="Times New Roman"/>
          <w:color w:val="auto"/>
          <w:spacing w:val="3"/>
          <w:sz w:val="28"/>
          <w:szCs w:val="28"/>
          <w:lang w:val="en-US" w:eastAsia="zh-CN" w:bidi="zh-CN"/>
        </w:rPr>
        <w:t>。</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（3）</w:t>
      </w:r>
      <w:r>
        <w:rPr>
          <w:rFonts w:hint="eastAsia" w:ascii="Times New Roman" w:hAnsi="Times New Roman" w:eastAsia="宋体" w:cs="Times New Roman"/>
          <w:color w:val="auto"/>
          <w:spacing w:val="3"/>
          <w:sz w:val="28"/>
          <w:szCs w:val="28"/>
          <w:lang w:val="en-US" w:eastAsia="zh-CN" w:bidi="zh-CN"/>
        </w:rPr>
        <w:t>基因扩增</w:t>
      </w:r>
      <w:r>
        <w:rPr>
          <w:rFonts w:hint="default" w:ascii="Times New Roman" w:hAnsi="Times New Roman" w:eastAsia="宋体" w:cs="Times New Roman"/>
          <w:color w:val="auto"/>
          <w:spacing w:val="3"/>
          <w:sz w:val="28"/>
          <w:szCs w:val="28"/>
          <w:lang w:val="en-US" w:eastAsia="zh-CN" w:bidi="zh-CN"/>
        </w:rPr>
        <w:t>：将处理完的</w:t>
      </w:r>
      <w:r>
        <w:rPr>
          <w:rFonts w:hint="eastAsia" w:ascii="Times New Roman" w:hAnsi="Times New Roman" w:eastAsia="宋体" w:cs="Times New Roman"/>
          <w:color w:val="auto"/>
          <w:spacing w:val="3"/>
          <w:sz w:val="28"/>
          <w:szCs w:val="28"/>
          <w:lang w:val="en-US" w:eastAsia="zh-CN" w:bidi="zh-CN"/>
        </w:rPr>
        <w:t>样本</w:t>
      </w:r>
      <w:r>
        <w:rPr>
          <w:rFonts w:hint="default" w:ascii="Times New Roman" w:hAnsi="Times New Roman" w:eastAsia="宋体" w:cs="Times New Roman"/>
          <w:color w:val="auto"/>
          <w:spacing w:val="3"/>
          <w:sz w:val="28"/>
          <w:szCs w:val="28"/>
          <w:lang w:val="en-US" w:eastAsia="zh-CN" w:bidi="zh-CN"/>
        </w:rPr>
        <w:t>放入反应管上机，仪器自动生成检测结果，以图片或者序列文件给出，</w:t>
      </w:r>
      <w:r>
        <w:rPr>
          <w:rFonts w:hint="eastAsia" w:ascii="Times New Roman" w:hAnsi="Times New Roman" w:eastAsia="宋体" w:cs="Times New Roman"/>
          <w:color w:val="auto"/>
          <w:spacing w:val="3"/>
          <w:sz w:val="28"/>
          <w:szCs w:val="28"/>
          <w:lang w:val="en-US" w:eastAsia="zh-CN" w:bidi="zh-CN"/>
        </w:rPr>
        <w:t>基因扩增的</w:t>
      </w:r>
      <w:r>
        <w:rPr>
          <w:rFonts w:hint="default" w:ascii="Times New Roman" w:hAnsi="Times New Roman" w:eastAsia="宋体" w:cs="Times New Roman"/>
          <w:color w:val="auto"/>
          <w:spacing w:val="3"/>
          <w:sz w:val="28"/>
          <w:szCs w:val="28"/>
          <w:lang w:val="en-US" w:eastAsia="zh-CN" w:bidi="zh-CN"/>
        </w:rPr>
        <w:t>项目包括</w:t>
      </w:r>
      <w:r>
        <w:rPr>
          <w:rFonts w:hint="eastAsia" w:ascii="Times New Roman" w:hAnsi="Times New Roman" w:eastAsia="宋体" w:cs="Times New Roman"/>
          <w:color w:val="auto"/>
          <w:spacing w:val="3"/>
          <w:sz w:val="28"/>
          <w:szCs w:val="28"/>
          <w:lang w:val="en-US" w:eastAsia="zh-CN" w:bidi="zh-CN"/>
        </w:rPr>
        <w:t>乙肝</w:t>
      </w:r>
      <w:r>
        <w:rPr>
          <w:rFonts w:hint="default" w:ascii="Times New Roman" w:hAnsi="Times New Roman" w:eastAsia="宋体" w:cs="Times New Roman"/>
          <w:color w:val="auto"/>
          <w:spacing w:val="3"/>
          <w:sz w:val="28"/>
          <w:szCs w:val="28"/>
          <w:lang w:val="en-US" w:eastAsia="zh-CN" w:bidi="zh-CN"/>
        </w:rPr>
        <w:t>、</w:t>
      </w:r>
      <w:r>
        <w:rPr>
          <w:rFonts w:hint="eastAsia" w:ascii="Times New Roman" w:hAnsi="Times New Roman" w:eastAsia="宋体" w:cs="Times New Roman"/>
          <w:color w:val="auto"/>
          <w:spacing w:val="3"/>
          <w:sz w:val="28"/>
          <w:szCs w:val="28"/>
          <w:lang w:val="en-US" w:eastAsia="zh-CN" w:bidi="zh-CN"/>
        </w:rPr>
        <w:t>丙肝以及结核分枝杆菌</w:t>
      </w:r>
      <w:r>
        <w:rPr>
          <w:rFonts w:hint="default" w:ascii="Times New Roman" w:hAnsi="Times New Roman" w:eastAsia="宋体" w:cs="Times New Roman"/>
          <w:color w:val="auto"/>
          <w:spacing w:val="3"/>
          <w:sz w:val="28"/>
          <w:szCs w:val="28"/>
          <w:lang w:val="en-US" w:eastAsia="zh-CN" w:bidi="zh-CN"/>
        </w:rPr>
        <w:t>等。</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eastAsia" w:ascii="Times New Roman" w:hAnsi="Times New Roman" w:eastAsia="宋体" w:cs="Times New Roman"/>
          <w:color w:val="auto"/>
          <w:spacing w:val="3"/>
          <w:sz w:val="28"/>
          <w:szCs w:val="28"/>
          <w:lang w:val="en-US" w:eastAsia="zh-CN" w:bidi="zh-CN"/>
        </w:rPr>
        <w:t>（</w:t>
      </w:r>
      <w:r>
        <w:rPr>
          <w:rFonts w:hint="default" w:ascii="Times New Roman" w:hAnsi="Times New Roman" w:eastAsia="宋体" w:cs="Times New Roman"/>
          <w:color w:val="auto"/>
          <w:spacing w:val="3"/>
          <w:sz w:val="28"/>
          <w:szCs w:val="28"/>
          <w:lang w:val="en-US" w:eastAsia="zh-CN" w:bidi="zh-CN"/>
        </w:rPr>
        <w:t>4</w:t>
      </w:r>
      <w:r>
        <w:rPr>
          <w:rFonts w:hint="eastAsia" w:ascii="Times New Roman" w:hAnsi="Times New Roman" w:eastAsia="宋体" w:cs="Times New Roman"/>
          <w:color w:val="auto"/>
          <w:spacing w:val="3"/>
          <w:sz w:val="28"/>
          <w:szCs w:val="28"/>
          <w:lang w:val="en-US" w:eastAsia="zh-CN" w:bidi="zh-CN"/>
        </w:rPr>
        <w:t>）</w:t>
      </w:r>
      <w:r>
        <w:rPr>
          <w:rFonts w:hint="default" w:ascii="Times New Roman" w:hAnsi="Times New Roman" w:eastAsia="宋体" w:cs="Times New Roman"/>
          <w:color w:val="auto"/>
          <w:spacing w:val="3"/>
          <w:sz w:val="28"/>
          <w:szCs w:val="28"/>
          <w:lang w:val="en-US" w:eastAsia="zh-CN" w:bidi="zh-CN"/>
        </w:rPr>
        <w:t>检测</w:t>
      </w:r>
      <w:r>
        <w:rPr>
          <w:rFonts w:hint="eastAsia" w:ascii="Times New Roman" w:hAnsi="Times New Roman" w:eastAsia="宋体" w:cs="Times New Roman"/>
          <w:color w:val="auto"/>
          <w:spacing w:val="3"/>
          <w:sz w:val="28"/>
          <w:szCs w:val="28"/>
          <w:lang w:val="en-US" w:eastAsia="zh-CN" w:bidi="zh-CN"/>
        </w:rPr>
        <w:t>：</w:t>
      </w:r>
      <w:r>
        <w:rPr>
          <w:rFonts w:hint="default" w:ascii="Times New Roman" w:hAnsi="Times New Roman" w:eastAsia="宋体" w:cs="Times New Roman"/>
          <w:color w:val="auto"/>
          <w:spacing w:val="3"/>
          <w:sz w:val="28"/>
          <w:szCs w:val="28"/>
          <w:lang w:val="en-US" w:eastAsia="zh-CN" w:bidi="zh-CN"/>
        </w:rPr>
        <w:t>将处理完的</w:t>
      </w:r>
      <w:r>
        <w:rPr>
          <w:rFonts w:hint="eastAsia" w:ascii="Times New Roman" w:hAnsi="Times New Roman" w:eastAsia="宋体" w:cs="Times New Roman"/>
          <w:color w:val="auto"/>
          <w:spacing w:val="3"/>
          <w:sz w:val="28"/>
          <w:szCs w:val="28"/>
          <w:lang w:val="en-US" w:eastAsia="zh-CN" w:bidi="zh-CN"/>
        </w:rPr>
        <w:t>样本</w:t>
      </w:r>
      <w:r>
        <w:rPr>
          <w:rFonts w:hint="default" w:ascii="Times New Roman" w:hAnsi="Times New Roman" w:eastAsia="宋体" w:cs="Times New Roman"/>
          <w:color w:val="auto"/>
          <w:spacing w:val="3"/>
          <w:sz w:val="28"/>
          <w:szCs w:val="28"/>
          <w:lang w:val="en-US" w:eastAsia="zh-CN" w:bidi="zh-CN"/>
        </w:rPr>
        <w:t>放入反应管上机，仪器自动生成检测结果，以图片或者序列文件给出，</w:t>
      </w:r>
      <w:r>
        <w:rPr>
          <w:rFonts w:hint="eastAsia" w:ascii="Times New Roman" w:hAnsi="Times New Roman" w:eastAsia="宋体" w:cs="Times New Roman"/>
          <w:color w:val="auto"/>
          <w:spacing w:val="3"/>
          <w:sz w:val="28"/>
          <w:szCs w:val="28"/>
          <w:lang w:val="en-US" w:eastAsia="zh-CN" w:bidi="zh-CN"/>
        </w:rPr>
        <w:t>检测的</w:t>
      </w:r>
      <w:r>
        <w:rPr>
          <w:rFonts w:hint="default" w:ascii="Times New Roman" w:hAnsi="Times New Roman" w:eastAsia="宋体" w:cs="Times New Roman"/>
          <w:color w:val="auto"/>
          <w:spacing w:val="3"/>
          <w:sz w:val="28"/>
          <w:szCs w:val="28"/>
          <w:lang w:val="en-US" w:eastAsia="zh-CN" w:bidi="zh-CN"/>
        </w:rPr>
        <w:t>项目包括</w:t>
      </w:r>
      <w:r>
        <w:rPr>
          <w:rFonts w:hint="eastAsia" w:ascii="Times New Roman" w:hAnsi="Times New Roman" w:eastAsia="宋体" w:cs="Times New Roman"/>
          <w:color w:val="auto"/>
          <w:spacing w:val="3"/>
          <w:sz w:val="28"/>
          <w:szCs w:val="28"/>
          <w:lang w:val="en-US" w:eastAsia="zh-CN" w:bidi="zh-CN"/>
        </w:rPr>
        <w:t>乙肝</w:t>
      </w:r>
      <w:r>
        <w:rPr>
          <w:rFonts w:hint="default" w:ascii="Times New Roman" w:hAnsi="Times New Roman" w:eastAsia="宋体" w:cs="Times New Roman"/>
          <w:color w:val="auto"/>
          <w:spacing w:val="3"/>
          <w:sz w:val="28"/>
          <w:szCs w:val="28"/>
          <w:lang w:val="en-US" w:eastAsia="zh-CN" w:bidi="zh-CN"/>
        </w:rPr>
        <w:t>、</w:t>
      </w:r>
      <w:r>
        <w:rPr>
          <w:rFonts w:hint="eastAsia" w:ascii="Times New Roman" w:hAnsi="Times New Roman" w:eastAsia="宋体" w:cs="Times New Roman"/>
          <w:color w:val="auto"/>
          <w:spacing w:val="3"/>
          <w:sz w:val="28"/>
          <w:szCs w:val="28"/>
          <w:lang w:val="en-US" w:eastAsia="zh-CN" w:bidi="zh-CN"/>
        </w:rPr>
        <w:t>丙肝以及结核分枝杆菌</w:t>
      </w:r>
      <w:r>
        <w:rPr>
          <w:rFonts w:hint="default" w:ascii="Times New Roman" w:hAnsi="Times New Roman" w:eastAsia="宋体" w:cs="Times New Roman"/>
          <w:color w:val="auto"/>
          <w:spacing w:val="3"/>
          <w:sz w:val="28"/>
          <w:szCs w:val="28"/>
          <w:lang w:val="en-US" w:eastAsia="zh-CN" w:bidi="zh-CN"/>
        </w:rPr>
        <w:t>等。</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（5）分析与报告：将上一步得到的数据进行分析，生成医学检测报告，以电子版或纸质版的形式发送给医院。</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w:t>
      </w:r>
      <w:r>
        <w:rPr>
          <w:rFonts w:hint="eastAsia" w:ascii="Times New Roman" w:hAnsi="Times New Roman" w:eastAsia="宋体" w:cs="Times New Roman"/>
          <w:color w:val="auto"/>
          <w:spacing w:val="3"/>
          <w:sz w:val="28"/>
          <w:szCs w:val="28"/>
          <w:lang w:val="en-US" w:eastAsia="zh-CN" w:bidi="zh-CN"/>
        </w:rPr>
        <w:t>6</w:t>
      </w:r>
      <w:r>
        <w:rPr>
          <w:rFonts w:hint="default" w:ascii="Times New Roman" w:hAnsi="Times New Roman" w:eastAsia="宋体" w:cs="Times New Roman"/>
          <w:color w:val="auto"/>
          <w:spacing w:val="3"/>
          <w:sz w:val="28"/>
          <w:szCs w:val="28"/>
          <w:lang w:val="en-US" w:eastAsia="zh-CN" w:bidi="zh-CN"/>
        </w:rPr>
        <w:t>）</w:t>
      </w:r>
      <w:r>
        <w:rPr>
          <w:rFonts w:hint="eastAsia" w:ascii="Times New Roman" w:hAnsi="Times New Roman" w:eastAsia="宋体" w:cs="Times New Roman"/>
          <w:color w:val="auto"/>
          <w:spacing w:val="3"/>
          <w:sz w:val="28"/>
          <w:szCs w:val="28"/>
          <w:lang w:val="en-US" w:eastAsia="zh-CN" w:bidi="zh-CN"/>
        </w:rPr>
        <w:t>样本</w:t>
      </w:r>
      <w:r>
        <w:rPr>
          <w:rFonts w:hint="default" w:ascii="Times New Roman" w:hAnsi="Times New Roman" w:eastAsia="宋体" w:cs="Times New Roman"/>
          <w:color w:val="auto"/>
          <w:spacing w:val="3"/>
          <w:sz w:val="28"/>
          <w:szCs w:val="28"/>
          <w:lang w:val="en-US" w:eastAsia="zh-CN" w:bidi="zh-CN"/>
        </w:rPr>
        <w:t>处理：将产生的枪头、试管、棉签、手套以及废弃</w:t>
      </w:r>
      <w:r>
        <w:rPr>
          <w:rFonts w:hint="eastAsia" w:ascii="Times New Roman" w:hAnsi="Times New Roman" w:eastAsia="宋体" w:cs="Times New Roman"/>
          <w:color w:val="auto"/>
          <w:spacing w:val="3"/>
          <w:sz w:val="28"/>
          <w:szCs w:val="28"/>
          <w:lang w:val="en-US" w:eastAsia="zh-CN" w:bidi="zh-CN"/>
        </w:rPr>
        <w:t>样本</w:t>
      </w:r>
      <w:r>
        <w:rPr>
          <w:rFonts w:hint="default" w:ascii="Times New Roman" w:hAnsi="Times New Roman" w:eastAsia="宋体" w:cs="Times New Roman"/>
          <w:color w:val="auto"/>
          <w:spacing w:val="3"/>
          <w:sz w:val="28"/>
          <w:szCs w:val="28"/>
          <w:lang w:val="en-US" w:eastAsia="zh-CN" w:bidi="zh-CN"/>
        </w:rPr>
        <w:t>等采用双层医用垃圾袋打包，采用高压灭菌锅进行灭菌，灭菌处理后暂存于医疗废物暂存间。</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w:t>
      </w:r>
      <w:r>
        <w:rPr>
          <w:rFonts w:hint="eastAsia" w:ascii="Times New Roman" w:hAnsi="Times New Roman" w:eastAsia="宋体" w:cs="Times New Roman"/>
          <w:color w:val="auto"/>
          <w:spacing w:val="3"/>
          <w:sz w:val="28"/>
          <w:szCs w:val="28"/>
          <w:lang w:val="en-US" w:eastAsia="zh-CN" w:bidi="zh-CN"/>
        </w:rPr>
        <w:t>7</w:t>
      </w:r>
      <w:r>
        <w:rPr>
          <w:rFonts w:hint="default" w:ascii="Times New Roman" w:hAnsi="Times New Roman" w:eastAsia="宋体" w:cs="Times New Roman"/>
          <w:color w:val="auto"/>
          <w:spacing w:val="3"/>
          <w:sz w:val="28"/>
          <w:szCs w:val="28"/>
          <w:lang w:val="en-US" w:eastAsia="zh-CN" w:bidi="zh-CN"/>
        </w:rPr>
        <w:t>）</w:t>
      </w:r>
      <w:r>
        <w:rPr>
          <w:rFonts w:hint="eastAsia" w:ascii="Times New Roman" w:hAnsi="Times New Roman" w:eastAsia="宋体" w:cs="Times New Roman"/>
          <w:color w:val="auto"/>
          <w:spacing w:val="3"/>
          <w:sz w:val="28"/>
          <w:szCs w:val="28"/>
          <w:lang w:val="en-US" w:eastAsia="zh-CN" w:bidi="zh-CN"/>
        </w:rPr>
        <w:t>清洁</w:t>
      </w:r>
      <w:r>
        <w:rPr>
          <w:rFonts w:hint="default" w:ascii="Times New Roman" w:hAnsi="Times New Roman" w:eastAsia="宋体" w:cs="Times New Roman"/>
          <w:color w:val="auto"/>
          <w:spacing w:val="3"/>
          <w:sz w:val="28"/>
          <w:szCs w:val="28"/>
          <w:lang w:val="en-US" w:eastAsia="zh-CN" w:bidi="zh-CN"/>
        </w:rPr>
        <w:t>：采用75%的酒精擦拭仪器，打开紫外线灯进行空气消毒</w:t>
      </w:r>
      <w:r>
        <w:rPr>
          <w:rFonts w:hint="eastAsia" w:ascii="Times New Roman" w:hAnsi="Times New Roman" w:eastAsia="宋体" w:cs="Times New Roman"/>
          <w:color w:val="auto"/>
          <w:spacing w:val="3"/>
          <w:sz w:val="28"/>
          <w:szCs w:val="28"/>
          <w:lang w:val="en-US" w:eastAsia="zh-CN" w:bidi="zh-CN"/>
        </w:rPr>
        <w:t>；地面清洁可用有效氯为500-1000mg/L的含氯消毒液喷洒或拖地，消毒液用量不小于100ml/m3。污染区和清洁区拖把应专用，不得混用。使用后，用上述消毒液浸泡30分钟，再用水清洗干净，悬挂晾干</w:t>
      </w:r>
      <w:r>
        <w:rPr>
          <w:rFonts w:hint="default" w:ascii="Times New Roman" w:hAnsi="Times New Roman" w:eastAsia="宋体" w:cs="Times New Roman"/>
          <w:color w:val="auto"/>
          <w:spacing w:val="3"/>
          <w:sz w:val="28"/>
          <w:szCs w:val="28"/>
          <w:lang w:val="en-US" w:eastAsia="zh-CN" w:bidi="zh-CN"/>
        </w:rPr>
        <w:t>。</w:t>
      </w:r>
    </w:p>
    <w:p>
      <w:pPr>
        <w:jc w:val="center"/>
        <w:rPr>
          <w:b w:val="0"/>
          <w:bCs/>
          <w:color w:val="auto"/>
        </w:rPr>
      </w:pPr>
      <w:r>
        <w:rPr>
          <w:rFonts w:hint="default" w:ascii="Times New Roman" w:hAnsi="Times New Roman" w:cs="Times New Roman"/>
          <w:color w:val="auto"/>
          <w:sz w:val="24"/>
          <w:szCs w:val="24"/>
          <w:lang w:val="en-US" w:eastAsia="zh-CN"/>
        </w:rPr>
        <w:drawing>
          <wp:inline distT="0" distB="0" distL="114300" distR="114300">
            <wp:extent cx="1712595" cy="2684145"/>
            <wp:effectExtent l="0" t="0" r="1905" b="1905"/>
            <wp:docPr id="2" name="图片 2"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1"/>
                    <pic:cNvPicPr>
                      <a:picLocks noChangeAspect="1"/>
                    </pic:cNvPicPr>
                  </pic:nvPicPr>
                  <pic:blipFill>
                    <a:blip r:embed="rId12"/>
                    <a:stretch>
                      <a:fillRect/>
                    </a:stretch>
                  </pic:blipFill>
                  <pic:spPr>
                    <a:xfrm>
                      <a:off x="0" y="0"/>
                      <a:ext cx="1712595" cy="2684145"/>
                    </a:xfrm>
                    <a:prstGeom prst="rect">
                      <a:avLst/>
                    </a:prstGeom>
                    <a:noFill/>
                    <a:ln>
                      <a:noFill/>
                    </a:ln>
                  </pic:spPr>
                </pic:pic>
              </a:graphicData>
            </a:graphic>
          </wp:inline>
        </w:drawing>
      </w:r>
    </w:p>
    <w:p>
      <w:pPr>
        <w:ind w:firstLine="562"/>
        <w:jc w:val="center"/>
        <w:rPr>
          <w:rFonts w:hint="default"/>
          <w:b/>
          <w:color w:val="auto"/>
          <w:sz w:val="24"/>
        </w:rPr>
      </w:pPr>
      <w:r>
        <w:rPr>
          <w:b/>
          <w:color w:val="auto"/>
          <w:sz w:val="24"/>
        </w:rPr>
        <w:t>图</w:t>
      </w:r>
      <w:r>
        <w:rPr>
          <w:rFonts w:hint="eastAsia"/>
          <w:b/>
          <w:color w:val="auto"/>
          <w:sz w:val="24"/>
          <w:lang w:val="en-US" w:eastAsia="zh-CN"/>
        </w:rPr>
        <w:t>3.4-</w:t>
      </w:r>
      <w:r>
        <w:rPr>
          <w:b/>
          <w:color w:val="auto"/>
          <w:sz w:val="24"/>
        </w:rPr>
        <w:t xml:space="preserve">2 </w:t>
      </w:r>
      <w:r>
        <w:rPr>
          <w:rFonts w:hint="eastAsia"/>
          <w:b/>
          <w:color w:val="auto"/>
          <w:sz w:val="24"/>
          <w:lang w:val="en-US" w:eastAsia="zh-CN"/>
        </w:rPr>
        <w:t>P2+实验室</w:t>
      </w:r>
      <w:r>
        <w:rPr>
          <w:rFonts w:hint="default"/>
          <w:b/>
          <w:color w:val="auto"/>
          <w:sz w:val="24"/>
        </w:rPr>
        <w:t>工艺流程及产污环节框图</w:t>
      </w:r>
    </w:p>
    <w:p>
      <w:pPr>
        <w:pStyle w:val="2"/>
        <w:numPr>
          <w:ilvl w:val="2"/>
          <w:numId w:val="1"/>
        </w:numPr>
        <w:tabs>
          <w:tab w:val="left" w:pos="1377"/>
        </w:tabs>
        <w:spacing w:before="1" w:after="0" w:line="360" w:lineRule="auto"/>
        <w:ind w:left="1376" w:right="0" w:hanging="629"/>
        <w:jc w:val="left"/>
        <w:rPr>
          <w:rFonts w:hint="eastAsia"/>
          <w:color w:val="auto"/>
          <w:lang w:val="en-US" w:eastAsia="zh-CN"/>
        </w:rPr>
      </w:pPr>
      <w:bookmarkStart w:id="77" w:name="_Toc3635"/>
      <w:bookmarkStart w:id="78" w:name="_Toc26356"/>
      <w:r>
        <w:rPr>
          <w:rFonts w:hint="eastAsia"/>
          <w:color w:val="auto"/>
          <w:lang w:val="en-US" w:eastAsia="zh-CN"/>
        </w:rPr>
        <w:t>纯水制备工艺流程及产污环节</w:t>
      </w:r>
      <w:bookmarkEnd w:id="77"/>
      <w:bookmarkEnd w:id="78"/>
    </w:p>
    <w:p>
      <w:pPr>
        <w:spacing w:line="360" w:lineRule="auto"/>
        <w:rPr>
          <w:rFonts w:hint="eastAsia" w:eastAsia="仿宋"/>
          <w:color w:val="auto"/>
          <w:sz w:val="24"/>
          <w:lang w:eastAsia="zh-CN"/>
        </w:rPr>
      </w:pPr>
      <w:r>
        <w:rPr>
          <w:rFonts w:hint="eastAsia" w:eastAsia="仿宋"/>
          <w:color w:val="auto"/>
          <w:sz w:val="24"/>
          <w:lang w:eastAsia="zh-CN"/>
        </w:rPr>
        <w:drawing>
          <wp:inline distT="0" distB="0" distL="114300" distR="114300">
            <wp:extent cx="5414010" cy="2019300"/>
            <wp:effectExtent l="0" t="0" r="15240" b="0"/>
            <wp:docPr id="4" name="图片 3" descr="ef4787023f1c9aa1d16fe674adb88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ef4787023f1c9aa1d16fe674adb88c9"/>
                    <pic:cNvPicPr>
                      <a:picLocks noChangeAspect="1"/>
                    </pic:cNvPicPr>
                  </pic:nvPicPr>
                  <pic:blipFill>
                    <a:blip r:embed="rId13"/>
                    <a:stretch>
                      <a:fillRect/>
                    </a:stretch>
                  </pic:blipFill>
                  <pic:spPr>
                    <a:xfrm>
                      <a:off x="0" y="0"/>
                      <a:ext cx="5414010" cy="2019300"/>
                    </a:xfrm>
                    <a:prstGeom prst="rect">
                      <a:avLst/>
                    </a:prstGeom>
                    <a:noFill/>
                    <a:ln>
                      <a:noFill/>
                    </a:ln>
                  </pic:spPr>
                </pic:pic>
              </a:graphicData>
            </a:graphic>
          </wp:inline>
        </w:drawing>
      </w:r>
    </w:p>
    <w:p>
      <w:pPr>
        <w:ind w:firstLine="562"/>
        <w:jc w:val="center"/>
        <w:rPr>
          <w:rFonts w:hint="default" w:ascii="Times New Roman" w:hAnsi="Times New Roman" w:cs="Times New Roman"/>
          <w:b/>
          <w:color w:val="auto"/>
          <w:sz w:val="24"/>
        </w:rPr>
      </w:pPr>
      <w:r>
        <w:rPr>
          <w:rFonts w:hint="eastAsia" w:ascii="Times New Roman" w:hAnsi="Times New Roman" w:cs="Times New Roman"/>
          <w:b/>
          <w:color w:val="auto"/>
          <w:sz w:val="24"/>
        </w:rPr>
        <w:t>图</w:t>
      </w:r>
      <w:r>
        <w:rPr>
          <w:rFonts w:hint="eastAsia" w:ascii="Times New Roman" w:hAnsi="Times New Roman" w:cs="Times New Roman"/>
          <w:b/>
          <w:color w:val="auto"/>
          <w:sz w:val="24"/>
          <w:lang w:val="en-US" w:eastAsia="zh-CN"/>
        </w:rPr>
        <w:t xml:space="preserve">3.4-3 </w:t>
      </w:r>
      <w:r>
        <w:rPr>
          <w:rFonts w:hint="eastAsia" w:ascii="Times New Roman" w:hAnsi="Times New Roman" w:cs="Times New Roman"/>
          <w:b/>
          <w:color w:val="auto"/>
          <w:sz w:val="24"/>
        </w:rPr>
        <w:t>纯水制备工艺流程及产污环节图</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eastAsia" w:ascii="Times New Roman" w:hAnsi="Times New Roman" w:eastAsia="宋体" w:cs="Times New Roman"/>
          <w:color w:val="auto"/>
          <w:spacing w:val="3"/>
          <w:sz w:val="28"/>
          <w:szCs w:val="28"/>
          <w:lang w:val="en-US" w:eastAsia="zh-CN" w:bidi="zh-CN"/>
        </w:rPr>
      </w:pPr>
      <w:r>
        <w:rPr>
          <w:rFonts w:hint="eastAsia" w:ascii="Times New Roman" w:hAnsi="Times New Roman" w:eastAsia="宋体" w:cs="Times New Roman"/>
          <w:color w:val="auto"/>
          <w:spacing w:val="3"/>
          <w:sz w:val="28"/>
          <w:szCs w:val="28"/>
          <w:lang w:val="en-US" w:eastAsia="zh-CN" w:bidi="zh-CN"/>
        </w:rPr>
        <w:t>工艺流程简介：</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eastAsia" w:ascii="Times New Roman" w:hAnsi="Times New Roman" w:eastAsia="宋体" w:cs="Times New Roman"/>
          <w:color w:val="auto"/>
          <w:spacing w:val="3"/>
          <w:sz w:val="28"/>
          <w:szCs w:val="28"/>
          <w:lang w:val="en-US" w:eastAsia="zh-CN" w:bidi="zh-CN"/>
        </w:rPr>
      </w:pPr>
      <w:r>
        <w:rPr>
          <w:rFonts w:hint="eastAsia" w:ascii="Times New Roman" w:hAnsi="Times New Roman" w:eastAsia="宋体" w:cs="Times New Roman"/>
          <w:color w:val="auto"/>
          <w:spacing w:val="3"/>
          <w:sz w:val="28"/>
          <w:szCs w:val="28"/>
          <w:lang w:val="en-US" w:eastAsia="zh-CN" w:bidi="zh-CN"/>
        </w:rPr>
        <w:t>纯水机的核心原理是采用反渗透膜分离工艺，采用对水施加一定的压力，使水分子和离子态的矿物质元素通过反渗透膜，而溶解在水中的绝大部分无机盐有机物以及细菌病毒等无法透过反渗透膜，从而把透过纯水和无法透过的浓盐水进行严格区分，反渗透膜能截留水中的</w:t>
      </w:r>
      <w:r>
        <w:rPr>
          <w:rFonts w:hint="default" w:ascii="Times New Roman" w:hAnsi="Times New Roman" w:eastAsia="宋体" w:cs="Times New Roman"/>
          <w:color w:val="auto"/>
          <w:spacing w:val="3"/>
          <w:sz w:val="28"/>
          <w:szCs w:val="28"/>
          <w:lang w:val="en-US" w:eastAsia="zh-CN" w:bidi="zh-CN"/>
        </w:rPr>
        <w:t>98%以</w:t>
      </w:r>
      <w:r>
        <w:rPr>
          <w:rFonts w:hint="eastAsia" w:ascii="Times New Roman" w:hAnsi="Times New Roman" w:eastAsia="宋体" w:cs="Times New Roman"/>
          <w:color w:val="auto"/>
          <w:spacing w:val="3"/>
          <w:sz w:val="28"/>
          <w:szCs w:val="28"/>
          <w:lang w:val="en-US" w:eastAsia="zh-CN" w:bidi="zh-CN"/>
        </w:rPr>
        <w:t>上的杂质。纯化水设备运行时会产生废反渗透膜及浓盐水。废反渗透膜由厂家定期回收处理，浓盐水经收集后排至化粪池，最终进入市政管网。</w:t>
      </w:r>
    </w:p>
    <w:p>
      <w:pPr>
        <w:pStyle w:val="2"/>
        <w:numPr>
          <w:ilvl w:val="2"/>
          <w:numId w:val="1"/>
        </w:numPr>
        <w:tabs>
          <w:tab w:val="left" w:pos="1377"/>
        </w:tabs>
        <w:spacing w:before="1" w:after="0" w:line="360" w:lineRule="auto"/>
        <w:ind w:left="1376" w:right="0" w:hanging="629"/>
        <w:jc w:val="left"/>
        <w:rPr>
          <w:rFonts w:hint="eastAsia"/>
          <w:color w:val="auto"/>
          <w:lang w:val="en-US" w:eastAsia="zh-CN"/>
        </w:rPr>
      </w:pPr>
      <w:bookmarkStart w:id="79" w:name="_Toc23396"/>
      <w:bookmarkStart w:id="80" w:name="_Toc32002"/>
      <w:r>
        <w:rPr>
          <w:rFonts w:hint="eastAsia"/>
          <w:color w:val="auto"/>
          <w:lang w:val="en-US" w:eastAsia="zh-CN"/>
        </w:rPr>
        <w:t>废水处理工艺及产污环节图</w:t>
      </w:r>
      <w:bookmarkEnd w:id="79"/>
      <w:bookmarkEnd w:id="80"/>
    </w:p>
    <w:p>
      <w:pPr>
        <w:pStyle w:val="21"/>
        <w:spacing w:line="360" w:lineRule="auto"/>
        <w:ind w:firstLine="464"/>
        <w:rPr>
          <w:rFonts w:hint="default" w:ascii="Times New Roman" w:hAnsi="Times New Roman" w:eastAsia="宋体" w:cs="Times New Roman"/>
          <w:color w:val="auto"/>
          <w:spacing w:val="3"/>
          <w:kern w:val="2"/>
          <w:sz w:val="28"/>
          <w:szCs w:val="28"/>
          <w:lang w:val="en-US" w:eastAsia="zh-CN" w:bidi="zh-CN"/>
        </w:rPr>
      </w:pPr>
      <w:r>
        <w:rPr>
          <w:rFonts w:hint="default" w:ascii="Times New Roman" w:hAnsi="Times New Roman" w:eastAsia="宋体" w:cs="Times New Roman"/>
          <w:color w:val="auto"/>
          <w:spacing w:val="3"/>
          <w:kern w:val="2"/>
          <w:sz w:val="28"/>
          <w:szCs w:val="28"/>
          <w:lang w:val="en-US" w:eastAsia="zh-CN" w:bidi="zh-CN"/>
        </w:rPr>
        <w:t>废水处理的工艺流程见图</w:t>
      </w:r>
      <w:r>
        <w:rPr>
          <w:rFonts w:hint="eastAsia" w:ascii="Times New Roman" w:hAnsi="Times New Roman" w:eastAsia="宋体" w:cs="Times New Roman"/>
          <w:color w:val="auto"/>
          <w:spacing w:val="3"/>
          <w:kern w:val="2"/>
          <w:sz w:val="28"/>
          <w:szCs w:val="28"/>
          <w:lang w:val="en-US" w:eastAsia="zh-CN" w:bidi="zh-CN"/>
        </w:rPr>
        <w:t>3.4</w:t>
      </w:r>
      <w:r>
        <w:rPr>
          <w:rFonts w:hint="default" w:ascii="Times New Roman" w:hAnsi="Times New Roman" w:eastAsia="宋体" w:cs="Times New Roman"/>
          <w:color w:val="auto"/>
          <w:spacing w:val="3"/>
          <w:kern w:val="2"/>
          <w:sz w:val="28"/>
          <w:szCs w:val="28"/>
          <w:lang w:val="en-US" w:eastAsia="zh-CN" w:bidi="zh-CN"/>
        </w:rPr>
        <w:t>-</w:t>
      </w:r>
      <w:r>
        <w:rPr>
          <w:rFonts w:hint="eastAsia" w:ascii="Times New Roman" w:hAnsi="Times New Roman" w:eastAsia="宋体" w:cs="Times New Roman"/>
          <w:color w:val="auto"/>
          <w:spacing w:val="3"/>
          <w:kern w:val="2"/>
          <w:sz w:val="28"/>
          <w:szCs w:val="28"/>
          <w:lang w:val="en-US" w:eastAsia="zh-CN" w:bidi="zh-CN"/>
        </w:rPr>
        <w:t>4</w:t>
      </w:r>
      <w:r>
        <w:rPr>
          <w:rFonts w:hint="default" w:ascii="Times New Roman" w:hAnsi="Times New Roman" w:eastAsia="宋体" w:cs="Times New Roman"/>
          <w:color w:val="auto"/>
          <w:spacing w:val="3"/>
          <w:kern w:val="2"/>
          <w:sz w:val="28"/>
          <w:szCs w:val="28"/>
          <w:lang w:val="en-US" w:eastAsia="zh-CN" w:bidi="zh-CN"/>
        </w:rPr>
        <w:t>。</w:t>
      </w:r>
    </w:p>
    <w:p>
      <w:pPr>
        <w:pStyle w:val="21"/>
        <w:spacing w:line="360" w:lineRule="auto"/>
        <w:jc w:val="both"/>
        <w:rPr>
          <w:rFonts w:hint="default" w:ascii="Times New Roman" w:hAnsi="Times New Roman" w:eastAsia="宋体" w:cs="Times New Roman"/>
          <w:color w:val="auto"/>
          <w:sz w:val="24"/>
          <w:lang w:eastAsia="zh-CN"/>
        </w:rPr>
      </w:pPr>
      <w:r>
        <w:rPr>
          <w:rFonts w:hint="default" w:ascii="Times New Roman" w:hAnsi="Times New Roman" w:eastAsia="宋体" w:cs="Times New Roman"/>
          <w:color w:val="auto"/>
          <w:sz w:val="24"/>
          <w:lang w:eastAsia="zh-CN"/>
        </w:rPr>
        <w:drawing>
          <wp:inline distT="0" distB="0" distL="114300" distR="114300">
            <wp:extent cx="5585460" cy="2148205"/>
            <wp:effectExtent l="0" t="0" r="15240" b="4445"/>
            <wp:docPr id="3" name="图片 4" descr="污水处理工艺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污水处理工艺流程图"/>
                    <pic:cNvPicPr>
                      <a:picLocks noChangeAspect="1"/>
                    </pic:cNvPicPr>
                  </pic:nvPicPr>
                  <pic:blipFill>
                    <a:blip r:embed="rId14"/>
                    <a:stretch>
                      <a:fillRect/>
                    </a:stretch>
                  </pic:blipFill>
                  <pic:spPr>
                    <a:xfrm>
                      <a:off x="0" y="0"/>
                      <a:ext cx="5585460" cy="2148205"/>
                    </a:xfrm>
                    <a:prstGeom prst="rect">
                      <a:avLst/>
                    </a:prstGeom>
                    <a:noFill/>
                    <a:ln>
                      <a:noFill/>
                    </a:ln>
                  </pic:spPr>
                </pic:pic>
              </a:graphicData>
            </a:graphic>
          </wp:inline>
        </w:drawing>
      </w:r>
    </w:p>
    <w:p>
      <w:pPr>
        <w:spacing w:line="360" w:lineRule="auto"/>
        <w:ind w:firstLine="562"/>
        <w:jc w:val="center"/>
        <w:rPr>
          <w:rFonts w:hint="default" w:ascii="Times New Roman" w:hAnsi="Times New Roman" w:cs="Times New Roman"/>
          <w:b/>
          <w:color w:val="auto"/>
          <w:sz w:val="24"/>
        </w:rPr>
      </w:pPr>
      <w:r>
        <w:rPr>
          <w:rFonts w:hint="default" w:ascii="Times New Roman" w:hAnsi="Times New Roman" w:cs="Times New Roman"/>
          <w:b/>
          <w:color w:val="auto"/>
          <w:sz w:val="24"/>
        </w:rPr>
        <w:t>图</w:t>
      </w:r>
      <w:r>
        <w:rPr>
          <w:rFonts w:hint="eastAsia" w:ascii="Times New Roman" w:hAnsi="Times New Roman" w:cs="Times New Roman"/>
          <w:b/>
          <w:color w:val="auto"/>
          <w:sz w:val="24"/>
          <w:lang w:val="en-US" w:eastAsia="zh-CN"/>
        </w:rPr>
        <w:t>3.4</w:t>
      </w:r>
      <w:r>
        <w:rPr>
          <w:rFonts w:hint="default" w:ascii="Times New Roman" w:hAnsi="Times New Roman" w:cs="Times New Roman"/>
          <w:b/>
          <w:color w:val="auto"/>
          <w:sz w:val="24"/>
          <w:lang w:val="en-US" w:eastAsia="zh-CN"/>
        </w:rPr>
        <w:t>-</w:t>
      </w:r>
      <w:r>
        <w:rPr>
          <w:rFonts w:hint="eastAsia" w:ascii="Times New Roman" w:hAnsi="Times New Roman" w:cs="Times New Roman"/>
          <w:b/>
          <w:color w:val="auto"/>
          <w:sz w:val="24"/>
          <w:lang w:val="en-US" w:eastAsia="zh-CN"/>
        </w:rPr>
        <w:t>4</w:t>
      </w:r>
      <w:r>
        <w:rPr>
          <w:rFonts w:hint="default" w:ascii="Times New Roman" w:hAnsi="Times New Roman" w:cs="Times New Roman"/>
          <w:b/>
          <w:color w:val="auto"/>
          <w:sz w:val="24"/>
        </w:rPr>
        <w:t xml:space="preserve"> 污水处理工艺</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a.格栅——污水提升泵之前设置格栅，格栅按照最大时污水量设计。在调节池前加一道格栅网，防止大的漂浮物流入调节池，以保证后续处理的正常运行。</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b.调节池——该池用于对污水的预处理及调节（均质、均量作用）。</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c.A</w:t>
      </w:r>
      <w:r>
        <w:rPr>
          <w:rFonts w:hint="default" w:ascii="Times New Roman" w:hAnsi="Times New Roman" w:eastAsia="宋体" w:cs="Times New Roman"/>
          <w:color w:val="auto"/>
          <w:spacing w:val="3"/>
          <w:sz w:val="28"/>
          <w:szCs w:val="28"/>
          <w:vertAlign w:val="superscript"/>
          <w:lang w:val="en-US" w:eastAsia="zh-CN" w:bidi="zh-CN"/>
        </w:rPr>
        <w:t>2</w:t>
      </w:r>
      <w:r>
        <w:rPr>
          <w:rFonts w:hint="default" w:ascii="Times New Roman" w:hAnsi="Times New Roman" w:eastAsia="宋体" w:cs="Times New Roman"/>
          <w:color w:val="auto"/>
          <w:spacing w:val="3"/>
          <w:sz w:val="28"/>
          <w:szCs w:val="28"/>
          <w:lang w:val="en-US" w:eastAsia="zh-CN" w:bidi="zh-CN"/>
        </w:rPr>
        <w:t>/O（厌氧+缺氧+好氧）——在该工艺流程内，BOD</w:t>
      </w:r>
      <w:r>
        <w:rPr>
          <w:rFonts w:hint="default" w:ascii="Times New Roman" w:hAnsi="Times New Roman" w:eastAsia="宋体" w:cs="Times New Roman"/>
          <w:color w:val="auto"/>
          <w:spacing w:val="3"/>
          <w:sz w:val="28"/>
          <w:szCs w:val="28"/>
          <w:vertAlign w:val="subscript"/>
          <w:lang w:val="en-US" w:eastAsia="zh-CN" w:bidi="zh-CN"/>
        </w:rPr>
        <w:t>5</w:t>
      </w:r>
      <w:r>
        <w:rPr>
          <w:rFonts w:hint="default" w:ascii="Times New Roman" w:hAnsi="Times New Roman" w:eastAsia="宋体" w:cs="Times New Roman"/>
          <w:color w:val="auto"/>
          <w:spacing w:val="3"/>
          <w:sz w:val="28"/>
          <w:szCs w:val="28"/>
          <w:lang w:val="en-US" w:eastAsia="zh-CN" w:bidi="zh-CN"/>
        </w:rPr>
        <w:t>、SS和以各种形式存在的氮和磷将一一被去除。A</w:t>
      </w:r>
      <w:r>
        <w:rPr>
          <w:rFonts w:hint="default" w:ascii="Times New Roman" w:hAnsi="Times New Roman" w:eastAsia="宋体" w:cs="Times New Roman"/>
          <w:color w:val="auto"/>
          <w:spacing w:val="3"/>
          <w:sz w:val="28"/>
          <w:szCs w:val="28"/>
          <w:vertAlign w:val="superscript"/>
          <w:lang w:val="en-US" w:eastAsia="zh-CN" w:bidi="zh-CN"/>
        </w:rPr>
        <w:t>2</w:t>
      </w:r>
      <w:r>
        <w:rPr>
          <w:rFonts w:hint="default" w:ascii="Times New Roman" w:hAnsi="Times New Roman" w:eastAsia="宋体" w:cs="Times New Roman"/>
          <w:color w:val="auto"/>
          <w:spacing w:val="3"/>
          <w:sz w:val="28"/>
          <w:szCs w:val="28"/>
          <w:lang w:val="en-US" w:eastAsia="zh-CN" w:bidi="zh-CN"/>
        </w:rPr>
        <w:t>/O生物脱氮除磷系统的活性污泥中，菌群主要由硝化菌和反硝化菌、聚磷菌组成。在好氧段，硝化细菌将入流中的氨氮及有机氮氨化成的氨氮，通过生物硝化作用，转化成硝酸盐；在缺氧段，反硝化细菌将内回流带入的硝酸盐通过生物反硝化作用，转化成氮气逸入到大气中，从而达到脱氮的目的；在厌氧段，聚磷菌释放磷，并吸收低级脂肪酸等易降解的有机物；而在好氧段，聚磷菌超量吸收磷，并通过剩余污泥的排放，将磷除去。</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d.二沉池——二沉池是活性污泥系统的重要组成部分，其作用主要是使污泥分离，使混合液澄清、浓缩和回流活性污泥。其工作效果能够直接影响活性污泥系统的出水水质和回流污泥浓度。</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e.消毒池——医疗污水排放前必须消毒。本项目采用成品盐酸和氯酸钠配制成通过二氧化氯发生器制备二氧化氯溶液，通过计量泵定量投加到待处理水体当中，消毒后的污水进入污水管网。</w:t>
      </w:r>
    </w:p>
    <w:p>
      <w:pPr>
        <w:pStyle w:val="2"/>
        <w:numPr>
          <w:ilvl w:val="2"/>
          <w:numId w:val="1"/>
        </w:numPr>
        <w:tabs>
          <w:tab w:val="left" w:pos="1377"/>
        </w:tabs>
        <w:spacing w:before="1" w:after="0" w:line="360" w:lineRule="auto"/>
        <w:ind w:left="1376" w:right="0" w:hanging="629"/>
        <w:jc w:val="left"/>
        <w:rPr>
          <w:color w:val="auto"/>
        </w:rPr>
      </w:pPr>
      <w:r>
        <w:rPr>
          <w:color w:val="auto"/>
        </w:rPr>
        <w:t>主要污染物产排情况</w:t>
      </w:r>
    </w:p>
    <w:p>
      <w:pPr>
        <w:spacing w:line="360" w:lineRule="auto"/>
        <w:ind w:left="0" w:leftChars="0" w:firstLine="0" w:firstLineChars="0"/>
        <w:jc w:val="center"/>
        <w:outlineLvl w:val="9"/>
        <w:rPr>
          <w:rFonts w:hint="default" w:ascii="Times New Roman" w:hAnsi="Times New Roman" w:cs="Times New Roman"/>
          <w:b/>
          <w:color w:val="auto"/>
          <w:sz w:val="24"/>
        </w:rPr>
      </w:pPr>
      <w:r>
        <w:rPr>
          <w:rFonts w:hint="eastAsia" w:ascii="Times New Roman" w:hAnsi="Times New Roman" w:cs="Times New Roman"/>
          <w:b/>
          <w:color w:val="auto"/>
          <w:sz w:val="24"/>
          <w:lang w:val="en-US" w:eastAsia="zh-CN"/>
        </w:rPr>
        <w:t xml:space="preserve">表3.4-1 </w:t>
      </w:r>
      <w:r>
        <w:rPr>
          <w:rFonts w:hint="default" w:ascii="Times New Roman" w:hAnsi="Times New Roman" w:cs="Times New Roman"/>
          <w:b/>
          <w:color w:val="auto"/>
          <w:sz w:val="24"/>
          <w:lang w:val="en-US" w:eastAsia="zh-CN"/>
        </w:rPr>
        <w:t>项目主要污</w:t>
      </w:r>
      <w:r>
        <w:rPr>
          <w:rFonts w:hint="default" w:ascii="Times New Roman" w:hAnsi="Times New Roman" w:cs="Times New Roman"/>
          <w:b/>
          <w:color w:val="auto"/>
          <w:sz w:val="24"/>
        </w:rPr>
        <w:t>染物排放情况</w:t>
      </w:r>
    </w:p>
    <w:tbl>
      <w:tblPr>
        <w:tblStyle w:val="13"/>
        <w:tblW w:w="4998" w:type="pct"/>
        <w:jc w:val="center"/>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04"/>
        <w:gridCol w:w="2121"/>
        <w:gridCol w:w="2317"/>
        <w:gridCol w:w="2875"/>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154" w:hRule="atLeast"/>
          <w:jc w:val="center"/>
        </w:trPr>
        <w:tc>
          <w:tcPr>
            <w:tcW w:w="70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内容</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类型</w:t>
            </w:r>
          </w:p>
        </w:tc>
        <w:tc>
          <w:tcPr>
            <w:tcW w:w="124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排放源</w:t>
            </w: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污染物</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排放浓度</w:t>
            </w:r>
            <w:r>
              <w:rPr>
                <w:rFonts w:hint="eastAsia" w:ascii="Times New Roman" w:hAnsi="Times New Roman" w:eastAsia="宋体" w:cs="Times New Roman"/>
                <w:b/>
                <w:bCs/>
                <w:color w:val="auto"/>
                <w:sz w:val="21"/>
                <w:szCs w:val="21"/>
                <w:lang w:val="en-US" w:eastAsia="zh-CN"/>
              </w:rPr>
              <w:t>（产生量）</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20" w:hRule="atLeast"/>
          <w:jc w:val="center"/>
        </w:trPr>
        <w:tc>
          <w:tcPr>
            <w:tcW w:w="707"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大气</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污染物</w:t>
            </w:r>
          </w:p>
        </w:tc>
        <w:tc>
          <w:tcPr>
            <w:tcW w:w="124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污水处理站恶臭</w:t>
            </w: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H</w:t>
            </w:r>
            <w:r>
              <w:rPr>
                <w:rFonts w:hint="default" w:ascii="Times New Roman" w:hAnsi="Times New Roman" w:eastAsia="宋体" w:cs="Times New Roman"/>
                <w:color w:val="auto"/>
                <w:sz w:val="21"/>
                <w:szCs w:val="21"/>
                <w:vertAlign w:val="subscript"/>
                <w:lang w:val="en-US" w:eastAsia="zh-CN"/>
              </w:rPr>
              <w:t>2</w:t>
            </w:r>
            <w:r>
              <w:rPr>
                <w:rFonts w:hint="default" w:ascii="Times New Roman" w:hAnsi="Times New Roman" w:eastAsia="宋体" w:cs="Times New Roman"/>
                <w:color w:val="auto"/>
                <w:sz w:val="21"/>
                <w:szCs w:val="21"/>
                <w:lang w:val="en-US" w:eastAsia="zh-CN"/>
              </w:rPr>
              <w:t>S</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0.0</w:t>
            </w:r>
            <w:r>
              <w:rPr>
                <w:rFonts w:hint="eastAsia" w:ascii="Times New Roman" w:hAnsi="Times New Roman" w:eastAsia="宋体" w:cs="Times New Roman"/>
                <w:color w:val="auto"/>
                <w:sz w:val="21"/>
                <w:szCs w:val="21"/>
                <w:lang w:val="en-US" w:eastAsia="zh-CN"/>
              </w:rPr>
              <w:t>10</w:t>
            </w:r>
            <w:r>
              <w:rPr>
                <w:rFonts w:hint="default" w:ascii="Times New Roman" w:hAnsi="Times New Roman" w:eastAsia="宋体" w:cs="Times New Roman"/>
                <w:color w:val="auto"/>
                <w:sz w:val="21"/>
                <w:szCs w:val="21"/>
                <w:lang w:val="en-US" w:eastAsia="zh-CN"/>
              </w:rPr>
              <w:t>mg/m</w:t>
            </w:r>
            <w:r>
              <w:rPr>
                <w:rFonts w:hint="default" w:ascii="Times New Roman" w:hAnsi="Times New Roman" w:eastAsia="宋体" w:cs="Times New Roman"/>
                <w:color w:val="auto"/>
                <w:sz w:val="21"/>
                <w:szCs w:val="21"/>
                <w:vertAlign w:val="superscript"/>
                <w:lang w:val="en-US" w:eastAsia="zh-CN"/>
              </w:rPr>
              <w:t>3</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NH</w:t>
            </w:r>
            <w:r>
              <w:rPr>
                <w:rFonts w:hint="default" w:ascii="Times New Roman" w:hAnsi="Times New Roman" w:eastAsia="宋体" w:cs="Times New Roman"/>
                <w:color w:val="auto"/>
                <w:sz w:val="21"/>
                <w:szCs w:val="21"/>
                <w:vertAlign w:val="subscript"/>
                <w:lang w:val="en-US" w:eastAsia="zh-CN"/>
              </w:rPr>
              <w:t>3</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w:t>
            </w:r>
            <w:r>
              <w:rPr>
                <w:rFonts w:hint="eastAsia" w:ascii="Times New Roman" w:hAnsi="Times New Roman" w:eastAsia="宋体" w:cs="Times New Roman"/>
                <w:color w:val="auto"/>
                <w:sz w:val="21"/>
                <w:szCs w:val="21"/>
                <w:lang w:val="en-US" w:eastAsia="zh-CN"/>
              </w:rPr>
              <w:t>149</w:t>
            </w:r>
            <w:r>
              <w:rPr>
                <w:rFonts w:hint="default" w:ascii="Times New Roman" w:hAnsi="Times New Roman" w:eastAsia="宋体" w:cs="Times New Roman"/>
                <w:color w:val="auto"/>
                <w:sz w:val="21"/>
                <w:szCs w:val="21"/>
                <w:lang w:val="en-US" w:eastAsia="zh-CN"/>
              </w:rPr>
              <w:t>mg/m</w:t>
            </w:r>
            <w:r>
              <w:rPr>
                <w:rFonts w:hint="default" w:ascii="Times New Roman" w:hAnsi="Times New Roman" w:eastAsia="宋体" w:cs="Times New Roman"/>
                <w:color w:val="auto"/>
                <w:sz w:val="21"/>
                <w:szCs w:val="21"/>
                <w:vertAlign w:val="superscript"/>
                <w:lang w:val="en-US" w:eastAsia="zh-CN"/>
              </w:rPr>
              <w:t>3</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臭气浓度（无量纲）</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Times New Roman" w:hAnsi="Times New Roman" w:eastAsia="宋体" w:cs="Times New Roman"/>
                <w:color w:val="auto"/>
                <w:sz w:val="21"/>
                <w:szCs w:val="21"/>
                <w:lang w:val="en-US" w:eastAsia="zh-CN"/>
              </w:rPr>
              <w:t>＜</w:t>
            </w:r>
            <w:r>
              <w:rPr>
                <w:rFonts w:hint="eastAsia" w:ascii="宋体" w:hAnsi="宋体" w:eastAsia="宋体" w:cs="宋体"/>
                <w:color w:val="auto"/>
                <w:sz w:val="21"/>
                <w:szCs w:val="21"/>
                <w:lang w:val="en-US" w:eastAsia="zh-CN"/>
              </w:rPr>
              <w:t>10</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25"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锅炉废气</w:t>
            </w: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颗粒物</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4.7</w:t>
            </w:r>
            <w:r>
              <w:rPr>
                <w:rFonts w:hint="default" w:ascii="Times New Roman" w:hAnsi="Times New Roman" w:eastAsia="宋体" w:cs="Times New Roman"/>
                <w:color w:val="auto"/>
                <w:sz w:val="21"/>
                <w:szCs w:val="21"/>
                <w:lang w:val="en-US" w:eastAsia="zh-CN"/>
              </w:rPr>
              <w:t>mg/m</w:t>
            </w:r>
            <w:r>
              <w:rPr>
                <w:rFonts w:hint="default" w:ascii="Times New Roman" w:hAnsi="Times New Roman" w:eastAsia="宋体" w:cs="Times New Roman"/>
                <w:color w:val="auto"/>
                <w:sz w:val="21"/>
                <w:szCs w:val="21"/>
                <w:vertAlign w:val="superscript"/>
                <w:lang w:val="en-US" w:eastAsia="zh-CN"/>
              </w:rPr>
              <w:t>3</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2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SO</w:t>
            </w:r>
            <w:r>
              <w:rPr>
                <w:rFonts w:hint="default" w:ascii="Times New Roman" w:hAnsi="Times New Roman" w:eastAsia="宋体" w:cs="Times New Roman"/>
                <w:color w:val="auto"/>
                <w:sz w:val="21"/>
                <w:szCs w:val="21"/>
                <w:vertAlign w:val="subscript"/>
                <w:lang w:val="en-US" w:eastAsia="zh-CN"/>
              </w:rPr>
              <w:t>2</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3ND</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2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NOx</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29</w:t>
            </w:r>
            <w:r>
              <w:rPr>
                <w:rFonts w:hint="default" w:ascii="Times New Roman" w:hAnsi="Times New Roman" w:eastAsia="宋体" w:cs="Times New Roman"/>
                <w:color w:val="auto"/>
                <w:sz w:val="21"/>
                <w:szCs w:val="21"/>
                <w:lang w:val="en-US" w:eastAsia="zh-CN"/>
              </w:rPr>
              <w:t>mg/m</w:t>
            </w:r>
            <w:r>
              <w:rPr>
                <w:rFonts w:hint="default" w:ascii="Times New Roman" w:hAnsi="Times New Roman" w:eastAsia="宋体" w:cs="Times New Roman"/>
                <w:color w:val="auto"/>
                <w:sz w:val="21"/>
                <w:szCs w:val="21"/>
                <w:vertAlign w:val="superscript"/>
                <w:lang w:val="en-US" w:eastAsia="zh-CN"/>
              </w:rPr>
              <w:t>3</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职工食堂</w:t>
            </w: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油烟</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1.9</w:t>
            </w:r>
            <w:r>
              <w:rPr>
                <w:rFonts w:hint="default" w:ascii="Times New Roman" w:hAnsi="Times New Roman" w:eastAsia="宋体" w:cs="Times New Roman"/>
                <w:color w:val="auto"/>
                <w:sz w:val="21"/>
                <w:szCs w:val="21"/>
                <w:lang w:val="en-US" w:eastAsia="zh-CN"/>
              </w:rPr>
              <w:t>mg/m</w:t>
            </w:r>
            <w:r>
              <w:rPr>
                <w:rFonts w:hint="default" w:ascii="Times New Roman" w:hAnsi="Times New Roman" w:eastAsia="宋体" w:cs="Times New Roman"/>
                <w:color w:val="auto"/>
                <w:sz w:val="21"/>
                <w:szCs w:val="21"/>
                <w:vertAlign w:val="superscript"/>
                <w:lang w:val="en-US" w:eastAsia="zh-CN"/>
              </w:rPr>
              <w:t>3</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病人食堂</w:t>
            </w: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油烟</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1.75</w:t>
            </w:r>
            <w:r>
              <w:rPr>
                <w:rFonts w:hint="default" w:ascii="Times New Roman" w:hAnsi="Times New Roman" w:eastAsia="宋体" w:cs="Times New Roman"/>
                <w:color w:val="auto"/>
                <w:sz w:val="21"/>
                <w:szCs w:val="21"/>
                <w:lang w:val="en-US" w:eastAsia="zh-CN"/>
              </w:rPr>
              <w:t>mg/m</w:t>
            </w:r>
            <w:r>
              <w:rPr>
                <w:rFonts w:hint="default" w:ascii="Times New Roman" w:hAnsi="Times New Roman" w:eastAsia="宋体" w:cs="Times New Roman"/>
                <w:color w:val="auto"/>
                <w:sz w:val="21"/>
                <w:szCs w:val="21"/>
                <w:vertAlign w:val="superscript"/>
                <w:lang w:val="en-US" w:eastAsia="zh-CN"/>
              </w:rPr>
              <w:t>3</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95"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生物安全柜</w:t>
            </w: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气溶胶态物质</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少量</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5" w:hRule="atLeast"/>
          <w:jc w:val="center"/>
        </w:trPr>
        <w:tc>
          <w:tcPr>
            <w:tcW w:w="707"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水</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污</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染</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lang w:val="en-US" w:eastAsia="zh-CN"/>
              </w:rPr>
            </w:pPr>
            <w:r>
              <w:rPr>
                <w:rFonts w:hint="default" w:ascii="Times New Roman" w:hAnsi="Times New Roman" w:eastAsia="宋体" w:cs="Times New Roman"/>
                <w:b/>
                <w:bCs/>
                <w:color w:val="auto"/>
                <w:sz w:val="21"/>
                <w:szCs w:val="21"/>
                <w:lang w:val="en-US" w:eastAsia="zh-CN"/>
              </w:rPr>
              <w:t>物</w:t>
            </w:r>
          </w:p>
        </w:tc>
        <w:tc>
          <w:tcPr>
            <w:tcW w:w="124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医疗废水</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19438.95m</w:t>
            </w:r>
            <w:r>
              <w:rPr>
                <w:rFonts w:hint="default" w:ascii="Times New Roman" w:hAnsi="Times New Roman" w:eastAsia="宋体" w:cs="Times New Roman"/>
                <w:color w:val="auto"/>
                <w:sz w:val="21"/>
                <w:szCs w:val="21"/>
                <w:vertAlign w:val="superscript"/>
                <w:lang w:val="en-US" w:eastAsia="zh-CN"/>
              </w:rPr>
              <w:t>3</w:t>
            </w:r>
            <w:r>
              <w:rPr>
                <w:rFonts w:hint="default" w:ascii="Times New Roman" w:hAnsi="Times New Roman" w:eastAsia="宋体" w:cs="Times New Roman"/>
                <w:color w:val="auto"/>
                <w:sz w:val="21"/>
                <w:szCs w:val="21"/>
                <w:lang w:val="en-US" w:eastAsia="zh-CN"/>
              </w:rPr>
              <w:t>/a</w:t>
            </w: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COD</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12</w:t>
            </w:r>
            <w:r>
              <w:rPr>
                <w:rFonts w:hint="default" w:ascii="Times New Roman" w:hAnsi="Times New Roman" w:eastAsia="宋体" w:cs="Times New Roman"/>
                <w:color w:val="auto"/>
                <w:sz w:val="21"/>
                <w:szCs w:val="21"/>
                <w:lang w:val="en-US" w:eastAsia="zh-CN"/>
              </w:rPr>
              <w:t>mg/L</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BOD</w:t>
            </w:r>
            <w:r>
              <w:rPr>
                <w:rFonts w:hint="default" w:ascii="Times New Roman" w:hAnsi="Times New Roman" w:eastAsia="宋体" w:cs="Times New Roman"/>
                <w:color w:val="auto"/>
                <w:sz w:val="21"/>
                <w:szCs w:val="21"/>
                <w:vertAlign w:val="subscript"/>
                <w:lang w:val="en-US" w:eastAsia="zh-CN"/>
              </w:rPr>
              <w:t>5</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3.7</w:t>
            </w:r>
            <w:r>
              <w:rPr>
                <w:rFonts w:hint="default" w:ascii="Times New Roman" w:hAnsi="Times New Roman" w:eastAsia="宋体" w:cs="Times New Roman"/>
                <w:color w:val="auto"/>
                <w:sz w:val="21"/>
                <w:szCs w:val="21"/>
                <w:lang w:val="en-US" w:eastAsia="zh-CN"/>
              </w:rPr>
              <w:t>mg/L</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SS</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14</w:t>
            </w:r>
            <w:r>
              <w:rPr>
                <w:rFonts w:hint="default" w:ascii="Times New Roman" w:hAnsi="Times New Roman" w:eastAsia="宋体" w:cs="Times New Roman"/>
                <w:color w:val="auto"/>
                <w:sz w:val="21"/>
                <w:szCs w:val="21"/>
                <w:lang w:val="en-US" w:eastAsia="zh-CN"/>
              </w:rPr>
              <w:t>mg/L</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65"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氨氮</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0.478</w:t>
            </w:r>
            <w:r>
              <w:rPr>
                <w:rFonts w:hint="default" w:ascii="Times New Roman" w:hAnsi="Times New Roman" w:eastAsia="宋体" w:cs="Times New Roman"/>
                <w:color w:val="auto"/>
                <w:sz w:val="21"/>
                <w:szCs w:val="21"/>
                <w:lang w:val="en-US" w:eastAsia="zh-CN"/>
              </w:rPr>
              <w:t>mg/L</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8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粪大肠菌群</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70个/L</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707"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固体</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废弃物</w:t>
            </w:r>
          </w:p>
        </w:tc>
        <w:tc>
          <w:tcPr>
            <w:tcW w:w="124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一般固废</w:t>
            </w: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生活垃圾</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38.5t/a</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餐厨垃圾</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86.7t/a</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废反渗透膜</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w:t>
            </w:r>
            <w:r>
              <w:rPr>
                <w:rFonts w:hint="eastAsia" w:ascii="Times New Roman" w:hAnsi="Times New Roman" w:eastAsia="宋体" w:cs="Times New Roman"/>
                <w:color w:val="auto"/>
                <w:sz w:val="21"/>
                <w:szCs w:val="21"/>
                <w:lang w:val="en-US" w:eastAsia="zh-CN"/>
              </w:rPr>
              <w:t>.01t/a</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其他固体废物</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18.5t/a</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2"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废离子交换树脂</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0.007t/a</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3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危险废物</w:t>
            </w: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医疗废物（HW01）</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23.3t/a</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3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widowControl/>
              <w:suppressLineNumbers w:val="0"/>
              <w:spacing w:line="240" w:lineRule="auto"/>
              <w:ind w:left="0" w:lef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废滤膜</w:t>
            </w:r>
            <w:r>
              <w:rPr>
                <w:rFonts w:hint="eastAsia" w:ascii="Times New Roman" w:hAnsi="Times New Roman" w:eastAsia="宋体" w:cs="Times New Roman"/>
                <w:color w:val="auto"/>
                <w:sz w:val="21"/>
                <w:szCs w:val="21"/>
                <w:lang w:val="en-US" w:eastAsia="zh-CN"/>
              </w:rPr>
              <w:t>（HW49 900-041-49）</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r>
              <w:rPr>
                <w:rFonts w:hint="eastAsia" w:ascii="Times New Roman" w:hAnsi="Times New Roman" w:eastAsia="宋体" w:cs="Times New Roman"/>
                <w:color w:val="auto"/>
                <w:sz w:val="21"/>
                <w:szCs w:val="21"/>
                <w:lang w:val="en-US" w:eastAsia="zh-CN"/>
              </w:rPr>
              <w:t>.004t/a</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0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lang w:val="en-US" w:eastAsia="zh-CN"/>
              </w:rPr>
            </w:pPr>
          </w:p>
        </w:tc>
        <w:tc>
          <w:tcPr>
            <w:tcW w:w="124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p>
        </w:tc>
        <w:tc>
          <w:tcPr>
            <w:tcW w:w="136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污水处理站污泥</w:t>
            </w:r>
            <w:r>
              <w:rPr>
                <w:rFonts w:hint="eastAsia" w:ascii="Times New Roman" w:hAnsi="Times New Roman" w:eastAsia="宋体" w:cs="Times New Roman"/>
                <w:color w:val="auto"/>
                <w:sz w:val="21"/>
                <w:szCs w:val="21"/>
                <w:lang w:val="en-US" w:eastAsia="zh-CN"/>
              </w:rPr>
              <w:t>（HW49 772-006-49）</w:t>
            </w:r>
          </w:p>
        </w:tc>
        <w:tc>
          <w:tcPr>
            <w:tcW w:w="16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10t/a</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591" w:hRule="atLeast"/>
          <w:jc w:val="center"/>
        </w:trPr>
        <w:tc>
          <w:tcPr>
            <w:tcW w:w="5000" w:type="pct"/>
            <w:gridSpan w:val="4"/>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
                <w:bCs/>
                <w:color w:val="auto"/>
                <w:sz w:val="21"/>
                <w:szCs w:val="21"/>
                <w:lang w:val="en-US" w:eastAsia="zh-CN"/>
              </w:rPr>
              <w:t>主要生态影响</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5000" w:type="pct"/>
            <w:gridSpan w:val="4"/>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本项目建设地位于城市商业居住区，对生态环境无影响。</w:t>
            </w:r>
          </w:p>
        </w:tc>
      </w:tr>
    </w:tbl>
    <w:p>
      <w:pPr>
        <w:pStyle w:val="3"/>
        <w:numPr>
          <w:ilvl w:val="1"/>
          <w:numId w:val="1"/>
        </w:numPr>
        <w:tabs>
          <w:tab w:val="left" w:pos="1308"/>
        </w:tabs>
        <w:spacing w:before="0" w:after="0" w:line="383" w:lineRule="exact"/>
        <w:ind w:left="919" w:leftChars="0" w:right="0" w:hanging="481" w:firstLineChars="0"/>
        <w:jc w:val="left"/>
        <w:outlineLvl w:val="0"/>
        <w:rPr>
          <w:color w:val="auto"/>
        </w:rPr>
      </w:pPr>
      <w:bookmarkStart w:id="81" w:name="_bookmark11"/>
      <w:bookmarkEnd w:id="81"/>
      <w:bookmarkStart w:id="82" w:name="_bookmark10"/>
      <w:bookmarkEnd w:id="82"/>
      <w:bookmarkStart w:id="83" w:name="3.5 安全生产管理"/>
      <w:bookmarkEnd w:id="83"/>
      <w:bookmarkStart w:id="84" w:name="3.6现有环境风险防控与应急措施"/>
      <w:bookmarkEnd w:id="84"/>
      <w:bookmarkStart w:id="85" w:name="_Toc7876"/>
      <w:bookmarkStart w:id="86" w:name="_Toc6437"/>
      <w:r>
        <w:rPr>
          <w:color w:val="auto"/>
        </w:rPr>
        <w:t>现有环境风险防控与应急措施</w:t>
      </w:r>
      <w:bookmarkEnd w:id="85"/>
      <w:bookmarkEnd w:id="86"/>
    </w:p>
    <w:p>
      <w:pPr>
        <w:pStyle w:val="2"/>
        <w:numPr>
          <w:ilvl w:val="2"/>
          <w:numId w:val="1"/>
        </w:numPr>
        <w:tabs>
          <w:tab w:val="left" w:pos="1377"/>
        </w:tabs>
        <w:spacing w:before="240" w:after="0" w:line="360" w:lineRule="auto"/>
        <w:ind w:left="1376" w:right="0" w:hanging="629"/>
        <w:jc w:val="left"/>
        <w:rPr>
          <w:b/>
          <w:color w:val="auto"/>
          <w:sz w:val="11"/>
        </w:rPr>
      </w:pPr>
      <w:bookmarkStart w:id="87" w:name="3.6.1风险单元识别"/>
      <w:bookmarkEnd w:id="87"/>
      <w:bookmarkStart w:id="88" w:name="3.6.1风险单元识别"/>
      <w:bookmarkEnd w:id="88"/>
      <w:r>
        <w:rPr>
          <w:color w:val="auto"/>
        </w:rPr>
        <w:t>风险单元识别</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eastAsia" w:ascii="Times New Roman" w:hAnsi="Times New Roman" w:eastAsia="宋体" w:cs="Times New Roman"/>
          <w:color w:val="auto"/>
          <w:spacing w:val="3"/>
          <w:sz w:val="28"/>
          <w:szCs w:val="28"/>
          <w:lang w:val="en-US" w:eastAsia="zh-CN" w:bidi="zh-CN"/>
        </w:rPr>
      </w:pPr>
      <w:r>
        <w:rPr>
          <w:rFonts w:hint="eastAsia" w:ascii="Times New Roman" w:hAnsi="Times New Roman" w:eastAsia="宋体" w:cs="Times New Roman"/>
          <w:color w:val="auto"/>
          <w:spacing w:val="3"/>
          <w:sz w:val="28"/>
          <w:szCs w:val="28"/>
          <w:lang w:val="en-US" w:eastAsia="zh-CN" w:bidi="zh-CN"/>
        </w:rPr>
        <w:t>根据企业涉及的风险物质、产污排污情况、污染物危险程度、周围环境状况及环境保护目标要求，结合企业环评资料，本预案对可能存在的环境风险源及风险因素进行分析，确定咸阳市中心医院东郊分院环境风险源目标如下：</w:t>
      </w:r>
    </w:p>
    <w:p>
      <w:pPr>
        <w:pStyle w:val="12"/>
        <w:ind w:left="0" w:leftChars="0" w:firstLine="0" w:firstLineChars="0"/>
        <w:jc w:val="center"/>
        <w:rPr>
          <w:b/>
          <w:bCs/>
          <w:color w:val="auto"/>
          <w:kern w:val="0"/>
          <w:sz w:val="21"/>
          <w:szCs w:val="21"/>
          <w:lang w:bidi="ar"/>
        </w:rPr>
      </w:pPr>
    </w:p>
    <w:p>
      <w:pPr>
        <w:pStyle w:val="12"/>
        <w:ind w:left="0" w:leftChars="0" w:firstLine="0" w:firstLineChars="0"/>
        <w:jc w:val="center"/>
        <w:rPr>
          <w:b/>
          <w:bCs/>
          <w:color w:val="auto"/>
          <w:kern w:val="0"/>
          <w:sz w:val="21"/>
          <w:szCs w:val="21"/>
          <w:lang w:bidi="ar"/>
        </w:rPr>
      </w:pPr>
    </w:p>
    <w:p>
      <w:pPr>
        <w:pStyle w:val="12"/>
        <w:ind w:left="0" w:leftChars="0" w:firstLine="0" w:firstLineChars="0"/>
        <w:jc w:val="center"/>
        <w:rPr>
          <w:b/>
          <w:bCs/>
          <w:color w:val="auto"/>
          <w:kern w:val="0"/>
          <w:sz w:val="21"/>
          <w:szCs w:val="21"/>
          <w:lang w:bidi="ar"/>
        </w:rPr>
      </w:pPr>
    </w:p>
    <w:p>
      <w:pPr>
        <w:pStyle w:val="12"/>
        <w:ind w:left="0" w:leftChars="0" w:firstLine="0" w:firstLineChars="0"/>
        <w:jc w:val="center"/>
        <w:rPr>
          <w:b/>
          <w:bCs/>
          <w:color w:val="auto"/>
          <w:kern w:val="0"/>
          <w:sz w:val="21"/>
          <w:szCs w:val="21"/>
          <w:lang w:bidi="ar"/>
        </w:rPr>
      </w:pPr>
    </w:p>
    <w:p>
      <w:pPr>
        <w:pStyle w:val="12"/>
        <w:ind w:left="0" w:leftChars="0" w:firstLine="0" w:firstLineChars="0"/>
        <w:jc w:val="center"/>
        <w:rPr>
          <w:b/>
          <w:bCs/>
          <w:color w:val="auto"/>
          <w:kern w:val="0"/>
          <w:sz w:val="21"/>
          <w:szCs w:val="21"/>
          <w:lang w:bidi="ar"/>
        </w:rPr>
      </w:pPr>
    </w:p>
    <w:p>
      <w:pPr>
        <w:pStyle w:val="12"/>
        <w:ind w:left="0" w:leftChars="0" w:firstLine="0" w:firstLineChars="0"/>
        <w:jc w:val="center"/>
        <w:rPr>
          <w:b/>
          <w:bCs/>
          <w:color w:val="auto"/>
          <w:kern w:val="0"/>
          <w:sz w:val="21"/>
          <w:szCs w:val="21"/>
          <w:lang w:bidi="ar"/>
        </w:rPr>
      </w:pPr>
    </w:p>
    <w:p>
      <w:pPr>
        <w:pStyle w:val="12"/>
        <w:ind w:left="0" w:leftChars="0" w:firstLine="0" w:firstLineChars="0"/>
        <w:jc w:val="center"/>
        <w:rPr>
          <w:rFonts w:hint="eastAsia"/>
          <w:color w:val="auto"/>
          <w:lang w:val="en-US" w:eastAsia="zh-CN"/>
        </w:rPr>
      </w:pPr>
      <w:r>
        <w:rPr>
          <w:b/>
          <w:bCs/>
          <w:color w:val="auto"/>
          <w:kern w:val="0"/>
          <w:sz w:val="21"/>
          <w:szCs w:val="21"/>
          <w:lang w:bidi="ar"/>
        </w:rPr>
        <w:t>表</w:t>
      </w:r>
      <w:r>
        <w:rPr>
          <w:rFonts w:hint="eastAsia"/>
          <w:b/>
          <w:bCs/>
          <w:color w:val="auto"/>
          <w:kern w:val="0"/>
          <w:sz w:val="21"/>
          <w:szCs w:val="21"/>
          <w:lang w:val="en-US" w:eastAsia="zh-CN" w:bidi="ar"/>
        </w:rPr>
        <w:t>3.5</w:t>
      </w:r>
      <w:r>
        <w:rPr>
          <w:b/>
          <w:bCs/>
          <w:color w:val="auto"/>
          <w:kern w:val="0"/>
          <w:sz w:val="21"/>
          <w:szCs w:val="21"/>
          <w:lang w:bidi="ar"/>
        </w:rPr>
        <w:t>-</w:t>
      </w:r>
      <w:r>
        <w:rPr>
          <w:rFonts w:hint="eastAsia"/>
          <w:b/>
          <w:bCs/>
          <w:color w:val="auto"/>
          <w:kern w:val="0"/>
          <w:sz w:val="21"/>
          <w:szCs w:val="21"/>
          <w:lang w:val="en-US" w:eastAsia="zh-CN" w:bidi="ar"/>
        </w:rPr>
        <w:t>1</w:t>
      </w:r>
      <w:r>
        <w:rPr>
          <w:b/>
          <w:bCs/>
          <w:color w:val="auto"/>
          <w:kern w:val="0"/>
          <w:sz w:val="21"/>
          <w:szCs w:val="21"/>
          <w:lang w:bidi="ar"/>
        </w:rPr>
        <w:t xml:space="preserve"> 环境风险</w:t>
      </w:r>
      <w:r>
        <w:rPr>
          <w:rFonts w:hint="eastAsia"/>
          <w:b/>
          <w:bCs/>
          <w:color w:val="auto"/>
          <w:kern w:val="0"/>
          <w:sz w:val="21"/>
          <w:szCs w:val="21"/>
          <w:lang w:val="en-US" w:eastAsia="zh-CN" w:bidi="ar"/>
        </w:rPr>
        <w:t>源一览</w:t>
      </w:r>
      <w:r>
        <w:rPr>
          <w:b/>
          <w:bCs/>
          <w:color w:val="auto"/>
          <w:kern w:val="0"/>
          <w:sz w:val="21"/>
          <w:szCs w:val="21"/>
          <w:lang w:bidi="ar"/>
        </w:rPr>
        <w:t>表</w:t>
      </w:r>
    </w:p>
    <w:tbl>
      <w:tblPr>
        <w:tblStyle w:val="13"/>
        <w:tblW w:w="5050" w:type="pct"/>
        <w:tblInd w:w="0"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546"/>
        <w:gridCol w:w="2019"/>
        <w:gridCol w:w="1964"/>
        <w:gridCol w:w="2394"/>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452" w:hRule="atLeast"/>
          <w:tblHeader/>
        </w:trPr>
        <w:tc>
          <w:tcPr>
            <w:tcW w:w="396" w:type="pct"/>
            <w:noWrap w:val="0"/>
            <w:vAlign w:val="center"/>
          </w:tcPr>
          <w:p>
            <w:pPr>
              <w:spacing w:line="240" w:lineRule="auto"/>
              <w:ind w:firstLine="0" w:firstLineChars="0"/>
              <w:jc w:val="center"/>
              <w:rPr>
                <w:rFonts w:hint="default" w:ascii="Times New Roman" w:hAnsi="Times New Roman" w:eastAsia="宋体" w:cs="Times New Roman"/>
                <w:b/>
                <w:color w:val="auto"/>
                <w:sz w:val="21"/>
                <w:szCs w:val="21"/>
              </w:rPr>
            </w:pPr>
            <w:bookmarkStart w:id="89" w:name="_Toc29134"/>
            <w:bookmarkStart w:id="90" w:name="_Toc2743"/>
            <w:r>
              <w:rPr>
                <w:rFonts w:hint="default" w:ascii="Times New Roman" w:hAnsi="Times New Roman" w:eastAsia="宋体" w:cs="Times New Roman"/>
                <w:b/>
                <w:color w:val="auto"/>
                <w:sz w:val="21"/>
                <w:szCs w:val="21"/>
              </w:rPr>
              <w:t>序号</w:t>
            </w:r>
          </w:p>
        </w:tc>
        <w:tc>
          <w:tcPr>
            <w:tcW w:w="898" w:type="pct"/>
            <w:noWrap w:val="0"/>
            <w:vAlign w:val="center"/>
          </w:tcPr>
          <w:p>
            <w:pPr>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环境风险源</w:t>
            </w:r>
          </w:p>
        </w:tc>
        <w:tc>
          <w:tcPr>
            <w:tcW w:w="1173" w:type="pct"/>
            <w:noWrap w:val="0"/>
            <w:vAlign w:val="center"/>
          </w:tcPr>
          <w:p>
            <w:pPr>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涉及环境风险物质</w:t>
            </w:r>
          </w:p>
        </w:tc>
        <w:tc>
          <w:tcPr>
            <w:tcW w:w="1141" w:type="pct"/>
            <w:noWrap w:val="0"/>
            <w:vAlign w:val="center"/>
          </w:tcPr>
          <w:p>
            <w:pPr>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风险类型</w:t>
            </w:r>
          </w:p>
        </w:tc>
        <w:tc>
          <w:tcPr>
            <w:tcW w:w="1390" w:type="pct"/>
            <w:noWrap w:val="0"/>
            <w:vAlign w:val="center"/>
          </w:tcPr>
          <w:p>
            <w:pPr>
              <w:spacing w:line="240" w:lineRule="auto"/>
              <w:ind w:firstLine="0" w:firstLineChars="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危害对象</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598" w:hRule="atLeast"/>
        </w:trPr>
        <w:tc>
          <w:tcPr>
            <w:tcW w:w="682" w:type="dxa"/>
            <w:noWrap w:val="0"/>
            <w:vAlign w:val="center"/>
          </w:tcPr>
          <w:p>
            <w:pPr>
              <w:spacing w:line="240" w:lineRule="auto"/>
              <w:ind w:left="0" w:leftChars="0" w:right="0" w:rightChars="0" w:firstLine="0" w:firstLineChars="0"/>
              <w:jc w:val="center"/>
              <w:rPr>
                <w:rFonts w:hint="default" w:ascii="Times New Roman" w:hAnsi="Times New Roman" w:eastAsia="宋体" w:cs="Times New Roman"/>
                <w:b/>
                <w:bCs/>
                <w:color w:val="auto"/>
                <w:kern w:val="0"/>
                <w:sz w:val="21"/>
                <w:szCs w:val="21"/>
              </w:rPr>
            </w:pPr>
            <w:r>
              <w:rPr>
                <w:rFonts w:hint="default" w:ascii="Times New Roman" w:hAnsi="Times New Roman" w:eastAsia="宋体" w:cs="Times New Roman"/>
                <w:b/>
                <w:bCs/>
                <w:color w:val="auto"/>
                <w:kern w:val="0"/>
                <w:sz w:val="21"/>
                <w:szCs w:val="21"/>
              </w:rPr>
              <w:t>1</w:t>
            </w:r>
          </w:p>
        </w:tc>
        <w:tc>
          <w:tcPr>
            <w:tcW w:w="1546" w:type="dxa"/>
            <w:noWrap w:val="0"/>
            <w:vAlign w:val="center"/>
          </w:tcPr>
          <w:p>
            <w:pPr>
              <w:widowControl/>
              <w:spacing w:line="240" w:lineRule="auto"/>
              <w:ind w:left="0" w:leftChars="0" w:right="0" w:rightChars="0" w:firstLine="0" w:firstLineChars="0"/>
              <w:jc w:val="center"/>
              <w:rPr>
                <w:rFonts w:hint="eastAsia"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highlight w:val="none"/>
              </w:rPr>
              <w:t>库房</w:t>
            </w:r>
          </w:p>
        </w:tc>
        <w:tc>
          <w:tcPr>
            <w:tcW w:w="2019" w:type="dxa"/>
            <w:noWrap w:val="0"/>
            <w:vAlign w:val="center"/>
          </w:tcPr>
          <w:p>
            <w:pPr>
              <w:widowControl/>
              <w:ind w:left="0" w:leftChars="0" w:right="0" w:rightChars="0" w:firstLine="0" w:firstLineChars="0"/>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val="en-US" w:eastAsia="zh-CN" w:bidi="ar"/>
              </w:rPr>
              <w:t>二氧化氯</w:t>
            </w:r>
          </w:p>
        </w:tc>
        <w:tc>
          <w:tcPr>
            <w:tcW w:w="1964" w:type="dxa"/>
            <w:noWrap w:val="0"/>
            <w:vAlign w:val="center"/>
          </w:tcPr>
          <w:p>
            <w:pPr>
              <w:spacing w:line="240" w:lineRule="auto"/>
              <w:ind w:left="0" w:leftChars="0" w:right="0" w:rightChars="0" w:firstLine="0" w:firstLineChars="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①泄漏外排</w:t>
            </w:r>
            <w:r>
              <w:rPr>
                <w:rFonts w:hint="eastAsia" w:ascii="Times New Roman" w:hAnsi="Times New Roman" w:eastAsia="宋体" w:cs="Times New Roman"/>
                <w:color w:val="auto"/>
                <w:kern w:val="0"/>
                <w:sz w:val="21"/>
                <w:szCs w:val="21"/>
                <w:lang w:val="en-US" w:eastAsia="zh-CN"/>
              </w:rPr>
              <w:t>,污染外界环境</w:t>
            </w:r>
            <w:r>
              <w:rPr>
                <w:rFonts w:hint="default" w:ascii="Times New Roman" w:hAnsi="Times New Roman" w:eastAsia="宋体" w:cs="Times New Roman"/>
                <w:color w:val="auto"/>
                <w:kern w:val="0"/>
                <w:sz w:val="21"/>
                <w:szCs w:val="21"/>
              </w:rPr>
              <w:t>；②泄漏遇明火，引起火灾和爆炸；③火灾引起的大气次生污染物和消防废水</w:t>
            </w:r>
          </w:p>
        </w:tc>
        <w:tc>
          <w:tcPr>
            <w:tcW w:w="2394" w:type="dxa"/>
            <w:noWrap w:val="0"/>
            <w:vAlign w:val="center"/>
          </w:tcPr>
          <w:p>
            <w:pPr>
              <w:spacing w:line="240" w:lineRule="auto"/>
              <w:ind w:left="0" w:leftChars="0" w:right="0" w:rightChars="0" w:firstLine="0" w:firstLineChars="0"/>
              <w:jc w:val="left"/>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lang w:val="en-US" w:eastAsia="zh-CN"/>
              </w:rPr>
              <w:t>医院</w:t>
            </w:r>
            <w:r>
              <w:rPr>
                <w:rFonts w:hint="default" w:ascii="Times New Roman" w:hAnsi="Times New Roman" w:eastAsia="宋体" w:cs="Times New Roman"/>
                <w:color w:val="auto"/>
                <w:kern w:val="0"/>
                <w:sz w:val="21"/>
                <w:szCs w:val="21"/>
              </w:rPr>
              <w:t>及周边人员健康、大气环境、土壤环境和水环境</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598" w:hRule="atLeast"/>
        </w:trPr>
        <w:tc>
          <w:tcPr>
            <w:tcW w:w="682" w:type="dxa"/>
            <w:noWrap w:val="0"/>
            <w:vAlign w:val="center"/>
          </w:tcPr>
          <w:p>
            <w:pPr>
              <w:spacing w:line="240" w:lineRule="auto"/>
              <w:ind w:left="0" w:leftChars="0" w:right="0" w:rightChars="0" w:firstLine="0" w:firstLineChars="0"/>
              <w:jc w:val="center"/>
              <w:rPr>
                <w:rFonts w:hint="default" w:ascii="Times New Roman" w:hAnsi="Times New Roman" w:eastAsia="宋体" w:cs="Times New Roman"/>
                <w:b/>
                <w:bCs/>
                <w:color w:val="auto"/>
                <w:kern w:val="0"/>
                <w:sz w:val="21"/>
                <w:szCs w:val="21"/>
                <w:lang w:eastAsia="zh-CN"/>
              </w:rPr>
            </w:pPr>
            <w:r>
              <w:rPr>
                <w:rFonts w:hint="default" w:ascii="Times New Roman" w:hAnsi="Times New Roman" w:eastAsia="宋体" w:cs="Times New Roman"/>
                <w:b/>
                <w:bCs/>
                <w:color w:val="auto"/>
                <w:kern w:val="0"/>
                <w:sz w:val="21"/>
                <w:szCs w:val="21"/>
                <w:lang w:val="en-US" w:eastAsia="zh-CN"/>
              </w:rPr>
              <w:t>2</w:t>
            </w:r>
          </w:p>
        </w:tc>
        <w:tc>
          <w:tcPr>
            <w:tcW w:w="1546" w:type="dxa"/>
            <w:noWrap w:val="0"/>
            <w:vAlign w:val="center"/>
          </w:tcPr>
          <w:p>
            <w:pPr>
              <w:widowControl/>
              <w:spacing w:line="240" w:lineRule="auto"/>
              <w:ind w:left="0" w:leftChars="0" w:right="0" w:rightChars="0" w:firstLine="0" w:firstLineChars="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highlight w:val="none"/>
              </w:rPr>
              <w:t>医疗废物暂存间</w:t>
            </w:r>
          </w:p>
        </w:tc>
        <w:tc>
          <w:tcPr>
            <w:tcW w:w="2019" w:type="dxa"/>
            <w:noWrap w:val="0"/>
            <w:vAlign w:val="center"/>
          </w:tcPr>
          <w:p>
            <w:pPr>
              <w:widowControl/>
              <w:ind w:left="0" w:leftChars="0" w:right="0" w:rightChars="0" w:firstLine="0" w:firstLineChars="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rPr>
              <w:t>医疗废物、废滤膜、污水处理污泥</w:t>
            </w:r>
          </w:p>
        </w:tc>
        <w:tc>
          <w:tcPr>
            <w:tcW w:w="1964" w:type="dxa"/>
            <w:noWrap w:val="0"/>
            <w:vAlign w:val="center"/>
          </w:tcPr>
          <w:p>
            <w:pPr>
              <w:spacing w:line="240" w:lineRule="auto"/>
              <w:ind w:left="0" w:leftChars="0" w:right="0" w:rightChars="0" w:firstLine="0" w:firstLineChars="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泄漏外排</w:t>
            </w:r>
          </w:p>
        </w:tc>
        <w:tc>
          <w:tcPr>
            <w:tcW w:w="2394" w:type="dxa"/>
            <w:noWrap w:val="0"/>
            <w:vAlign w:val="center"/>
          </w:tcPr>
          <w:p>
            <w:pPr>
              <w:spacing w:line="240" w:lineRule="auto"/>
              <w:ind w:left="0" w:leftChars="0" w:right="0" w:rightChars="0" w:firstLine="0" w:firstLineChars="0"/>
              <w:jc w:val="left"/>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lang w:val="en-US" w:eastAsia="zh-CN"/>
              </w:rPr>
              <w:t>医院</w:t>
            </w:r>
            <w:r>
              <w:rPr>
                <w:rFonts w:hint="default" w:ascii="Times New Roman" w:hAnsi="Times New Roman" w:eastAsia="宋体" w:cs="Times New Roman"/>
                <w:color w:val="auto"/>
                <w:kern w:val="0"/>
                <w:sz w:val="21"/>
                <w:szCs w:val="21"/>
              </w:rPr>
              <w:t>及周边人员健康、大气环境、土壤环境和水环境</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964" w:hRule="atLeast"/>
        </w:trPr>
        <w:tc>
          <w:tcPr>
            <w:tcW w:w="682" w:type="dxa"/>
            <w:noWrap w:val="0"/>
            <w:vAlign w:val="center"/>
          </w:tcPr>
          <w:p>
            <w:pPr>
              <w:spacing w:line="240" w:lineRule="auto"/>
              <w:ind w:left="0" w:leftChars="0" w:right="0" w:rightChars="0" w:firstLine="0" w:firstLineChars="0"/>
              <w:jc w:val="center"/>
              <w:rPr>
                <w:rFonts w:hint="default" w:ascii="Times New Roman" w:hAnsi="Times New Roman" w:eastAsia="宋体" w:cs="Times New Roman"/>
                <w:b/>
                <w:bCs/>
                <w:color w:val="auto"/>
                <w:kern w:val="0"/>
                <w:sz w:val="21"/>
                <w:szCs w:val="21"/>
                <w:lang w:eastAsia="zh-CN"/>
              </w:rPr>
            </w:pPr>
            <w:r>
              <w:rPr>
                <w:rFonts w:hint="default" w:ascii="Times New Roman" w:hAnsi="Times New Roman" w:eastAsia="宋体" w:cs="Times New Roman"/>
                <w:b/>
                <w:bCs/>
                <w:color w:val="auto"/>
                <w:kern w:val="0"/>
                <w:sz w:val="21"/>
                <w:szCs w:val="21"/>
                <w:lang w:val="en-US" w:eastAsia="zh-CN"/>
              </w:rPr>
              <w:t>3</w:t>
            </w:r>
          </w:p>
        </w:tc>
        <w:tc>
          <w:tcPr>
            <w:tcW w:w="1546" w:type="dxa"/>
            <w:noWrap w:val="0"/>
            <w:vAlign w:val="center"/>
          </w:tcPr>
          <w:p>
            <w:pPr>
              <w:widowControl/>
              <w:spacing w:line="240" w:lineRule="auto"/>
              <w:ind w:left="0" w:leftChars="0" w:right="0" w:rightChars="0" w:firstLine="0" w:firstLineChars="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highlight w:val="none"/>
              </w:rPr>
              <w:t>污水处理设施</w:t>
            </w:r>
          </w:p>
        </w:tc>
        <w:tc>
          <w:tcPr>
            <w:tcW w:w="2019" w:type="dxa"/>
            <w:noWrap w:val="0"/>
            <w:vAlign w:val="center"/>
          </w:tcPr>
          <w:p>
            <w:pPr>
              <w:spacing w:line="240" w:lineRule="auto"/>
              <w:ind w:left="0" w:leftChars="0" w:right="0" w:rightChars="0" w:firstLine="0" w:firstLineChars="0"/>
              <w:jc w:val="center"/>
              <w:rPr>
                <w:rFonts w:hint="default" w:ascii="Times New Roman" w:hAnsi="Times New Roman" w:eastAsia="宋体" w:cs="Times New Roman"/>
                <w:color w:val="auto"/>
                <w:kern w:val="0"/>
                <w:sz w:val="21"/>
                <w:szCs w:val="21"/>
                <w:lang w:val="en-US"/>
              </w:rPr>
            </w:pPr>
            <w:r>
              <w:rPr>
                <w:rFonts w:hint="default" w:ascii="Times New Roman" w:hAnsi="Times New Roman" w:eastAsia="宋体" w:cs="Times New Roman"/>
                <w:color w:val="auto"/>
                <w:kern w:val="0"/>
                <w:sz w:val="21"/>
                <w:szCs w:val="21"/>
                <w:lang w:val="en-US" w:eastAsia="zh-CN"/>
              </w:rPr>
              <w:t>医疗废水</w:t>
            </w:r>
          </w:p>
        </w:tc>
        <w:tc>
          <w:tcPr>
            <w:tcW w:w="1964" w:type="dxa"/>
            <w:noWrap w:val="0"/>
            <w:vAlign w:val="center"/>
          </w:tcPr>
          <w:p>
            <w:pPr>
              <w:spacing w:line="240" w:lineRule="auto"/>
              <w:ind w:left="0" w:leftChars="0" w:right="0" w:rightChars="0" w:firstLine="0" w:firstLineChars="0"/>
              <w:jc w:val="left"/>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lang w:val="en-US" w:eastAsia="zh-CN"/>
              </w:rPr>
              <w:t>废水处理池</w:t>
            </w:r>
            <w:r>
              <w:rPr>
                <w:rFonts w:hint="default" w:ascii="Times New Roman" w:hAnsi="Times New Roman" w:eastAsia="宋体" w:cs="Times New Roman"/>
                <w:color w:val="auto"/>
                <w:kern w:val="0"/>
                <w:sz w:val="21"/>
                <w:szCs w:val="21"/>
              </w:rPr>
              <w:t>外溢或</w:t>
            </w:r>
            <w:r>
              <w:rPr>
                <w:rFonts w:hint="eastAsia" w:ascii="Times New Roman" w:hAnsi="Times New Roman" w:eastAsia="宋体" w:cs="Times New Roman"/>
                <w:color w:val="auto"/>
                <w:kern w:val="0"/>
                <w:sz w:val="21"/>
                <w:szCs w:val="21"/>
                <w:lang w:val="en-US" w:eastAsia="zh-CN"/>
              </w:rPr>
              <w:t>管道</w:t>
            </w:r>
            <w:r>
              <w:rPr>
                <w:rFonts w:hint="default" w:ascii="Times New Roman" w:hAnsi="Times New Roman" w:eastAsia="宋体" w:cs="Times New Roman"/>
                <w:color w:val="auto"/>
                <w:kern w:val="0"/>
                <w:sz w:val="21"/>
                <w:szCs w:val="21"/>
              </w:rPr>
              <w:t>受损后的废水超标排放</w:t>
            </w:r>
          </w:p>
        </w:tc>
        <w:tc>
          <w:tcPr>
            <w:tcW w:w="2394" w:type="dxa"/>
            <w:noWrap w:val="0"/>
            <w:vAlign w:val="center"/>
          </w:tcPr>
          <w:p>
            <w:pPr>
              <w:widowControl/>
              <w:ind w:left="0" w:leftChars="0" w:right="0" w:rightChars="0" w:firstLine="0" w:firstLineChars="0"/>
              <w:jc w:val="left"/>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lang w:val="en-US" w:eastAsia="zh-CN" w:bidi="ar"/>
              </w:rPr>
              <w:t>医院</w:t>
            </w:r>
            <w:r>
              <w:rPr>
                <w:rFonts w:hint="default" w:ascii="Times New Roman" w:hAnsi="Times New Roman" w:eastAsia="宋体" w:cs="Times New Roman"/>
                <w:color w:val="auto"/>
                <w:kern w:val="0"/>
                <w:sz w:val="21"/>
                <w:szCs w:val="21"/>
                <w:lang w:bidi="ar"/>
              </w:rPr>
              <w:t>及周边人员健康、</w:t>
            </w:r>
            <w:r>
              <w:rPr>
                <w:rFonts w:hint="default" w:ascii="Times New Roman" w:hAnsi="Times New Roman" w:eastAsia="宋体" w:cs="Times New Roman"/>
                <w:color w:val="auto"/>
                <w:kern w:val="0"/>
                <w:sz w:val="21"/>
                <w:szCs w:val="21"/>
              </w:rPr>
              <w:t>土壤环境和水环境</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086" w:hRule="atLeast"/>
        </w:trPr>
        <w:tc>
          <w:tcPr>
            <w:tcW w:w="682" w:type="dxa"/>
            <w:noWrap w:val="0"/>
            <w:vAlign w:val="center"/>
          </w:tcPr>
          <w:p>
            <w:pPr>
              <w:spacing w:line="240" w:lineRule="auto"/>
              <w:ind w:left="0" w:leftChars="0" w:right="0" w:rightChars="0" w:firstLine="0" w:firstLineChars="0"/>
              <w:jc w:val="center"/>
              <w:rPr>
                <w:rFonts w:hint="default" w:ascii="Times New Roman" w:hAnsi="Times New Roman" w:eastAsia="宋体" w:cs="Times New Roman"/>
                <w:b/>
                <w:bCs/>
                <w:color w:val="auto"/>
                <w:kern w:val="0"/>
                <w:sz w:val="21"/>
                <w:szCs w:val="21"/>
                <w:lang w:eastAsia="zh-CN"/>
              </w:rPr>
            </w:pPr>
            <w:r>
              <w:rPr>
                <w:rFonts w:hint="default" w:ascii="Times New Roman" w:hAnsi="Times New Roman" w:eastAsia="宋体" w:cs="Times New Roman"/>
                <w:b/>
                <w:bCs/>
                <w:color w:val="auto"/>
                <w:kern w:val="0"/>
                <w:sz w:val="21"/>
                <w:szCs w:val="21"/>
                <w:lang w:val="en-US" w:eastAsia="zh-CN"/>
              </w:rPr>
              <w:t>4</w:t>
            </w:r>
          </w:p>
        </w:tc>
        <w:tc>
          <w:tcPr>
            <w:tcW w:w="1546" w:type="dxa"/>
            <w:noWrap w:val="0"/>
            <w:vAlign w:val="center"/>
          </w:tcPr>
          <w:p>
            <w:pPr>
              <w:widowControl/>
              <w:spacing w:line="240" w:lineRule="auto"/>
              <w:ind w:left="0" w:leftChars="0" w:right="0" w:rightChars="0" w:firstLine="0" w:firstLineChars="0"/>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color w:val="auto"/>
                <w:kern w:val="0"/>
                <w:sz w:val="21"/>
                <w:szCs w:val="21"/>
                <w:highlight w:val="none"/>
              </w:rPr>
              <w:t>锅炉房</w:t>
            </w:r>
          </w:p>
        </w:tc>
        <w:tc>
          <w:tcPr>
            <w:tcW w:w="2019" w:type="dxa"/>
            <w:noWrap w:val="0"/>
            <w:vAlign w:val="center"/>
          </w:tcPr>
          <w:p>
            <w:pPr>
              <w:spacing w:line="240" w:lineRule="auto"/>
              <w:ind w:left="0" w:leftChars="0" w:right="0" w:rightChars="0" w:firstLine="0" w:firstLineChars="0"/>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val="en-US" w:eastAsia="zh-CN" w:bidi="ar"/>
              </w:rPr>
              <w:t>二氧化氯</w:t>
            </w:r>
            <w:r>
              <w:rPr>
                <w:rFonts w:hint="eastAsia" w:ascii="Times New Roman" w:hAnsi="Times New Roman" w:eastAsia="宋体" w:cs="Times New Roman"/>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rPr>
              <w:t>颗粒物、SO</w:t>
            </w:r>
            <w:r>
              <w:rPr>
                <w:rFonts w:hint="default" w:ascii="Times New Roman" w:hAnsi="Times New Roman" w:eastAsia="宋体" w:cs="Times New Roman"/>
                <w:color w:val="auto"/>
                <w:kern w:val="0"/>
                <w:sz w:val="21"/>
                <w:szCs w:val="21"/>
                <w:vertAlign w:val="subscript"/>
                <w:lang w:val="en-US" w:eastAsia="zh-CN"/>
              </w:rPr>
              <w:t>2</w:t>
            </w:r>
            <w:r>
              <w:rPr>
                <w:rFonts w:hint="default" w:ascii="Times New Roman" w:hAnsi="Times New Roman" w:eastAsia="宋体" w:cs="Times New Roman"/>
                <w:color w:val="auto"/>
                <w:kern w:val="0"/>
                <w:sz w:val="21"/>
                <w:szCs w:val="21"/>
                <w:lang w:val="en-US" w:eastAsia="zh-CN"/>
              </w:rPr>
              <w:t>、NOx、CO等</w:t>
            </w:r>
          </w:p>
        </w:tc>
        <w:tc>
          <w:tcPr>
            <w:tcW w:w="1964" w:type="dxa"/>
            <w:noWrap w:val="0"/>
            <w:vAlign w:val="center"/>
          </w:tcPr>
          <w:p>
            <w:pPr>
              <w:spacing w:line="240" w:lineRule="auto"/>
              <w:ind w:left="0" w:leftChars="0" w:right="0" w:rightChars="0" w:firstLine="0" w:firstLineChars="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废气处理设备故障，</w:t>
            </w:r>
            <w:r>
              <w:rPr>
                <w:rFonts w:hint="eastAsia" w:ascii="Times New Roman" w:hAnsi="Times New Roman" w:eastAsia="宋体" w:cs="Times New Roman"/>
                <w:color w:val="auto"/>
                <w:kern w:val="0"/>
                <w:sz w:val="21"/>
                <w:szCs w:val="21"/>
                <w:lang w:val="en-US" w:eastAsia="zh-CN"/>
              </w:rPr>
              <w:t>污染物</w:t>
            </w:r>
            <w:r>
              <w:rPr>
                <w:rFonts w:hint="default" w:ascii="Times New Roman" w:hAnsi="Times New Roman" w:eastAsia="宋体" w:cs="Times New Roman"/>
                <w:color w:val="auto"/>
                <w:kern w:val="0"/>
                <w:sz w:val="21"/>
                <w:szCs w:val="21"/>
              </w:rPr>
              <w:t>超标排放</w:t>
            </w:r>
          </w:p>
        </w:tc>
        <w:tc>
          <w:tcPr>
            <w:tcW w:w="2394" w:type="dxa"/>
            <w:noWrap w:val="0"/>
            <w:vAlign w:val="center"/>
          </w:tcPr>
          <w:p>
            <w:pPr>
              <w:widowControl/>
              <w:ind w:left="0" w:leftChars="0" w:right="0" w:rightChars="0" w:firstLine="0" w:firstLineChars="0"/>
              <w:jc w:val="left"/>
              <w:rPr>
                <w:rFonts w:hint="default" w:ascii="Times New Roman" w:hAnsi="Times New Roman" w:eastAsia="宋体" w:cs="Times New Roman"/>
                <w:color w:val="auto"/>
                <w:kern w:val="0"/>
                <w:sz w:val="21"/>
                <w:szCs w:val="21"/>
                <w:lang w:bidi="ar"/>
              </w:rPr>
            </w:pPr>
            <w:r>
              <w:rPr>
                <w:rFonts w:hint="eastAsia" w:ascii="Times New Roman" w:hAnsi="Times New Roman" w:eastAsia="宋体" w:cs="Times New Roman"/>
                <w:color w:val="auto"/>
                <w:kern w:val="0"/>
                <w:sz w:val="21"/>
                <w:szCs w:val="21"/>
                <w:lang w:val="en-US" w:eastAsia="zh-CN" w:bidi="ar"/>
              </w:rPr>
              <w:t>医院</w:t>
            </w:r>
            <w:r>
              <w:rPr>
                <w:rFonts w:hint="default" w:ascii="Times New Roman" w:hAnsi="Times New Roman" w:eastAsia="宋体" w:cs="Times New Roman"/>
                <w:color w:val="auto"/>
                <w:kern w:val="0"/>
                <w:sz w:val="21"/>
                <w:szCs w:val="21"/>
                <w:lang w:bidi="ar"/>
              </w:rPr>
              <w:t xml:space="preserve">及周边人员健康、大气环境 </w:t>
            </w:r>
          </w:p>
        </w:tc>
      </w:tr>
      <w:bookmarkEnd w:id="89"/>
      <w:bookmarkEnd w:id="90"/>
    </w:tbl>
    <w:p>
      <w:pPr>
        <w:pStyle w:val="5"/>
        <w:spacing w:before="11"/>
        <w:rPr>
          <w:b/>
          <w:color w:val="auto"/>
          <w:sz w:val="11"/>
        </w:rPr>
      </w:pPr>
    </w:p>
    <w:p>
      <w:pPr>
        <w:pStyle w:val="2"/>
        <w:numPr>
          <w:ilvl w:val="2"/>
          <w:numId w:val="1"/>
        </w:numPr>
        <w:tabs>
          <w:tab w:val="left" w:pos="1377"/>
        </w:tabs>
        <w:spacing w:before="240" w:after="0" w:line="360" w:lineRule="auto"/>
        <w:ind w:left="1376" w:right="0" w:hanging="629"/>
        <w:jc w:val="left"/>
        <w:rPr>
          <w:color w:val="auto"/>
        </w:rPr>
      </w:pPr>
      <w:bookmarkStart w:id="91" w:name="3.6.2环境风险防控与应急措施"/>
      <w:bookmarkEnd w:id="91"/>
      <w:bookmarkStart w:id="92" w:name="3.6.2环境风险防控与应急措施"/>
      <w:bookmarkEnd w:id="92"/>
      <w:r>
        <w:rPr>
          <w:color w:val="auto"/>
        </w:rPr>
        <w:t>环境风险防控与应急措施</w:t>
      </w:r>
    </w:p>
    <w:p>
      <w:pPr>
        <w:autoSpaceDE/>
        <w:autoSpaceDN/>
        <w:spacing w:before="0" w:after="0" w:line="360" w:lineRule="auto"/>
        <w:ind w:left="0" w:right="0" w:firstLine="572" w:firstLineChars="200"/>
        <w:jc w:val="both"/>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针对医院现有风险源及可能发生的事故，采取了一定的风险防范及应急措施，具体措施见表3.5-2。</w:t>
      </w:r>
    </w:p>
    <w:p>
      <w:pPr>
        <w:autoSpaceDE/>
        <w:autoSpaceDN/>
        <w:adjustRightInd w:val="0"/>
        <w:snapToGrid w:val="0"/>
        <w:spacing w:before="0" w:after="0" w:line="360" w:lineRule="auto"/>
        <w:ind w:left="0" w:right="0" w:firstLine="0" w:firstLineChars="0"/>
        <w:jc w:val="center"/>
        <w:rPr>
          <w:rFonts w:ascii="Times New Roman" w:hAnsi="Times New Roman" w:cs="Times New Roman"/>
          <w:b/>
          <w:snapToGrid w:val="0"/>
          <w:color w:val="auto"/>
          <w:kern w:val="2"/>
          <w:sz w:val="24"/>
          <w:szCs w:val="24"/>
          <w:lang w:val="en-US" w:bidi="ar-SA"/>
        </w:rPr>
      </w:pPr>
      <w:r>
        <w:rPr>
          <w:rFonts w:ascii="Times New Roman" w:hAnsi="Times New Roman" w:cs="Times New Roman"/>
          <w:b/>
          <w:color w:val="auto"/>
          <w:kern w:val="2"/>
          <w:sz w:val="24"/>
          <w:szCs w:val="24"/>
          <w:lang w:val="en-US" w:bidi="ar-SA"/>
        </w:rPr>
        <w:t>表</w:t>
      </w:r>
      <w:r>
        <w:rPr>
          <w:rFonts w:hint="eastAsia" w:ascii="Times New Roman" w:hAnsi="Times New Roman" w:cs="Times New Roman"/>
          <w:b/>
          <w:color w:val="auto"/>
          <w:kern w:val="2"/>
          <w:sz w:val="24"/>
          <w:szCs w:val="24"/>
          <w:lang w:val="en-US" w:eastAsia="zh-CN" w:bidi="ar-SA"/>
        </w:rPr>
        <w:t>3.5</w:t>
      </w:r>
      <w:r>
        <w:rPr>
          <w:rFonts w:ascii="Times New Roman" w:hAnsi="Times New Roman" w:cs="Times New Roman"/>
          <w:b/>
          <w:color w:val="auto"/>
          <w:kern w:val="2"/>
          <w:sz w:val="24"/>
          <w:szCs w:val="24"/>
          <w:lang w:val="en-US" w:bidi="ar-SA"/>
        </w:rPr>
        <w:t xml:space="preserve">-2 </w:t>
      </w:r>
      <w:r>
        <w:rPr>
          <w:rFonts w:ascii="Times New Roman" w:hAnsi="Times New Roman" w:cs="Times New Roman"/>
          <w:b/>
          <w:snapToGrid w:val="0"/>
          <w:color w:val="auto"/>
          <w:kern w:val="2"/>
          <w:sz w:val="24"/>
          <w:szCs w:val="24"/>
          <w:lang w:val="en-US" w:bidi="ar-SA"/>
        </w:rPr>
        <w:t>风险防范及应急措施</w:t>
      </w:r>
    </w:p>
    <w:tbl>
      <w:tblPr>
        <w:tblStyle w:val="13"/>
        <w:tblW w:w="8838" w:type="dxa"/>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0" w:type="dxa"/>
          <w:bottom w:w="0" w:type="dxa"/>
          <w:right w:w="0" w:type="dxa"/>
        </w:tblCellMar>
      </w:tblPr>
      <w:tblGrid>
        <w:gridCol w:w="485"/>
        <w:gridCol w:w="1429"/>
        <w:gridCol w:w="6924"/>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cantSplit/>
          <w:trHeight w:val="890" w:hRule="atLeast"/>
          <w:jc w:val="center"/>
        </w:trPr>
        <w:tc>
          <w:tcPr>
            <w:tcW w:w="485" w:type="dxa"/>
            <w:noWrap w:val="0"/>
            <w:vAlign w:val="center"/>
          </w:tcPr>
          <w:p>
            <w:pPr>
              <w:adjustRightInd w:val="0"/>
              <w:snapToGrid w:val="0"/>
              <w:ind w:firstLine="0" w:firstLineChars="0"/>
              <w:jc w:val="center"/>
              <w:rPr>
                <w:rFonts w:hint="default" w:ascii="Times New Roman" w:hAnsi="Times New Roman" w:eastAsia="宋体" w:cs="Times New Roman"/>
                <w:b/>
                <w:bCs/>
                <w:snapToGrid w:val="0"/>
                <w:color w:val="auto"/>
                <w:sz w:val="21"/>
                <w:szCs w:val="21"/>
              </w:rPr>
            </w:pPr>
            <w:r>
              <w:rPr>
                <w:rFonts w:hint="default" w:ascii="Times New Roman" w:hAnsi="Times New Roman" w:eastAsia="宋体" w:cs="Times New Roman"/>
                <w:b/>
                <w:bCs/>
                <w:snapToGrid w:val="0"/>
                <w:color w:val="auto"/>
                <w:sz w:val="21"/>
                <w:szCs w:val="21"/>
              </w:rPr>
              <w:t>序号</w:t>
            </w:r>
          </w:p>
        </w:tc>
        <w:tc>
          <w:tcPr>
            <w:tcW w:w="1429" w:type="dxa"/>
            <w:noWrap w:val="0"/>
            <w:vAlign w:val="center"/>
          </w:tcPr>
          <w:p>
            <w:pPr>
              <w:adjustRightInd w:val="0"/>
              <w:snapToGrid w:val="0"/>
              <w:ind w:firstLine="0" w:firstLineChars="0"/>
              <w:jc w:val="center"/>
              <w:rPr>
                <w:rFonts w:hint="default" w:ascii="Times New Roman" w:hAnsi="Times New Roman" w:eastAsia="宋体" w:cs="Times New Roman"/>
                <w:b/>
                <w:bCs/>
                <w:snapToGrid w:val="0"/>
                <w:color w:val="auto"/>
                <w:sz w:val="21"/>
                <w:szCs w:val="21"/>
              </w:rPr>
            </w:pPr>
            <w:r>
              <w:rPr>
                <w:rFonts w:hint="default" w:ascii="Times New Roman" w:hAnsi="Times New Roman" w:eastAsia="宋体" w:cs="Times New Roman"/>
                <w:b/>
                <w:bCs/>
                <w:snapToGrid w:val="0"/>
                <w:color w:val="auto"/>
                <w:sz w:val="21"/>
                <w:szCs w:val="21"/>
              </w:rPr>
              <w:t>项目</w:t>
            </w:r>
          </w:p>
        </w:tc>
        <w:tc>
          <w:tcPr>
            <w:tcW w:w="6924" w:type="dxa"/>
            <w:noWrap w:val="0"/>
            <w:vAlign w:val="center"/>
          </w:tcPr>
          <w:p>
            <w:pPr>
              <w:adjustRightInd w:val="0"/>
              <w:snapToGrid w:val="0"/>
              <w:ind w:firstLine="0" w:firstLineChars="0"/>
              <w:jc w:val="center"/>
              <w:rPr>
                <w:rFonts w:hint="default" w:ascii="Times New Roman" w:hAnsi="Times New Roman" w:eastAsia="宋体" w:cs="Times New Roman"/>
                <w:b/>
                <w:bCs/>
                <w:snapToGrid w:val="0"/>
                <w:color w:val="auto"/>
                <w:sz w:val="21"/>
                <w:szCs w:val="21"/>
              </w:rPr>
            </w:pPr>
            <w:r>
              <w:rPr>
                <w:rFonts w:hint="default" w:ascii="Times New Roman" w:hAnsi="Times New Roman" w:eastAsia="宋体" w:cs="Times New Roman"/>
                <w:b/>
                <w:bCs/>
                <w:snapToGrid w:val="0"/>
                <w:color w:val="auto"/>
                <w:sz w:val="21"/>
                <w:szCs w:val="21"/>
              </w:rPr>
              <w:t>环境风险防控与应急具体措施</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cantSplit/>
          <w:trHeight w:val="1193" w:hRule="atLeast"/>
          <w:jc w:val="center"/>
        </w:trPr>
        <w:tc>
          <w:tcPr>
            <w:tcW w:w="485" w:type="dxa"/>
            <w:noWrap w:val="0"/>
            <w:vAlign w:val="center"/>
          </w:tcPr>
          <w:p>
            <w:pPr>
              <w:adjustRightInd w:val="0"/>
              <w:snapToGrid w:val="0"/>
              <w:ind w:firstLine="0" w:firstLineChars="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1</w:t>
            </w:r>
          </w:p>
        </w:tc>
        <w:tc>
          <w:tcPr>
            <w:tcW w:w="1429" w:type="dxa"/>
            <w:noWrap w:val="0"/>
            <w:vAlign w:val="center"/>
          </w:tcPr>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截流措施</w:t>
            </w:r>
          </w:p>
        </w:tc>
        <w:tc>
          <w:tcPr>
            <w:tcW w:w="6924" w:type="dxa"/>
            <w:noWrap w:val="0"/>
            <w:vAlign w:val="center"/>
          </w:tcPr>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各个环境风险单元采取特殊防渗措施，</w:t>
            </w:r>
            <w:r>
              <w:rPr>
                <w:rFonts w:hint="default" w:ascii="Times New Roman" w:hAnsi="Times New Roman" w:eastAsia="宋体" w:cs="Times New Roman"/>
                <w:snapToGrid w:val="0"/>
                <w:color w:val="auto"/>
                <w:sz w:val="21"/>
                <w:szCs w:val="21"/>
                <w:lang w:val="en-US" w:eastAsia="zh-CN"/>
              </w:rPr>
              <w:t>医院</w:t>
            </w:r>
            <w:r>
              <w:rPr>
                <w:rFonts w:hint="default" w:ascii="Times New Roman" w:hAnsi="Times New Roman" w:eastAsia="宋体" w:cs="Times New Roman"/>
                <w:snapToGrid w:val="0"/>
                <w:color w:val="auto"/>
                <w:sz w:val="21"/>
                <w:szCs w:val="21"/>
              </w:rPr>
              <w:t>四周设置环形导流沟，项目内无事故池，如遇泄露污染物泄露，及时采取消防砂围堵，确保事故情况下的泄漏污染物能够合理收集和处置。</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cantSplit/>
          <w:trHeight w:val="1587" w:hRule="atLeast"/>
          <w:jc w:val="center"/>
        </w:trPr>
        <w:tc>
          <w:tcPr>
            <w:tcW w:w="485" w:type="dxa"/>
            <w:noWrap w:val="0"/>
            <w:vAlign w:val="center"/>
          </w:tcPr>
          <w:p>
            <w:pPr>
              <w:adjustRightInd w:val="0"/>
              <w:snapToGrid w:val="0"/>
              <w:ind w:firstLine="0" w:firstLineChars="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2</w:t>
            </w:r>
          </w:p>
        </w:tc>
        <w:tc>
          <w:tcPr>
            <w:tcW w:w="1429" w:type="dxa"/>
            <w:noWrap w:val="0"/>
            <w:vAlign w:val="center"/>
          </w:tcPr>
          <w:p>
            <w:pPr>
              <w:adjustRightInd w:val="0"/>
              <w:snapToGrid w:val="0"/>
              <w:ind w:firstLine="0" w:firstLineChars="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防火防爆</w:t>
            </w:r>
          </w:p>
          <w:p>
            <w:pPr>
              <w:adjustRightInd w:val="0"/>
              <w:snapToGrid w:val="0"/>
              <w:ind w:firstLine="0" w:firstLineChars="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防控措施</w:t>
            </w:r>
          </w:p>
        </w:tc>
        <w:tc>
          <w:tcPr>
            <w:tcW w:w="6924" w:type="dxa"/>
            <w:noWrap w:val="0"/>
            <w:vAlign w:val="center"/>
          </w:tcPr>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eastAsia" w:ascii="Times New Roman" w:hAnsi="Times New Roman" w:eastAsia="宋体" w:cs="Times New Roman"/>
                <w:snapToGrid w:val="0"/>
                <w:color w:val="auto"/>
                <w:sz w:val="21"/>
                <w:szCs w:val="21"/>
                <w:lang w:eastAsia="zh-CN"/>
              </w:rPr>
              <w:t>（</w:t>
            </w:r>
            <w:r>
              <w:rPr>
                <w:rFonts w:hint="eastAsia" w:ascii="Times New Roman" w:hAnsi="Times New Roman" w:eastAsia="宋体" w:cs="Times New Roman"/>
                <w:snapToGrid w:val="0"/>
                <w:color w:val="auto"/>
                <w:sz w:val="21"/>
                <w:szCs w:val="21"/>
                <w:lang w:val="en-US" w:eastAsia="zh-CN"/>
              </w:rPr>
              <w:t>1</w:t>
            </w:r>
            <w:r>
              <w:rPr>
                <w:rFonts w:hint="eastAsia" w:ascii="Times New Roman" w:hAnsi="Times New Roman" w:eastAsia="宋体" w:cs="Times New Roman"/>
                <w:snapToGrid w:val="0"/>
                <w:color w:val="auto"/>
                <w:sz w:val="21"/>
                <w:szCs w:val="21"/>
                <w:lang w:eastAsia="zh-CN"/>
              </w:rPr>
              <w:t>）</w:t>
            </w:r>
            <w:r>
              <w:rPr>
                <w:rFonts w:hint="default" w:ascii="Times New Roman" w:hAnsi="Times New Roman" w:eastAsia="宋体" w:cs="Times New Roman"/>
                <w:snapToGrid w:val="0"/>
                <w:color w:val="auto"/>
                <w:sz w:val="21"/>
                <w:szCs w:val="21"/>
              </w:rPr>
              <w:t>根据生产特点、合理划分功能区，禁止物料随意堆放，占用消防通道；（2）根据消防要求配备手提式干粉灭火器、消防沙等，并对消防材料专人保管和定期检修；（3）涉及风险物质的材料、产品运输严格按照国家风险物质运输规定执行。</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cantSplit/>
          <w:trHeight w:val="1981" w:hRule="atLeast"/>
          <w:jc w:val="center"/>
        </w:trPr>
        <w:tc>
          <w:tcPr>
            <w:tcW w:w="485" w:type="dxa"/>
            <w:noWrap w:val="0"/>
            <w:vAlign w:val="center"/>
          </w:tcPr>
          <w:p>
            <w:pPr>
              <w:adjustRightInd w:val="0"/>
              <w:snapToGrid w:val="0"/>
              <w:ind w:firstLine="0" w:firstLineChars="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3</w:t>
            </w:r>
          </w:p>
        </w:tc>
        <w:tc>
          <w:tcPr>
            <w:tcW w:w="1429" w:type="dxa"/>
            <w:noWrap w:val="0"/>
            <w:vAlign w:val="center"/>
          </w:tcPr>
          <w:p>
            <w:pPr>
              <w:adjustRightInd w:val="0"/>
              <w:snapToGrid w:val="0"/>
              <w:ind w:firstLine="0" w:firstLineChars="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风险物质管理、储存、使用、运输的防控措施</w:t>
            </w:r>
          </w:p>
        </w:tc>
        <w:tc>
          <w:tcPr>
            <w:tcW w:w="6924" w:type="dxa"/>
            <w:noWrap w:val="0"/>
            <w:vAlign w:val="center"/>
          </w:tcPr>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（1）在储存和使用过程中制定风险物质安全操作规程，操作人员必须严格执行；（2）风险物质储存库应建立健全安全规程及执勤制度，检查各类风险物质是否保存完好；（3）</w:t>
            </w:r>
            <w:r>
              <w:rPr>
                <w:rFonts w:hint="eastAsia" w:ascii="Times New Roman" w:hAnsi="Times New Roman" w:eastAsia="宋体" w:cs="Times New Roman"/>
                <w:snapToGrid w:val="0"/>
                <w:color w:val="auto"/>
                <w:sz w:val="21"/>
                <w:szCs w:val="21"/>
                <w:lang w:val="en-US" w:eastAsia="zh-CN"/>
              </w:rPr>
              <w:t>医院</w:t>
            </w:r>
            <w:r>
              <w:rPr>
                <w:rFonts w:hint="default" w:ascii="Times New Roman" w:hAnsi="Times New Roman" w:eastAsia="宋体" w:cs="Times New Roman"/>
                <w:snapToGrid w:val="0"/>
                <w:color w:val="auto"/>
                <w:sz w:val="21"/>
                <w:szCs w:val="21"/>
              </w:rPr>
              <w:t>区域应设置禁止吸烟及明火标识，同时加强职工教育。（4）运输过程：</w:t>
            </w:r>
            <w:r>
              <w:rPr>
                <w:rFonts w:hint="eastAsia" w:ascii="Times New Roman" w:hAnsi="Times New Roman" w:eastAsia="宋体" w:cs="Times New Roman"/>
                <w:snapToGrid w:val="0"/>
                <w:color w:val="auto"/>
                <w:sz w:val="21"/>
                <w:szCs w:val="21"/>
                <w:lang w:val="en-US" w:eastAsia="zh-CN"/>
              </w:rPr>
              <w:t>医疗废物</w:t>
            </w:r>
            <w:r>
              <w:rPr>
                <w:rFonts w:hint="default" w:ascii="Times New Roman" w:hAnsi="Times New Roman" w:eastAsia="宋体" w:cs="Times New Roman"/>
                <w:snapToGrid w:val="0"/>
                <w:color w:val="auto"/>
                <w:sz w:val="21"/>
                <w:szCs w:val="21"/>
              </w:rPr>
              <w:t>定期交由</w:t>
            </w:r>
            <w:r>
              <w:rPr>
                <w:rFonts w:hint="eastAsia" w:ascii="Times New Roman" w:hAnsi="Times New Roman" w:eastAsia="宋体" w:cs="Times New Roman"/>
                <w:snapToGrid w:val="0"/>
                <w:color w:val="auto"/>
                <w:sz w:val="21"/>
                <w:szCs w:val="21"/>
                <w:lang w:val="en-US" w:eastAsia="zh-CN"/>
              </w:rPr>
              <w:t>咸阳医疗废物处置中心</w:t>
            </w:r>
            <w:r>
              <w:rPr>
                <w:rFonts w:hint="default" w:ascii="Times New Roman" w:hAnsi="Times New Roman" w:eastAsia="宋体" w:cs="Times New Roman"/>
                <w:snapToGrid w:val="0"/>
                <w:color w:val="auto"/>
                <w:sz w:val="21"/>
                <w:szCs w:val="21"/>
              </w:rPr>
              <w:t>转运处理，转运过程中发生的泄露等事故由转运方负责处理。</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cantSplit/>
          <w:trHeight w:val="1981" w:hRule="atLeast"/>
          <w:jc w:val="center"/>
        </w:trPr>
        <w:tc>
          <w:tcPr>
            <w:tcW w:w="485" w:type="dxa"/>
            <w:noWrap w:val="0"/>
            <w:vAlign w:val="center"/>
          </w:tcPr>
          <w:p>
            <w:pPr>
              <w:adjustRightInd w:val="0"/>
              <w:snapToGrid w:val="0"/>
              <w:ind w:firstLine="0" w:firstLineChars="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4</w:t>
            </w:r>
          </w:p>
        </w:tc>
        <w:tc>
          <w:tcPr>
            <w:tcW w:w="1429" w:type="dxa"/>
            <w:noWrap w:val="0"/>
            <w:vAlign w:val="center"/>
          </w:tcPr>
          <w:p>
            <w:pPr>
              <w:adjustRightInd w:val="0"/>
              <w:snapToGrid w:val="0"/>
              <w:ind w:firstLine="0" w:firstLineChars="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火灾事故</w:t>
            </w:r>
          </w:p>
          <w:p>
            <w:pPr>
              <w:adjustRightInd w:val="0"/>
              <w:snapToGrid w:val="0"/>
              <w:ind w:firstLine="0" w:firstLineChars="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应急措施</w:t>
            </w:r>
          </w:p>
        </w:tc>
        <w:tc>
          <w:tcPr>
            <w:tcW w:w="6924" w:type="dxa"/>
            <w:noWrap w:val="0"/>
            <w:vAlign w:val="center"/>
          </w:tcPr>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1）当发生火情时，现场人员及时使用灭火器材将火灾消灭在萌芽中，火情不可控时，现场指挥人员应立即疏散职工，并按报告程序逐级上报请求支援；（2）当某一单元或者周围企业发生火灾事故时，相邻两生产单元紧急停工，做好预防准备；（3）如有伤员，则进行紧急救治，并及时通知邻近医院；（4）加强火灾演练，做到各个环节有条不紊。</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cantSplit/>
          <w:trHeight w:val="1587" w:hRule="atLeast"/>
          <w:jc w:val="center"/>
        </w:trPr>
        <w:tc>
          <w:tcPr>
            <w:tcW w:w="485" w:type="dxa"/>
            <w:noWrap w:val="0"/>
            <w:vAlign w:val="center"/>
          </w:tcPr>
          <w:p>
            <w:pPr>
              <w:adjustRightInd w:val="0"/>
              <w:snapToGrid w:val="0"/>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p>
        </w:tc>
        <w:tc>
          <w:tcPr>
            <w:tcW w:w="1429" w:type="dxa"/>
            <w:noWrap w:val="0"/>
            <w:vAlign w:val="center"/>
          </w:tcPr>
          <w:p>
            <w:pPr>
              <w:adjustRightInd w:val="0"/>
              <w:snapToGrid w:val="0"/>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rPr>
              <w:t>泄漏事故防控措施</w:t>
            </w:r>
          </w:p>
        </w:tc>
        <w:tc>
          <w:tcPr>
            <w:tcW w:w="6924" w:type="dxa"/>
            <w:noWrap w:val="0"/>
            <w:vAlign w:val="center"/>
          </w:tcPr>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eastAsia" w:ascii="Times New Roman" w:hAnsi="Times New Roman" w:eastAsia="宋体" w:cs="Times New Roman"/>
                <w:snapToGrid w:val="0"/>
                <w:color w:val="auto"/>
                <w:sz w:val="21"/>
                <w:szCs w:val="21"/>
                <w:lang w:val="en-US" w:eastAsia="zh-CN"/>
              </w:rPr>
              <w:t>二氧化氯</w:t>
            </w:r>
            <w:r>
              <w:rPr>
                <w:rFonts w:hint="default" w:ascii="Times New Roman" w:hAnsi="Times New Roman" w:eastAsia="宋体" w:cs="Times New Roman"/>
                <w:snapToGrid w:val="0"/>
                <w:color w:val="auto"/>
                <w:sz w:val="21"/>
                <w:szCs w:val="21"/>
              </w:rPr>
              <w:t>发生泄漏时，应按以下方法处置：</w:t>
            </w:r>
          </w:p>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lang w:val="en-US" w:eastAsia="zh-CN"/>
              </w:rPr>
              <w:t>应急处理人员戴自给正压式呼吸器，穿防毒服。从上风处进入现场。尽可能切断泄漏源。用工业覆盖层或吸附/吸收剂盖住泄漏点附近的下水道等地方，防止气体进入。喷雾状水稀释。漏气容器要妥善处理，修复、检验后再用。</w:t>
            </w:r>
            <w:r>
              <w:rPr>
                <w:rFonts w:hint="eastAsia" w:ascii="Times New Roman" w:hAnsi="Times New Roman" w:eastAsia="宋体" w:cs="Times New Roman"/>
                <w:snapToGrid w:val="0"/>
                <w:color w:val="auto"/>
                <w:sz w:val="21"/>
                <w:szCs w:val="21"/>
                <w:lang w:val="en-US" w:eastAsia="zh-CN"/>
              </w:rPr>
              <w:t>医疗废水泄露后，立即关闭管道阀门，用消防沙阻止废水的扩散，若泄漏量过大，将废水回抽至污水处理设施。</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cantSplit/>
          <w:trHeight w:val="1992" w:hRule="atLeast"/>
          <w:jc w:val="center"/>
        </w:trPr>
        <w:tc>
          <w:tcPr>
            <w:tcW w:w="485" w:type="dxa"/>
            <w:noWrap w:val="0"/>
            <w:vAlign w:val="center"/>
          </w:tcPr>
          <w:p>
            <w:pPr>
              <w:adjustRightInd w:val="0"/>
              <w:snapToGrid w:val="0"/>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w:t>
            </w:r>
          </w:p>
        </w:tc>
        <w:tc>
          <w:tcPr>
            <w:tcW w:w="1429" w:type="dxa"/>
            <w:noWrap w:val="0"/>
            <w:vAlign w:val="center"/>
          </w:tcPr>
          <w:p>
            <w:pPr>
              <w:adjustRightInd w:val="0"/>
              <w:snapToGrid w:val="0"/>
              <w:ind w:firstLine="0" w:firstLineChars="0"/>
              <w:jc w:val="center"/>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废气排放超标</w:t>
            </w:r>
          </w:p>
        </w:tc>
        <w:tc>
          <w:tcPr>
            <w:tcW w:w="6924" w:type="dxa"/>
            <w:noWrap w:val="0"/>
            <w:vAlign w:val="center"/>
          </w:tcPr>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当</w:t>
            </w:r>
            <w:r>
              <w:rPr>
                <w:rFonts w:hint="eastAsia" w:ascii="Times New Roman" w:hAnsi="Times New Roman" w:eastAsia="宋体" w:cs="Times New Roman"/>
                <w:snapToGrid w:val="0"/>
                <w:color w:val="auto"/>
                <w:sz w:val="21"/>
                <w:szCs w:val="21"/>
                <w:lang w:val="en-US" w:eastAsia="zh-CN"/>
              </w:rPr>
              <w:t>废气处理</w:t>
            </w:r>
            <w:r>
              <w:rPr>
                <w:rFonts w:hint="default" w:ascii="Times New Roman" w:hAnsi="Times New Roman" w:eastAsia="宋体" w:cs="Times New Roman"/>
                <w:snapToGrid w:val="0"/>
                <w:color w:val="auto"/>
                <w:sz w:val="21"/>
                <w:szCs w:val="21"/>
              </w:rPr>
              <w:t>装置发生故障时引起废气排放超标：</w:t>
            </w:r>
          </w:p>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①立刻切断电源；②检修废气处理设施，找出故障原因，如管道破损，并及时维修；③联系监测单位，对维修后的废气处理设施进行废气排放监测，确保废气排放达标；</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cantSplit/>
          <w:trHeight w:val="1193" w:hRule="atLeast"/>
          <w:jc w:val="center"/>
        </w:trPr>
        <w:tc>
          <w:tcPr>
            <w:tcW w:w="485" w:type="dxa"/>
            <w:noWrap w:val="0"/>
            <w:vAlign w:val="center"/>
          </w:tcPr>
          <w:p>
            <w:pPr>
              <w:adjustRightInd w:val="0"/>
              <w:snapToGrid w:val="0"/>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7</w:t>
            </w:r>
          </w:p>
        </w:tc>
        <w:tc>
          <w:tcPr>
            <w:tcW w:w="1429" w:type="dxa"/>
            <w:noWrap w:val="0"/>
            <w:vAlign w:val="center"/>
          </w:tcPr>
          <w:p>
            <w:pPr>
              <w:adjustRightInd w:val="0"/>
              <w:snapToGrid w:val="0"/>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rPr>
              <w:t>厂内危险废物处置</w:t>
            </w:r>
          </w:p>
        </w:tc>
        <w:tc>
          <w:tcPr>
            <w:tcW w:w="6924" w:type="dxa"/>
            <w:noWrap w:val="0"/>
            <w:vAlign w:val="center"/>
          </w:tcPr>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（1）设置危险废物暂存间，双人双锁管理；（2）张贴“危险废物”标识，定期由有危废处置资质的单位回收；（3）按照规定做好危废转移台账记录工作。</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cantSplit/>
          <w:trHeight w:val="1689" w:hRule="atLeast"/>
          <w:jc w:val="center"/>
        </w:trPr>
        <w:tc>
          <w:tcPr>
            <w:tcW w:w="485" w:type="dxa"/>
            <w:noWrap w:val="0"/>
            <w:vAlign w:val="center"/>
          </w:tcPr>
          <w:p>
            <w:pPr>
              <w:adjustRightInd w:val="0"/>
              <w:snapToGrid w:val="0"/>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8</w:t>
            </w:r>
          </w:p>
        </w:tc>
        <w:tc>
          <w:tcPr>
            <w:tcW w:w="1429" w:type="dxa"/>
            <w:noWrap w:val="0"/>
            <w:vAlign w:val="center"/>
          </w:tcPr>
          <w:p>
            <w:pPr>
              <w:adjustRightInd w:val="0"/>
              <w:snapToGrid w:val="0"/>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rPr>
              <w:t>其他风险防控措施落实情况</w:t>
            </w:r>
          </w:p>
        </w:tc>
        <w:tc>
          <w:tcPr>
            <w:tcW w:w="6924" w:type="dxa"/>
            <w:noWrap w:val="0"/>
            <w:vAlign w:val="center"/>
          </w:tcPr>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default" w:ascii="Times New Roman" w:hAnsi="Times New Roman" w:eastAsia="宋体" w:cs="Times New Roman"/>
                <w:snapToGrid w:val="0"/>
                <w:color w:val="auto"/>
                <w:sz w:val="21"/>
                <w:szCs w:val="21"/>
              </w:rPr>
            </w:pPr>
            <w:r>
              <w:rPr>
                <w:rFonts w:hint="default" w:ascii="Times New Roman" w:hAnsi="Times New Roman" w:eastAsia="宋体" w:cs="Times New Roman"/>
                <w:snapToGrid w:val="0"/>
                <w:color w:val="auto"/>
                <w:sz w:val="21"/>
                <w:szCs w:val="21"/>
              </w:rPr>
              <w:t>按照《危险废物贮存污染控制标准》（GB18597-2001）</w:t>
            </w:r>
            <w:r>
              <w:rPr>
                <w:rFonts w:hint="default" w:ascii="Times New Roman" w:hAnsi="Times New Roman" w:eastAsia="宋体" w:cs="Times New Roman"/>
                <w:snapToGrid w:val="0"/>
                <w:color w:val="auto"/>
                <w:sz w:val="21"/>
                <w:szCs w:val="21"/>
                <w:lang w:val="en-US" w:eastAsia="zh-CN"/>
              </w:rPr>
              <w:t>位于院区北侧，紧邻北厂界</w:t>
            </w:r>
            <w:r>
              <w:rPr>
                <w:rFonts w:hint="default" w:ascii="Times New Roman" w:hAnsi="Times New Roman" w:eastAsia="宋体" w:cs="Times New Roman"/>
                <w:snapToGrid w:val="0"/>
                <w:color w:val="auto"/>
                <w:sz w:val="21"/>
                <w:szCs w:val="21"/>
              </w:rPr>
              <w:t>，</w:t>
            </w:r>
            <w:r>
              <w:rPr>
                <w:rFonts w:hint="default" w:ascii="Times New Roman" w:hAnsi="Times New Roman" w:eastAsia="宋体" w:cs="Times New Roman"/>
                <w:snapToGrid w:val="0"/>
                <w:color w:val="auto"/>
                <w:sz w:val="21"/>
                <w:szCs w:val="21"/>
                <w:lang w:val="en-US" w:eastAsia="zh-CN"/>
              </w:rPr>
              <w:t>占地30m2</w:t>
            </w:r>
            <w:r>
              <w:rPr>
                <w:rFonts w:hint="default" w:ascii="Times New Roman" w:hAnsi="Times New Roman" w:eastAsia="宋体" w:cs="Times New Roman"/>
                <w:snapToGrid w:val="0"/>
                <w:color w:val="auto"/>
                <w:sz w:val="21"/>
                <w:szCs w:val="21"/>
              </w:rPr>
              <w:t>。</w:t>
            </w:r>
            <w:r>
              <w:rPr>
                <w:rFonts w:hint="default" w:ascii="Times New Roman" w:hAnsi="Times New Roman" w:eastAsia="宋体" w:cs="Times New Roman"/>
                <w:snapToGrid w:val="0"/>
                <w:color w:val="auto"/>
                <w:sz w:val="21"/>
                <w:szCs w:val="21"/>
                <w:lang w:val="en-US" w:eastAsia="zh-CN"/>
              </w:rPr>
              <w:t>设置医疗废物暂存间及管理办公室</w:t>
            </w:r>
            <w:r>
              <w:rPr>
                <w:rFonts w:hint="default" w:ascii="Times New Roman" w:hAnsi="Times New Roman" w:eastAsia="宋体" w:cs="Times New Roman"/>
                <w:snapToGrid w:val="0"/>
                <w:color w:val="auto"/>
                <w:sz w:val="21"/>
                <w:szCs w:val="21"/>
              </w:rPr>
              <w:t>，危废标识、台账、制度上墙等均符合规范。</w:t>
            </w:r>
          </w:p>
        </w:tc>
      </w:tr>
    </w:tbl>
    <w:p>
      <w:pPr>
        <w:pStyle w:val="5"/>
        <w:spacing w:before="9"/>
        <w:rPr>
          <w:b/>
          <w:color w:val="auto"/>
          <w:sz w:val="11"/>
        </w:rPr>
      </w:pPr>
    </w:p>
    <w:p>
      <w:pPr>
        <w:pStyle w:val="3"/>
        <w:numPr>
          <w:ilvl w:val="1"/>
          <w:numId w:val="1"/>
        </w:numPr>
        <w:tabs>
          <w:tab w:val="left" w:pos="1308"/>
        </w:tabs>
        <w:spacing w:before="0" w:after="0" w:line="383" w:lineRule="exact"/>
        <w:ind w:left="919" w:leftChars="0" w:right="0" w:hanging="481" w:firstLineChars="0"/>
        <w:jc w:val="left"/>
        <w:outlineLvl w:val="0"/>
        <w:rPr>
          <w:rFonts w:hint="eastAsia"/>
          <w:color w:val="auto"/>
        </w:rPr>
      </w:pPr>
      <w:bookmarkStart w:id="93" w:name="_bookmark12"/>
      <w:bookmarkEnd w:id="93"/>
      <w:bookmarkStart w:id="94" w:name="3.7现有应急物资与装备、救援队伍情况"/>
      <w:bookmarkEnd w:id="94"/>
      <w:bookmarkStart w:id="95" w:name="_Toc6745"/>
      <w:bookmarkStart w:id="96" w:name="_Toc13324"/>
      <w:r>
        <w:rPr>
          <w:rFonts w:hint="eastAsia"/>
          <w:color w:val="auto"/>
        </w:rPr>
        <w:t>现有应急物资与装备、救援队伍情况</w:t>
      </w:r>
      <w:bookmarkEnd w:id="95"/>
      <w:bookmarkEnd w:id="96"/>
    </w:p>
    <w:p>
      <w:pPr>
        <w:pStyle w:val="17"/>
        <w:numPr>
          <w:ilvl w:val="2"/>
          <w:numId w:val="1"/>
        </w:numPr>
        <w:tabs>
          <w:tab w:val="left" w:pos="1377"/>
        </w:tabs>
        <w:spacing w:before="240" w:after="0" w:line="360" w:lineRule="auto"/>
        <w:ind w:left="1376" w:right="0" w:hanging="629"/>
        <w:jc w:val="left"/>
        <w:rPr>
          <w:b/>
          <w:color w:val="auto"/>
          <w:sz w:val="28"/>
        </w:rPr>
      </w:pPr>
      <w:bookmarkStart w:id="97" w:name="3.7.1内部应急资源"/>
      <w:bookmarkEnd w:id="97"/>
      <w:bookmarkStart w:id="98" w:name="3.7.1内部应急资源"/>
      <w:bookmarkEnd w:id="98"/>
      <w:r>
        <w:rPr>
          <w:b/>
          <w:color w:val="auto"/>
          <w:sz w:val="28"/>
        </w:rPr>
        <w:t>内部应急资源</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sz w:val="28"/>
          <w:szCs w:val="28"/>
          <w:lang w:val="en-US" w:eastAsia="zh-CN" w:bidi="zh-CN"/>
        </w:rPr>
      </w:pPr>
      <w:r>
        <w:rPr>
          <w:rFonts w:hint="eastAsia" w:ascii="Times New Roman" w:hAnsi="Times New Roman" w:eastAsia="宋体" w:cs="Times New Roman"/>
          <w:color w:val="auto"/>
          <w:spacing w:val="3"/>
          <w:sz w:val="28"/>
          <w:szCs w:val="28"/>
          <w:lang w:val="en-US" w:eastAsia="zh-CN" w:bidi="zh-CN"/>
        </w:rPr>
        <w:t>企业内部按照各类需求储备了相应的应急物资，并由办公室负责，企业应急资源及装备的储备情况见表 3.6-1。</w:t>
      </w:r>
    </w:p>
    <w:p>
      <w:pPr>
        <w:outlineLvl w:val="9"/>
        <w:rPr>
          <w:rFonts w:hint="eastAsia" w:ascii="Times New Roman" w:hAnsi="Times New Roman" w:eastAsia="宋体" w:cs="Times New Roman"/>
          <w:color w:val="auto"/>
          <w:spacing w:val="3"/>
          <w:sz w:val="28"/>
          <w:szCs w:val="28"/>
          <w:lang w:val="en-US" w:eastAsia="zh-CN" w:bidi="zh-CN"/>
        </w:rPr>
      </w:pPr>
    </w:p>
    <w:p>
      <w:pPr>
        <w:rPr>
          <w:rFonts w:hint="eastAsia"/>
          <w:color w:val="auto"/>
          <w:lang w:val="en-US" w:eastAsia="zh-CN"/>
        </w:rPr>
      </w:pPr>
    </w:p>
    <w:p>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0"/>
        <w:jc w:val="center"/>
        <w:textAlignment w:val="auto"/>
        <w:rPr>
          <w:b/>
          <w:color w:val="auto"/>
          <w:sz w:val="24"/>
        </w:rPr>
      </w:pPr>
      <w:r>
        <w:rPr>
          <w:b/>
          <w:color w:val="auto"/>
          <w:sz w:val="24"/>
        </w:rPr>
        <w:t xml:space="preserve">表 </w:t>
      </w:r>
      <w:r>
        <w:rPr>
          <w:rFonts w:ascii="Times New Roman" w:eastAsia="Times New Roman"/>
          <w:b/>
          <w:color w:val="auto"/>
          <w:sz w:val="24"/>
        </w:rPr>
        <w:t>3.</w:t>
      </w:r>
      <w:r>
        <w:rPr>
          <w:rFonts w:hint="eastAsia" w:ascii="Times New Roman" w:eastAsia="宋体"/>
          <w:b/>
          <w:color w:val="auto"/>
          <w:sz w:val="24"/>
          <w:lang w:val="en-US" w:eastAsia="zh-CN"/>
        </w:rPr>
        <w:t>6</w:t>
      </w:r>
      <w:r>
        <w:rPr>
          <w:rFonts w:ascii="Times New Roman" w:eastAsia="Times New Roman"/>
          <w:b/>
          <w:color w:val="auto"/>
          <w:sz w:val="24"/>
        </w:rPr>
        <w:t xml:space="preserve">-1 </w:t>
      </w:r>
      <w:r>
        <w:rPr>
          <w:b/>
          <w:color w:val="auto"/>
          <w:sz w:val="24"/>
        </w:rPr>
        <w:t>企业内部应急资源、装备</w:t>
      </w:r>
    </w:p>
    <w:tbl>
      <w:tblPr>
        <w:tblStyle w:val="13"/>
        <w:tblW w:w="5179" w:type="pct"/>
        <w:jc w:val="center"/>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Layout w:type="autofit"/>
        <w:tblCellMar>
          <w:top w:w="0" w:type="dxa"/>
          <w:left w:w="0" w:type="dxa"/>
          <w:bottom w:w="0" w:type="dxa"/>
          <w:right w:w="0" w:type="dxa"/>
        </w:tblCellMar>
      </w:tblPr>
      <w:tblGrid>
        <w:gridCol w:w="732"/>
        <w:gridCol w:w="1160"/>
        <w:gridCol w:w="1418"/>
        <w:gridCol w:w="1377"/>
        <w:gridCol w:w="853"/>
        <w:gridCol w:w="1065"/>
        <w:gridCol w:w="685"/>
        <w:gridCol w:w="1373"/>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序号</w:t>
            </w:r>
          </w:p>
        </w:tc>
        <w:tc>
          <w:tcPr>
            <w:tcW w:w="669"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类型</w:t>
            </w:r>
          </w:p>
        </w:tc>
        <w:tc>
          <w:tcPr>
            <w:tcW w:w="818"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名称</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规格</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数量</w:t>
            </w:r>
          </w:p>
        </w:tc>
        <w:tc>
          <w:tcPr>
            <w:tcW w:w="61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存放位置</w:t>
            </w:r>
          </w:p>
        </w:tc>
        <w:tc>
          <w:tcPr>
            <w:tcW w:w="395"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保管人</w:t>
            </w:r>
          </w:p>
        </w:tc>
        <w:tc>
          <w:tcPr>
            <w:tcW w:w="7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联系电话</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w:t>
            </w:r>
          </w:p>
        </w:tc>
        <w:tc>
          <w:tcPr>
            <w:tcW w:w="669"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消防设备</w:t>
            </w:r>
          </w:p>
        </w:tc>
        <w:tc>
          <w:tcPr>
            <w:tcW w:w="818"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室内消火栓</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82</w:t>
            </w:r>
          </w:p>
        </w:tc>
        <w:tc>
          <w:tcPr>
            <w:tcW w:w="61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各部门房间、楼道等</w:t>
            </w:r>
          </w:p>
        </w:tc>
        <w:tc>
          <w:tcPr>
            <w:tcW w:w="395"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7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室外消火栓</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3</w:t>
            </w:r>
          </w:p>
        </w:tc>
        <w:tc>
          <w:tcPr>
            <w:tcW w:w="61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395"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7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3</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手提式干粉灭火器</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MFZ/ABC4</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321</w:t>
            </w:r>
          </w:p>
        </w:tc>
        <w:tc>
          <w:tcPr>
            <w:tcW w:w="614"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保安室、办公室、危废暂存间、库房等</w:t>
            </w:r>
          </w:p>
        </w:tc>
        <w:tc>
          <w:tcPr>
            <w:tcW w:w="395"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邢 涛</w:t>
            </w:r>
          </w:p>
        </w:tc>
        <w:tc>
          <w:tcPr>
            <w:tcW w:w="792"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15399105029</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4</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手提式二氧化碳灭火器</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MT/3型</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消防沙桶</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6</w:t>
            </w:r>
          </w:p>
        </w:tc>
        <w:tc>
          <w:tcPr>
            <w:tcW w:w="669"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照明设备</w:t>
            </w:r>
          </w:p>
        </w:tc>
        <w:tc>
          <w:tcPr>
            <w:tcW w:w="818"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应急灯</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10</w:t>
            </w:r>
          </w:p>
        </w:tc>
        <w:tc>
          <w:tcPr>
            <w:tcW w:w="614"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保安室、值班室等</w:t>
            </w:r>
          </w:p>
        </w:tc>
        <w:tc>
          <w:tcPr>
            <w:tcW w:w="395"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何浩辉</w:t>
            </w:r>
          </w:p>
        </w:tc>
        <w:tc>
          <w:tcPr>
            <w:tcW w:w="792"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13020758310</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267"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7</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手电筒</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30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447"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8</w:t>
            </w:r>
          </w:p>
        </w:tc>
        <w:tc>
          <w:tcPr>
            <w:tcW w:w="669"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个人防护设备</w:t>
            </w: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防毒面具</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3M</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20</w:t>
            </w:r>
          </w:p>
        </w:tc>
        <w:tc>
          <w:tcPr>
            <w:tcW w:w="614"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保安室、办公室、危废暂存间、库房等</w:t>
            </w:r>
          </w:p>
        </w:tc>
        <w:tc>
          <w:tcPr>
            <w:tcW w:w="395"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袁军民</w:t>
            </w:r>
          </w:p>
        </w:tc>
        <w:tc>
          <w:tcPr>
            <w:tcW w:w="792"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13991046268</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402"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9</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橡胶手套</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10</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防尘口罩</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11</w:t>
            </w:r>
          </w:p>
        </w:tc>
        <w:tc>
          <w:tcPr>
            <w:tcW w:w="669"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医疗物资及设备</w:t>
            </w: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急救箱</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w:t>
            </w:r>
          </w:p>
        </w:tc>
        <w:tc>
          <w:tcPr>
            <w:tcW w:w="614"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保安室、值班室、急诊室等</w:t>
            </w:r>
          </w:p>
        </w:tc>
        <w:tc>
          <w:tcPr>
            <w:tcW w:w="395"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陈宁君</w:t>
            </w:r>
          </w:p>
        </w:tc>
        <w:tc>
          <w:tcPr>
            <w:tcW w:w="792"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15929250565</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12</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医用棉签</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100根/包</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13</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温度计</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14</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碘伏</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500ml/瓶</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15</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乙醇</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500ml/瓶</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16</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双氧水</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500ml/瓶</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17</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医用绷带</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卷</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30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18</w:t>
            </w:r>
          </w:p>
        </w:tc>
        <w:tc>
          <w:tcPr>
            <w:tcW w:w="669"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防汛物资</w:t>
            </w: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雨衣</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50</w:t>
            </w:r>
          </w:p>
        </w:tc>
        <w:tc>
          <w:tcPr>
            <w:tcW w:w="614"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库房</w:t>
            </w:r>
          </w:p>
        </w:tc>
        <w:tc>
          <w:tcPr>
            <w:tcW w:w="395" w:type="pct"/>
            <w:vMerge w:val="restar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何浩辉</w:t>
            </w:r>
          </w:p>
        </w:tc>
        <w:tc>
          <w:tcPr>
            <w:tcW w:w="792" w:type="pct"/>
            <w:vMerge w:val="restar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13020758310</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19</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帐篷</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20</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雨靴</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21</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防汛沙袋</w:t>
            </w:r>
          </w:p>
        </w:tc>
        <w:tc>
          <w:tcPr>
            <w:tcW w:w="794"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22</w:t>
            </w:r>
          </w:p>
        </w:tc>
        <w:tc>
          <w:tcPr>
            <w:tcW w:w="669"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其他物资</w:t>
            </w: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烟感器</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w:t>
            </w:r>
          </w:p>
        </w:tc>
        <w:tc>
          <w:tcPr>
            <w:tcW w:w="614" w:type="pct"/>
            <w:vMerge w:val="restar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保安室、办公室、危废暂存间、库房等</w:t>
            </w:r>
          </w:p>
        </w:tc>
        <w:tc>
          <w:tcPr>
            <w:tcW w:w="395" w:type="pct"/>
            <w:vMerge w:val="restar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何浩辉</w:t>
            </w:r>
          </w:p>
        </w:tc>
        <w:tc>
          <w:tcPr>
            <w:tcW w:w="792" w:type="pct"/>
            <w:vMerge w:val="restar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13020758310</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23</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一键式报警器</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5</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24</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铁锹</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25</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棉大衣</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20</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cantSplit/>
          <w:trHeight w:val="0" w:hRule="atLeast"/>
          <w:tblHeader/>
          <w:jc w:val="center"/>
        </w:trPr>
        <w:tc>
          <w:tcPr>
            <w:tcW w:w="422"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26</w:t>
            </w:r>
          </w:p>
        </w:tc>
        <w:tc>
          <w:tcPr>
            <w:tcW w:w="669"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818"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视频监控设备</w:t>
            </w:r>
          </w:p>
        </w:tc>
        <w:tc>
          <w:tcPr>
            <w:tcW w:w="794" w:type="pct"/>
            <w:tcBorders>
              <w:tl2br w:val="nil"/>
              <w:tr2bl w:val="nil"/>
            </w:tcBorders>
            <w:noWrap w:val="0"/>
            <w:vAlign w:val="center"/>
          </w:tcPr>
          <w:p>
            <w:pPr>
              <w:autoSpaceDE/>
              <w:autoSpaceDN/>
              <w:adjustRightInd w:val="0"/>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w:t>
            </w:r>
          </w:p>
        </w:tc>
        <w:tc>
          <w:tcPr>
            <w:tcW w:w="492" w:type="pct"/>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eastAsia="宋体" w:cs="Times New Roman"/>
                <w:b w:val="0"/>
                <w:bCs w:val="0"/>
                <w:color w:val="auto"/>
                <w:kern w:val="2"/>
                <w:sz w:val="21"/>
                <w:szCs w:val="21"/>
                <w:lang w:val="en-US" w:eastAsia="zh-CN" w:bidi="ar-SA"/>
              </w:rPr>
              <w:t>1</w:t>
            </w:r>
          </w:p>
        </w:tc>
        <w:tc>
          <w:tcPr>
            <w:tcW w:w="614"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395"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c>
          <w:tcPr>
            <w:tcW w:w="792" w:type="pct"/>
            <w:vMerge w:val="continue"/>
            <w:tcBorders>
              <w:tl2br w:val="nil"/>
              <w:tr2bl w:val="nil"/>
            </w:tcBorders>
            <w:noWrap w:val="0"/>
            <w:vAlign w:val="center"/>
          </w:tcPr>
          <w:p>
            <w:pPr>
              <w:autoSpaceDE/>
              <w:autoSpaceDN/>
              <w:adjustRightInd w:val="0"/>
              <w:snapToGrid w:val="0"/>
              <w:spacing w:before="0" w:after="0" w:line="240" w:lineRule="auto"/>
              <w:ind w:left="0" w:right="0" w:firstLine="0" w:firstLineChars="0"/>
              <w:jc w:val="center"/>
              <w:rPr>
                <w:rFonts w:hint="eastAsia" w:ascii="Times New Roman" w:hAnsi="Times New Roman" w:eastAsia="宋体" w:cs="Times New Roman"/>
                <w:b w:val="0"/>
                <w:bCs w:val="0"/>
                <w:color w:val="auto"/>
                <w:kern w:val="2"/>
                <w:sz w:val="21"/>
                <w:szCs w:val="21"/>
                <w:lang w:val="en-US" w:eastAsia="zh-CN" w:bidi="ar-SA"/>
              </w:rPr>
            </w:pPr>
          </w:p>
        </w:tc>
      </w:tr>
    </w:tbl>
    <w:p>
      <w:pPr>
        <w:pStyle w:val="5"/>
        <w:spacing w:before="12"/>
        <w:rPr>
          <w:rFonts w:hint="eastAsia" w:eastAsia="仿宋"/>
          <w:b/>
          <w:color w:val="auto"/>
          <w:sz w:val="12"/>
          <w:lang w:val="en-US" w:eastAsia="zh-CN"/>
        </w:rPr>
      </w:pPr>
    </w:p>
    <w:p>
      <w:pPr>
        <w:pStyle w:val="2"/>
        <w:numPr>
          <w:ilvl w:val="2"/>
          <w:numId w:val="1"/>
        </w:numPr>
        <w:tabs>
          <w:tab w:val="left" w:pos="1377"/>
        </w:tabs>
        <w:spacing w:before="224" w:after="0" w:line="360" w:lineRule="auto"/>
        <w:ind w:left="1376" w:right="0" w:hanging="629"/>
        <w:jc w:val="left"/>
        <w:rPr>
          <w:color w:val="auto"/>
        </w:rPr>
      </w:pPr>
      <w:bookmarkStart w:id="99" w:name="3.7.2内部救援队伍"/>
      <w:bookmarkEnd w:id="99"/>
      <w:bookmarkStart w:id="100" w:name="3.7.2内部救援队伍"/>
      <w:bookmarkEnd w:id="100"/>
      <w:r>
        <w:rPr>
          <w:color w:val="auto"/>
        </w:rPr>
        <w:t>内部救援队伍</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eastAsia" w:ascii="Times New Roman" w:hAnsi="Times New Roman" w:eastAsia="宋体" w:cs="Times New Roman"/>
          <w:color w:val="auto"/>
          <w:spacing w:val="3"/>
          <w:sz w:val="28"/>
          <w:szCs w:val="28"/>
          <w:lang w:val="en-US" w:eastAsia="zh-CN" w:bidi="zh-CN"/>
        </w:rPr>
      </w:pPr>
      <w:r>
        <w:rPr>
          <w:rFonts w:hint="eastAsia" w:ascii="Times New Roman" w:hAnsi="Times New Roman" w:eastAsia="宋体" w:cs="Times New Roman"/>
          <w:color w:val="auto"/>
          <w:spacing w:val="3"/>
          <w:sz w:val="28"/>
          <w:szCs w:val="28"/>
          <w:lang w:val="en-US" w:eastAsia="zh-CN" w:bidi="zh-CN"/>
        </w:rPr>
        <w:t>企业成立应急救援专业队伍，机构设置简单，其人员配置见表 3.6-2。</w:t>
      </w:r>
    </w:p>
    <w:p>
      <w:pPr>
        <w:jc w:val="center"/>
        <w:outlineLvl w:val="9"/>
        <w:rPr>
          <w:rFonts w:hint="eastAsia" w:ascii="仿宋" w:hAnsi="仿宋" w:eastAsia="仿宋" w:cs="仿宋"/>
          <w:b/>
          <w:bCs w:val="0"/>
          <w:color w:val="auto"/>
          <w:sz w:val="24"/>
          <w:szCs w:val="22"/>
          <w:lang w:val="zh-CN" w:eastAsia="zh-CN" w:bidi="zh-CN"/>
        </w:rPr>
      </w:pPr>
    </w:p>
    <w:p>
      <w:pPr>
        <w:jc w:val="center"/>
        <w:outlineLvl w:val="9"/>
        <w:rPr>
          <w:rFonts w:hint="eastAsia" w:ascii="仿宋" w:hAnsi="仿宋" w:eastAsia="仿宋" w:cs="仿宋"/>
          <w:b/>
          <w:bCs w:val="0"/>
          <w:color w:val="auto"/>
          <w:sz w:val="24"/>
          <w:szCs w:val="22"/>
          <w:lang w:val="zh-CN" w:eastAsia="zh-CN" w:bidi="zh-CN"/>
        </w:rPr>
      </w:pPr>
    </w:p>
    <w:p>
      <w:pPr>
        <w:jc w:val="center"/>
        <w:outlineLvl w:val="9"/>
        <w:rPr>
          <w:rFonts w:hint="eastAsia" w:ascii="仿宋" w:hAnsi="仿宋" w:eastAsia="仿宋" w:cs="仿宋"/>
          <w:b/>
          <w:bCs w:val="0"/>
          <w:color w:val="auto"/>
          <w:sz w:val="24"/>
          <w:szCs w:val="22"/>
          <w:lang w:val="zh-CN" w:eastAsia="zh-CN" w:bidi="zh-CN"/>
        </w:rPr>
      </w:pPr>
    </w:p>
    <w:p>
      <w:pPr>
        <w:jc w:val="center"/>
        <w:outlineLvl w:val="9"/>
        <w:rPr>
          <w:rFonts w:hint="eastAsia" w:ascii="仿宋" w:hAnsi="仿宋" w:eastAsia="仿宋" w:cs="仿宋"/>
          <w:b/>
          <w:bCs w:val="0"/>
          <w:color w:val="auto"/>
          <w:sz w:val="24"/>
          <w:szCs w:val="22"/>
          <w:lang w:val="zh-CN" w:eastAsia="zh-CN" w:bidi="zh-CN"/>
        </w:rPr>
      </w:pPr>
    </w:p>
    <w:p>
      <w:pPr>
        <w:jc w:val="center"/>
        <w:outlineLvl w:val="9"/>
        <w:rPr>
          <w:rFonts w:hint="eastAsia" w:ascii="仿宋" w:hAnsi="仿宋" w:eastAsia="仿宋" w:cs="仿宋"/>
          <w:b/>
          <w:bCs w:val="0"/>
          <w:color w:val="auto"/>
          <w:sz w:val="24"/>
          <w:szCs w:val="22"/>
          <w:lang w:val="zh-CN" w:eastAsia="zh-CN" w:bidi="zh-CN"/>
        </w:rPr>
      </w:pPr>
    </w:p>
    <w:p>
      <w:pPr>
        <w:jc w:val="center"/>
        <w:outlineLvl w:val="9"/>
        <w:rPr>
          <w:rFonts w:hint="eastAsia" w:ascii="仿宋" w:hAnsi="仿宋" w:eastAsia="仿宋" w:cs="仿宋"/>
          <w:b/>
          <w:bCs w:val="0"/>
          <w:color w:val="auto"/>
          <w:sz w:val="24"/>
          <w:szCs w:val="22"/>
          <w:lang w:val="zh-CN" w:eastAsia="zh-CN" w:bidi="zh-CN"/>
        </w:rPr>
      </w:pPr>
    </w:p>
    <w:p>
      <w:pPr>
        <w:jc w:val="center"/>
        <w:outlineLvl w:val="9"/>
        <w:rPr>
          <w:rFonts w:hint="eastAsia"/>
          <w:color w:val="auto"/>
          <w:lang w:val="en-US" w:eastAsia="zh-CN"/>
        </w:rPr>
      </w:pPr>
      <w:r>
        <w:rPr>
          <w:rFonts w:hint="eastAsia" w:ascii="仿宋" w:hAnsi="仿宋" w:eastAsia="仿宋" w:cs="仿宋"/>
          <w:b/>
          <w:bCs w:val="0"/>
          <w:color w:val="auto"/>
          <w:sz w:val="24"/>
          <w:szCs w:val="22"/>
          <w:lang w:val="zh-CN" w:eastAsia="zh-CN" w:bidi="zh-CN"/>
        </w:rPr>
        <w:t>表</w:t>
      </w:r>
      <w:r>
        <w:rPr>
          <w:rFonts w:ascii="仿宋" w:hAnsi="仿宋" w:eastAsia="仿宋" w:cs="仿宋"/>
          <w:b/>
          <w:bCs w:val="0"/>
          <w:color w:val="auto"/>
          <w:sz w:val="24"/>
          <w:szCs w:val="22"/>
          <w:lang w:val="zh-CN" w:eastAsia="zh-CN" w:bidi="zh-CN"/>
        </w:rPr>
        <w:t>3.</w:t>
      </w:r>
      <w:r>
        <w:rPr>
          <w:rFonts w:hint="eastAsia" w:ascii="仿宋" w:hAnsi="仿宋" w:eastAsia="仿宋" w:cs="仿宋"/>
          <w:b/>
          <w:bCs w:val="0"/>
          <w:color w:val="auto"/>
          <w:sz w:val="24"/>
          <w:szCs w:val="22"/>
          <w:lang w:val="en-US" w:eastAsia="zh-CN" w:bidi="zh-CN"/>
        </w:rPr>
        <w:t>6</w:t>
      </w:r>
      <w:r>
        <w:rPr>
          <w:rFonts w:ascii="仿宋" w:hAnsi="仿宋" w:eastAsia="仿宋" w:cs="仿宋"/>
          <w:b/>
          <w:bCs w:val="0"/>
          <w:color w:val="auto"/>
          <w:sz w:val="24"/>
          <w:szCs w:val="22"/>
          <w:lang w:val="zh-CN" w:eastAsia="zh-CN" w:bidi="zh-CN"/>
        </w:rPr>
        <w:t>-</w:t>
      </w:r>
      <w:r>
        <w:rPr>
          <w:rFonts w:hint="eastAsia" w:cs="仿宋"/>
          <w:b/>
          <w:bCs w:val="0"/>
          <w:color w:val="auto"/>
          <w:sz w:val="24"/>
          <w:szCs w:val="22"/>
          <w:lang w:val="en-US" w:eastAsia="zh-CN" w:bidi="zh-CN"/>
        </w:rPr>
        <w:t>2</w:t>
      </w:r>
      <w:r>
        <w:rPr>
          <w:rFonts w:ascii="仿宋" w:hAnsi="仿宋" w:eastAsia="仿宋" w:cs="仿宋"/>
          <w:b/>
          <w:bCs w:val="0"/>
          <w:color w:val="auto"/>
          <w:sz w:val="24"/>
          <w:szCs w:val="22"/>
          <w:lang w:val="zh-CN" w:eastAsia="zh-CN" w:bidi="zh-CN"/>
        </w:rPr>
        <w:t>应急指挥部组织</w:t>
      </w:r>
      <w:r>
        <w:rPr>
          <w:rFonts w:hint="eastAsia" w:ascii="仿宋" w:hAnsi="仿宋" w:eastAsia="仿宋" w:cs="仿宋"/>
          <w:b/>
          <w:bCs w:val="0"/>
          <w:color w:val="auto"/>
          <w:sz w:val="24"/>
          <w:szCs w:val="22"/>
          <w:lang w:val="zh-CN" w:eastAsia="zh-CN" w:bidi="zh-CN"/>
        </w:rPr>
        <w:t>人员名单</w:t>
      </w:r>
    </w:p>
    <w:tbl>
      <w:tblPr>
        <w:tblStyle w:val="13"/>
        <w:tblW w:w="8522" w:type="dxa"/>
        <w:jc w:val="center"/>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859"/>
        <w:gridCol w:w="1273"/>
        <w:gridCol w:w="1838"/>
        <w:gridCol w:w="1644"/>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应急救援组织机构</w:t>
            </w:r>
          </w:p>
        </w:tc>
        <w:tc>
          <w:tcPr>
            <w:tcW w:w="1859"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应急救援角色</w:t>
            </w: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姓名</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职务</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联系电话</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指挥部</w:t>
            </w:r>
          </w:p>
        </w:tc>
        <w:tc>
          <w:tcPr>
            <w:tcW w:w="1859"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总指挥</w:t>
            </w: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鱼丽荣</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工会主席主管主管分院</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15929211090</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副总指挥</w:t>
            </w: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袁军民</w:t>
            </w:r>
          </w:p>
        </w:tc>
        <w:tc>
          <w:tcPr>
            <w:tcW w:w="1838"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东郊分院院长</w:t>
            </w:r>
          </w:p>
        </w:tc>
        <w:tc>
          <w:tcPr>
            <w:tcW w:w="1644"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13991046268</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restar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应急</w:t>
            </w:r>
            <w:r>
              <w:rPr>
                <w:rFonts w:hint="eastAsia" w:ascii="Times New Roman" w:hAnsi="Times New Roman" w:eastAsia="宋体" w:cs="Times New Roman"/>
                <w:color w:val="auto"/>
                <w:sz w:val="21"/>
                <w:szCs w:val="21"/>
                <w:lang w:eastAsia="zh-CN"/>
              </w:rPr>
              <w:t>救援</w:t>
            </w:r>
            <w:r>
              <w:rPr>
                <w:rFonts w:hint="default" w:ascii="Times New Roman" w:hAnsi="Times New Roman" w:eastAsia="宋体" w:cs="Times New Roman"/>
                <w:color w:val="auto"/>
                <w:sz w:val="21"/>
                <w:szCs w:val="21"/>
              </w:rPr>
              <w:t>办公室</w:t>
            </w:r>
          </w:p>
        </w:tc>
        <w:tc>
          <w:tcPr>
            <w:tcW w:w="1859"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组长</w:t>
            </w: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陈宁君</w:t>
            </w:r>
          </w:p>
        </w:tc>
        <w:tc>
          <w:tcPr>
            <w:tcW w:w="1838"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分院副院长</w:t>
            </w:r>
          </w:p>
        </w:tc>
        <w:tc>
          <w:tcPr>
            <w:tcW w:w="1644"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15929250565</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组长</w:t>
            </w: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何浩辉</w:t>
            </w:r>
          </w:p>
        </w:tc>
        <w:tc>
          <w:tcPr>
            <w:tcW w:w="1838"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安保科</w:t>
            </w:r>
          </w:p>
        </w:tc>
        <w:tc>
          <w:tcPr>
            <w:tcW w:w="1644"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13020758310</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抢险救援组</w:t>
            </w:r>
          </w:p>
        </w:tc>
        <w:tc>
          <w:tcPr>
            <w:tcW w:w="1859"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组长</w:t>
            </w: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袁军民</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东郊分院院长</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13991046268</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组员</w:t>
            </w: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师大峰</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后勤保障办</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13759714010</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赵 勇</w:t>
            </w:r>
          </w:p>
        </w:tc>
        <w:tc>
          <w:tcPr>
            <w:tcW w:w="1838"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后勤保障办</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18717293208</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王 涛</w:t>
            </w:r>
          </w:p>
        </w:tc>
        <w:tc>
          <w:tcPr>
            <w:tcW w:w="1838"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后勤保障办</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13474620629</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eastAsia="zh-CN"/>
              </w:rPr>
              <w:t>罗永劳</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保安</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17395655714</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刘存粮</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保安</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13008550838</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安全保卫组</w:t>
            </w:r>
          </w:p>
        </w:tc>
        <w:tc>
          <w:tcPr>
            <w:tcW w:w="1859"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组长</w:t>
            </w: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何浩辉</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安保科</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13020758310</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组员</w:t>
            </w: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魏引平</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保安</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15991282877</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刘鹏华</w:t>
            </w:r>
          </w:p>
        </w:tc>
        <w:tc>
          <w:tcPr>
            <w:tcW w:w="1838"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保安</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13399200712</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贺忠社</w:t>
            </w:r>
          </w:p>
        </w:tc>
        <w:tc>
          <w:tcPr>
            <w:tcW w:w="1838"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保安</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13008448169</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后勤保障组</w:t>
            </w:r>
          </w:p>
        </w:tc>
        <w:tc>
          <w:tcPr>
            <w:tcW w:w="1859"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组长</w:t>
            </w:r>
          </w:p>
        </w:tc>
        <w:tc>
          <w:tcPr>
            <w:tcW w:w="1273"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邢 涛</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分院综合办</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15399105029</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组员</w:t>
            </w: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付春晓</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分院综合办主任</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15891506681</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杜云和</w:t>
            </w:r>
          </w:p>
        </w:tc>
        <w:tc>
          <w:tcPr>
            <w:tcW w:w="1838"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后勤保障办</w:t>
            </w:r>
          </w:p>
        </w:tc>
        <w:tc>
          <w:tcPr>
            <w:tcW w:w="1644"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15249101270</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刘红卫</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后勤保障办</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13759702598</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医疗救护组</w:t>
            </w:r>
          </w:p>
        </w:tc>
        <w:tc>
          <w:tcPr>
            <w:tcW w:w="1859"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组长</w:t>
            </w: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陈宁君</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分院副院长</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15929250565</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组员</w:t>
            </w: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赵文轩</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分院业务办主任</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15991018862</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张晓哲</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分院业务办主任</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13609218983</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调查评估组</w:t>
            </w:r>
          </w:p>
        </w:tc>
        <w:tc>
          <w:tcPr>
            <w:tcW w:w="1859"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组长</w:t>
            </w: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付春晓</w:t>
            </w:r>
          </w:p>
        </w:tc>
        <w:tc>
          <w:tcPr>
            <w:tcW w:w="1838"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分院综合办主任</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15891506681</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组员</w:t>
            </w: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张建平</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检验科主任</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13991019699</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刘 静</w:t>
            </w:r>
          </w:p>
        </w:tc>
        <w:tc>
          <w:tcPr>
            <w:tcW w:w="1838"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院感科副主任</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13892916219</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8"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859" w:type="dxa"/>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rPr>
            </w:pPr>
          </w:p>
        </w:tc>
        <w:tc>
          <w:tcPr>
            <w:tcW w:w="1273"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邢 涛</w:t>
            </w:r>
          </w:p>
        </w:tc>
        <w:tc>
          <w:tcPr>
            <w:tcW w:w="1838" w:type="dxa"/>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分院综合办</w:t>
            </w:r>
          </w:p>
        </w:tc>
        <w:tc>
          <w:tcPr>
            <w:tcW w:w="1644" w:type="dxa"/>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15399105029</w:t>
            </w:r>
          </w:p>
        </w:tc>
      </w:tr>
    </w:tbl>
    <w:p>
      <w:pPr>
        <w:pStyle w:val="2"/>
        <w:numPr>
          <w:ilvl w:val="2"/>
          <w:numId w:val="1"/>
        </w:numPr>
        <w:tabs>
          <w:tab w:val="left" w:pos="1377"/>
        </w:tabs>
        <w:spacing w:before="71" w:after="0" w:line="240" w:lineRule="auto"/>
        <w:ind w:left="1376" w:right="0" w:hanging="629"/>
        <w:jc w:val="left"/>
        <w:rPr>
          <w:color w:val="auto"/>
        </w:rPr>
      </w:pPr>
      <w:bookmarkStart w:id="101" w:name="3.7.3外部救援队伍"/>
      <w:bookmarkEnd w:id="101"/>
      <w:bookmarkStart w:id="102" w:name="3.7.3外部救援队伍"/>
      <w:bookmarkEnd w:id="102"/>
      <w:r>
        <w:rPr>
          <w:color w:val="auto"/>
          <w:spacing w:val="-3"/>
        </w:rPr>
        <w:t>外部救援队伍</w:t>
      </w:r>
    </w:p>
    <w:p>
      <w:pPr>
        <w:jc w:val="center"/>
        <w:outlineLvl w:val="9"/>
        <w:rPr>
          <w:rFonts w:hint="eastAsia" w:cs="仿宋"/>
          <w:b/>
          <w:bCs w:val="0"/>
          <w:color w:val="auto"/>
          <w:sz w:val="24"/>
          <w:szCs w:val="22"/>
          <w:lang w:val="en-US" w:eastAsia="zh-CN" w:bidi="zh-CN"/>
        </w:rPr>
      </w:pPr>
    </w:p>
    <w:p>
      <w:pPr>
        <w:jc w:val="center"/>
        <w:outlineLvl w:val="9"/>
        <w:rPr>
          <w:rFonts w:hint="eastAsia" w:ascii="仿宋" w:hAnsi="仿宋" w:eastAsia="仿宋" w:cs="仿宋"/>
          <w:b/>
          <w:bCs w:val="0"/>
          <w:color w:val="auto"/>
          <w:sz w:val="24"/>
          <w:szCs w:val="22"/>
          <w:lang w:val="zh-CN" w:eastAsia="zh-CN" w:bidi="zh-CN"/>
        </w:rPr>
      </w:pPr>
      <w:r>
        <w:rPr>
          <w:rFonts w:hint="eastAsia" w:cs="仿宋"/>
          <w:b/>
          <w:bCs w:val="0"/>
          <w:color w:val="auto"/>
          <w:sz w:val="24"/>
          <w:szCs w:val="22"/>
          <w:lang w:val="en-US" w:eastAsia="zh-CN" w:bidi="zh-CN"/>
        </w:rPr>
        <w:t>3.6-3</w:t>
      </w:r>
      <w:r>
        <w:rPr>
          <w:rFonts w:hint="eastAsia" w:ascii="仿宋" w:hAnsi="仿宋" w:eastAsia="仿宋" w:cs="仿宋"/>
          <w:b/>
          <w:bCs w:val="0"/>
          <w:color w:val="auto"/>
          <w:sz w:val="24"/>
          <w:szCs w:val="22"/>
          <w:lang w:val="en-US" w:eastAsia="zh-CN" w:bidi="zh-CN"/>
        </w:rPr>
        <w:t>相关单位及人员通讯录</w:t>
      </w:r>
    </w:p>
    <w:tbl>
      <w:tblPr>
        <w:tblStyle w:val="13"/>
        <w:tblW w:w="4998" w:type="pct"/>
        <w:jc w:val="center"/>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57"/>
        <w:gridCol w:w="1539"/>
        <w:gridCol w:w="3564"/>
        <w:gridCol w:w="2601"/>
      </w:tblGrid>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728" w:hRule="exact"/>
          <w:jc w:val="center"/>
        </w:trPr>
        <w:tc>
          <w:tcPr>
            <w:tcW w:w="393"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序号</w:t>
            </w:r>
          </w:p>
        </w:tc>
        <w:tc>
          <w:tcPr>
            <w:tcW w:w="920"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类别</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单位名称</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应急电话</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759" w:hRule="exact"/>
          <w:jc w:val="center"/>
        </w:trPr>
        <w:tc>
          <w:tcPr>
            <w:tcW w:w="393"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w:t>
            </w:r>
          </w:p>
        </w:tc>
        <w:tc>
          <w:tcPr>
            <w:tcW w:w="920"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应急救援单位</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秦汉新城综合行政执法支队</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029-33185034</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714" w:hRule="exac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w:t>
            </w:r>
          </w:p>
        </w:tc>
        <w:tc>
          <w:tcPr>
            <w:tcW w:w="920"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应急救援单位</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西安市公安局西咸新区分局</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110</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698" w:hRule="exac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w:t>
            </w:r>
          </w:p>
        </w:tc>
        <w:tc>
          <w:tcPr>
            <w:tcW w:w="920"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应急救援单位</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西咸新区秦汉新城管委会</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029-33185000</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698" w:hRule="exac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w:t>
            </w:r>
          </w:p>
        </w:tc>
        <w:tc>
          <w:tcPr>
            <w:tcW w:w="920"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应急救援单位</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西咸新区消防救援支队秦汉新城大队</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119</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691" w:hRule="exac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5</w:t>
            </w:r>
          </w:p>
        </w:tc>
        <w:tc>
          <w:tcPr>
            <w:tcW w:w="920"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应急救援单位</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西咸新区生态环境局（秦汉）工作部</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029-33185030</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597" w:hRule="exac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6</w:t>
            </w:r>
          </w:p>
        </w:tc>
        <w:tc>
          <w:tcPr>
            <w:tcW w:w="920"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应急救援单位</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咸阳市气象局</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029-33316329</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676" w:hRule="exac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7</w:t>
            </w:r>
          </w:p>
        </w:tc>
        <w:tc>
          <w:tcPr>
            <w:tcW w:w="920"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应急救援单位</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市生态环境局西咸新区分局</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029-33585034</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846" w:hRule="exac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8</w:t>
            </w:r>
          </w:p>
        </w:tc>
        <w:tc>
          <w:tcPr>
            <w:tcW w:w="920"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应急救援单位</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咸阳市环境监测站</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029-32036359</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746" w:hRule="exac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9</w:t>
            </w:r>
          </w:p>
        </w:tc>
        <w:tc>
          <w:tcPr>
            <w:tcW w:w="920"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应急救援单位</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延安大学咸阳医院</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120/029-33766666</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820" w:hRule="atLeas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10</w:t>
            </w:r>
          </w:p>
        </w:tc>
        <w:tc>
          <w:tcPr>
            <w:tcW w:w="920" w:type="pct"/>
            <w:vMerge w:val="restar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四邻</w:t>
            </w: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中国邮政储蓄银行东郊支行</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029-3412320</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657" w:hRule="atLeas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11</w:t>
            </w:r>
          </w:p>
        </w:tc>
        <w:tc>
          <w:tcPr>
            <w:tcW w:w="920" w:type="pct"/>
            <w:vMerge w:val="continue"/>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zh-CN" w:eastAsia="zh-CN"/>
              </w:rPr>
              <w:t>咸阳市渭城派出所</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029-33880350</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767" w:hRule="atLeas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12</w:t>
            </w:r>
          </w:p>
        </w:tc>
        <w:tc>
          <w:tcPr>
            <w:tcW w:w="920" w:type="pct"/>
            <w:vMerge w:val="continue"/>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p>
        </w:tc>
        <w:tc>
          <w:tcPr>
            <w:tcW w:w="2131"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zh-CN" w:eastAsia="zh-CN"/>
              </w:rPr>
              <w:t>咸阳凯达机电设备有限公司</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029-33433863</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810" w:hRule="atLeas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13</w:t>
            </w:r>
          </w:p>
        </w:tc>
        <w:tc>
          <w:tcPr>
            <w:tcW w:w="920" w:type="pct"/>
            <w:vMerge w:val="continue"/>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p>
        </w:tc>
        <w:tc>
          <w:tcPr>
            <w:tcW w:w="2131"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lang w:val="zh-CN" w:eastAsia="zh-CN"/>
              </w:rPr>
              <w:t>陕西蓝星玻璃有限公司</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0910-3412241</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4" w:space="0"/>
            <w:insideV w:val="single" w:color="000000" w:sz="4" w:space="0"/>
          </w:tblBorders>
          <w:tblCellMar>
            <w:top w:w="0" w:type="dxa"/>
            <w:left w:w="0" w:type="dxa"/>
            <w:bottom w:w="0" w:type="dxa"/>
            <w:right w:w="0" w:type="dxa"/>
          </w:tblCellMar>
        </w:tblPrEx>
        <w:trPr>
          <w:trHeight w:val="944" w:hRule="atLeast"/>
          <w:jc w:val="center"/>
        </w:trPr>
        <w:tc>
          <w:tcPr>
            <w:tcW w:w="393" w:type="pct"/>
            <w:tcBorders>
              <w:tl2br w:val="nil"/>
              <w:tr2bl w:val="nil"/>
            </w:tcBorders>
            <w:noWrap w:val="0"/>
            <w:vAlign w:val="center"/>
          </w:tcPr>
          <w:p>
            <w:pPr>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14</w:t>
            </w:r>
          </w:p>
        </w:tc>
        <w:tc>
          <w:tcPr>
            <w:tcW w:w="920" w:type="pct"/>
            <w:vMerge w:val="continue"/>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p>
        </w:tc>
        <w:tc>
          <w:tcPr>
            <w:tcW w:w="2131" w:type="pc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zh-CN" w:eastAsia="zh-CN"/>
              </w:rPr>
            </w:pPr>
            <w:r>
              <w:rPr>
                <w:rFonts w:hint="default" w:ascii="Times New Roman" w:hAnsi="Times New Roman" w:eastAsia="宋体" w:cs="Times New Roman"/>
                <w:color w:val="auto"/>
                <w:sz w:val="21"/>
                <w:szCs w:val="21"/>
                <w:lang w:val="zh-CN" w:eastAsia="zh-CN"/>
              </w:rPr>
              <w:t>中国石油集团川庆钻探工程公司长庆井下咸阳工业园</w:t>
            </w:r>
          </w:p>
        </w:tc>
        <w:tc>
          <w:tcPr>
            <w:tcW w:w="1555" w:type="pct"/>
            <w:tcBorders>
              <w:tl2br w:val="nil"/>
              <w:tr2bl w:val="nil"/>
            </w:tcBorders>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0755-33015082</w:t>
            </w:r>
          </w:p>
        </w:tc>
      </w:tr>
    </w:tbl>
    <w:p>
      <w:pPr>
        <w:jc w:val="center"/>
        <w:outlineLvl w:val="9"/>
        <w:rPr>
          <w:rFonts w:hint="eastAsia" w:ascii="仿宋" w:hAnsi="仿宋" w:eastAsia="仿宋" w:cs="仿宋"/>
          <w:b/>
          <w:bCs w:val="0"/>
          <w:color w:val="auto"/>
          <w:sz w:val="24"/>
          <w:szCs w:val="22"/>
          <w:lang w:val="zh-CN" w:eastAsia="zh-CN" w:bidi="zh-CN"/>
        </w:rPr>
      </w:pPr>
    </w:p>
    <w:p>
      <w:pPr>
        <w:pStyle w:val="3"/>
        <w:numPr>
          <w:ilvl w:val="0"/>
          <w:numId w:val="1"/>
        </w:numPr>
        <w:tabs>
          <w:tab w:val="left" w:pos="1147"/>
        </w:tabs>
        <w:spacing w:before="64" w:after="0" w:line="240" w:lineRule="auto"/>
        <w:ind w:left="540" w:leftChars="0" w:right="0" w:hanging="320" w:firstLineChars="0"/>
        <w:jc w:val="left"/>
        <w:outlineLvl w:val="0"/>
        <w:rPr>
          <w:rFonts w:hint="eastAsia" w:ascii="黑体" w:eastAsia="黑体"/>
          <w:color w:val="auto"/>
        </w:rPr>
      </w:pPr>
      <w:bookmarkStart w:id="103" w:name="_bookmark13"/>
      <w:bookmarkEnd w:id="103"/>
      <w:bookmarkStart w:id="104" w:name="4 突发环境事件及其后果分析"/>
      <w:bookmarkEnd w:id="104"/>
      <w:bookmarkStart w:id="105" w:name="_Toc27040"/>
      <w:r>
        <w:rPr>
          <w:rFonts w:hint="eastAsia" w:ascii="黑体" w:eastAsia="黑体"/>
          <w:color w:val="auto"/>
        </w:rPr>
        <w:t>突发环境事件及其后果分析</w:t>
      </w:r>
      <w:bookmarkEnd w:id="105"/>
    </w:p>
    <w:p>
      <w:pPr>
        <w:pStyle w:val="17"/>
        <w:numPr>
          <w:ilvl w:val="1"/>
          <w:numId w:val="1"/>
        </w:numPr>
        <w:tabs>
          <w:tab w:val="left" w:pos="1308"/>
        </w:tabs>
        <w:spacing w:before="214" w:after="0" w:line="360" w:lineRule="auto"/>
        <w:ind w:left="919" w:leftChars="0" w:right="0" w:hanging="481" w:firstLineChars="0"/>
        <w:jc w:val="left"/>
        <w:outlineLvl w:val="0"/>
        <w:rPr>
          <w:rFonts w:hint="eastAsia" w:ascii="楷体" w:eastAsia="楷体"/>
          <w:b/>
          <w:color w:val="auto"/>
          <w:sz w:val="32"/>
        </w:rPr>
      </w:pPr>
      <w:bookmarkStart w:id="106" w:name="_bookmark14"/>
      <w:bookmarkEnd w:id="106"/>
      <w:bookmarkStart w:id="107" w:name="4.1突发环境事件情景分析"/>
      <w:bookmarkEnd w:id="107"/>
      <w:bookmarkStart w:id="108" w:name="_Toc16302"/>
      <w:bookmarkStart w:id="109" w:name="_Toc19328"/>
      <w:r>
        <w:rPr>
          <w:rFonts w:hint="eastAsia" w:ascii="楷体" w:eastAsia="楷体"/>
          <w:b/>
          <w:color w:val="auto"/>
          <w:sz w:val="32"/>
        </w:rPr>
        <w:t>突发环境事件情景分析</w:t>
      </w:r>
      <w:bookmarkEnd w:id="108"/>
      <w:bookmarkEnd w:id="109"/>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eastAsia" w:ascii="Times New Roman" w:hAnsi="Times New Roman" w:eastAsia="宋体" w:cs="Times New Roman"/>
          <w:color w:val="auto"/>
          <w:spacing w:val="3"/>
          <w:sz w:val="28"/>
          <w:szCs w:val="28"/>
          <w:lang w:val="en-US" w:eastAsia="zh-CN" w:bidi="zh-CN"/>
        </w:rPr>
      </w:pPr>
      <w:bookmarkStart w:id="110" w:name="4.1.1国内同类企业突发事件 "/>
      <w:bookmarkEnd w:id="110"/>
      <w:bookmarkStart w:id="111" w:name="4.1.1国内同类企业突发事件 "/>
      <w:bookmarkEnd w:id="111"/>
      <w:r>
        <w:rPr>
          <w:rFonts w:hint="eastAsia" w:ascii="Times New Roman" w:hAnsi="Times New Roman" w:eastAsia="宋体" w:cs="Times New Roman"/>
          <w:color w:val="auto"/>
          <w:spacing w:val="3"/>
          <w:sz w:val="28"/>
          <w:szCs w:val="28"/>
          <w:lang w:val="en-US" w:eastAsia="zh-CN" w:bidi="zh-CN"/>
        </w:rPr>
        <w:t>国内同类企业突发事件案</w:t>
      </w:r>
      <w:bookmarkStart w:id="112" w:name="_bookmark15"/>
      <w:bookmarkEnd w:id="112"/>
      <w:bookmarkStart w:id="113" w:name="4.2最大可信事故"/>
      <w:bookmarkEnd w:id="113"/>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4" w:firstLineChars="200"/>
        <w:jc w:val="both"/>
        <w:textAlignment w:val="auto"/>
        <w:outlineLvl w:val="9"/>
        <w:rPr>
          <w:rFonts w:hint="default" w:ascii="Times New Roman" w:hAnsi="Times New Roman" w:eastAsia="宋体" w:cs="Times New Roman"/>
          <w:b/>
          <w:bCs/>
          <w:color w:val="auto"/>
          <w:spacing w:val="3"/>
          <w:sz w:val="28"/>
          <w:szCs w:val="28"/>
          <w:lang w:val="en-US" w:eastAsia="zh-CN" w:bidi="zh-CN"/>
        </w:rPr>
      </w:pPr>
      <w:r>
        <w:rPr>
          <w:rFonts w:hint="default" w:ascii="Times New Roman" w:hAnsi="Times New Roman" w:eastAsia="宋体" w:cs="Times New Roman"/>
          <w:b/>
          <w:bCs/>
          <w:color w:val="auto"/>
          <w:spacing w:val="3"/>
          <w:sz w:val="28"/>
          <w:szCs w:val="28"/>
          <w:lang w:val="en-US" w:eastAsia="zh-CN" w:bidi="zh-CN"/>
        </w:rPr>
        <w:t>案例一：</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201</w:t>
      </w:r>
      <w:r>
        <w:rPr>
          <w:rFonts w:hint="eastAsia" w:ascii="Times New Roman" w:hAnsi="Times New Roman" w:eastAsia="宋体" w:cs="Times New Roman"/>
          <w:color w:val="auto"/>
          <w:spacing w:val="3"/>
          <w:sz w:val="28"/>
          <w:szCs w:val="28"/>
          <w:lang w:val="en-US" w:eastAsia="zh-CN" w:bidi="zh-CN"/>
        </w:rPr>
        <w:t>2</w:t>
      </w:r>
      <w:r>
        <w:rPr>
          <w:rFonts w:hint="default" w:ascii="Times New Roman" w:hAnsi="Times New Roman" w:eastAsia="宋体" w:cs="Times New Roman"/>
          <w:color w:val="auto"/>
          <w:spacing w:val="3"/>
          <w:sz w:val="28"/>
          <w:szCs w:val="28"/>
          <w:lang w:val="en-US" w:eastAsia="zh-CN" w:bidi="zh-CN"/>
        </w:rPr>
        <w:t>年7月</w:t>
      </w:r>
      <w:r>
        <w:rPr>
          <w:rFonts w:hint="eastAsia" w:ascii="Times New Roman" w:hAnsi="Times New Roman" w:eastAsia="宋体" w:cs="Times New Roman"/>
          <w:color w:val="auto"/>
          <w:spacing w:val="3"/>
          <w:sz w:val="28"/>
          <w:szCs w:val="28"/>
          <w:lang w:val="en-US" w:eastAsia="zh-CN" w:bidi="zh-CN"/>
        </w:rPr>
        <w:t>6</w:t>
      </w:r>
      <w:r>
        <w:rPr>
          <w:rFonts w:hint="default" w:ascii="Times New Roman" w:hAnsi="Times New Roman" w:eastAsia="宋体" w:cs="Times New Roman"/>
          <w:color w:val="auto"/>
          <w:spacing w:val="3"/>
          <w:sz w:val="28"/>
          <w:szCs w:val="28"/>
          <w:lang w:val="en-US" w:eastAsia="zh-CN" w:bidi="zh-CN"/>
        </w:rPr>
        <w:t>日</w:t>
      </w:r>
      <w:r>
        <w:rPr>
          <w:rFonts w:hint="eastAsia" w:ascii="Times New Roman" w:hAnsi="Times New Roman" w:eastAsia="宋体" w:cs="Times New Roman"/>
          <w:color w:val="auto"/>
          <w:spacing w:val="3"/>
          <w:sz w:val="28"/>
          <w:szCs w:val="28"/>
          <w:lang w:val="en-US" w:eastAsia="zh-CN" w:bidi="zh-CN"/>
        </w:rPr>
        <w:t>9</w:t>
      </w:r>
      <w:r>
        <w:rPr>
          <w:rFonts w:hint="default" w:ascii="Times New Roman" w:hAnsi="Times New Roman" w:eastAsia="宋体" w:cs="Times New Roman"/>
          <w:color w:val="auto"/>
          <w:spacing w:val="3"/>
          <w:sz w:val="28"/>
          <w:szCs w:val="28"/>
          <w:lang w:val="en-US" w:eastAsia="zh-CN" w:bidi="zh-CN"/>
        </w:rPr>
        <w:t>时左右，</w:t>
      </w:r>
      <w:r>
        <w:rPr>
          <w:rFonts w:hint="eastAsia" w:ascii="Times New Roman" w:hAnsi="Times New Roman" w:eastAsia="宋体" w:cs="Times New Roman"/>
          <w:color w:val="auto"/>
          <w:spacing w:val="3"/>
          <w:sz w:val="28"/>
          <w:szCs w:val="28"/>
          <w:lang w:val="en-US" w:eastAsia="zh-CN" w:bidi="zh-CN"/>
        </w:rPr>
        <w:t>杭州市西湖区古翠路和文三路交叉口，</w:t>
      </w:r>
      <w:r>
        <w:rPr>
          <w:rFonts w:hint="default" w:ascii="Times New Roman" w:hAnsi="Times New Roman" w:eastAsia="宋体" w:cs="Times New Roman"/>
          <w:color w:val="auto"/>
          <w:spacing w:val="3"/>
          <w:sz w:val="28"/>
          <w:szCs w:val="28"/>
          <w:lang w:val="en-US" w:eastAsia="zh-CN" w:bidi="zh-CN"/>
        </w:rPr>
        <w:t>天苑大厦楼</w:t>
      </w:r>
      <w:r>
        <w:rPr>
          <w:rFonts w:hint="eastAsia" w:ascii="Times New Roman" w:hAnsi="Times New Roman" w:eastAsia="宋体" w:cs="Times New Roman"/>
          <w:color w:val="auto"/>
          <w:spacing w:val="3"/>
          <w:sz w:val="28"/>
          <w:szCs w:val="28"/>
          <w:lang w:val="en-US" w:eastAsia="zh-CN" w:bidi="zh-CN"/>
        </w:rPr>
        <w:t>19楼杭州众昌科技有限公司</w:t>
      </w:r>
      <w:r>
        <w:rPr>
          <w:rFonts w:hint="default" w:ascii="Times New Roman" w:hAnsi="Times New Roman" w:eastAsia="宋体" w:cs="Times New Roman"/>
          <w:color w:val="auto"/>
          <w:spacing w:val="3"/>
          <w:sz w:val="28"/>
          <w:szCs w:val="28"/>
          <w:lang w:val="en-US" w:eastAsia="zh-CN" w:bidi="zh-CN"/>
        </w:rPr>
        <w:t>内发生二氧化氯泄漏，有两辆消防车在现场，楼下拉了警戒线，消防队员带着面具往大厦里走。大厦里的</w:t>
      </w:r>
      <w:r>
        <w:rPr>
          <w:rFonts w:hint="eastAsia" w:ascii="Times New Roman" w:hAnsi="Times New Roman" w:eastAsia="宋体" w:cs="Times New Roman"/>
          <w:color w:val="auto"/>
          <w:spacing w:val="3"/>
          <w:sz w:val="28"/>
          <w:szCs w:val="28"/>
          <w:lang w:val="en-US" w:eastAsia="zh-CN" w:bidi="zh-CN"/>
        </w:rPr>
        <w:t>800</w:t>
      </w:r>
      <w:r>
        <w:rPr>
          <w:rFonts w:hint="default" w:ascii="Times New Roman" w:hAnsi="Times New Roman" w:eastAsia="宋体" w:cs="Times New Roman"/>
          <w:color w:val="auto"/>
          <w:spacing w:val="3"/>
          <w:sz w:val="28"/>
          <w:szCs w:val="28"/>
          <w:lang w:val="en-US" w:eastAsia="zh-CN" w:bidi="zh-CN"/>
        </w:rPr>
        <w:t>人被全部疏散，整个事故中没有人员伤亡。</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4" w:firstLineChars="200"/>
        <w:jc w:val="both"/>
        <w:textAlignment w:val="auto"/>
        <w:outlineLvl w:val="9"/>
        <w:rPr>
          <w:rFonts w:hint="default" w:ascii="Times New Roman" w:hAnsi="Times New Roman" w:eastAsia="宋体" w:cs="Times New Roman"/>
          <w:b/>
          <w:bCs/>
          <w:color w:val="auto"/>
          <w:spacing w:val="3"/>
          <w:sz w:val="28"/>
          <w:szCs w:val="28"/>
          <w:lang w:val="en-US" w:eastAsia="zh-CN" w:bidi="zh-CN"/>
        </w:rPr>
      </w:pPr>
      <w:r>
        <w:rPr>
          <w:rFonts w:hint="default" w:ascii="Times New Roman" w:hAnsi="Times New Roman" w:eastAsia="宋体" w:cs="Times New Roman"/>
          <w:b/>
          <w:bCs/>
          <w:color w:val="auto"/>
          <w:spacing w:val="3"/>
          <w:sz w:val="28"/>
          <w:szCs w:val="28"/>
          <w:lang w:val="en-US" w:eastAsia="zh-CN" w:bidi="zh-CN"/>
        </w:rPr>
        <w:t>案例二：</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eastAsia"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2008</w:t>
      </w:r>
      <w:r>
        <w:rPr>
          <w:rFonts w:hint="eastAsia" w:ascii="Times New Roman" w:hAnsi="Times New Roman" w:eastAsia="宋体" w:cs="Times New Roman"/>
          <w:color w:val="auto"/>
          <w:spacing w:val="3"/>
          <w:sz w:val="28"/>
          <w:szCs w:val="28"/>
          <w:lang w:val="en-US" w:eastAsia="zh-CN" w:bidi="zh-CN"/>
        </w:rPr>
        <w:t>年</w:t>
      </w:r>
      <w:r>
        <w:rPr>
          <w:rFonts w:hint="default" w:ascii="Times New Roman" w:hAnsi="Times New Roman" w:eastAsia="宋体" w:cs="Times New Roman"/>
          <w:color w:val="auto"/>
          <w:spacing w:val="3"/>
          <w:sz w:val="28"/>
          <w:szCs w:val="28"/>
          <w:lang w:val="en-US" w:eastAsia="zh-CN" w:bidi="zh-CN"/>
        </w:rPr>
        <w:t>7</w:t>
      </w:r>
      <w:r>
        <w:rPr>
          <w:rFonts w:hint="eastAsia" w:ascii="Times New Roman" w:hAnsi="Times New Roman" w:eastAsia="宋体" w:cs="Times New Roman"/>
          <w:color w:val="auto"/>
          <w:spacing w:val="3"/>
          <w:sz w:val="28"/>
          <w:szCs w:val="28"/>
          <w:lang w:val="en-US" w:eastAsia="zh-CN" w:bidi="zh-CN"/>
        </w:rPr>
        <w:t>月</w:t>
      </w:r>
      <w:r>
        <w:rPr>
          <w:rFonts w:hint="default" w:ascii="Times New Roman" w:hAnsi="Times New Roman" w:eastAsia="宋体" w:cs="Times New Roman"/>
          <w:color w:val="auto"/>
          <w:spacing w:val="3"/>
          <w:sz w:val="28"/>
          <w:szCs w:val="28"/>
          <w:lang w:val="en-US" w:eastAsia="zh-CN" w:bidi="zh-CN"/>
        </w:rPr>
        <w:t>8</w:t>
      </w:r>
      <w:r>
        <w:rPr>
          <w:rFonts w:hint="eastAsia" w:ascii="Times New Roman" w:hAnsi="Times New Roman" w:eastAsia="宋体" w:cs="Times New Roman"/>
          <w:color w:val="auto"/>
          <w:spacing w:val="3"/>
          <w:sz w:val="28"/>
          <w:szCs w:val="28"/>
          <w:lang w:val="en-US" w:eastAsia="zh-CN" w:bidi="zh-CN"/>
        </w:rPr>
        <w:t>日，湖北某电气公司自来水一台水质消毒的二氧化氯发生器爆炸，其原因是文丘里中心孔被堵塞后丧失功能，导致二氧化氯气体在反应桶和气液分离桶内积聚，浓度超过10%，当二氧化氯气体浓度到达峰值的时候发生爆炸。</w:t>
      </w:r>
    </w:p>
    <w:p>
      <w:pPr>
        <w:pStyle w:val="17"/>
        <w:numPr>
          <w:ilvl w:val="1"/>
          <w:numId w:val="1"/>
        </w:numPr>
        <w:tabs>
          <w:tab w:val="left" w:pos="1308"/>
        </w:tabs>
        <w:spacing w:before="214" w:after="0" w:line="240" w:lineRule="auto"/>
        <w:ind w:left="919" w:leftChars="0" w:right="0" w:hanging="481" w:firstLineChars="0"/>
        <w:jc w:val="left"/>
        <w:outlineLvl w:val="0"/>
        <w:rPr>
          <w:rFonts w:hint="eastAsia" w:ascii="楷体" w:eastAsia="楷体"/>
          <w:b/>
          <w:color w:val="auto"/>
          <w:sz w:val="32"/>
        </w:rPr>
      </w:pPr>
      <w:bookmarkStart w:id="114" w:name="_Toc8997"/>
      <w:bookmarkStart w:id="115" w:name="_Toc7609"/>
      <w:r>
        <w:rPr>
          <w:rFonts w:hint="eastAsia" w:ascii="楷体" w:eastAsia="楷体"/>
          <w:b/>
          <w:color w:val="auto"/>
          <w:sz w:val="32"/>
        </w:rPr>
        <w:t>最大可信事故</w:t>
      </w:r>
      <w:bookmarkEnd w:id="114"/>
      <w:bookmarkEnd w:id="115"/>
    </w:p>
    <w:p>
      <w:pPr>
        <w:pStyle w:val="5"/>
        <w:spacing w:before="240"/>
        <w:ind w:left="748"/>
        <w:rPr>
          <w:color w:val="auto"/>
        </w:rPr>
      </w:pPr>
      <w:r>
        <w:rPr>
          <w:rFonts w:hint="eastAsia" w:ascii="Times New Roman" w:hAnsi="Times New Roman" w:eastAsia="宋体" w:cs="Times New Roman"/>
          <w:color w:val="auto"/>
          <w:spacing w:val="3"/>
          <w:sz w:val="28"/>
          <w:szCs w:val="28"/>
          <w:lang w:val="en-US" w:eastAsia="zh-CN" w:bidi="zh-CN"/>
        </w:rPr>
        <w:t>企业在生产经营中可能发生的突发环境事件情景见表 4.2-1。</w:t>
      </w:r>
    </w:p>
    <w:p>
      <w:pPr>
        <w:spacing w:before="214"/>
        <w:ind w:left="220" w:right="428" w:firstLine="0"/>
        <w:jc w:val="center"/>
        <w:rPr>
          <w:b/>
          <w:color w:val="auto"/>
          <w:sz w:val="24"/>
        </w:rPr>
      </w:pPr>
      <w:r>
        <w:rPr>
          <w:b/>
          <w:color w:val="auto"/>
          <w:sz w:val="24"/>
        </w:rPr>
        <w:t xml:space="preserve">表 </w:t>
      </w:r>
      <w:r>
        <w:rPr>
          <w:rFonts w:ascii="Times New Roman" w:eastAsia="Times New Roman"/>
          <w:b/>
          <w:color w:val="auto"/>
          <w:sz w:val="24"/>
        </w:rPr>
        <w:t xml:space="preserve">4.2-1  </w:t>
      </w:r>
      <w:r>
        <w:rPr>
          <w:b/>
          <w:color w:val="auto"/>
          <w:sz w:val="24"/>
        </w:rPr>
        <w:t>突发环境事件情景</w:t>
      </w:r>
    </w:p>
    <w:tbl>
      <w:tblPr>
        <w:tblStyle w:val="13"/>
        <w:tblW w:w="9158" w:type="dxa"/>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0" w:type="dxa"/>
          <w:bottom w:w="0" w:type="dxa"/>
          <w:right w:w="0" w:type="dxa"/>
        </w:tblCellMar>
      </w:tblPr>
      <w:tblGrid>
        <w:gridCol w:w="585"/>
        <w:gridCol w:w="1802"/>
        <w:gridCol w:w="1807"/>
        <w:gridCol w:w="1382"/>
        <w:gridCol w:w="3582"/>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1032" w:hRule="atLeast"/>
          <w:jc w:val="center"/>
        </w:trPr>
        <w:tc>
          <w:tcPr>
            <w:tcW w:w="585" w:type="dxa"/>
            <w:noWrap w:val="0"/>
            <w:vAlign w:val="center"/>
          </w:tcPr>
          <w:p>
            <w:pPr>
              <w:adjustRightInd w:val="0"/>
              <w:snapToGrid w:val="0"/>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802" w:type="dxa"/>
            <w:noWrap w:val="0"/>
            <w:vAlign w:val="center"/>
          </w:tcPr>
          <w:p>
            <w:pPr>
              <w:adjustRightInd w:val="0"/>
              <w:snapToGrid w:val="0"/>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环境事件情景</w:t>
            </w:r>
          </w:p>
        </w:tc>
        <w:tc>
          <w:tcPr>
            <w:tcW w:w="1807" w:type="dxa"/>
            <w:noWrap w:val="0"/>
            <w:vAlign w:val="center"/>
          </w:tcPr>
          <w:p>
            <w:pPr>
              <w:adjustRightInd w:val="0"/>
              <w:snapToGrid w:val="0"/>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释放环境</w:t>
            </w:r>
          </w:p>
          <w:p>
            <w:pPr>
              <w:adjustRightInd w:val="0"/>
              <w:snapToGrid w:val="0"/>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风险物质</w:t>
            </w:r>
          </w:p>
        </w:tc>
        <w:tc>
          <w:tcPr>
            <w:tcW w:w="1382" w:type="dxa"/>
            <w:noWrap w:val="0"/>
            <w:vAlign w:val="center"/>
          </w:tcPr>
          <w:p>
            <w:pPr>
              <w:adjustRightInd w:val="0"/>
              <w:snapToGrid w:val="0"/>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扩散范围</w:t>
            </w:r>
          </w:p>
        </w:tc>
        <w:tc>
          <w:tcPr>
            <w:tcW w:w="3582" w:type="dxa"/>
            <w:noWrap w:val="0"/>
            <w:vAlign w:val="center"/>
          </w:tcPr>
          <w:p>
            <w:pPr>
              <w:adjustRightInd w:val="0"/>
              <w:snapToGrid w:val="0"/>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持续时间及危害程度</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2075" w:hRule="atLeast"/>
          <w:jc w:val="center"/>
        </w:trPr>
        <w:tc>
          <w:tcPr>
            <w:tcW w:w="585" w:type="dxa"/>
            <w:noWrap w:val="0"/>
            <w:vAlign w:val="center"/>
          </w:tcPr>
          <w:p>
            <w:pPr>
              <w:adjustRightInd w:val="0"/>
              <w:snapToGrid w:val="0"/>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w:t>
            </w:r>
          </w:p>
        </w:tc>
        <w:tc>
          <w:tcPr>
            <w:tcW w:w="1802" w:type="dxa"/>
            <w:noWrap w:val="0"/>
            <w:vAlign w:val="center"/>
          </w:tcPr>
          <w:p>
            <w:pPr>
              <w:adjustRightInd w:val="0"/>
              <w:snapToGrid w:val="0"/>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二氧化氯</w:t>
            </w:r>
            <w:r>
              <w:rPr>
                <w:rFonts w:hint="eastAsia" w:ascii="Times New Roman" w:hAnsi="Times New Roman" w:eastAsia="宋体" w:cs="Times New Roman"/>
                <w:color w:val="auto"/>
                <w:sz w:val="21"/>
                <w:szCs w:val="21"/>
                <w:lang w:val="en-US" w:eastAsia="zh-CN"/>
              </w:rPr>
              <w:t>遇高温或明火</w:t>
            </w:r>
            <w:r>
              <w:rPr>
                <w:rFonts w:hint="default" w:ascii="Times New Roman" w:hAnsi="Times New Roman" w:eastAsia="宋体" w:cs="Times New Roman"/>
                <w:color w:val="auto"/>
                <w:sz w:val="21"/>
                <w:szCs w:val="21"/>
                <w:lang w:val="en-US" w:eastAsia="zh-CN"/>
              </w:rPr>
              <w:t>爆炸</w:t>
            </w:r>
            <w:r>
              <w:rPr>
                <w:rFonts w:hint="default" w:ascii="Times New Roman" w:hAnsi="Times New Roman" w:eastAsia="宋体" w:cs="Times New Roman"/>
                <w:color w:val="auto"/>
                <w:sz w:val="21"/>
                <w:szCs w:val="21"/>
              </w:rPr>
              <w:t>引起的火灾</w:t>
            </w:r>
          </w:p>
        </w:tc>
        <w:tc>
          <w:tcPr>
            <w:tcW w:w="1807" w:type="dxa"/>
            <w:noWrap w:val="0"/>
            <w:vAlign w:val="center"/>
          </w:tcPr>
          <w:p>
            <w:pPr>
              <w:pStyle w:val="22"/>
              <w:autoSpaceDE/>
              <w:autoSpaceDN/>
              <w:snapToGrid w:val="0"/>
              <w:jc w:val="center"/>
              <w:rPr>
                <w:rFonts w:hint="default" w:ascii="Times New Roman" w:hAnsi="Times New Roman" w:eastAsia="宋体" w:cs="Times New Roman"/>
                <w:color w:val="auto"/>
                <w:kern w:val="2"/>
                <w:sz w:val="21"/>
                <w:szCs w:val="21"/>
                <w:lang w:val="en-US" w:eastAsia="zh-CN"/>
              </w:rPr>
            </w:pPr>
            <w:r>
              <w:rPr>
                <w:rFonts w:hint="eastAsia" w:ascii="Times New Roman" w:hAnsi="Times New Roman" w:eastAsia="宋体" w:cs="Times New Roman"/>
                <w:color w:val="auto"/>
                <w:kern w:val="2"/>
                <w:sz w:val="21"/>
                <w:szCs w:val="21"/>
                <w:lang w:val="en-US" w:eastAsia="zh-CN"/>
              </w:rPr>
              <w:t>二氧化氯、CO</w:t>
            </w:r>
          </w:p>
        </w:tc>
        <w:tc>
          <w:tcPr>
            <w:tcW w:w="1382" w:type="dxa"/>
            <w:noWrap w:val="0"/>
            <w:vAlign w:val="center"/>
          </w:tcPr>
          <w:p>
            <w:pPr>
              <w:adjustRightInd w:val="0"/>
              <w:snapToGrid w:val="0"/>
              <w:ind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医院</w:t>
            </w:r>
            <w:r>
              <w:rPr>
                <w:rFonts w:hint="default" w:ascii="Times New Roman" w:hAnsi="Times New Roman" w:eastAsia="宋体" w:cs="Times New Roman"/>
                <w:color w:val="auto"/>
                <w:sz w:val="21"/>
                <w:szCs w:val="21"/>
              </w:rPr>
              <w:t>周围及下风向</w:t>
            </w:r>
          </w:p>
        </w:tc>
        <w:tc>
          <w:tcPr>
            <w:tcW w:w="3582" w:type="dxa"/>
            <w:noWrap w:val="0"/>
            <w:vAlign w:val="center"/>
          </w:tcPr>
          <w:p>
            <w:pPr>
              <w:adjustRightInd w:val="0"/>
              <w:snapToGrid w:val="0"/>
              <w:ind w:firstLine="0" w:firstLineChars="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此类事故持续时间约为数分钟至1天以内，项目</w:t>
            </w:r>
            <w:r>
              <w:rPr>
                <w:rFonts w:hint="eastAsia" w:ascii="Times New Roman" w:hAnsi="Times New Roman" w:eastAsia="宋体" w:cs="Times New Roman"/>
                <w:color w:val="auto"/>
                <w:sz w:val="21"/>
                <w:szCs w:val="21"/>
                <w:lang w:val="en-US" w:eastAsia="zh-CN"/>
              </w:rPr>
              <w:t>二氧化氯</w:t>
            </w:r>
            <w:r>
              <w:rPr>
                <w:rFonts w:hint="default" w:ascii="Times New Roman" w:hAnsi="Times New Roman" w:eastAsia="宋体" w:cs="Times New Roman"/>
                <w:color w:val="auto"/>
                <w:sz w:val="21"/>
                <w:szCs w:val="21"/>
              </w:rPr>
              <w:t>存最大储量为0.</w:t>
            </w: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rPr>
              <w:t>t，且存放区域已经做好防渗防漏处理。最大危害程度为污染大气</w:t>
            </w:r>
            <w:r>
              <w:rPr>
                <w:rFonts w:hint="eastAsia" w:ascii="Times New Roman" w:hAnsi="Times New Roman" w:eastAsia="宋体" w:cs="Times New Roman"/>
                <w:color w:val="auto"/>
                <w:sz w:val="21"/>
                <w:szCs w:val="21"/>
                <w:lang w:eastAsia="zh-CN"/>
              </w:rPr>
              <w:t>或水环境</w:t>
            </w:r>
            <w:r>
              <w:rPr>
                <w:rFonts w:hint="default" w:ascii="Times New Roman" w:hAnsi="Times New Roman" w:eastAsia="宋体" w:cs="Times New Roman"/>
                <w:color w:val="auto"/>
                <w:sz w:val="21"/>
                <w:szCs w:val="21"/>
              </w:rPr>
              <w:t>；可能引起厂内人员伤亡。</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1253" w:hRule="atLeast"/>
          <w:jc w:val="center"/>
        </w:trPr>
        <w:tc>
          <w:tcPr>
            <w:tcW w:w="585" w:type="dxa"/>
            <w:noWrap w:val="0"/>
            <w:vAlign w:val="center"/>
          </w:tcPr>
          <w:p>
            <w:pPr>
              <w:adjustRightInd w:val="0"/>
              <w:snapToGrid w:val="0"/>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2</w:t>
            </w:r>
          </w:p>
        </w:tc>
        <w:tc>
          <w:tcPr>
            <w:tcW w:w="1802" w:type="dxa"/>
            <w:noWrap w:val="0"/>
            <w:vAlign w:val="center"/>
          </w:tcPr>
          <w:p>
            <w:pPr>
              <w:widowControl/>
              <w:ind w:left="0" w:leftChars="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kern w:val="0"/>
                <w:sz w:val="21"/>
                <w:szCs w:val="21"/>
                <w:lang w:val="en-US" w:eastAsia="zh-CN" w:bidi="ar"/>
              </w:rPr>
              <w:t>危险废物</w:t>
            </w:r>
            <w:r>
              <w:rPr>
                <w:rFonts w:hint="default" w:ascii="Times New Roman" w:hAnsi="Times New Roman" w:eastAsia="宋体" w:cs="Times New Roman"/>
                <w:color w:val="auto"/>
                <w:kern w:val="0"/>
                <w:sz w:val="21"/>
                <w:szCs w:val="21"/>
                <w:lang w:bidi="ar"/>
              </w:rPr>
              <w:t>泄漏</w:t>
            </w:r>
          </w:p>
        </w:tc>
        <w:tc>
          <w:tcPr>
            <w:tcW w:w="1807" w:type="dxa"/>
            <w:noWrap w:val="0"/>
            <w:vAlign w:val="center"/>
          </w:tcPr>
          <w:p>
            <w:pPr>
              <w:widowControl/>
              <w:ind w:firstLine="210" w:firstLineChars="100"/>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kern w:val="0"/>
                <w:sz w:val="21"/>
                <w:szCs w:val="21"/>
                <w:lang w:val="en-US" w:eastAsia="zh-CN" w:bidi="ar"/>
              </w:rPr>
              <w:t>感染性物质</w:t>
            </w:r>
            <w:r>
              <w:rPr>
                <w:rFonts w:hint="default" w:ascii="Times New Roman" w:hAnsi="Times New Roman" w:eastAsia="宋体" w:cs="Times New Roman"/>
                <w:color w:val="auto"/>
                <w:kern w:val="0"/>
                <w:sz w:val="21"/>
                <w:szCs w:val="21"/>
                <w:lang w:bidi="ar"/>
              </w:rPr>
              <w:t>等</w:t>
            </w:r>
          </w:p>
        </w:tc>
        <w:tc>
          <w:tcPr>
            <w:tcW w:w="1382" w:type="dxa"/>
            <w:noWrap w:val="0"/>
            <w:vAlign w:val="center"/>
          </w:tcPr>
          <w:p>
            <w:pPr>
              <w:widowControl/>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危废间周围</w:t>
            </w:r>
          </w:p>
        </w:tc>
        <w:tc>
          <w:tcPr>
            <w:tcW w:w="3582" w:type="dxa"/>
            <w:noWrap w:val="0"/>
            <w:vAlign w:val="center"/>
          </w:tcPr>
          <w:p>
            <w:pPr>
              <w:widowControl/>
              <w:ind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此类事故持续时间约为1</w:t>
            </w:r>
            <w:r>
              <w:rPr>
                <w:rFonts w:hint="eastAsia" w:ascii="Times New Roman" w:hAnsi="Times New Roman" w:eastAsia="宋体" w:cs="Times New Roman"/>
                <w:color w:val="auto"/>
                <w:kern w:val="0"/>
                <w:sz w:val="21"/>
                <w:szCs w:val="21"/>
                <w:lang w:eastAsia="zh-CN" w:bidi="ar"/>
              </w:rPr>
              <w:t>小时</w:t>
            </w:r>
            <w:r>
              <w:rPr>
                <w:rFonts w:hint="default" w:ascii="Times New Roman" w:hAnsi="Times New Roman" w:eastAsia="宋体" w:cs="Times New Roman"/>
                <w:color w:val="auto"/>
                <w:kern w:val="0"/>
                <w:sz w:val="21"/>
                <w:szCs w:val="21"/>
                <w:lang w:bidi="ar"/>
              </w:rPr>
              <w:t>以内，项目</w:t>
            </w:r>
            <w:r>
              <w:rPr>
                <w:rFonts w:hint="eastAsia" w:ascii="Times New Roman" w:hAnsi="Times New Roman" w:eastAsia="宋体" w:cs="Times New Roman"/>
                <w:color w:val="auto"/>
                <w:kern w:val="0"/>
                <w:sz w:val="21"/>
                <w:szCs w:val="21"/>
                <w:lang w:val="en-US" w:eastAsia="zh-CN" w:bidi="ar"/>
              </w:rPr>
              <w:t>医疗废物</w:t>
            </w:r>
            <w:r>
              <w:rPr>
                <w:rFonts w:hint="default" w:ascii="Times New Roman" w:hAnsi="Times New Roman" w:eastAsia="宋体" w:cs="Times New Roman"/>
                <w:color w:val="auto"/>
                <w:kern w:val="0"/>
                <w:sz w:val="21"/>
                <w:szCs w:val="21"/>
                <w:lang w:bidi="ar"/>
              </w:rPr>
              <w:t>存放区域已经做好防渗防漏处理。</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1463" w:hRule="atLeast"/>
          <w:jc w:val="center"/>
        </w:trPr>
        <w:tc>
          <w:tcPr>
            <w:tcW w:w="585" w:type="dxa"/>
            <w:noWrap w:val="0"/>
            <w:vAlign w:val="center"/>
          </w:tcPr>
          <w:p>
            <w:pPr>
              <w:adjustRightInd w:val="0"/>
              <w:snapToGrid w:val="0"/>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3</w:t>
            </w:r>
          </w:p>
        </w:tc>
        <w:tc>
          <w:tcPr>
            <w:tcW w:w="1802" w:type="dxa"/>
            <w:noWrap w:val="0"/>
            <w:vAlign w:val="center"/>
          </w:tcPr>
          <w:p>
            <w:pPr>
              <w:widowControl/>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环保设施故障</w:t>
            </w:r>
          </w:p>
        </w:tc>
        <w:tc>
          <w:tcPr>
            <w:tcW w:w="1807" w:type="dxa"/>
            <w:noWrap w:val="0"/>
            <w:vAlign w:val="center"/>
          </w:tcPr>
          <w:p>
            <w:pPr>
              <w:widowControl/>
              <w:ind w:firstLine="0" w:firstLineChars="0"/>
              <w:jc w:val="center"/>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kern w:val="0"/>
                <w:sz w:val="21"/>
                <w:szCs w:val="21"/>
                <w:lang w:bidi="ar"/>
              </w:rPr>
              <w:t>废气</w:t>
            </w:r>
            <w:r>
              <w:rPr>
                <w:rFonts w:hint="eastAsia" w:ascii="Times New Roman" w:hAnsi="Times New Roman" w:eastAsia="宋体" w:cs="Times New Roman"/>
                <w:color w:val="auto"/>
                <w:kern w:val="0"/>
                <w:sz w:val="21"/>
                <w:szCs w:val="21"/>
                <w:lang w:eastAsia="zh-CN" w:bidi="ar"/>
              </w:rPr>
              <w:t>、医疗废水</w:t>
            </w:r>
          </w:p>
        </w:tc>
        <w:tc>
          <w:tcPr>
            <w:tcW w:w="1382" w:type="dxa"/>
            <w:noWrap w:val="0"/>
            <w:vAlign w:val="center"/>
          </w:tcPr>
          <w:p>
            <w:pPr>
              <w:widowControl/>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kern w:val="0"/>
                <w:sz w:val="21"/>
                <w:szCs w:val="21"/>
                <w:lang w:val="en-US" w:eastAsia="zh-CN" w:bidi="ar"/>
              </w:rPr>
              <w:t>医院</w:t>
            </w:r>
            <w:r>
              <w:rPr>
                <w:rFonts w:hint="default" w:ascii="Times New Roman" w:hAnsi="Times New Roman" w:eastAsia="宋体" w:cs="Times New Roman"/>
                <w:color w:val="auto"/>
                <w:kern w:val="0"/>
                <w:sz w:val="21"/>
                <w:szCs w:val="21"/>
                <w:lang w:bidi="ar"/>
              </w:rPr>
              <w:t>周围及下风向</w:t>
            </w:r>
            <w:r>
              <w:rPr>
                <w:rFonts w:hint="eastAsia" w:ascii="Times New Roman" w:hAnsi="Times New Roman" w:eastAsia="宋体" w:cs="Times New Roman"/>
                <w:color w:val="auto"/>
                <w:kern w:val="0"/>
                <w:sz w:val="21"/>
                <w:szCs w:val="21"/>
                <w:lang w:eastAsia="zh-CN" w:bidi="ar"/>
              </w:rPr>
              <w:t>、地表水下流</w:t>
            </w:r>
          </w:p>
        </w:tc>
        <w:tc>
          <w:tcPr>
            <w:tcW w:w="3582" w:type="dxa"/>
            <w:noWrap w:val="0"/>
            <w:vAlign w:val="center"/>
          </w:tcPr>
          <w:p>
            <w:pPr>
              <w:widowControl/>
              <w:ind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此类事故持续时间约为数分钟至1</w:t>
            </w:r>
            <w:r>
              <w:rPr>
                <w:rFonts w:hint="eastAsia" w:ascii="Times New Roman" w:hAnsi="Times New Roman" w:eastAsia="宋体" w:cs="Times New Roman"/>
                <w:color w:val="auto"/>
                <w:kern w:val="0"/>
                <w:sz w:val="21"/>
                <w:szCs w:val="21"/>
                <w:lang w:eastAsia="zh-CN" w:bidi="ar"/>
              </w:rPr>
              <w:t>天</w:t>
            </w:r>
            <w:r>
              <w:rPr>
                <w:rFonts w:hint="default" w:ascii="Times New Roman" w:hAnsi="Times New Roman" w:eastAsia="宋体" w:cs="Times New Roman"/>
                <w:color w:val="auto"/>
                <w:kern w:val="0"/>
                <w:sz w:val="21"/>
                <w:szCs w:val="21"/>
                <w:lang w:bidi="ar"/>
              </w:rPr>
              <w:t>之间，最大危害程度为污染大气</w:t>
            </w:r>
            <w:r>
              <w:rPr>
                <w:rFonts w:hint="eastAsia" w:ascii="Times New Roman" w:hAnsi="Times New Roman" w:eastAsia="宋体" w:cs="Times New Roman"/>
                <w:color w:val="auto"/>
                <w:kern w:val="0"/>
                <w:sz w:val="21"/>
                <w:szCs w:val="21"/>
                <w:lang w:eastAsia="zh-CN" w:bidi="ar"/>
              </w:rPr>
              <w:t>或水环境</w:t>
            </w:r>
            <w:r>
              <w:rPr>
                <w:rFonts w:hint="default" w:ascii="Times New Roman" w:hAnsi="Times New Roman" w:eastAsia="宋体" w:cs="Times New Roman"/>
                <w:color w:val="auto"/>
                <w:kern w:val="0"/>
                <w:sz w:val="21"/>
                <w:szCs w:val="21"/>
                <w:lang w:bidi="ar"/>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1463" w:hRule="atLeast"/>
          <w:jc w:val="center"/>
        </w:trPr>
        <w:tc>
          <w:tcPr>
            <w:tcW w:w="585" w:type="dxa"/>
            <w:noWrap w:val="0"/>
            <w:vAlign w:val="center"/>
          </w:tcPr>
          <w:p>
            <w:pPr>
              <w:adjustRightInd w:val="0"/>
              <w:snapToGrid w:val="0"/>
              <w:ind w:firstLine="0" w:firstLineChars="0"/>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4</w:t>
            </w:r>
          </w:p>
        </w:tc>
        <w:tc>
          <w:tcPr>
            <w:tcW w:w="1802" w:type="dxa"/>
            <w:noWrap w:val="0"/>
            <w:vAlign w:val="center"/>
          </w:tcPr>
          <w:p>
            <w:pPr>
              <w:widowControl/>
              <w:ind w:firstLine="0" w:firstLineChars="0"/>
              <w:jc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color w:val="auto"/>
                <w:sz w:val="21"/>
                <w:szCs w:val="21"/>
                <w:lang w:val="en-US" w:eastAsia="zh-CN"/>
              </w:rPr>
              <w:t>二氧化氯</w:t>
            </w:r>
            <w:r>
              <w:rPr>
                <w:rFonts w:hint="eastAsia" w:ascii="Times New Roman" w:hAnsi="Times New Roman" w:eastAsia="宋体" w:cs="Times New Roman"/>
                <w:color w:val="auto"/>
                <w:sz w:val="21"/>
                <w:szCs w:val="21"/>
                <w:lang w:val="en-US" w:eastAsia="zh-CN"/>
              </w:rPr>
              <w:t>泄露</w:t>
            </w:r>
          </w:p>
        </w:tc>
        <w:tc>
          <w:tcPr>
            <w:tcW w:w="1807" w:type="dxa"/>
            <w:noWrap w:val="0"/>
            <w:vAlign w:val="center"/>
          </w:tcPr>
          <w:p>
            <w:pPr>
              <w:widowControl/>
              <w:ind w:firstLine="0" w:firstLineChars="0"/>
              <w:jc w:val="center"/>
              <w:rPr>
                <w:rFonts w:hint="default" w:ascii="Times New Roman" w:hAnsi="Times New Roman" w:eastAsia="宋体" w:cs="Times New Roman"/>
                <w:color w:val="auto"/>
                <w:kern w:val="0"/>
                <w:sz w:val="21"/>
                <w:szCs w:val="21"/>
                <w:lang w:bidi="ar"/>
              </w:rPr>
            </w:pPr>
            <w:r>
              <w:rPr>
                <w:rFonts w:hint="eastAsia" w:ascii="Times New Roman" w:hAnsi="Times New Roman" w:eastAsia="宋体" w:cs="Times New Roman"/>
                <w:color w:val="auto"/>
                <w:kern w:val="2"/>
                <w:sz w:val="21"/>
                <w:szCs w:val="21"/>
                <w:lang w:val="en-US" w:eastAsia="zh-CN"/>
              </w:rPr>
              <w:t>二氧化氯</w:t>
            </w:r>
          </w:p>
        </w:tc>
        <w:tc>
          <w:tcPr>
            <w:tcW w:w="1382" w:type="dxa"/>
            <w:noWrap w:val="0"/>
            <w:vAlign w:val="center"/>
          </w:tcPr>
          <w:p>
            <w:pPr>
              <w:widowControl/>
              <w:ind w:firstLine="0" w:firstLineChars="0"/>
              <w:jc w:val="center"/>
              <w:rPr>
                <w:rFonts w:hint="eastAsia"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库房四周</w:t>
            </w:r>
          </w:p>
        </w:tc>
        <w:tc>
          <w:tcPr>
            <w:tcW w:w="3582" w:type="dxa"/>
            <w:noWrap w:val="0"/>
            <w:vAlign w:val="center"/>
          </w:tcPr>
          <w:p>
            <w:pPr>
              <w:widowControl/>
              <w:ind w:firstLine="0" w:firstLineChars="0"/>
              <w:jc w:val="left"/>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color w:val="auto"/>
                <w:kern w:val="0"/>
                <w:sz w:val="21"/>
                <w:szCs w:val="21"/>
                <w:lang w:bidi="ar"/>
              </w:rPr>
              <w:t>此类事故持续时间约为1</w:t>
            </w:r>
            <w:r>
              <w:rPr>
                <w:rFonts w:hint="eastAsia" w:ascii="Times New Roman" w:hAnsi="Times New Roman" w:eastAsia="宋体" w:cs="Times New Roman"/>
                <w:color w:val="auto"/>
                <w:kern w:val="0"/>
                <w:sz w:val="21"/>
                <w:szCs w:val="21"/>
                <w:lang w:eastAsia="zh-CN" w:bidi="ar"/>
              </w:rPr>
              <w:t>小时</w:t>
            </w:r>
            <w:r>
              <w:rPr>
                <w:rFonts w:hint="default" w:ascii="Times New Roman" w:hAnsi="Times New Roman" w:eastAsia="宋体" w:cs="Times New Roman"/>
                <w:color w:val="auto"/>
                <w:kern w:val="0"/>
                <w:sz w:val="21"/>
                <w:szCs w:val="21"/>
                <w:lang w:bidi="ar"/>
              </w:rPr>
              <w:t>以内，存放区域已经做好防渗防漏处理。</w:t>
            </w:r>
          </w:p>
        </w:tc>
      </w:tr>
    </w:tbl>
    <w:p>
      <w:pPr>
        <w:pStyle w:val="5"/>
        <w:spacing w:before="9"/>
        <w:jc w:val="center"/>
        <w:rPr>
          <w:b/>
          <w:color w:val="auto"/>
          <w:sz w:val="11"/>
        </w:rPr>
      </w:pPr>
    </w:p>
    <w:p>
      <w:pPr>
        <w:pStyle w:val="3"/>
        <w:numPr>
          <w:ilvl w:val="1"/>
          <w:numId w:val="1"/>
        </w:numPr>
        <w:tabs>
          <w:tab w:val="left" w:pos="1308"/>
        </w:tabs>
        <w:spacing w:before="65" w:after="0" w:line="360" w:lineRule="auto"/>
        <w:ind w:left="919" w:leftChars="0" w:right="0" w:hanging="481" w:firstLineChars="0"/>
        <w:jc w:val="left"/>
        <w:outlineLvl w:val="0"/>
        <w:rPr>
          <w:color w:val="auto"/>
        </w:rPr>
      </w:pPr>
      <w:bookmarkStart w:id="116" w:name="4.3释放环境风险物质的扩散途径、涉及环境风险防控"/>
      <w:bookmarkEnd w:id="116"/>
      <w:bookmarkStart w:id="117" w:name="_bookmark16"/>
      <w:bookmarkEnd w:id="117"/>
      <w:bookmarkStart w:id="118" w:name="_Toc27468"/>
      <w:bookmarkStart w:id="119" w:name="_Toc108"/>
      <w:r>
        <w:rPr>
          <w:color w:val="auto"/>
        </w:rPr>
        <w:t>释放环境风险物质的扩散途径、涉及环境风险防控</w:t>
      </w:r>
      <w:bookmarkEnd w:id="118"/>
      <w:bookmarkEnd w:id="119"/>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bookmarkStart w:id="120" w:name="_Toc488060884"/>
      <w:r>
        <w:rPr>
          <w:rFonts w:hint="eastAsia" w:ascii="Times New Roman" w:hAnsi="Times New Roman" w:eastAsia="宋体" w:cs="Times New Roman"/>
          <w:color w:val="auto"/>
          <w:spacing w:val="3"/>
          <w:kern w:val="2"/>
          <w:sz w:val="28"/>
          <w:szCs w:val="28"/>
          <w:lang w:val="en-US" w:eastAsia="zh-CN" w:bidi="zh-CN"/>
        </w:rPr>
        <w:t>由于本项目使用的原辅料中二氧化氯具有极大刺激性，但储量不大，物质泄漏产生的环境风险较小。根据物质危险性和生产过程危险性识别可知，本项目主要环境风险物质为二氧化氯，其蒸汽与空气形成爆炸性混合物，遇明火、高热能引起燃烧爆炸，可能引发火灾事故，影响周边水、大气及土壤环境质量。</w:t>
      </w:r>
    </w:p>
    <w:bookmarkEnd w:id="120"/>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①火灾事故对大气环境的影响</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二氧化氯泄漏且遇明火时，会发生爆炸引发火灾。本院配有应急设备（如冷却设备、消防设备），二氧化氯储罐发生泄漏时，建议应急处理人员戴自给正压式呼吸器，穿防毒服。从上风处进入现场。尽可能切断泄漏源。用工业覆盖层或吸附/吸收剂盖住泄漏点附近的下水道等地方，防止气体进入。喷雾状水稀释。漏气容器要妥善处理，修复、检验后再用。若发生火灾、爆炸事故，消防人员必须佩戴过滤式防毒面具（全面罩）或隔离式呼吸器、穿全身防火防毒服，在上风向灭火。迅速切断气源，用水喷淋保护切断气源的人员，然后根据着火原因选择适当灭火剂灭火。尽可能将容器从火场移至空旷处。喷水保持火场容器冷却，直至灭火结束。其燃烧物质燃烧过程中则同时产生伴生或次生有害物质CO和烟尘等，并扩散至大气中，对周围大气环境会产生短时不利的污染影响。</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根据《建设项目风险评价技术导则》（HJ/T169-2018）中推荐的大气污染物推荐AERSCREEN模型进行预测，CO污染物浓度预测结果可知，本项目CO在下风向最大落地浓度值为20mg/m3，最大浓度落地距离为197m处，不能满足《环境空气质量标准》（GB3095-2012）、《工业场所有害因素职业接触限值化学有害因素》（GBZ2.1-2007）和《工业企业设计卫生标准》（GBZ1-2010）的相关质量标准要求，要求一氧化碳短时间接触允许浓度为30mg/m</w:t>
      </w:r>
      <w:r>
        <w:rPr>
          <w:rFonts w:hint="eastAsia" w:ascii="Times New Roman" w:hAnsi="Times New Roman" w:eastAsia="宋体" w:cs="Times New Roman"/>
          <w:color w:val="auto"/>
          <w:spacing w:val="3"/>
          <w:kern w:val="2"/>
          <w:sz w:val="28"/>
          <w:szCs w:val="28"/>
          <w:vertAlign w:val="superscript"/>
          <w:lang w:val="en-US" w:eastAsia="zh-CN" w:bidi="zh-CN"/>
        </w:rPr>
        <w:t>3</w:t>
      </w:r>
      <w:r>
        <w:rPr>
          <w:rFonts w:hint="eastAsia" w:ascii="Times New Roman" w:hAnsi="Times New Roman" w:eastAsia="宋体" w:cs="Times New Roman"/>
          <w:color w:val="auto"/>
          <w:spacing w:val="3"/>
          <w:kern w:val="2"/>
          <w:sz w:val="28"/>
          <w:szCs w:val="28"/>
          <w:lang w:val="en-US" w:eastAsia="zh-CN" w:bidi="zh-CN"/>
        </w:rPr>
        <w:t>，因此，当距离至少为500m时满足要求。因此，建议发生火灾时，要向周围500m范围内受影响的人群采取必要的疏散安置措施。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②环保设施故障对大气环境的影响</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本企业设置低氮燃烧器等装置，在运行故障下，导致废气直接未经处理直接排放，造成周边大气环境的污染负荷。企业对需保证正常的环保设备运行并加强安全运行维护，一旦出现非正常工况应及时进行维修。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fldChar w:fldCharType="begin"/>
      </w:r>
      <w:r>
        <w:rPr>
          <w:rFonts w:hint="eastAsia" w:ascii="Times New Roman" w:hAnsi="Times New Roman" w:eastAsia="宋体" w:cs="Times New Roman"/>
          <w:color w:val="auto"/>
          <w:spacing w:val="3"/>
          <w:kern w:val="2"/>
          <w:sz w:val="28"/>
          <w:szCs w:val="28"/>
          <w:lang w:val="en-US" w:eastAsia="zh-CN" w:bidi="zh-CN"/>
        </w:rPr>
        <w:instrText xml:space="preserve"> = 3 \* GB3 \* MERGEFORMAT </w:instrText>
      </w:r>
      <w:r>
        <w:rPr>
          <w:rFonts w:hint="eastAsia" w:ascii="Times New Roman" w:hAnsi="Times New Roman" w:eastAsia="宋体" w:cs="Times New Roman"/>
          <w:color w:val="auto"/>
          <w:spacing w:val="3"/>
          <w:kern w:val="2"/>
          <w:sz w:val="28"/>
          <w:szCs w:val="28"/>
          <w:lang w:val="en-US" w:eastAsia="zh-CN" w:bidi="zh-CN"/>
        </w:rPr>
        <w:fldChar w:fldCharType="separate"/>
      </w:r>
      <w:r>
        <w:rPr>
          <w:rFonts w:ascii="Times New Roman" w:hAnsi="Times New Roman" w:cs="Times New Roman"/>
          <w:color w:val="auto"/>
          <w:kern w:val="2"/>
          <w:sz w:val="28"/>
          <w:szCs w:val="20"/>
          <w:lang w:val="en-US" w:bidi="ar-SA"/>
        </w:rPr>
        <w:t>③</w:t>
      </w:r>
      <w:r>
        <w:rPr>
          <w:rFonts w:hint="eastAsia" w:ascii="Times New Roman" w:hAnsi="Times New Roman" w:eastAsia="宋体" w:cs="Times New Roman"/>
          <w:color w:val="auto"/>
          <w:spacing w:val="3"/>
          <w:kern w:val="2"/>
          <w:sz w:val="28"/>
          <w:szCs w:val="28"/>
          <w:lang w:val="en-US" w:eastAsia="zh-CN" w:bidi="zh-CN"/>
        </w:rPr>
        <w:fldChar w:fldCharType="end"/>
      </w:r>
      <w:r>
        <w:rPr>
          <w:rFonts w:hint="eastAsia" w:ascii="Times New Roman" w:hAnsi="Times New Roman" w:eastAsia="宋体" w:cs="Times New Roman"/>
          <w:color w:val="auto"/>
          <w:spacing w:val="3"/>
          <w:kern w:val="2"/>
          <w:sz w:val="28"/>
          <w:szCs w:val="28"/>
          <w:lang w:val="en-US" w:eastAsia="zh-CN" w:bidi="zh-CN"/>
        </w:rPr>
        <w:t xml:space="preserve">事故废水对水环境的影响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项目发生火灾灭火使用干粉灭火器进行灭火，干粉灭火器的主要成分是磷酸铵盐，该类废水中因含有大量的磷，如果随意排放到地表水环境中，会污染地表水体，影响藻类正常的光合作用，并有可能导致藻类死亡，鱼虾不能正常生长等，这些影响会导致生态链发生变化，对水体可能会产生不可逆转的影响。消防废水采用消防沙拦阻防止其流出院区外，防止流入院区的雨水沟渠，然后进入外界水体环境，从而消防废水对外界水体环境造成污染事故。因此消防废水对外界水体环境造成污染事故较小。</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fldChar w:fldCharType="begin"/>
      </w:r>
      <w:r>
        <w:rPr>
          <w:rFonts w:hint="eastAsia" w:ascii="Times New Roman" w:hAnsi="Times New Roman" w:eastAsia="宋体" w:cs="Times New Roman"/>
          <w:color w:val="auto"/>
          <w:spacing w:val="3"/>
          <w:kern w:val="2"/>
          <w:sz w:val="28"/>
          <w:szCs w:val="28"/>
          <w:lang w:val="en-US" w:eastAsia="zh-CN" w:bidi="zh-CN"/>
        </w:rPr>
        <w:instrText xml:space="preserve"> = 4 \* GB3 \* MERGEFORMAT </w:instrText>
      </w:r>
      <w:r>
        <w:rPr>
          <w:rFonts w:hint="eastAsia" w:ascii="Times New Roman" w:hAnsi="Times New Roman" w:eastAsia="宋体" w:cs="Times New Roman"/>
          <w:color w:val="auto"/>
          <w:spacing w:val="3"/>
          <w:kern w:val="2"/>
          <w:sz w:val="28"/>
          <w:szCs w:val="28"/>
          <w:lang w:val="en-US" w:eastAsia="zh-CN" w:bidi="zh-CN"/>
        </w:rPr>
        <w:fldChar w:fldCharType="separate"/>
      </w:r>
      <w:r>
        <w:rPr>
          <w:rFonts w:hint="eastAsia" w:ascii="Times New Roman" w:hAnsi="Times New Roman" w:eastAsia="宋体" w:cs="Times New Roman"/>
          <w:color w:val="auto"/>
          <w:spacing w:val="3"/>
          <w:kern w:val="2"/>
          <w:sz w:val="28"/>
          <w:szCs w:val="28"/>
          <w:lang w:val="en-US" w:eastAsia="zh-CN" w:bidi="zh-CN"/>
        </w:rPr>
        <w:t>④</w:t>
      </w:r>
      <w:r>
        <w:rPr>
          <w:rFonts w:hint="eastAsia" w:ascii="Times New Roman" w:hAnsi="Times New Roman" w:eastAsia="宋体" w:cs="Times New Roman"/>
          <w:color w:val="auto"/>
          <w:spacing w:val="3"/>
          <w:kern w:val="2"/>
          <w:sz w:val="28"/>
          <w:szCs w:val="28"/>
          <w:lang w:val="en-US" w:eastAsia="zh-CN" w:bidi="zh-CN"/>
        </w:rPr>
        <w:fldChar w:fldCharType="end"/>
      </w:r>
      <w:r>
        <w:rPr>
          <w:rFonts w:hint="eastAsia" w:ascii="Times New Roman" w:hAnsi="Times New Roman" w:eastAsia="宋体" w:cs="Times New Roman"/>
          <w:color w:val="auto"/>
          <w:spacing w:val="3"/>
          <w:kern w:val="2"/>
          <w:sz w:val="28"/>
          <w:szCs w:val="28"/>
          <w:lang w:val="en-US" w:eastAsia="zh-CN" w:bidi="zh-CN"/>
        </w:rPr>
        <w:t>医疗废水泄露的影响</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本单位的最大可信事故是污水处理设施发生故障时导致废水超标排放对外环境的污染。</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left="0" w:right="0" w:rightChars="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本院是传染病专科医院，含有结核杆菌等传染病菌、抗生素病毒、虫卵等致病原体等污染物外，还含有化学药剂和放射性同位素，具有对空间污染、急性传染和潜伏性传染的几大特征。因污染物防治设施非正常使用，如：管道破裂、泵设备损坏或失效、人为操作失误等，导致废水污染物未经处理直接排放或未处理达标排入市政管网，可使病原性细菌通过水体造成传播疾病的危险，污水泄漏若处理不及时，顺着雨水管道排入市政管网后进入渭河，污染地表水体及土壤，破坏生态环境。医疗污水废气不仅带有带有刺激性，往往还含有害物质，这些废气通常会造成较大污染。为减小或阻止其对环境的危害，采取地面硬化、设置围堰等措施，从源头阻止废水的扩散；若废水泄露，应当立即关闭阀门，采用消防沙阻止废水的溢流，若泄漏量过大，将废水聚积至低洼处，利用水泵回抽至废水处理设施。</w:t>
      </w:r>
    </w:p>
    <w:p>
      <w:pPr>
        <w:pStyle w:val="3"/>
        <w:numPr>
          <w:ilvl w:val="1"/>
          <w:numId w:val="1"/>
        </w:numPr>
        <w:tabs>
          <w:tab w:val="left" w:pos="1308"/>
        </w:tabs>
        <w:spacing w:before="0" w:after="0" w:line="383" w:lineRule="exact"/>
        <w:ind w:left="919" w:leftChars="0" w:right="0" w:hanging="481" w:firstLineChars="0"/>
        <w:jc w:val="both"/>
        <w:outlineLvl w:val="0"/>
        <w:rPr>
          <w:color w:val="auto"/>
        </w:rPr>
      </w:pPr>
      <w:bookmarkStart w:id="121" w:name="4.4具体应急措施"/>
      <w:bookmarkEnd w:id="121"/>
      <w:bookmarkStart w:id="122" w:name="_bookmark17"/>
      <w:bookmarkEnd w:id="122"/>
      <w:bookmarkStart w:id="123" w:name="_Toc13410"/>
      <w:bookmarkStart w:id="124" w:name="_Toc18794"/>
      <w:r>
        <w:rPr>
          <w:color w:val="auto"/>
        </w:rPr>
        <w:t>具体应急措施</w:t>
      </w:r>
      <w:bookmarkEnd w:id="123"/>
      <w:bookmarkEnd w:id="124"/>
    </w:p>
    <w:p>
      <w:pPr>
        <w:pStyle w:val="5"/>
        <w:spacing w:before="240" w:line="360" w:lineRule="auto"/>
        <w:ind w:left="186" w:right="327" w:firstLine="561"/>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本院突发环境事故主要为二氧化氯的泄漏和火灾、污染物治理设施失效等。现场应急处置中应遵循的三个规定：</w:t>
      </w:r>
    </w:p>
    <w:p>
      <w:pPr>
        <w:pStyle w:val="17"/>
        <w:numPr>
          <w:ilvl w:val="0"/>
          <w:numId w:val="3"/>
        </w:numPr>
        <w:tabs>
          <w:tab w:val="left" w:pos="1450"/>
        </w:tabs>
        <w:spacing w:before="0" w:after="0" w:line="360" w:lineRule="auto"/>
        <w:ind w:left="186" w:right="390" w:firstLine="561"/>
        <w:jc w:val="both"/>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在经营过程中，认真贯彻执行企业安全生产规章制度和环保工作要求，安全环保部定期开展大检查和安全风险评估工作，对设备、环保设施执行定期检验、定期维护。</w:t>
      </w:r>
    </w:p>
    <w:p>
      <w:pPr>
        <w:pStyle w:val="17"/>
        <w:numPr>
          <w:ilvl w:val="0"/>
          <w:numId w:val="3"/>
        </w:numPr>
        <w:tabs>
          <w:tab w:val="left" w:pos="1450"/>
        </w:tabs>
        <w:spacing w:before="0" w:after="0" w:line="358" w:lineRule="exact"/>
        <w:ind w:left="1450" w:right="0" w:hanging="702"/>
        <w:jc w:val="left"/>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在发生突发环境事件时，做好源头控制。</w:t>
      </w:r>
    </w:p>
    <w:p>
      <w:pPr>
        <w:pStyle w:val="17"/>
        <w:numPr>
          <w:ilvl w:val="0"/>
          <w:numId w:val="3"/>
        </w:numPr>
        <w:tabs>
          <w:tab w:val="left" w:pos="1450"/>
        </w:tabs>
        <w:spacing w:before="265" w:after="0" w:line="417" w:lineRule="auto"/>
        <w:ind w:left="186" w:right="390" w:firstLine="561"/>
        <w:jc w:val="both"/>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对于应急处置过程中产生的危险废弃物，按照危险废弃物目录分类存放，存放条件应满足危险废弃物储存要求；委托咸阳医疗废物处置中心处置；严禁混入生活垃圾或私自处置。做好台账登记、转移联单记录。具体应急措施如下。</w:t>
      </w:r>
    </w:p>
    <w:p>
      <w:pPr>
        <w:pStyle w:val="2"/>
        <w:numPr>
          <w:ilvl w:val="2"/>
          <w:numId w:val="1"/>
        </w:numPr>
        <w:tabs>
          <w:tab w:val="left" w:pos="1377"/>
        </w:tabs>
        <w:spacing w:before="0" w:after="0" w:line="360" w:lineRule="auto"/>
        <w:ind w:left="1376" w:right="0" w:hanging="629"/>
        <w:jc w:val="both"/>
        <w:rPr>
          <w:color w:val="auto"/>
        </w:rPr>
      </w:pPr>
      <w:bookmarkStart w:id="125" w:name="4.4.1火灾事故具体应急防范措施"/>
      <w:bookmarkEnd w:id="125"/>
      <w:bookmarkStart w:id="126" w:name="4.4.1火灾事故具体应急防范措施"/>
      <w:bookmarkEnd w:id="126"/>
      <w:r>
        <w:rPr>
          <w:color w:val="auto"/>
        </w:rPr>
        <w:t>火灾事故具体应急防范措施</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textAlignment w:val="auto"/>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各生产岗位电器、仪表维修等，做到定时巡检，发现问题及时反映、及时处理；严格遵守安全用电的有关规定，使用防爆开关，严禁私拉乱接电线，存储间禁止明火吸烟等。</w:t>
      </w:r>
    </w:p>
    <w:p>
      <w:pPr>
        <w:pStyle w:val="17"/>
        <w:keepNext w:val="0"/>
        <w:keepLines w:val="0"/>
        <w:pageBreakBefore w:val="0"/>
        <w:widowControl w:val="0"/>
        <w:numPr>
          <w:ilvl w:val="0"/>
          <w:numId w:val="4"/>
        </w:numPr>
        <w:tabs>
          <w:tab w:val="left" w:pos="1170"/>
        </w:tabs>
        <w:kinsoku/>
        <w:wordWrap/>
        <w:overflowPunct/>
        <w:topLinePunct w:val="0"/>
        <w:autoSpaceDE w:val="0"/>
        <w:autoSpaceDN w:val="0"/>
        <w:bidi w:val="0"/>
        <w:adjustRightInd w:val="0"/>
        <w:snapToGrid w:val="0"/>
        <w:spacing w:before="0" w:after="0" w:line="360" w:lineRule="auto"/>
        <w:ind w:left="-132" w:leftChars="0" w:right="0" w:firstLine="572" w:firstLineChars="0"/>
        <w:jc w:val="both"/>
        <w:textAlignment w:val="auto"/>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制定危险化学品安全管理规定，加强危险化学品的贮存、使用及运输管理，完善通风、防泄漏、防静电等安全设施；按照标准规范配齐消防设施和急救器材，消防设施和急救器材应实行“三定”定理，落实责任。</w:t>
      </w:r>
    </w:p>
    <w:p>
      <w:pPr>
        <w:pStyle w:val="17"/>
        <w:keepNext w:val="0"/>
        <w:keepLines w:val="0"/>
        <w:pageBreakBefore w:val="0"/>
        <w:widowControl w:val="0"/>
        <w:numPr>
          <w:ilvl w:val="0"/>
          <w:numId w:val="4"/>
        </w:numPr>
        <w:tabs>
          <w:tab w:val="left" w:pos="1170"/>
        </w:tabs>
        <w:kinsoku/>
        <w:wordWrap/>
        <w:overflowPunct/>
        <w:topLinePunct w:val="0"/>
        <w:autoSpaceDE w:val="0"/>
        <w:autoSpaceDN w:val="0"/>
        <w:bidi w:val="0"/>
        <w:adjustRightInd w:val="0"/>
        <w:snapToGrid w:val="0"/>
        <w:spacing w:before="0" w:after="0" w:line="360" w:lineRule="auto"/>
        <w:ind w:left="-132" w:leftChars="0" w:right="0" w:firstLine="572" w:firstLineChars="0"/>
        <w:jc w:val="left"/>
        <w:textAlignment w:val="auto"/>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本院应合理布局，配备相应数量灭火器，设应急通道；</w:t>
      </w:r>
    </w:p>
    <w:p>
      <w:pPr>
        <w:pStyle w:val="17"/>
        <w:keepNext w:val="0"/>
        <w:keepLines w:val="0"/>
        <w:pageBreakBefore w:val="0"/>
        <w:widowControl w:val="0"/>
        <w:numPr>
          <w:ilvl w:val="0"/>
          <w:numId w:val="4"/>
        </w:numPr>
        <w:tabs>
          <w:tab w:val="left" w:pos="1170"/>
        </w:tabs>
        <w:kinsoku/>
        <w:wordWrap/>
        <w:overflowPunct/>
        <w:topLinePunct w:val="0"/>
        <w:autoSpaceDE w:val="0"/>
        <w:autoSpaceDN w:val="0"/>
        <w:bidi w:val="0"/>
        <w:adjustRightInd w:val="0"/>
        <w:snapToGrid w:val="0"/>
        <w:spacing w:before="0" w:after="0" w:line="360" w:lineRule="auto"/>
        <w:ind w:left="-132" w:leftChars="0" w:right="0" w:firstLine="572" w:firstLineChars="0"/>
        <w:jc w:val="left"/>
        <w:textAlignment w:val="auto"/>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本院通风，存储风险物质处，应贴有相应标识，并由专人管理，本院内严禁出现明火；</w:t>
      </w:r>
    </w:p>
    <w:p>
      <w:pPr>
        <w:pStyle w:val="17"/>
        <w:keepNext w:val="0"/>
        <w:keepLines w:val="0"/>
        <w:pageBreakBefore w:val="0"/>
        <w:widowControl w:val="0"/>
        <w:numPr>
          <w:ilvl w:val="0"/>
          <w:numId w:val="4"/>
        </w:numPr>
        <w:tabs>
          <w:tab w:val="left" w:pos="1170"/>
        </w:tabs>
        <w:kinsoku/>
        <w:wordWrap/>
        <w:overflowPunct/>
        <w:topLinePunct w:val="0"/>
        <w:autoSpaceDE w:val="0"/>
        <w:autoSpaceDN w:val="0"/>
        <w:bidi w:val="0"/>
        <w:adjustRightInd w:val="0"/>
        <w:snapToGrid w:val="0"/>
        <w:spacing w:before="0" w:after="0" w:line="360" w:lineRule="auto"/>
        <w:ind w:left="-132" w:leftChars="0" w:right="0" w:firstLine="572" w:firstLineChars="0"/>
        <w:jc w:val="left"/>
        <w:textAlignment w:val="auto"/>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院内定期进行消防演练和知识培训，做好用电安全。</w:t>
      </w:r>
    </w:p>
    <w:p>
      <w:pPr>
        <w:pStyle w:val="2"/>
        <w:keepNext w:val="0"/>
        <w:keepLines w:val="0"/>
        <w:pageBreakBefore w:val="0"/>
        <w:widowControl w:val="0"/>
        <w:numPr>
          <w:ilvl w:val="2"/>
          <w:numId w:val="1"/>
        </w:numPr>
        <w:tabs>
          <w:tab w:val="left" w:pos="1377"/>
        </w:tabs>
        <w:kinsoku/>
        <w:wordWrap/>
        <w:overflowPunct/>
        <w:topLinePunct w:val="0"/>
        <w:autoSpaceDE w:val="0"/>
        <w:autoSpaceDN w:val="0"/>
        <w:bidi w:val="0"/>
        <w:adjustRightInd/>
        <w:snapToGrid/>
        <w:spacing w:before="120" w:after="0" w:line="360" w:lineRule="auto"/>
        <w:ind w:left="1378" w:right="0" w:hanging="629"/>
        <w:jc w:val="left"/>
        <w:textAlignment w:val="auto"/>
        <w:rPr>
          <w:color w:val="auto"/>
        </w:rPr>
      </w:pPr>
      <w:bookmarkStart w:id="127" w:name="4.4.2泄漏事故具体应急防范措施"/>
      <w:bookmarkEnd w:id="127"/>
      <w:bookmarkStart w:id="128" w:name="4.4.2泄漏事故具体应急防范措施"/>
      <w:bookmarkEnd w:id="128"/>
      <w:r>
        <w:rPr>
          <w:color w:val="auto"/>
        </w:rPr>
        <w:t>泄漏事故具体应急防范措施</w:t>
      </w:r>
    </w:p>
    <w:p>
      <w:pPr>
        <w:pStyle w:val="17"/>
        <w:keepNext w:val="0"/>
        <w:keepLines w:val="0"/>
        <w:pageBreakBefore w:val="0"/>
        <w:widowControl w:val="0"/>
        <w:numPr>
          <w:ilvl w:val="0"/>
          <w:numId w:val="0"/>
        </w:numPr>
        <w:tabs>
          <w:tab w:val="left" w:pos="1450"/>
        </w:tabs>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rPr>
          <w:color w:val="auto"/>
          <w:sz w:val="28"/>
        </w:rPr>
      </w:pPr>
      <w:r>
        <w:rPr>
          <w:rFonts w:hint="eastAsia" w:ascii="Times New Roman" w:hAnsi="Times New Roman" w:eastAsia="宋体" w:cs="Times New Roman"/>
          <w:color w:val="auto"/>
          <w:spacing w:val="3"/>
          <w:sz w:val="28"/>
          <w:szCs w:val="28"/>
          <w:lang w:val="en-US" w:eastAsia="zh-CN" w:bidi="zh-CN"/>
        </w:rPr>
        <w:t>本院库房内做了防渗处理及废气收集装置并辅以定期巡查及电子监控措施，极大防止二氧化氯出现泄漏进入大气环境的可能性；当二氧化氯发生泄漏时，应急处理人员戴自给正压式呼吸器，穿防毒服。从上风处进入现场。尽可能切断泄漏源。用工业覆盖层或吸附/吸收剂盖住泄漏点附近的下水道等地方，防止气体进入。喷雾状水稀释。漏气容器要妥善处理，修复、检验后再用。存放风险物质场地需进行防渗处置，并设有警示牌、负责人以及电话。</w:t>
      </w:r>
    </w:p>
    <w:p>
      <w:pPr>
        <w:pStyle w:val="2"/>
        <w:keepNext w:val="0"/>
        <w:keepLines w:val="0"/>
        <w:pageBreakBefore w:val="0"/>
        <w:widowControl w:val="0"/>
        <w:numPr>
          <w:ilvl w:val="2"/>
          <w:numId w:val="1"/>
        </w:numPr>
        <w:tabs>
          <w:tab w:val="left" w:pos="1377"/>
        </w:tabs>
        <w:kinsoku/>
        <w:wordWrap/>
        <w:overflowPunct/>
        <w:topLinePunct w:val="0"/>
        <w:autoSpaceDE w:val="0"/>
        <w:autoSpaceDN w:val="0"/>
        <w:bidi w:val="0"/>
        <w:adjustRightInd/>
        <w:snapToGrid/>
        <w:spacing w:before="120" w:after="0" w:line="360" w:lineRule="auto"/>
        <w:ind w:left="1378" w:right="0" w:hanging="629"/>
        <w:jc w:val="left"/>
        <w:textAlignment w:val="auto"/>
        <w:rPr>
          <w:color w:val="auto"/>
        </w:rPr>
      </w:pPr>
      <w:bookmarkStart w:id="129" w:name="4.4.3废气超标事故具体应急防范措施"/>
      <w:bookmarkEnd w:id="129"/>
      <w:bookmarkStart w:id="130" w:name="4.4.3废气超标事故具体应急防范措施"/>
      <w:bookmarkEnd w:id="130"/>
      <w:r>
        <w:rPr>
          <w:color w:val="auto"/>
        </w:rPr>
        <w:t>废气超标事故具体应急防范措施</w:t>
      </w:r>
    </w:p>
    <w:p>
      <w:pPr>
        <w:autoSpaceDE/>
        <w:autoSpaceDN/>
        <w:spacing w:before="0" w:after="0" w:line="360" w:lineRule="auto"/>
        <w:ind w:left="0" w:right="0" w:firstLine="572" w:firstLineChars="200"/>
        <w:jc w:val="both"/>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①医院通过监测数据发现废气超标排放，应立即停止作业，并组织专业人员对环保设备进行检修，对损坏部分进行维修和更换，并更换活性炭；</w:t>
      </w:r>
    </w:p>
    <w:p>
      <w:pPr>
        <w:autoSpaceDE/>
        <w:autoSpaceDN/>
        <w:spacing w:before="0" w:after="0" w:line="360" w:lineRule="auto"/>
        <w:ind w:left="0" w:right="0" w:firstLine="572" w:firstLineChars="200"/>
        <w:jc w:val="both"/>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②如果在作业过程中发生停电等事情，立即停止作业，应配备应急电源；</w:t>
      </w:r>
    </w:p>
    <w:p>
      <w:pPr>
        <w:autoSpaceDE/>
        <w:autoSpaceDN/>
        <w:spacing w:before="0" w:after="0" w:line="360" w:lineRule="auto"/>
        <w:ind w:left="0" w:right="0" w:firstLine="572" w:firstLineChars="200"/>
        <w:jc w:val="both"/>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③废气处理设施正常工作后，请有资质的第三方单位进行废气监测，正常后方可投入使用；</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rPr>
          <w:rFonts w:hint="eastAsia" w:ascii="Times New Roman" w:hAnsi="Times New Roman" w:eastAsia="宋体" w:cs="Times New Roman"/>
          <w:color w:val="auto"/>
          <w:spacing w:val="3"/>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④进行事故原因调查和全面的设备安全检查，询问事故发现人有关情况，包括电力设备运行情况、故障部位等。对设备故障原因做好记录，避免此类故障再次发生。</w:t>
      </w:r>
    </w:p>
    <w:p>
      <w:pPr>
        <w:pStyle w:val="2"/>
        <w:numPr>
          <w:ilvl w:val="2"/>
          <w:numId w:val="1"/>
        </w:numPr>
        <w:tabs>
          <w:tab w:val="left" w:pos="1377"/>
        </w:tabs>
        <w:spacing w:before="0" w:after="0" w:line="360" w:lineRule="auto"/>
        <w:ind w:left="1376" w:right="0" w:hanging="629"/>
        <w:jc w:val="left"/>
        <w:rPr>
          <w:color w:val="auto"/>
        </w:rPr>
      </w:pPr>
      <w:bookmarkStart w:id="131" w:name="4.4.4废水超标事故具体应急防范措施"/>
      <w:bookmarkEnd w:id="131"/>
      <w:bookmarkStart w:id="132" w:name="4.4.4废水超标事故具体应急防范措施"/>
      <w:bookmarkEnd w:id="132"/>
      <w:r>
        <w:rPr>
          <w:color w:val="auto"/>
        </w:rPr>
        <w:t>废水超标事故具体应急防范措施</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1、本项目运营期间产生医疗废水、厨房废水、生活污水等。污水经油水分离器、“A</w:t>
      </w:r>
      <w:r>
        <w:rPr>
          <w:rFonts w:hint="eastAsia" w:ascii="Times New Roman" w:hAnsi="Times New Roman" w:eastAsia="宋体" w:cs="Times New Roman"/>
          <w:color w:val="auto"/>
          <w:spacing w:val="3"/>
          <w:kern w:val="2"/>
          <w:sz w:val="28"/>
          <w:szCs w:val="28"/>
          <w:vertAlign w:val="superscript"/>
          <w:lang w:val="en-US" w:eastAsia="zh-CN" w:bidi="zh-CN"/>
        </w:rPr>
        <w:t>2</w:t>
      </w:r>
      <w:r>
        <w:rPr>
          <w:rFonts w:hint="eastAsia" w:ascii="Times New Roman" w:hAnsi="Times New Roman" w:eastAsia="宋体" w:cs="Times New Roman"/>
          <w:color w:val="auto"/>
          <w:spacing w:val="3"/>
          <w:kern w:val="2"/>
          <w:sz w:val="28"/>
          <w:szCs w:val="28"/>
          <w:lang w:val="en-US" w:eastAsia="zh-CN" w:bidi="zh-CN"/>
        </w:rPr>
        <w:t>/O+消毒”处理工艺处理后，排入市政管网，进入秦汉新城朝阳污水处理厂处理，生活污水经化粪池处理后由污水管道排入秦汉新城朝阳污水处理厂。</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outlineLvl w:val="9"/>
        <w:rPr>
          <w:rFonts w:hint="eastAsia" w:ascii="Times New Roman" w:hAnsi="Times New Roman" w:eastAsia="宋体" w:cs="Times New Roman"/>
          <w:color w:val="auto"/>
          <w:spacing w:val="3"/>
          <w:kern w:val="2"/>
          <w:sz w:val="28"/>
          <w:szCs w:val="28"/>
          <w:lang w:val="en-US" w:eastAsia="zh-CN" w:bidi="zh-CN"/>
        </w:rPr>
      </w:pPr>
      <w:bookmarkStart w:id="133" w:name="_Toc25499"/>
      <w:r>
        <w:rPr>
          <w:rFonts w:hint="eastAsia" w:ascii="Times New Roman" w:hAnsi="Times New Roman" w:eastAsia="宋体" w:cs="Times New Roman"/>
          <w:color w:val="auto"/>
          <w:spacing w:val="3"/>
          <w:kern w:val="2"/>
          <w:sz w:val="28"/>
          <w:szCs w:val="28"/>
          <w:lang w:val="en-US" w:eastAsia="zh-CN" w:bidi="zh-CN"/>
        </w:rPr>
        <w:t>2、地表水风险防范措施主要消防废水的收集和处理措施：</w:t>
      </w:r>
      <w:bookmarkEnd w:id="133"/>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A.当仓库发生火灾时，使消防废水全部进入收集桶中；</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B.企业加强管理，严格按照《危险废物贮存污染控制标准》相关规定进行建设、管理运营。</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rPr>
          <w:rFonts w:hint="eastAsia" w:ascii="Times New Roman" w:hAnsi="Times New Roman" w:eastAsia="宋体" w:cs="Times New Roman"/>
          <w:color w:val="auto"/>
          <w:spacing w:val="3"/>
          <w:kern w:val="2"/>
          <w:sz w:val="28"/>
          <w:szCs w:val="28"/>
          <w:lang w:val="en-US" w:eastAsia="zh-CN" w:bidi="zh-CN"/>
        </w:rPr>
      </w:pPr>
      <w:r>
        <w:rPr>
          <w:rFonts w:hint="eastAsia" w:ascii="Times New Roman" w:hAnsi="Times New Roman" w:eastAsia="宋体" w:cs="Times New Roman"/>
          <w:color w:val="auto"/>
          <w:spacing w:val="3"/>
          <w:kern w:val="2"/>
          <w:sz w:val="28"/>
          <w:szCs w:val="28"/>
          <w:lang w:val="en-US" w:eastAsia="zh-CN" w:bidi="zh-CN"/>
        </w:rPr>
        <w:t>3、雨水经过厂区的雨水管网收集后，经过市政雨水管网排入渭河，本院雨水排放口距离渭河约1800m，排放口下游 10km 范围内为居民区、工厂，下游无饮用水源地、自然保护区。</w:t>
      </w:r>
    </w:p>
    <w:p>
      <w:pPr>
        <w:pStyle w:val="3"/>
        <w:numPr>
          <w:ilvl w:val="1"/>
          <w:numId w:val="1"/>
        </w:numPr>
        <w:tabs>
          <w:tab w:val="left" w:pos="1308"/>
        </w:tabs>
        <w:spacing w:before="0" w:after="0" w:line="360" w:lineRule="auto"/>
        <w:ind w:left="919" w:leftChars="0" w:right="0" w:hanging="481" w:firstLineChars="0"/>
        <w:jc w:val="left"/>
        <w:outlineLvl w:val="0"/>
        <w:rPr>
          <w:color w:val="auto"/>
        </w:rPr>
      </w:pPr>
      <w:bookmarkStart w:id="134" w:name="4.5突发环境事件危害后果分析 "/>
      <w:bookmarkEnd w:id="134"/>
      <w:bookmarkStart w:id="135" w:name="_bookmark18"/>
      <w:bookmarkEnd w:id="135"/>
      <w:bookmarkStart w:id="136" w:name="_Toc7226"/>
      <w:bookmarkStart w:id="137" w:name="_Toc18673"/>
      <w:r>
        <w:rPr>
          <w:color w:val="auto"/>
        </w:rPr>
        <w:t>突发环境事件危害后果分析</w:t>
      </w:r>
      <w:bookmarkEnd w:id="136"/>
      <w:bookmarkEnd w:id="137"/>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rPr>
          <w:color w:val="auto"/>
        </w:rPr>
      </w:pPr>
      <w:r>
        <w:rPr>
          <w:rFonts w:hint="eastAsia" w:ascii="Times New Roman" w:hAnsi="Times New Roman" w:eastAsia="宋体" w:cs="Times New Roman"/>
          <w:color w:val="auto"/>
          <w:spacing w:val="3"/>
          <w:kern w:val="2"/>
          <w:sz w:val="28"/>
          <w:szCs w:val="28"/>
          <w:lang w:val="en-US" w:eastAsia="zh-CN" w:bidi="zh-CN"/>
        </w:rPr>
        <w:t>根据医院突发环境事件情景的源强及危害程度，医院各类突发环境事件从地表水、地下水、土壤、大气、人口、财产以及社会影响等方面综合考虑，对周边居民人群的影响较小，危害范围较小，预计可能发生的突发环境事件级别为一般环境事件。</w:t>
      </w:r>
    </w:p>
    <w:p>
      <w:pPr>
        <w:spacing w:after="0" w:line="417" w:lineRule="auto"/>
        <w:rPr>
          <w:color w:val="auto"/>
        </w:rPr>
        <w:sectPr>
          <w:footerReference r:id="rId7" w:type="default"/>
          <w:pgSz w:w="11910" w:h="16840"/>
          <w:pgMar w:top="1440" w:right="1803" w:bottom="1440" w:left="1803" w:header="878" w:footer="846" w:gutter="0"/>
          <w:pgBorders>
            <w:top w:val="none" w:sz="0" w:space="0"/>
            <w:left w:val="none" w:sz="0" w:space="0"/>
            <w:bottom w:val="none" w:sz="0" w:space="0"/>
            <w:right w:val="none" w:sz="0" w:space="0"/>
          </w:pgBorders>
          <w:cols w:space="720" w:num="1"/>
        </w:sectPr>
      </w:pPr>
    </w:p>
    <w:p>
      <w:pPr>
        <w:pStyle w:val="5"/>
        <w:spacing w:before="4"/>
        <w:rPr>
          <w:color w:val="auto"/>
          <w:sz w:val="8"/>
        </w:rPr>
      </w:pPr>
    </w:p>
    <w:p>
      <w:pPr>
        <w:pStyle w:val="3"/>
        <w:numPr>
          <w:ilvl w:val="0"/>
          <w:numId w:val="1"/>
        </w:numPr>
        <w:tabs>
          <w:tab w:val="left" w:pos="1147"/>
        </w:tabs>
        <w:spacing w:before="64" w:after="0" w:line="240" w:lineRule="auto"/>
        <w:ind w:left="540" w:leftChars="0" w:right="0" w:hanging="320" w:firstLineChars="0"/>
        <w:jc w:val="left"/>
        <w:outlineLvl w:val="0"/>
        <w:rPr>
          <w:rFonts w:hint="eastAsia" w:ascii="黑体" w:eastAsia="黑体"/>
          <w:color w:val="auto"/>
        </w:rPr>
      </w:pPr>
      <w:bookmarkStart w:id="138" w:name="5 现有环境风险防控和应急措施差距分析"/>
      <w:bookmarkEnd w:id="138"/>
      <w:bookmarkStart w:id="139" w:name="_bookmark19"/>
      <w:bookmarkEnd w:id="139"/>
      <w:bookmarkStart w:id="140" w:name="_Toc26808"/>
      <w:r>
        <w:rPr>
          <w:rFonts w:hint="eastAsia" w:ascii="黑体" w:eastAsia="黑体"/>
          <w:color w:val="auto"/>
        </w:rPr>
        <w:t>现有环境风险防控和应急措施差距分析</w:t>
      </w:r>
      <w:bookmarkEnd w:id="140"/>
    </w:p>
    <w:p>
      <w:pPr>
        <w:pStyle w:val="17"/>
        <w:numPr>
          <w:ilvl w:val="1"/>
          <w:numId w:val="1"/>
        </w:numPr>
        <w:tabs>
          <w:tab w:val="left" w:pos="1387"/>
        </w:tabs>
        <w:spacing w:before="214" w:after="0" w:line="240" w:lineRule="auto"/>
        <w:ind w:left="998" w:leftChars="0" w:right="0" w:hanging="560" w:firstLineChars="0"/>
        <w:jc w:val="left"/>
        <w:outlineLvl w:val="0"/>
        <w:rPr>
          <w:rFonts w:hint="eastAsia" w:ascii="楷体" w:eastAsia="楷体"/>
          <w:b/>
          <w:color w:val="auto"/>
          <w:sz w:val="32"/>
        </w:rPr>
      </w:pPr>
      <w:bookmarkStart w:id="141" w:name="5.1 环境风险管理制度"/>
      <w:bookmarkEnd w:id="141"/>
      <w:bookmarkStart w:id="142" w:name="_bookmark20"/>
      <w:bookmarkEnd w:id="142"/>
      <w:bookmarkStart w:id="143" w:name="_Toc15457"/>
      <w:bookmarkStart w:id="144" w:name="_Toc32385"/>
      <w:r>
        <w:rPr>
          <w:rFonts w:hint="eastAsia" w:ascii="楷体" w:eastAsia="楷体"/>
          <w:b/>
          <w:color w:val="auto"/>
          <w:sz w:val="32"/>
        </w:rPr>
        <w:t>环境风险管理制度</w:t>
      </w:r>
      <w:bookmarkEnd w:id="143"/>
      <w:bookmarkEnd w:id="144"/>
    </w:p>
    <w:p>
      <w:pPr>
        <w:pStyle w:val="5"/>
        <w:spacing w:before="240"/>
        <w:ind w:left="748"/>
        <w:rPr>
          <w:rFonts w:hint="default" w:ascii="Times New Roman" w:hAnsi="Times New Roman" w:eastAsia="宋体" w:cs="Times New Roman"/>
          <w:color w:val="auto"/>
        </w:rPr>
      </w:pPr>
      <w:r>
        <w:rPr>
          <w:rFonts w:hint="default" w:ascii="Times New Roman" w:hAnsi="Times New Roman" w:eastAsia="宋体" w:cs="Times New Roman"/>
          <w:color w:val="auto"/>
        </w:rPr>
        <w:t>环境风险管理制度见表 5.1-1。</w:t>
      </w:r>
    </w:p>
    <w:p>
      <w:pPr>
        <w:tabs>
          <w:tab w:val="left" w:pos="1041"/>
        </w:tabs>
        <w:spacing w:before="135"/>
        <w:ind w:left="0" w:right="206" w:firstLine="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表</w:t>
      </w:r>
      <w:r>
        <w:rPr>
          <w:rFonts w:hint="default" w:ascii="Times New Roman" w:hAnsi="Times New Roman" w:eastAsia="宋体" w:cs="Times New Roman"/>
          <w:b/>
          <w:color w:val="auto"/>
          <w:spacing w:val="-62"/>
          <w:sz w:val="24"/>
        </w:rPr>
        <w:t xml:space="preserve"> </w:t>
      </w:r>
      <w:r>
        <w:rPr>
          <w:rFonts w:hint="default" w:ascii="Times New Roman" w:hAnsi="Times New Roman" w:eastAsia="宋体" w:cs="Times New Roman"/>
          <w:b/>
          <w:color w:val="auto"/>
          <w:sz w:val="24"/>
        </w:rPr>
        <w:t>5.1-1</w:t>
      </w:r>
      <w:r>
        <w:rPr>
          <w:rFonts w:hint="default" w:ascii="Times New Roman" w:hAnsi="Times New Roman" w:eastAsia="宋体" w:cs="Times New Roman"/>
          <w:b/>
          <w:color w:val="auto"/>
          <w:sz w:val="24"/>
        </w:rPr>
        <w:tab/>
      </w:r>
      <w:r>
        <w:rPr>
          <w:rFonts w:hint="default" w:ascii="Times New Roman" w:hAnsi="Times New Roman" w:eastAsia="宋体" w:cs="Times New Roman"/>
          <w:b/>
          <w:color w:val="auto"/>
          <w:sz w:val="24"/>
        </w:rPr>
        <w:t>环境风险管理制度</w:t>
      </w:r>
    </w:p>
    <w:p>
      <w:pPr>
        <w:pStyle w:val="5"/>
        <w:spacing w:before="10"/>
        <w:rPr>
          <w:rFonts w:hint="default" w:ascii="Times New Roman" w:hAnsi="Times New Roman" w:eastAsia="宋体" w:cs="Times New Roman"/>
          <w:b/>
          <w:color w:val="auto"/>
          <w:sz w:val="6"/>
        </w:rPr>
      </w:pPr>
    </w:p>
    <w:tbl>
      <w:tblPr>
        <w:tblStyle w:val="13"/>
        <w:tblpPr w:leftFromText="180" w:rightFromText="180" w:vertAnchor="text" w:horzAnchor="page" w:tblpX="1790" w:tblpY="110"/>
        <w:tblOverlap w:val="never"/>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3"/>
        <w:gridCol w:w="5101"/>
        <w:gridCol w:w="1258"/>
        <w:gridCol w:w="193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7" w:hRule="atLeast"/>
        </w:trPr>
        <w:tc>
          <w:tcPr>
            <w:tcW w:w="763" w:type="dxa"/>
            <w:tcBorders>
              <w:bottom w:val="single" w:color="000000" w:sz="8" w:space="0"/>
              <w:right w:val="single" w:color="000000" w:sz="8" w:space="0"/>
            </w:tcBorders>
          </w:tcPr>
          <w:p>
            <w:pPr>
              <w:pStyle w:val="18"/>
              <w:spacing w:before="9"/>
              <w:rPr>
                <w:rFonts w:hint="default" w:ascii="Times New Roman" w:hAnsi="Times New Roman" w:eastAsia="宋体" w:cs="Times New Roman"/>
                <w:b/>
                <w:color w:val="auto"/>
                <w:sz w:val="14"/>
              </w:rPr>
            </w:pPr>
          </w:p>
          <w:p>
            <w:pPr>
              <w:pStyle w:val="18"/>
              <w:ind w:left="129" w:right="156"/>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序号</w:t>
            </w:r>
          </w:p>
        </w:tc>
        <w:tc>
          <w:tcPr>
            <w:tcW w:w="5101" w:type="dxa"/>
            <w:tcBorders>
              <w:left w:val="single" w:color="000000" w:sz="8" w:space="0"/>
              <w:bottom w:val="single" w:color="000000" w:sz="8" w:space="0"/>
              <w:right w:val="single" w:color="000000" w:sz="8" w:space="0"/>
            </w:tcBorders>
          </w:tcPr>
          <w:p>
            <w:pPr>
              <w:pStyle w:val="18"/>
              <w:spacing w:before="9"/>
              <w:rPr>
                <w:rFonts w:hint="default" w:ascii="Times New Roman" w:hAnsi="Times New Roman" w:eastAsia="宋体" w:cs="Times New Roman"/>
                <w:b/>
                <w:color w:val="auto"/>
                <w:sz w:val="14"/>
              </w:rPr>
            </w:pPr>
          </w:p>
          <w:p>
            <w:pPr>
              <w:pStyle w:val="18"/>
              <w:ind w:left="320" w:right="308"/>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内容</w:t>
            </w:r>
          </w:p>
        </w:tc>
        <w:tc>
          <w:tcPr>
            <w:tcW w:w="1258" w:type="dxa"/>
            <w:tcBorders>
              <w:left w:val="single" w:color="000000" w:sz="8" w:space="0"/>
              <w:bottom w:val="single" w:color="000000" w:sz="8" w:space="0"/>
              <w:right w:val="single" w:color="000000" w:sz="8" w:space="0"/>
            </w:tcBorders>
          </w:tcPr>
          <w:p>
            <w:pPr>
              <w:pStyle w:val="18"/>
              <w:spacing w:before="54"/>
              <w:ind w:left="205"/>
              <w:rPr>
                <w:rFonts w:hint="default" w:ascii="Times New Roman" w:hAnsi="Times New Roman" w:eastAsia="宋体" w:cs="Times New Roman"/>
                <w:color w:val="auto"/>
                <w:sz w:val="21"/>
              </w:rPr>
            </w:pPr>
            <w:r>
              <w:rPr>
                <w:rFonts w:hint="default" w:ascii="Times New Roman" w:hAnsi="Times New Roman" w:eastAsia="宋体" w:cs="Times New Roman"/>
                <w:color w:val="auto"/>
                <w:w w:val="95"/>
                <w:sz w:val="21"/>
              </w:rPr>
              <w:t>是否建立</w:t>
            </w:r>
          </w:p>
          <w:p>
            <w:pPr>
              <w:pStyle w:val="18"/>
              <w:spacing w:before="3"/>
              <w:ind w:left="205"/>
              <w:rPr>
                <w:rFonts w:hint="default" w:ascii="Times New Roman" w:hAnsi="Times New Roman" w:eastAsia="宋体" w:cs="Times New Roman"/>
                <w:color w:val="auto"/>
                <w:sz w:val="21"/>
              </w:rPr>
            </w:pPr>
            <w:r>
              <w:rPr>
                <w:rFonts w:hint="default" w:ascii="Times New Roman" w:hAnsi="Times New Roman" w:eastAsia="宋体" w:cs="Times New Roman"/>
                <w:color w:val="auto"/>
                <w:w w:val="95"/>
                <w:sz w:val="21"/>
              </w:rPr>
              <w:t>（落实）</w:t>
            </w:r>
          </w:p>
        </w:tc>
        <w:tc>
          <w:tcPr>
            <w:tcW w:w="1930" w:type="dxa"/>
            <w:tcBorders>
              <w:left w:val="single" w:color="000000" w:sz="8" w:space="0"/>
              <w:bottom w:val="single" w:color="000000" w:sz="8" w:space="0"/>
            </w:tcBorders>
          </w:tcPr>
          <w:p>
            <w:pPr>
              <w:pStyle w:val="18"/>
              <w:spacing w:before="54" w:line="242" w:lineRule="auto"/>
              <w:ind w:left="668" w:right="193" w:hanging="4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是否与应急措施相符合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763" w:type="dxa"/>
            <w:tcBorders>
              <w:top w:val="single" w:color="000000" w:sz="8" w:space="0"/>
              <w:bottom w:val="single" w:color="000000" w:sz="8" w:space="0"/>
              <w:right w:val="single" w:color="000000" w:sz="8" w:space="0"/>
            </w:tcBorders>
          </w:tcPr>
          <w:p>
            <w:pPr>
              <w:pStyle w:val="18"/>
              <w:spacing w:before="94"/>
              <w:ind w:right="24"/>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w w:val="99"/>
                <w:sz w:val="21"/>
              </w:rPr>
              <w:t>1</w:t>
            </w:r>
          </w:p>
        </w:tc>
        <w:tc>
          <w:tcPr>
            <w:tcW w:w="5101" w:type="dxa"/>
            <w:tcBorders>
              <w:top w:val="single" w:color="000000" w:sz="8" w:space="0"/>
              <w:left w:val="single" w:color="000000" w:sz="8" w:space="0"/>
              <w:bottom w:val="single" w:color="000000" w:sz="8" w:space="0"/>
              <w:right w:val="single" w:color="000000" w:sz="8" w:space="0"/>
            </w:tcBorders>
          </w:tcPr>
          <w:p>
            <w:pPr>
              <w:pStyle w:val="18"/>
              <w:spacing w:before="81"/>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环境风险防控和应急措施制度</w:t>
            </w:r>
          </w:p>
        </w:tc>
        <w:tc>
          <w:tcPr>
            <w:tcW w:w="1258" w:type="dxa"/>
            <w:tcBorders>
              <w:top w:val="single" w:color="000000" w:sz="8" w:space="0"/>
              <w:left w:val="single" w:color="000000" w:sz="8" w:space="0"/>
              <w:bottom w:val="single" w:color="000000" w:sz="8" w:space="0"/>
              <w:right w:val="single" w:color="000000" w:sz="8" w:space="0"/>
            </w:tcBorders>
          </w:tcPr>
          <w:p>
            <w:pPr>
              <w:pStyle w:val="18"/>
              <w:spacing w:before="81"/>
              <w:ind w:left="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w w:val="99"/>
                <w:sz w:val="21"/>
              </w:rPr>
              <w:t>是</w:t>
            </w:r>
          </w:p>
        </w:tc>
        <w:tc>
          <w:tcPr>
            <w:tcW w:w="1930" w:type="dxa"/>
            <w:tcBorders>
              <w:top w:val="single" w:color="000000" w:sz="8" w:space="0"/>
              <w:left w:val="single" w:color="000000" w:sz="8" w:space="0"/>
              <w:bottom w:val="single" w:color="000000" w:sz="8" w:space="0"/>
            </w:tcBorders>
          </w:tcPr>
          <w:p>
            <w:pPr>
              <w:pStyle w:val="18"/>
              <w:spacing w:before="81"/>
              <w:ind w:left="752" w:right="699"/>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符合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763" w:type="dxa"/>
            <w:tcBorders>
              <w:top w:val="single" w:color="000000" w:sz="8" w:space="0"/>
              <w:bottom w:val="single" w:color="000000" w:sz="8" w:space="0"/>
              <w:right w:val="single" w:color="000000" w:sz="8" w:space="0"/>
            </w:tcBorders>
          </w:tcPr>
          <w:p>
            <w:pPr>
              <w:pStyle w:val="18"/>
              <w:spacing w:before="96"/>
              <w:ind w:right="24"/>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w w:val="99"/>
                <w:sz w:val="21"/>
              </w:rPr>
              <w:t>2</w:t>
            </w:r>
          </w:p>
        </w:tc>
        <w:tc>
          <w:tcPr>
            <w:tcW w:w="5101" w:type="dxa"/>
            <w:tcBorders>
              <w:top w:val="single" w:color="000000" w:sz="8" w:space="0"/>
              <w:left w:val="single" w:color="000000" w:sz="8" w:space="0"/>
              <w:bottom w:val="single" w:color="000000" w:sz="8" w:space="0"/>
              <w:right w:val="single" w:color="000000" w:sz="8" w:space="0"/>
            </w:tcBorders>
          </w:tcPr>
          <w:p>
            <w:pPr>
              <w:pStyle w:val="18"/>
              <w:spacing w:before="80"/>
              <w:ind w:left="320" w:right="308"/>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环境风险防控责任人及责任机构</w:t>
            </w:r>
          </w:p>
        </w:tc>
        <w:tc>
          <w:tcPr>
            <w:tcW w:w="1258" w:type="dxa"/>
            <w:tcBorders>
              <w:top w:val="single" w:color="000000" w:sz="8" w:space="0"/>
              <w:left w:val="single" w:color="000000" w:sz="8" w:space="0"/>
              <w:bottom w:val="single" w:color="000000" w:sz="8" w:space="0"/>
              <w:right w:val="single" w:color="000000" w:sz="8" w:space="0"/>
            </w:tcBorders>
          </w:tcPr>
          <w:p>
            <w:pPr>
              <w:pStyle w:val="18"/>
              <w:spacing w:before="80"/>
              <w:ind w:left="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w w:val="99"/>
                <w:sz w:val="21"/>
              </w:rPr>
              <w:t>是</w:t>
            </w:r>
          </w:p>
        </w:tc>
        <w:tc>
          <w:tcPr>
            <w:tcW w:w="1930" w:type="dxa"/>
            <w:tcBorders>
              <w:top w:val="single" w:color="000000" w:sz="8" w:space="0"/>
              <w:left w:val="single" w:color="000000" w:sz="8" w:space="0"/>
              <w:bottom w:val="single" w:color="000000" w:sz="8" w:space="0"/>
            </w:tcBorders>
          </w:tcPr>
          <w:p>
            <w:pPr>
              <w:pStyle w:val="18"/>
              <w:spacing w:before="80"/>
              <w:ind w:left="752" w:right="699"/>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符合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763" w:type="dxa"/>
            <w:tcBorders>
              <w:top w:val="single" w:color="000000" w:sz="8" w:space="0"/>
              <w:bottom w:val="single" w:color="000000" w:sz="8" w:space="0"/>
              <w:right w:val="single" w:color="000000" w:sz="8" w:space="0"/>
            </w:tcBorders>
          </w:tcPr>
          <w:p>
            <w:pPr>
              <w:pStyle w:val="18"/>
              <w:spacing w:before="95"/>
              <w:ind w:right="24"/>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w w:val="99"/>
                <w:sz w:val="21"/>
              </w:rPr>
              <w:t>3</w:t>
            </w:r>
          </w:p>
        </w:tc>
        <w:tc>
          <w:tcPr>
            <w:tcW w:w="5101" w:type="dxa"/>
            <w:tcBorders>
              <w:top w:val="single" w:color="000000" w:sz="8" w:space="0"/>
              <w:left w:val="single" w:color="000000" w:sz="8" w:space="0"/>
              <w:bottom w:val="single" w:color="000000" w:sz="8" w:space="0"/>
              <w:right w:val="single" w:color="000000" w:sz="8" w:space="0"/>
            </w:tcBorders>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定期巡检和维护责任制度（一月一次）</w:t>
            </w:r>
          </w:p>
        </w:tc>
        <w:tc>
          <w:tcPr>
            <w:tcW w:w="1258" w:type="dxa"/>
            <w:tcBorders>
              <w:top w:val="single" w:color="000000" w:sz="8" w:space="0"/>
              <w:left w:val="single" w:color="000000" w:sz="8" w:space="0"/>
              <w:bottom w:val="single" w:color="000000" w:sz="8" w:space="0"/>
              <w:right w:val="single" w:color="000000" w:sz="8" w:space="0"/>
            </w:tcBorders>
          </w:tcPr>
          <w:p>
            <w:pPr>
              <w:pStyle w:val="18"/>
              <w:spacing w:before="79"/>
              <w:ind w:left="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w w:val="99"/>
                <w:sz w:val="21"/>
              </w:rPr>
              <w:t>是</w:t>
            </w:r>
          </w:p>
        </w:tc>
        <w:tc>
          <w:tcPr>
            <w:tcW w:w="1930" w:type="dxa"/>
            <w:tcBorders>
              <w:top w:val="single" w:color="000000" w:sz="8" w:space="0"/>
              <w:left w:val="single" w:color="000000" w:sz="8" w:space="0"/>
              <w:bottom w:val="single" w:color="000000" w:sz="8" w:space="0"/>
            </w:tcBorders>
          </w:tcPr>
          <w:p>
            <w:pPr>
              <w:pStyle w:val="18"/>
              <w:spacing w:before="79"/>
              <w:ind w:left="752" w:right="699"/>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符合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7" w:hRule="atLeast"/>
        </w:trPr>
        <w:tc>
          <w:tcPr>
            <w:tcW w:w="763" w:type="dxa"/>
            <w:tcBorders>
              <w:top w:val="single" w:color="000000" w:sz="8" w:space="0"/>
              <w:bottom w:val="single" w:color="000000" w:sz="8" w:space="0"/>
              <w:right w:val="single" w:color="000000" w:sz="8" w:space="0"/>
            </w:tcBorders>
          </w:tcPr>
          <w:p>
            <w:pPr>
              <w:pStyle w:val="18"/>
              <w:spacing w:before="193"/>
              <w:ind w:right="24"/>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w w:val="99"/>
                <w:sz w:val="21"/>
              </w:rPr>
              <w:t>4</w:t>
            </w:r>
          </w:p>
        </w:tc>
        <w:tc>
          <w:tcPr>
            <w:tcW w:w="5101" w:type="dxa"/>
            <w:tcBorders>
              <w:top w:val="single" w:color="000000" w:sz="8" w:space="0"/>
              <w:left w:val="single" w:color="000000" w:sz="8" w:space="0"/>
              <w:bottom w:val="single" w:color="000000" w:sz="8" w:space="0"/>
              <w:right w:val="single" w:color="000000" w:sz="8" w:space="0"/>
            </w:tcBorders>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环评及批复中各项环境风险防控和应急措施要求</w:t>
            </w:r>
          </w:p>
        </w:tc>
        <w:tc>
          <w:tcPr>
            <w:tcW w:w="1258" w:type="dxa"/>
            <w:tcBorders>
              <w:top w:val="single" w:color="000000" w:sz="8" w:space="0"/>
              <w:left w:val="single" w:color="000000" w:sz="8" w:space="0"/>
              <w:bottom w:val="single" w:color="000000" w:sz="8" w:space="0"/>
              <w:right w:val="single" w:color="000000" w:sz="8" w:space="0"/>
            </w:tcBorders>
          </w:tcPr>
          <w:p>
            <w:pPr>
              <w:pStyle w:val="18"/>
              <w:spacing w:before="179"/>
              <w:ind w:left="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w w:val="99"/>
                <w:sz w:val="21"/>
              </w:rPr>
              <w:t>是</w:t>
            </w:r>
          </w:p>
        </w:tc>
        <w:tc>
          <w:tcPr>
            <w:tcW w:w="1930" w:type="dxa"/>
            <w:tcBorders>
              <w:top w:val="single" w:color="000000" w:sz="8" w:space="0"/>
              <w:left w:val="single" w:color="000000" w:sz="8" w:space="0"/>
              <w:bottom w:val="single" w:color="000000" w:sz="8" w:space="0"/>
            </w:tcBorders>
          </w:tcPr>
          <w:p>
            <w:pPr>
              <w:pStyle w:val="18"/>
              <w:spacing w:before="179"/>
              <w:ind w:left="752" w:right="699"/>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符合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763" w:type="dxa"/>
            <w:tcBorders>
              <w:top w:val="single" w:color="000000" w:sz="8" w:space="0"/>
              <w:bottom w:val="single" w:color="000000" w:sz="8" w:space="0"/>
              <w:right w:val="single" w:color="000000" w:sz="8" w:space="0"/>
            </w:tcBorders>
          </w:tcPr>
          <w:p>
            <w:pPr>
              <w:pStyle w:val="18"/>
              <w:spacing w:before="191"/>
              <w:ind w:right="24"/>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w w:val="99"/>
                <w:sz w:val="21"/>
              </w:rPr>
              <w:t>5</w:t>
            </w:r>
          </w:p>
        </w:tc>
        <w:tc>
          <w:tcPr>
            <w:tcW w:w="5101" w:type="dxa"/>
            <w:tcBorders>
              <w:top w:val="single" w:color="000000" w:sz="8" w:space="0"/>
              <w:left w:val="single" w:color="000000" w:sz="8" w:space="0"/>
              <w:bottom w:val="single" w:color="000000" w:sz="8" w:space="0"/>
              <w:right w:val="single" w:color="000000" w:sz="8" w:space="0"/>
            </w:tcBorders>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对职工开展环境风险和环境应急管理宣传和培训（一年一次以上）</w:t>
            </w:r>
          </w:p>
        </w:tc>
        <w:tc>
          <w:tcPr>
            <w:tcW w:w="1258" w:type="dxa"/>
            <w:tcBorders>
              <w:top w:val="single" w:color="000000" w:sz="8" w:space="0"/>
              <w:left w:val="single" w:color="000000" w:sz="8" w:space="0"/>
              <w:bottom w:val="single" w:color="000000" w:sz="8" w:space="0"/>
              <w:right w:val="single" w:color="000000" w:sz="8" w:space="0"/>
            </w:tcBorders>
          </w:tcPr>
          <w:p>
            <w:pPr>
              <w:pStyle w:val="18"/>
              <w:spacing w:before="178"/>
              <w:ind w:left="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w w:val="99"/>
                <w:sz w:val="21"/>
              </w:rPr>
              <w:t>是</w:t>
            </w:r>
          </w:p>
        </w:tc>
        <w:tc>
          <w:tcPr>
            <w:tcW w:w="1930" w:type="dxa"/>
            <w:tcBorders>
              <w:top w:val="single" w:color="000000" w:sz="8" w:space="0"/>
              <w:left w:val="single" w:color="000000" w:sz="8" w:space="0"/>
              <w:bottom w:val="single" w:color="000000" w:sz="8" w:space="0"/>
            </w:tcBorders>
          </w:tcPr>
          <w:p>
            <w:pPr>
              <w:pStyle w:val="18"/>
              <w:spacing w:before="178"/>
              <w:ind w:left="752" w:right="699"/>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符合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763" w:type="dxa"/>
            <w:tcBorders>
              <w:top w:val="single" w:color="000000" w:sz="8" w:space="0"/>
              <w:right w:val="single" w:color="000000" w:sz="8" w:space="0"/>
            </w:tcBorders>
          </w:tcPr>
          <w:p>
            <w:pPr>
              <w:pStyle w:val="18"/>
              <w:spacing w:before="123"/>
              <w:ind w:right="24"/>
              <w:jc w:val="center"/>
              <w:rPr>
                <w:rFonts w:hint="eastAsia" w:ascii="宋体" w:hAnsi="宋体" w:eastAsia="宋体" w:cs="宋体"/>
                <w:color w:val="auto"/>
                <w:sz w:val="21"/>
              </w:rPr>
            </w:pPr>
            <w:r>
              <w:rPr>
                <w:rFonts w:hint="eastAsia" w:ascii="宋体" w:hAnsi="宋体" w:eastAsia="宋体" w:cs="宋体"/>
                <w:color w:val="auto"/>
                <w:w w:val="99"/>
                <w:sz w:val="21"/>
              </w:rPr>
              <w:t>6</w:t>
            </w:r>
          </w:p>
        </w:tc>
        <w:tc>
          <w:tcPr>
            <w:tcW w:w="5101" w:type="dxa"/>
            <w:tcBorders>
              <w:top w:val="single" w:color="000000" w:sz="8" w:space="0"/>
              <w:left w:val="single" w:color="000000" w:sz="8" w:space="0"/>
              <w:right w:val="single" w:color="000000" w:sz="8" w:space="0"/>
            </w:tcBorders>
          </w:tcPr>
          <w:p>
            <w:pPr>
              <w:pStyle w:val="18"/>
              <w:spacing w:before="79"/>
              <w:ind w:left="320" w:right="311"/>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建立突发环境事件信息报告制度</w:t>
            </w:r>
          </w:p>
        </w:tc>
        <w:tc>
          <w:tcPr>
            <w:tcW w:w="1258" w:type="dxa"/>
            <w:tcBorders>
              <w:top w:val="single" w:color="000000" w:sz="8" w:space="0"/>
              <w:left w:val="single" w:color="000000" w:sz="8" w:space="0"/>
              <w:right w:val="single" w:color="000000" w:sz="8" w:space="0"/>
            </w:tcBorders>
          </w:tcPr>
          <w:p>
            <w:pPr>
              <w:pStyle w:val="18"/>
              <w:spacing w:before="106"/>
              <w:ind w:left="11"/>
              <w:jc w:val="center"/>
              <w:rPr>
                <w:rFonts w:hint="eastAsia" w:ascii="宋体" w:hAnsi="宋体" w:eastAsia="宋体" w:cs="宋体"/>
                <w:color w:val="auto"/>
                <w:sz w:val="21"/>
              </w:rPr>
            </w:pPr>
            <w:r>
              <w:rPr>
                <w:rFonts w:hint="eastAsia" w:ascii="宋体" w:hAnsi="宋体" w:eastAsia="宋体" w:cs="宋体"/>
                <w:color w:val="auto"/>
                <w:w w:val="99"/>
                <w:sz w:val="21"/>
              </w:rPr>
              <w:t>是</w:t>
            </w:r>
          </w:p>
        </w:tc>
        <w:tc>
          <w:tcPr>
            <w:tcW w:w="1930" w:type="dxa"/>
            <w:tcBorders>
              <w:top w:val="single" w:color="000000" w:sz="8" w:space="0"/>
              <w:left w:val="single" w:color="000000" w:sz="8" w:space="0"/>
            </w:tcBorders>
          </w:tcPr>
          <w:p>
            <w:pPr>
              <w:pStyle w:val="18"/>
              <w:spacing w:before="106"/>
              <w:ind w:left="752" w:right="699"/>
              <w:jc w:val="center"/>
              <w:rPr>
                <w:rFonts w:hint="eastAsia" w:ascii="宋体" w:hAnsi="宋体" w:eastAsia="宋体" w:cs="宋体"/>
                <w:color w:val="auto"/>
                <w:sz w:val="21"/>
              </w:rPr>
            </w:pPr>
            <w:r>
              <w:rPr>
                <w:rFonts w:hint="eastAsia" w:ascii="宋体" w:hAnsi="宋体" w:eastAsia="宋体" w:cs="宋体"/>
                <w:color w:val="auto"/>
                <w:sz w:val="21"/>
              </w:rPr>
              <w:t>符合</w:t>
            </w:r>
          </w:p>
        </w:tc>
      </w:tr>
    </w:tbl>
    <w:p>
      <w:pPr>
        <w:pStyle w:val="3"/>
        <w:numPr>
          <w:ilvl w:val="1"/>
          <w:numId w:val="1"/>
        </w:numPr>
        <w:tabs>
          <w:tab w:val="left" w:pos="1308"/>
        </w:tabs>
        <w:spacing w:before="200" w:after="0" w:line="240" w:lineRule="auto"/>
        <w:ind w:left="919" w:leftChars="0" w:right="0" w:hanging="481" w:firstLineChars="0"/>
        <w:jc w:val="left"/>
        <w:outlineLvl w:val="0"/>
        <w:rPr>
          <w:color w:val="auto"/>
        </w:rPr>
      </w:pPr>
      <w:bookmarkStart w:id="145" w:name="5.2环境风险防控与应急措施"/>
      <w:bookmarkEnd w:id="145"/>
      <w:bookmarkStart w:id="146" w:name="_bookmark21"/>
      <w:bookmarkEnd w:id="146"/>
      <w:bookmarkStart w:id="147" w:name="_bookmark21"/>
      <w:bookmarkEnd w:id="147"/>
      <w:bookmarkStart w:id="148" w:name="_Toc31752"/>
      <w:bookmarkStart w:id="149" w:name="_Toc362"/>
      <w:r>
        <w:rPr>
          <w:color w:val="auto"/>
        </w:rPr>
        <w:t>环境风险防控与应急措施</w:t>
      </w:r>
      <w:bookmarkEnd w:id="148"/>
      <w:bookmarkEnd w:id="149"/>
    </w:p>
    <w:p>
      <w:pPr>
        <w:pStyle w:val="5"/>
        <w:spacing w:before="237"/>
        <w:ind w:left="748"/>
        <w:rPr>
          <w:color w:val="auto"/>
        </w:rPr>
      </w:pPr>
      <w:r>
        <w:rPr>
          <w:color w:val="auto"/>
        </w:rPr>
        <w:t xml:space="preserve">环境风险防控与应急措施见表 </w:t>
      </w:r>
      <w:r>
        <w:rPr>
          <w:rFonts w:ascii="Times New Roman" w:eastAsia="Times New Roman"/>
          <w:color w:val="auto"/>
        </w:rPr>
        <w:t>5.2-1</w:t>
      </w:r>
      <w:r>
        <w:rPr>
          <w:color w:val="auto"/>
        </w:rPr>
        <w:t>。</w:t>
      </w:r>
    </w:p>
    <w:p>
      <w:pPr>
        <w:tabs>
          <w:tab w:val="left" w:pos="1039"/>
        </w:tabs>
        <w:spacing w:before="135"/>
        <w:ind w:left="0" w:right="206" w:firstLine="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表</w:t>
      </w:r>
      <w:r>
        <w:rPr>
          <w:rFonts w:hint="default" w:ascii="Times New Roman" w:hAnsi="Times New Roman" w:eastAsia="宋体" w:cs="Times New Roman"/>
          <w:b/>
          <w:color w:val="auto"/>
          <w:spacing w:val="-62"/>
          <w:sz w:val="24"/>
        </w:rPr>
        <w:t xml:space="preserve"> </w:t>
      </w:r>
      <w:r>
        <w:rPr>
          <w:rFonts w:hint="default" w:ascii="Times New Roman" w:hAnsi="Times New Roman" w:eastAsia="宋体" w:cs="Times New Roman"/>
          <w:b/>
          <w:color w:val="auto"/>
          <w:sz w:val="24"/>
        </w:rPr>
        <w:t>5.2-1</w:t>
      </w:r>
      <w:r>
        <w:rPr>
          <w:rFonts w:hint="default" w:ascii="Times New Roman" w:hAnsi="Times New Roman" w:eastAsia="宋体" w:cs="Times New Roman"/>
          <w:b/>
          <w:color w:val="auto"/>
          <w:sz w:val="24"/>
        </w:rPr>
        <w:tab/>
      </w:r>
      <w:r>
        <w:rPr>
          <w:rFonts w:hint="default" w:ascii="Times New Roman" w:hAnsi="Times New Roman" w:eastAsia="宋体" w:cs="Times New Roman"/>
          <w:b/>
          <w:color w:val="auto"/>
          <w:sz w:val="24"/>
        </w:rPr>
        <w:t>环境风险防控与应急措施</w:t>
      </w:r>
    </w:p>
    <w:p>
      <w:pPr>
        <w:pStyle w:val="5"/>
        <w:spacing w:before="12"/>
        <w:rPr>
          <w:rFonts w:hint="default" w:ascii="Times New Roman" w:hAnsi="Times New Roman" w:eastAsia="宋体" w:cs="Times New Roman"/>
          <w:b/>
          <w:color w:val="auto"/>
          <w:sz w:val="6"/>
        </w:rPr>
      </w:pPr>
      <w:r>
        <w:rPr>
          <w:rFonts w:hint="default" w:ascii="Times New Roman" w:hAnsi="Times New Roman" w:eastAsia="宋体" w:cs="Times New Roman"/>
          <w:color w:val="auto"/>
        </w:rPr>
        <mc:AlternateContent>
          <mc:Choice Requires="wps">
            <w:drawing>
              <wp:anchor distT="0" distB="0" distL="114300" distR="114300" simplePos="0" relativeHeight="251662336" behindDoc="1" locked="0" layoutInCell="1" allowOverlap="1">
                <wp:simplePos x="0" y="0"/>
                <wp:positionH relativeFrom="page">
                  <wp:posOffset>1089025</wp:posOffset>
                </wp:positionH>
                <wp:positionV relativeFrom="paragraph">
                  <wp:posOffset>33655</wp:posOffset>
                </wp:positionV>
                <wp:extent cx="5866765" cy="2543810"/>
                <wp:effectExtent l="0" t="3576320" r="635" b="0"/>
                <wp:wrapNone/>
                <wp:docPr id="6" name="任意多边形 41"/>
                <wp:cNvGraphicFramePr/>
                <a:graphic xmlns:a="http://schemas.openxmlformats.org/drawingml/2006/main">
                  <a:graphicData uri="http://schemas.microsoft.com/office/word/2010/wordprocessingShape">
                    <wps:wsp>
                      <wps:cNvSpPr/>
                      <wps:spPr>
                        <a:xfrm>
                          <a:off x="0" y="0"/>
                          <a:ext cx="5866765" cy="2543810"/>
                        </a:xfrm>
                        <a:custGeom>
                          <a:avLst/>
                          <a:gdLst/>
                          <a:ahLst/>
                          <a:cxnLst/>
                          <a:pathLst>
                            <a:path w="9239" h="4006">
                              <a:moveTo>
                                <a:pt x="0" y="-5618"/>
                              </a:moveTo>
                              <a:lnTo>
                                <a:pt x="9238" y="-5618"/>
                              </a:lnTo>
                              <a:moveTo>
                                <a:pt x="0" y="-1641"/>
                              </a:moveTo>
                              <a:lnTo>
                                <a:pt x="9238" y="-1641"/>
                              </a:lnTo>
                              <a:moveTo>
                                <a:pt x="14" y="-5632"/>
                              </a:moveTo>
                              <a:lnTo>
                                <a:pt x="14" y="-1627"/>
                              </a:lnTo>
                              <a:moveTo>
                                <a:pt x="9224" y="-5604"/>
                              </a:moveTo>
                              <a:lnTo>
                                <a:pt x="9224" y="-1627"/>
                              </a:lnTo>
                            </a:path>
                          </a:pathLst>
                        </a:custGeom>
                        <a:noFill/>
                        <a:ln w="18288" cap="flat" cmpd="sng">
                          <a:solidFill>
                            <a:srgbClr val="000000"/>
                          </a:solidFill>
                          <a:prstDash val="solid"/>
                          <a:headEnd type="none" w="med" len="med"/>
                          <a:tailEnd type="none" w="med" len="med"/>
                        </a:ln>
                      </wps:spPr>
                      <wps:bodyPr upright="1"/>
                    </wps:wsp>
                  </a:graphicData>
                </a:graphic>
              </wp:anchor>
            </w:drawing>
          </mc:Choice>
          <mc:Fallback>
            <w:pict>
              <v:shape id="任意多边形 41" o:spid="_x0000_s1026" o:spt="100" style="position:absolute;left:0pt;margin-left:85.75pt;margin-top:2.65pt;height:200.3pt;width:461.95pt;mso-position-horizontal-relative:page;z-index:-251654144;mso-width-relative:page;mso-height-relative:page;" filled="f" stroked="t" coordsize="9239,4006" o:gfxdata="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H1oKyjZAAAACgEAAA8AAAAAAAAAAQAgAAAAIgAAAGRycy9k&#10;b3ducmV2LnhtbFBLAQIUABQAAAAIAIdO4kCqKg9OcwIAAKIFAAAOAAAAAAAAAAEAIAAAACgBAABk&#10;cnMvZTJvRG9jLnhtbFBLBQYAAAAABgAGAFkBAAANBgAAAAA=&#10;" path="m0,-5618l9238,-5618m0,-1641l9238,-1641m14,-5632l14,-1627m9224,-5604l9224,-1627e">
                <v:fill on="f" focussize="0,0"/>
                <v:stroke weight="1.44pt" color="#000000" joinstyle="round"/>
                <v:imagedata o:title=""/>
                <o:lock v:ext="edit" aspectratio="f"/>
              </v:shape>
            </w:pict>
          </mc:Fallback>
        </mc:AlternateContent>
      </w:r>
    </w:p>
    <w:tbl>
      <w:tblPr>
        <w:tblStyle w:val="13"/>
        <w:tblW w:w="5452" w:type="pct"/>
        <w:jc w:val="center"/>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Layout w:type="autofit"/>
        <w:tblCellMar>
          <w:top w:w="0" w:type="dxa"/>
          <w:left w:w="0" w:type="dxa"/>
          <w:bottom w:w="0" w:type="dxa"/>
          <w:right w:w="0" w:type="dxa"/>
        </w:tblCellMar>
      </w:tblPr>
      <w:tblGrid>
        <w:gridCol w:w="886"/>
        <w:gridCol w:w="2946"/>
        <w:gridCol w:w="2031"/>
        <w:gridCol w:w="3257"/>
      </w:tblGrid>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651" w:hRule="atLeast"/>
          <w:jc w:val="center"/>
        </w:trPr>
        <w:tc>
          <w:tcPr>
            <w:tcW w:w="486"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序号</w:t>
            </w:r>
          </w:p>
        </w:tc>
        <w:tc>
          <w:tcPr>
            <w:tcW w:w="1615"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内</w:t>
            </w:r>
            <w:r>
              <w:rPr>
                <w:rFonts w:hint="default" w:ascii="Times New Roman" w:hAnsi="Times New Roman" w:eastAsia="宋体" w:cs="Times New Roman"/>
                <w:color w:val="auto"/>
                <w:sz w:val="21"/>
              </w:rPr>
              <w:tab/>
            </w:r>
            <w:r>
              <w:rPr>
                <w:rFonts w:hint="default" w:ascii="Times New Roman" w:hAnsi="Times New Roman" w:eastAsia="宋体" w:cs="Times New Roman"/>
                <w:color w:val="auto"/>
                <w:sz w:val="21"/>
              </w:rPr>
              <w:t>容</w:t>
            </w:r>
          </w:p>
        </w:tc>
        <w:tc>
          <w:tcPr>
            <w:tcW w:w="1113"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是否设置</w:t>
            </w:r>
          </w:p>
        </w:tc>
        <w:tc>
          <w:tcPr>
            <w:tcW w:w="1785"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是否与应急措施相符合</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596" w:hRule="atLeast"/>
          <w:jc w:val="center"/>
        </w:trPr>
        <w:tc>
          <w:tcPr>
            <w:tcW w:w="486"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1</w:t>
            </w:r>
          </w:p>
        </w:tc>
        <w:tc>
          <w:tcPr>
            <w:tcW w:w="1615"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对排气口、废水排放口进行定期监测并设置岗位责任制</w:t>
            </w:r>
          </w:p>
        </w:tc>
        <w:tc>
          <w:tcPr>
            <w:tcW w:w="1113"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是</w:t>
            </w:r>
          </w:p>
        </w:tc>
        <w:tc>
          <w:tcPr>
            <w:tcW w:w="1785"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符合</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2035" w:hRule="atLeast"/>
          <w:jc w:val="center"/>
        </w:trPr>
        <w:tc>
          <w:tcPr>
            <w:tcW w:w="486"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2</w:t>
            </w:r>
          </w:p>
        </w:tc>
        <w:tc>
          <w:tcPr>
            <w:tcW w:w="1615"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根据事故废水排放事故设截留措施</w:t>
            </w:r>
          </w:p>
        </w:tc>
        <w:tc>
          <w:tcPr>
            <w:tcW w:w="1113"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是</w:t>
            </w:r>
          </w:p>
        </w:tc>
        <w:tc>
          <w:tcPr>
            <w:tcW w:w="1785" w:type="pct"/>
            <w:tcBorders>
              <w:tl2br w:val="nil"/>
              <w:tr2bl w:val="nil"/>
            </w:tcBorders>
            <w:vAlign w:val="center"/>
          </w:tcPr>
          <w:p>
            <w:pPr>
              <w:pStyle w:val="18"/>
              <w:spacing w:before="79"/>
              <w:ind w:left="320" w:right="311"/>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符合，各个环境风险单元采取特殊防渗措施，厂区四周设置环形导流沟，项目</w:t>
            </w:r>
            <w:r>
              <w:rPr>
                <w:rFonts w:hint="eastAsia" w:ascii="Times New Roman" w:hAnsi="Times New Roman" w:eastAsia="宋体" w:cs="Times New Roman"/>
                <w:color w:val="auto"/>
                <w:sz w:val="21"/>
                <w:lang w:val="en-US" w:eastAsia="zh-CN"/>
              </w:rPr>
              <w:t>区域</w:t>
            </w:r>
            <w:r>
              <w:rPr>
                <w:rFonts w:hint="default" w:ascii="Times New Roman" w:hAnsi="Times New Roman" w:eastAsia="宋体" w:cs="Times New Roman"/>
                <w:color w:val="auto"/>
                <w:sz w:val="21"/>
              </w:rPr>
              <w:t>内无事故池，如遇泄漏污染物泄露，及时采取消防砂围堵，确保事故情况下的泄漏污染物能够合理收集和处置。</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707" w:hRule="atLeast"/>
          <w:jc w:val="center"/>
        </w:trPr>
        <w:tc>
          <w:tcPr>
            <w:tcW w:w="486" w:type="pct"/>
            <w:tcBorders>
              <w:tl2br w:val="nil"/>
              <w:tr2bl w:val="nil"/>
            </w:tcBorders>
            <w:vAlign w:val="center"/>
          </w:tcPr>
          <w:p>
            <w:pPr>
              <w:pStyle w:val="18"/>
              <w:spacing w:before="79"/>
              <w:ind w:left="320" w:right="311"/>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3</w:t>
            </w:r>
          </w:p>
        </w:tc>
        <w:tc>
          <w:tcPr>
            <w:tcW w:w="1615" w:type="pct"/>
            <w:tcBorders>
              <w:tl2br w:val="nil"/>
              <w:tr2bl w:val="nil"/>
            </w:tcBorders>
            <w:vAlign w:val="center"/>
          </w:tcPr>
          <w:p>
            <w:pPr>
              <w:pStyle w:val="18"/>
              <w:spacing w:before="79"/>
              <w:ind w:left="320" w:right="311"/>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设置废气在线监测装置</w:t>
            </w:r>
          </w:p>
        </w:tc>
        <w:tc>
          <w:tcPr>
            <w:tcW w:w="1113" w:type="pct"/>
            <w:tcBorders>
              <w:tl2br w:val="nil"/>
              <w:tr2bl w:val="nil"/>
            </w:tcBorders>
            <w:vAlign w:val="center"/>
          </w:tcPr>
          <w:p>
            <w:pPr>
              <w:pStyle w:val="18"/>
              <w:spacing w:before="79"/>
              <w:ind w:left="320" w:right="311"/>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否</w:t>
            </w:r>
          </w:p>
        </w:tc>
        <w:tc>
          <w:tcPr>
            <w:tcW w:w="1785" w:type="pct"/>
            <w:tcBorders>
              <w:tl2br w:val="nil"/>
              <w:tr2bl w:val="nil"/>
            </w:tcBorders>
            <w:vAlign w:val="center"/>
          </w:tcPr>
          <w:p>
            <w:pPr>
              <w:pStyle w:val="18"/>
              <w:spacing w:before="79"/>
              <w:ind w:left="320" w:right="311"/>
              <w:jc w:val="center"/>
              <w:rPr>
                <w:rFonts w:hint="eastAsia" w:ascii="Times New Roman" w:hAnsi="Times New Roman" w:eastAsia="宋体" w:cs="Times New Roman"/>
                <w:color w:val="auto"/>
                <w:sz w:val="21"/>
              </w:rPr>
            </w:pPr>
            <w:r>
              <w:rPr>
                <w:rFonts w:hint="eastAsia" w:ascii="Times New Roman" w:hAnsi="Times New Roman" w:eastAsia="宋体" w:cs="Times New Roman"/>
                <w:color w:val="auto"/>
                <w:sz w:val="21"/>
              </w:rPr>
              <w:t>不符合，废气采取人工定期监测</w:t>
            </w:r>
          </w:p>
        </w:tc>
      </w:tr>
    </w:tbl>
    <w:p>
      <w:pPr>
        <w:pStyle w:val="3"/>
        <w:numPr>
          <w:ilvl w:val="1"/>
          <w:numId w:val="1"/>
        </w:numPr>
        <w:tabs>
          <w:tab w:val="left" w:pos="1308"/>
        </w:tabs>
        <w:spacing w:before="198" w:after="0" w:line="360" w:lineRule="auto"/>
        <w:ind w:left="919" w:leftChars="0" w:right="0" w:hanging="481" w:firstLineChars="0"/>
        <w:jc w:val="left"/>
        <w:outlineLvl w:val="0"/>
        <w:rPr>
          <w:color w:val="auto"/>
        </w:rPr>
      </w:pPr>
      <w:bookmarkStart w:id="150" w:name="_bookmark22"/>
      <w:bookmarkEnd w:id="150"/>
      <w:bookmarkStart w:id="151" w:name="_bookmark22"/>
      <w:bookmarkEnd w:id="151"/>
      <w:bookmarkStart w:id="152" w:name="5.3环境应急资源"/>
      <w:bookmarkEnd w:id="152"/>
      <w:bookmarkStart w:id="153" w:name="_Toc28660"/>
      <w:bookmarkStart w:id="154" w:name="_Toc252"/>
      <w:r>
        <w:rPr>
          <w:color w:val="auto"/>
        </w:rPr>
        <w:t>环境应急资源</w:t>
      </w:r>
      <w:bookmarkEnd w:id="153"/>
      <w:bookmarkEnd w:id="154"/>
    </w:p>
    <w:p>
      <w:pPr>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left"/>
        <w:textAlignment w:val="auto"/>
        <w:rPr>
          <w:rFonts w:hint="eastAsia" w:ascii="宋体" w:hAnsi="宋体" w:eastAsia="宋体" w:cs="宋体"/>
          <w:color w:val="auto"/>
        </w:rPr>
      </w:pPr>
      <w:r>
        <w:rPr>
          <w:rFonts w:hint="eastAsia" w:ascii="宋体" w:hAnsi="宋体" w:eastAsia="宋体" w:cs="宋体"/>
          <w:color w:val="auto"/>
          <w:sz w:val="28"/>
          <w:szCs w:val="28"/>
          <w:lang w:val="zh-CN" w:eastAsia="zh-CN" w:bidi="zh-CN"/>
        </w:rPr>
        <w:t>环境应急资源见表 5.3-1。</w:t>
      </w:r>
    </w:p>
    <w:p>
      <w:pPr>
        <w:spacing w:before="66"/>
        <w:ind w:left="222" w:right="428" w:firstLine="0"/>
        <w:jc w:val="center"/>
        <w:rPr>
          <w:b/>
          <w:color w:val="auto"/>
          <w:sz w:val="24"/>
        </w:rPr>
      </w:pPr>
      <w:r>
        <w:rPr>
          <w:b/>
          <w:color w:val="auto"/>
          <w:sz w:val="24"/>
        </w:rPr>
        <w:t xml:space="preserve">表 </w:t>
      </w:r>
      <w:r>
        <w:rPr>
          <w:rFonts w:ascii="Times New Roman" w:eastAsia="Times New Roman"/>
          <w:b/>
          <w:color w:val="auto"/>
          <w:sz w:val="24"/>
        </w:rPr>
        <w:t xml:space="preserve">5.3-1  </w:t>
      </w:r>
      <w:r>
        <w:rPr>
          <w:b/>
          <w:color w:val="auto"/>
          <w:sz w:val="24"/>
        </w:rPr>
        <w:t>环境应急资源</w:t>
      </w:r>
    </w:p>
    <w:tbl>
      <w:tblPr>
        <w:tblStyle w:val="13"/>
        <w:tblW w:w="4998" w:type="pct"/>
        <w:jc w:val="center"/>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Layout w:type="autofit"/>
        <w:tblCellMar>
          <w:top w:w="0" w:type="dxa"/>
          <w:left w:w="0" w:type="dxa"/>
          <w:bottom w:w="0" w:type="dxa"/>
          <w:right w:w="0" w:type="dxa"/>
        </w:tblCellMar>
      </w:tblPr>
      <w:tblGrid>
        <w:gridCol w:w="1005"/>
        <w:gridCol w:w="3503"/>
        <w:gridCol w:w="1342"/>
        <w:gridCol w:w="2511"/>
      </w:tblGrid>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648" w:hRule="atLeast"/>
          <w:jc w:val="center"/>
        </w:trPr>
        <w:tc>
          <w:tcPr>
            <w:tcW w:w="601"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color w:val="auto"/>
                <w:sz w:val="21"/>
              </w:rPr>
            </w:pPr>
            <w:r>
              <w:rPr>
                <w:rFonts w:hint="eastAsia" w:ascii="宋体" w:hAnsi="宋体" w:eastAsia="宋体" w:cs="宋体"/>
                <w:b/>
                <w:color w:val="auto"/>
                <w:sz w:val="21"/>
              </w:rPr>
              <w:t>序号</w:t>
            </w:r>
          </w:p>
        </w:tc>
        <w:tc>
          <w:tcPr>
            <w:tcW w:w="2094"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color w:val="auto"/>
                <w:sz w:val="21"/>
              </w:rPr>
            </w:pPr>
            <w:r>
              <w:rPr>
                <w:rFonts w:hint="eastAsia" w:ascii="宋体" w:hAnsi="宋体" w:eastAsia="宋体" w:cs="宋体"/>
                <w:b/>
                <w:color w:val="auto"/>
                <w:sz w:val="21"/>
              </w:rPr>
              <w:t>内容</w:t>
            </w:r>
          </w:p>
        </w:tc>
        <w:tc>
          <w:tcPr>
            <w:tcW w:w="802"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color w:val="auto"/>
                <w:sz w:val="21"/>
              </w:rPr>
            </w:pPr>
            <w:r>
              <w:rPr>
                <w:rFonts w:hint="eastAsia" w:ascii="宋体" w:hAnsi="宋体" w:eastAsia="宋体" w:cs="宋体"/>
                <w:b/>
                <w:color w:val="auto"/>
                <w:sz w:val="21"/>
              </w:rPr>
              <w:t>是否配备</w:t>
            </w:r>
          </w:p>
        </w:tc>
        <w:tc>
          <w:tcPr>
            <w:tcW w:w="1501"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color w:val="auto"/>
                <w:sz w:val="21"/>
              </w:rPr>
            </w:pPr>
            <w:r>
              <w:rPr>
                <w:rFonts w:hint="eastAsia" w:ascii="宋体" w:hAnsi="宋体" w:eastAsia="宋体" w:cs="宋体"/>
                <w:b/>
                <w:color w:val="auto"/>
                <w:sz w:val="21"/>
              </w:rPr>
              <w:t>是否与应急措施相符合</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437" w:hRule="atLeast"/>
          <w:jc w:val="center"/>
        </w:trPr>
        <w:tc>
          <w:tcPr>
            <w:tcW w:w="601" w:type="pct"/>
            <w:tcBorders>
              <w:tl2br w:val="nil"/>
              <w:tr2bl w:val="nil"/>
            </w:tcBorders>
            <w:vAlign w:val="center"/>
          </w:tcPr>
          <w:p>
            <w:pPr>
              <w:pStyle w:val="18"/>
              <w:spacing w:before="96"/>
              <w:ind w:right="24"/>
              <w:jc w:val="center"/>
              <w:rPr>
                <w:rFonts w:hint="eastAsia" w:ascii="宋体" w:hAnsi="宋体" w:eastAsia="宋体" w:cs="宋体"/>
                <w:color w:val="auto"/>
                <w:sz w:val="21"/>
              </w:rPr>
            </w:pPr>
            <w:r>
              <w:rPr>
                <w:rFonts w:hint="eastAsia" w:ascii="宋体" w:hAnsi="宋体" w:eastAsia="宋体" w:cs="宋体"/>
                <w:color w:val="auto"/>
                <w:w w:val="99"/>
                <w:sz w:val="21"/>
              </w:rPr>
              <w:t>1</w:t>
            </w:r>
          </w:p>
        </w:tc>
        <w:tc>
          <w:tcPr>
            <w:tcW w:w="2094"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val="0"/>
                <w:bCs/>
                <w:color w:val="auto"/>
                <w:sz w:val="21"/>
              </w:rPr>
            </w:pPr>
            <w:r>
              <w:rPr>
                <w:rFonts w:hint="eastAsia" w:ascii="宋体" w:hAnsi="宋体" w:eastAsia="宋体" w:cs="宋体"/>
                <w:b w:val="0"/>
                <w:bCs/>
                <w:color w:val="auto"/>
                <w:sz w:val="21"/>
              </w:rPr>
              <w:t>必要的应急物资和应急装备</w:t>
            </w:r>
          </w:p>
        </w:tc>
        <w:tc>
          <w:tcPr>
            <w:tcW w:w="802"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val="0"/>
                <w:bCs/>
                <w:color w:val="auto"/>
                <w:sz w:val="21"/>
              </w:rPr>
            </w:pPr>
            <w:r>
              <w:rPr>
                <w:rFonts w:hint="eastAsia" w:ascii="宋体" w:hAnsi="宋体" w:eastAsia="宋体" w:cs="宋体"/>
                <w:b w:val="0"/>
                <w:bCs/>
                <w:color w:val="auto"/>
                <w:sz w:val="21"/>
              </w:rPr>
              <w:t>是</w:t>
            </w:r>
          </w:p>
        </w:tc>
        <w:tc>
          <w:tcPr>
            <w:tcW w:w="1501"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val="0"/>
                <w:bCs/>
                <w:color w:val="auto"/>
                <w:sz w:val="21"/>
              </w:rPr>
            </w:pPr>
            <w:r>
              <w:rPr>
                <w:rFonts w:hint="eastAsia" w:ascii="宋体" w:hAnsi="宋体" w:eastAsia="宋体" w:cs="宋体"/>
                <w:b w:val="0"/>
                <w:bCs/>
                <w:color w:val="auto"/>
                <w:sz w:val="21"/>
              </w:rPr>
              <w:t>符合</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437" w:hRule="atLeast"/>
          <w:jc w:val="center"/>
        </w:trPr>
        <w:tc>
          <w:tcPr>
            <w:tcW w:w="601" w:type="pct"/>
            <w:tcBorders>
              <w:tl2br w:val="nil"/>
              <w:tr2bl w:val="nil"/>
            </w:tcBorders>
            <w:vAlign w:val="center"/>
          </w:tcPr>
          <w:p>
            <w:pPr>
              <w:pStyle w:val="18"/>
              <w:spacing w:before="97"/>
              <w:ind w:right="24"/>
              <w:jc w:val="center"/>
              <w:rPr>
                <w:rFonts w:hint="eastAsia" w:ascii="宋体" w:hAnsi="宋体" w:eastAsia="宋体" w:cs="宋体"/>
                <w:color w:val="auto"/>
                <w:sz w:val="21"/>
              </w:rPr>
            </w:pPr>
            <w:r>
              <w:rPr>
                <w:rFonts w:hint="eastAsia" w:ascii="宋体" w:hAnsi="宋体" w:eastAsia="宋体" w:cs="宋体"/>
                <w:color w:val="auto"/>
                <w:w w:val="99"/>
                <w:sz w:val="21"/>
              </w:rPr>
              <w:t>2</w:t>
            </w:r>
          </w:p>
        </w:tc>
        <w:tc>
          <w:tcPr>
            <w:tcW w:w="2094"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val="0"/>
                <w:bCs/>
                <w:color w:val="auto"/>
                <w:sz w:val="21"/>
              </w:rPr>
            </w:pPr>
            <w:r>
              <w:rPr>
                <w:rFonts w:hint="eastAsia" w:ascii="宋体" w:hAnsi="宋体" w:eastAsia="宋体" w:cs="宋体"/>
                <w:b w:val="0"/>
                <w:bCs/>
                <w:color w:val="auto"/>
                <w:sz w:val="21"/>
              </w:rPr>
              <w:t>设置专职人员组成的应急救援队伍</w:t>
            </w:r>
          </w:p>
        </w:tc>
        <w:tc>
          <w:tcPr>
            <w:tcW w:w="802"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val="0"/>
                <w:bCs/>
                <w:color w:val="auto"/>
                <w:sz w:val="21"/>
              </w:rPr>
            </w:pPr>
            <w:r>
              <w:rPr>
                <w:rFonts w:hint="eastAsia" w:ascii="宋体" w:hAnsi="宋体" w:eastAsia="宋体" w:cs="宋体"/>
                <w:b w:val="0"/>
                <w:bCs/>
                <w:color w:val="auto"/>
                <w:sz w:val="21"/>
              </w:rPr>
              <w:t>是</w:t>
            </w:r>
          </w:p>
        </w:tc>
        <w:tc>
          <w:tcPr>
            <w:tcW w:w="1501"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val="0"/>
                <w:bCs/>
                <w:color w:val="auto"/>
                <w:sz w:val="21"/>
              </w:rPr>
            </w:pPr>
            <w:r>
              <w:rPr>
                <w:rFonts w:hint="eastAsia" w:ascii="宋体" w:hAnsi="宋体" w:eastAsia="宋体" w:cs="宋体"/>
                <w:b w:val="0"/>
                <w:bCs/>
                <w:color w:val="auto"/>
                <w:sz w:val="21"/>
              </w:rPr>
              <w:t>符合</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693" w:hRule="atLeast"/>
          <w:jc w:val="center"/>
        </w:trPr>
        <w:tc>
          <w:tcPr>
            <w:tcW w:w="601" w:type="pct"/>
            <w:tcBorders>
              <w:tl2br w:val="nil"/>
              <w:tr2bl w:val="nil"/>
            </w:tcBorders>
            <w:vAlign w:val="center"/>
          </w:tcPr>
          <w:p>
            <w:pPr>
              <w:pStyle w:val="18"/>
              <w:ind w:right="24"/>
              <w:jc w:val="center"/>
              <w:rPr>
                <w:rFonts w:hint="eastAsia" w:ascii="宋体" w:hAnsi="宋体" w:eastAsia="宋体" w:cs="宋体"/>
                <w:color w:val="auto"/>
                <w:sz w:val="21"/>
              </w:rPr>
            </w:pPr>
            <w:r>
              <w:rPr>
                <w:rFonts w:hint="eastAsia" w:ascii="宋体" w:hAnsi="宋体" w:eastAsia="宋体" w:cs="宋体"/>
                <w:color w:val="auto"/>
                <w:w w:val="99"/>
                <w:sz w:val="21"/>
              </w:rPr>
              <w:t>3</w:t>
            </w:r>
          </w:p>
        </w:tc>
        <w:tc>
          <w:tcPr>
            <w:tcW w:w="2094"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val="0"/>
                <w:bCs/>
                <w:color w:val="auto"/>
                <w:sz w:val="21"/>
              </w:rPr>
            </w:pPr>
            <w:r>
              <w:rPr>
                <w:rFonts w:hint="eastAsia" w:ascii="宋体" w:hAnsi="宋体" w:eastAsia="宋体" w:cs="宋体"/>
                <w:b w:val="0"/>
                <w:bCs/>
                <w:color w:val="auto"/>
                <w:sz w:val="21"/>
              </w:rPr>
              <w:t>与其他单位、组织签订应急救援协议</w:t>
            </w:r>
          </w:p>
        </w:tc>
        <w:tc>
          <w:tcPr>
            <w:tcW w:w="802"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val="0"/>
                <w:bCs/>
                <w:color w:val="auto"/>
                <w:sz w:val="21"/>
              </w:rPr>
            </w:pPr>
            <w:r>
              <w:rPr>
                <w:rFonts w:hint="eastAsia" w:ascii="宋体" w:hAnsi="宋体" w:eastAsia="宋体" w:cs="宋体"/>
                <w:b w:val="0"/>
                <w:bCs/>
                <w:color w:val="auto"/>
                <w:sz w:val="21"/>
              </w:rPr>
              <w:t>否</w:t>
            </w:r>
          </w:p>
        </w:tc>
        <w:tc>
          <w:tcPr>
            <w:tcW w:w="1501"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ind w:left="0" w:right="0"/>
              <w:jc w:val="center"/>
              <w:textAlignment w:val="auto"/>
              <w:rPr>
                <w:rFonts w:hint="eastAsia" w:ascii="宋体" w:hAnsi="宋体" w:eastAsia="宋体" w:cs="宋体"/>
                <w:b w:val="0"/>
                <w:bCs/>
                <w:color w:val="auto"/>
                <w:sz w:val="21"/>
              </w:rPr>
            </w:pPr>
            <w:r>
              <w:rPr>
                <w:rFonts w:hint="eastAsia" w:ascii="宋体" w:hAnsi="宋体" w:eastAsia="宋体" w:cs="宋体"/>
                <w:b w:val="0"/>
                <w:bCs/>
                <w:color w:val="auto"/>
                <w:sz w:val="21"/>
              </w:rPr>
              <w:t>不符合，暂时未与其他单位签订应急救援协议</w:t>
            </w:r>
          </w:p>
        </w:tc>
      </w:tr>
    </w:tbl>
    <w:p>
      <w:pPr>
        <w:pStyle w:val="5"/>
        <w:spacing w:before="10"/>
        <w:rPr>
          <w:b/>
          <w:color w:val="auto"/>
          <w:sz w:val="6"/>
        </w:rPr>
      </w:pPr>
    </w:p>
    <w:p>
      <w:pPr>
        <w:pStyle w:val="3"/>
        <w:numPr>
          <w:ilvl w:val="1"/>
          <w:numId w:val="1"/>
        </w:numPr>
        <w:tabs>
          <w:tab w:val="left" w:pos="1308"/>
        </w:tabs>
        <w:spacing w:before="199" w:after="0" w:line="360" w:lineRule="auto"/>
        <w:ind w:left="919" w:leftChars="0" w:right="0" w:hanging="481" w:firstLineChars="0"/>
        <w:jc w:val="left"/>
        <w:outlineLvl w:val="0"/>
        <w:rPr>
          <w:color w:val="auto"/>
        </w:rPr>
      </w:pPr>
      <w:bookmarkStart w:id="155" w:name="5.4历史经验教训总结"/>
      <w:bookmarkEnd w:id="155"/>
      <w:bookmarkStart w:id="156" w:name="_bookmark23"/>
      <w:bookmarkEnd w:id="156"/>
      <w:bookmarkStart w:id="157" w:name="_bookmark23"/>
      <w:bookmarkEnd w:id="157"/>
      <w:bookmarkStart w:id="158" w:name="_Toc12537"/>
      <w:bookmarkStart w:id="159" w:name="_Toc12886"/>
      <w:r>
        <w:rPr>
          <w:color w:val="auto"/>
        </w:rPr>
        <w:t>历史经验教训总结</w:t>
      </w:r>
      <w:bookmarkEnd w:id="158"/>
      <w:bookmarkEnd w:id="159"/>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32" w:firstLineChars="200"/>
        <w:jc w:val="both"/>
        <w:textAlignment w:val="auto"/>
        <w:rPr>
          <w:rFonts w:hint="eastAsia" w:ascii="宋体" w:hAnsi="宋体" w:eastAsia="宋体" w:cs="宋体"/>
          <w:color w:val="auto"/>
        </w:rPr>
      </w:pPr>
      <w:r>
        <w:rPr>
          <w:rFonts w:hint="eastAsia" w:ascii="宋体" w:hAnsi="宋体" w:eastAsia="宋体" w:cs="宋体"/>
          <w:color w:val="auto"/>
          <w:spacing w:val="-7"/>
        </w:rPr>
        <w:t>通常风险事件的发生主要原因表现为：自然灾害事件和因人们对某种事物的规律性尚未认识，目前的科学技术水平尚无法预防和避免的事件等；违</w:t>
      </w:r>
      <w:r>
        <w:rPr>
          <w:rFonts w:hint="eastAsia" w:ascii="宋体" w:hAnsi="宋体" w:eastAsia="宋体" w:cs="宋体"/>
          <w:color w:val="auto"/>
          <w:spacing w:val="-10"/>
        </w:rPr>
        <w:t>章操作、违章指挥、违反劳动纪律、管理缺陷、生产作业条件恶劣、设计缺</w:t>
      </w:r>
      <w:r>
        <w:rPr>
          <w:rFonts w:hint="eastAsia" w:ascii="宋体" w:hAnsi="宋体" w:eastAsia="宋体" w:cs="宋体"/>
          <w:color w:val="auto"/>
          <w:spacing w:val="-4"/>
        </w:rPr>
        <w:t>陷、设备保养不良等原因造成的事件。</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40" w:firstLineChars="200"/>
        <w:textAlignment w:val="auto"/>
        <w:rPr>
          <w:rFonts w:hint="eastAsia" w:ascii="宋体" w:hAnsi="宋体" w:eastAsia="宋体" w:cs="宋体"/>
          <w:color w:val="auto"/>
        </w:rPr>
      </w:pPr>
      <w:r>
        <w:rPr>
          <w:rFonts w:hint="eastAsia" w:ascii="宋体" w:hAnsi="宋体" w:eastAsia="宋体" w:cs="宋体"/>
          <w:color w:val="auto"/>
          <w:spacing w:val="-5"/>
          <w:lang w:eastAsia="zh-CN"/>
        </w:rPr>
        <w:t>咸阳市中心医院东郊分院</w:t>
      </w:r>
      <w:r>
        <w:rPr>
          <w:rFonts w:hint="eastAsia" w:ascii="宋体" w:hAnsi="宋体" w:eastAsia="宋体" w:cs="宋体"/>
          <w:color w:val="auto"/>
          <w:spacing w:val="-5"/>
        </w:rPr>
        <w:t>目前无环境污染事件。但</w:t>
      </w:r>
      <w:r>
        <w:rPr>
          <w:rFonts w:hint="eastAsia" w:ascii="宋体" w:hAnsi="宋体" w:eastAsia="宋体" w:cs="宋体"/>
          <w:color w:val="auto"/>
          <w:spacing w:val="-14"/>
        </w:rPr>
        <w:t>可能会发生以下环境污染事件：风险物质泄漏，出现明火引发火灾和爆炸、</w:t>
      </w:r>
      <w:r>
        <w:rPr>
          <w:rFonts w:hint="eastAsia" w:ascii="宋体" w:hAnsi="宋体" w:eastAsia="宋体" w:cs="宋体"/>
          <w:color w:val="auto"/>
          <w:spacing w:val="-5"/>
        </w:rPr>
        <w:t>污染大气，危及健康，废气超标排放等。</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60" w:firstLineChars="200"/>
        <w:jc w:val="both"/>
        <w:textAlignment w:val="auto"/>
        <w:rPr>
          <w:rFonts w:hint="eastAsia" w:ascii="宋体" w:hAnsi="宋体" w:eastAsia="宋体" w:cs="宋体"/>
          <w:color w:val="auto"/>
          <w:spacing w:val="-4"/>
        </w:rPr>
      </w:pPr>
      <w:r>
        <w:rPr>
          <w:rFonts w:hint="eastAsia" w:ascii="宋体" w:hAnsi="宋体" w:eastAsia="宋体" w:cs="宋体"/>
          <w:color w:val="auto"/>
        </w:rPr>
        <w:t>为避免环境风险事故的发生，在重点剖析上述酿成事故原因的</w:t>
      </w:r>
      <w:r>
        <w:rPr>
          <w:rFonts w:hint="eastAsia" w:ascii="宋体" w:hAnsi="宋体" w:eastAsia="宋体" w:cs="宋体"/>
          <w:color w:val="auto"/>
          <w:spacing w:val="-4"/>
        </w:rPr>
        <w:t>基础上，本评估提出以下建议及相应对策：</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44" w:firstLineChars="200"/>
        <w:jc w:val="both"/>
        <w:textAlignment w:val="auto"/>
        <w:rPr>
          <w:rFonts w:hint="eastAsia" w:ascii="宋体" w:hAnsi="宋体" w:eastAsia="宋体" w:cs="宋体"/>
          <w:color w:val="auto"/>
          <w:spacing w:val="-4"/>
        </w:rPr>
      </w:pPr>
      <w:r>
        <w:rPr>
          <w:rFonts w:hint="eastAsia" w:ascii="宋体" w:hAnsi="宋体" w:eastAsia="宋体" w:cs="宋体"/>
          <w:color w:val="auto"/>
          <w:spacing w:val="-4"/>
          <w:lang w:eastAsia="zh-CN"/>
        </w:rPr>
        <w:t>（</w:t>
      </w:r>
      <w:r>
        <w:rPr>
          <w:rFonts w:hint="eastAsia" w:ascii="宋体" w:hAnsi="宋体" w:eastAsia="宋体" w:cs="宋体"/>
          <w:color w:val="auto"/>
          <w:spacing w:val="-4"/>
          <w:lang w:val="en-US" w:eastAsia="zh-CN"/>
        </w:rPr>
        <w:t>1</w:t>
      </w:r>
      <w:r>
        <w:rPr>
          <w:rFonts w:hint="eastAsia" w:ascii="宋体" w:hAnsi="宋体" w:eastAsia="宋体" w:cs="宋体"/>
          <w:color w:val="auto"/>
          <w:spacing w:val="-4"/>
          <w:lang w:eastAsia="zh-CN"/>
        </w:rPr>
        <w:t>）</w:t>
      </w:r>
      <w:r>
        <w:rPr>
          <w:rFonts w:hint="eastAsia" w:ascii="宋体" w:hAnsi="宋体" w:eastAsia="宋体" w:cs="宋体"/>
          <w:color w:val="auto"/>
          <w:spacing w:val="-4"/>
        </w:rPr>
        <w:t>加强管理，强化各风险单位安全操作；</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44" w:firstLineChars="200"/>
        <w:jc w:val="both"/>
        <w:textAlignment w:val="auto"/>
        <w:rPr>
          <w:rFonts w:hint="eastAsia" w:ascii="宋体" w:hAnsi="宋体" w:eastAsia="宋体" w:cs="宋体"/>
          <w:color w:val="auto"/>
          <w:spacing w:val="-4"/>
        </w:rPr>
      </w:pPr>
      <w:r>
        <w:rPr>
          <w:rFonts w:hint="eastAsia" w:ascii="宋体" w:hAnsi="宋体" w:eastAsia="宋体" w:cs="宋体"/>
          <w:color w:val="auto"/>
          <w:spacing w:val="-4"/>
          <w:lang w:eastAsia="zh-CN"/>
        </w:rPr>
        <w:t>（</w:t>
      </w:r>
      <w:r>
        <w:rPr>
          <w:rFonts w:hint="eastAsia" w:ascii="宋体" w:hAnsi="宋体" w:eastAsia="宋体" w:cs="宋体"/>
          <w:color w:val="auto"/>
          <w:spacing w:val="-4"/>
          <w:lang w:val="en-US" w:eastAsia="zh-CN"/>
        </w:rPr>
        <w:t>2</w:t>
      </w:r>
      <w:r>
        <w:rPr>
          <w:rFonts w:hint="eastAsia" w:ascii="宋体" w:hAnsi="宋体" w:eastAsia="宋体" w:cs="宋体"/>
          <w:color w:val="auto"/>
          <w:spacing w:val="-4"/>
          <w:lang w:eastAsia="zh-CN"/>
        </w:rPr>
        <w:t>）</w:t>
      </w:r>
      <w:r>
        <w:rPr>
          <w:rFonts w:hint="eastAsia" w:ascii="宋体" w:hAnsi="宋体" w:eastAsia="宋体" w:cs="宋体"/>
          <w:color w:val="auto"/>
          <w:spacing w:val="-4"/>
        </w:rPr>
        <w:t>严格按照《危险化学品管理条例》，加强对危化物品的管理。</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44" w:firstLineChars="200"/>
        <w:jc w:val="both"/>
        <w:textAlignment w:val="auto"/>
        <w:rPr>
          <w:rFonts w:hint="eastAsia" w:ascii="宋体" w:hAnsi="宋体" w:eastAsia="宋体" w:cs="宋体"/>
          <w:color w:val="auto"/>
          <w:spacing w:val="-4"/>
        </w:rPr>
      </w:pPr>
      <w:r>
        <w:rPr>
          <w:rFonts w:hint="eastAsia" w:ascii="宋体" w:hAnsi="宋体" w:eastAsia="宋体" w:cs="宋体"/>
          <w:color w:val="auto"/>
          <w:spacing w:val="-4"/>
          <w:lang w:eastAsia="zh-CN"/>
        </w:rPr>
        <w:t>（</w:t>
      </w:r>
      <w:r>
        <w:rPr>
          <w:rFonts w:hint="eastAsia" w:ascii="宋体" w:hAnsi="宋体" w:eastAsia="宋体" w:cs="宋体"/>
          <w:color w:val="auto"/>
          <w:spacing w:val="-4"/>
          <w:lang w:val="en-US" w:eastAsia="zh-CN"/>
        </w:rPr>
        <w:t>3</w:t>
      </w:r>
      <w:r>
        <w:rPr>
          <w:rFonts w:hint="eastAsia" w:ascii="宋体" w:hAnsi="宋体" w:eastAsia="宋体" w:cs="宋体"/>
          <w:color w:val="auto"/>
          <w:spacing w:val="-4"/>
          <w:lang w:eastAsia="zh-CN"/>
        </w:rPr>
        <w:t>）</w:t>
      </w:r>
      <w:r>
        <w:rPr>
          <w:rFonts w:hint="eastAsia" w:ascii="宋体" w:hAnsi="宋体" w:eastAsia="宋体" w:cs="宋体"/>
          <w:color w:val="auto"/>
          <w:spacing w:val="-4"/>
        </w:rPr>
        <w:t>加强管理，定期开展员工培训，提高员工素质、增强操作技能；内部、外部培训后进行考试。对员工考核结果应记录备案，考试通过即为合格。考试合格者才能使用，不合格者应继续补习，直到合格为止，做到上岗持证；为加强企业员工按章规范操作的主动性、自觉性，制定并落实内部奖惩措施。</w:t>
      </w:r>
    </w:p>
    <w:p>
      <w:pPr>
        <w:spacing w:after="0" w:line="417" w:lineRule="auto"/>
        <w:jc w:val="both"/>
        <w:rPr>
          <w:color w:val="auto"/>
          <w:sz w:val="28"/>
        </w:rPr>
        <w:sectPr>
          <w:pgSz w:w="11910" w:h="16840"/>
          <w:pgMar w:top="1440" w:right="1803" w:bottom="1440" w:left="1803" w:header="878" w:footer="846" w:gutter="0"/>
          <w:pgBorders>
            <w:top w:val="none" w:sz="0" w:space="0"/>
            <w:left w:val="none" w:sz="0" w:space="0"/>
            <w:bottom w:val="none" w:sz="0" w:space="0"/>
            <w:right w:val="none" w:sz="0" w:space="0"/>
          </w:pgBorders>
          <w:cols w:space="720" w:num="1"/>
        </w:sectPr>
      </w:pPr>
    </w:p>
    <w:p>
      <w:pPr>
        <w:pStyle w:val="5"/>
        <w:spacing w:before="4"/>
        <w:rPr>
          <w:color w:val="auto"/>
          <w:sz w:val="8"/>
        </w:rPr>
      </w:pPr>
    </w:p>
    <w:p>
      <w:pPr>
        <w:pStyle w:val="3"/>
        <w:numPr>
          <w:ilvl w:val="1"/>
          <w:numId w:val="1"/>
        </w:numPr>
        <w:tabs>
          <w:tab w:val="left" w:pos="1308"/>
        </w:tabs>
        <w:spacing w:before="64" w:after="0" w:line="360" w:lineRule="auto"/>
        <w:ind w:left="919" w:leftChars="0" w:right="0" w:hanging="481" w:firstLineChars="0"/>
        <w:jc w:val="left"/>
        <w:outlineLvl w:val="0"/>
        <w:rPr>
          <w:color w:val="auto"/>
        </w:rPr>
      </w:pPr>
      <w:bookmarkStart w:id="160" w:name="5.5需要整改的短期、中期和长期项目内容"/>
      <w:bookmarkEnd w:id="160"/>
      <w:bookmarkStart w:id="161" w:name="_bookmark24"/>
      <w:bookmarkEnd w:id="161"/>
      <w:bookmarkStart w:id="162" w:name="_bookmark24"/>
      <w:bookmarkEnd w:id="162"/>
      <w:bookmarkStart w:id="163" w:name="_Toc11359"/>
      <w:bookmarkStart w:id="164" w:name="_Toc32291"/>
      <w:r>
        <w:rPr>
          <w:color w:val="auto"/>
        </w:rPr>
        <w:t>需要整改的短期、中期和长期项目内容</w:t>
      </w:r>
      <w:bookmarkEnd w:id="163"/>
      <w:bookmarkEnd w:id="164"/>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44" w:firstLineChars="200"/>
        <w:jc w:val="both"/>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针对上述排查的每一项差距和隐患，根据其危害性、紧迫性和治理时间的长短，提出需要完成整改的期限，分别按短期（3个月）、中期（3-6个月）和长期（6个月以上）给出，详见下表。</w:t>
      </w:r>
    </w:p>
    <w:p>
      <w:pPr>
        <w:spacing w:before="88"/>
        <w:ind w:left="220" w:right="428" w:firstLine="0"/>
        <w:jc w:val="center"/>
        <w:rPr>
          <w:b/>
          <w:color w:val="auto"/>
          <w:sz w:val="24"/>
        </w:rPr>
      </w:pPr>
      <w:r>
        <w:rPr>
          <w:b/>
          <w:color w:val="auto"/>
          <w:sz w:val="24"/>
        </w:rPr>
        <w:t xml:space="preserve">表 </w:t>
      </w:r>
      <w:r>
        <w:rPr>
          <w:rFonts w:ascii="Times New Roman" w:eastAsia="Times New Roman"/>
          <w:b/>
          <w:color w:val="auto"/>
          <w:sz w:val="24"/>
        </w:rPr>
        <w:t xml:space="preserve">5.5-1  </w:t>
      </w:r>
      <w:r>
        <w:rPr>
          <w:b/>
          <w:color w:val="auto"/>
          <w:sz w:val="24"/>
        </w:rPr>
        <w:t>本企业要整改内容</w:t>
      </w:r>
    </w:p>
    <w:p>
      <w:pPr>
        <w:pStyle w:val="5"/>
        <w:spacing w:before="11"/>
        <w:rPr>
          <w:b/>
          <w:color w:val="auto"/>
          <w:sz w:val="6"/>
        </w:rPr>
      </w:pPr>
    </w:p>
    <w:tbl>
      <w:tblPr>
        <w:tblStyle w:val="13"/>
        <w:tblW w:w="8971" w:type="dxa"/>
        <w:jc w:val="center"/>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Layout w:type="fixed"/>
        <w:tblCellMar>
          <w:top w:w="0" w:type="dxa"/>
          <w:left w:w="0" w:type="dxa"/>
          <w:bottom w:w="0" w:type="dxa"/>
          <w:right w:w="0" w:type="dxa"/>
        </w:tblCellMar>
      </w:tblPr>
      <w:tblGrid>
        <w:gridCol w:w="725"/>
        <w:gridCol w:w="6608"/>
        <w:gridCol w:w="1638"/>
      </w:tblGrid>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825" w:hRule="atLeast"/>
          <w:jc w:val="center"/>
        </w:trPr>
        <w:tc>
          <w:tcPr>
            <w:tcW w:w="725"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b/>
                <w:color w:val="auto"/>
                <w:sz w:val="21"/>
                <w:szCs w:val="21"/>
              </w:rPr>
            </w:pPr>
            <w:r>
              <w:rPr>
                <w:rFonts w:hint="eastAsia" w:ascii="宋体" w:hAnsi="宋体" w:eastAsia="宋体" w:cs="宋体"/>
                <w:b/>
                <w:color w:val="auto"/>
                <w:w w:val="95"/>
                <w:sz w:val="21"/>
                <w:szCs w:val="21"/>
              </w:rPr>
              <w:t>序号</w:t>
            </w:r>
          </w:p>
        </w:tc>
        <w:tc>
          <w:tcPr>
            <w:tcW w:w="6608"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整改内容</w:t>
            </w:r>
          </w:p>
        </w:tc>
        <w:tc>
          <w:tcPr>
            <w:tcW w:w="1638"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整改期限</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543" w:hRule="atLeast"/>
          <w:jc w:val="center"/>
        </w:trPr>
        <w:tc>
          <w:tcPr>
            <w:tcW w:w="725"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w w:val="99"/>
                <w:sz w:val="21"/>
                <w:szCs w:val="21"/>
              </w:rPr>
              <w:t>1</w:t>
            </w:r>
          </w:p>
        </w:tc>
        <w:tc>
          <w:tcPr>
            <w:tcW w:w="6608"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自行监测能力不完善，与资质监测单位签订常规及应急监测协议。</w:t>
            </w:r>
          </w:p>
        </w:tc>
        <w:tc>
          <w:tcPr>
            <w:tcW w:w="1638" w:type="dxa"/>
            <w:vMerge w:val="restar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短期</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542" w:hRule="atLeast"/>
          <w:jc w:val="center"/>
        </w:trPr>
        <w:tc>
          <w:tcPr>
            <w:tcW w:w="725"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w w:val="99"/>
                <w:sz w:val="21"/>
                <w:szCs w:val="21"/>
              </w:rPr>
              <w:t>2</w:t>
            </w:r>
          </w:p>
        </w:tc>
        <w:tc>
          <w:tcPr>
            <w:tcW w:w="6608"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需张贴应急疏散路线图。</w:t>
            </w:r>
          </w:p>
        </w:tc>
        <w:tc>
          <w:tcPr>
            <w:tcW w:w="1638"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1538" w:hRule="atLeast"/>
          <w:jc w:val="center"/>
        </w:trPr>
        <w:tc>
          <w:tcPr>
            <w:tcW w:w="725"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w w:val="99"/>
                <w:sz w:val="21"/>
                <w:szCs w:val="21"/>
              </w:rPr>
              <w:t>3</w:t>
            </w:r>
          </w:p>
        </w:tc>
        <w:tc>
          <w:tcPr>
            <w:tcW w:w="6608"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需建立健全环境应急管理体系，进一步落实环境风险防控重点岗位责  任人，落实环境风险设施定期巡检和维护责任制度；所有操作人员均  应经培训后上岗，并严格按照操作规程操作，减少人为事故发生。</w:t>
            </w:r>
          </w:p>
        </w:tc>
        <w:tc>
          <w:tcPr>
            <w:tcW w:w="1638" w:type="dxa"/>
            <w:vMerge w:val="restar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中期</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542" w:hRule="atLeast"/>
          <w:jc w:val="center"/>
        </w:trPr>
        <w:tc>
          <w:tcPr>
            <w:tcW w:w="725"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w w:val="99"/>
                <w:sz w:val="21"/>
                <w:szCs w:val="21"/>
              </w:rPr>
              <w:t>4</w:t>
            </w:r>
          </w:p>
        </w:tc>
        <w:tc>
          <w:tcPr>
            <w:tcW w:w="6608"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需建立环境事件信息报告制度，落实并完善隐患排查制度。</w:t>
            </w:r>
          </w:p>
        </w:tc>
        <w:tc>
          <w:tcPr>
            <w:tcW w:w="1638"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8" w:space="0"/>
            <w:insideV w:val="single" w:color="000000" w:sz="8" w:space="0"/>
          </w:tblBorders>
          <w:tblCellMar>
            <w:top w:w="0" w:type="dxa"/>
            <w:left w:w="0" w:type="dxa"/>
            <w:bottom w:w="0" w:type="dxa"/>
            <w:right w:w="0" w:type="dxa"/>
          </w:tblCellMar>
        </w:tblPrEx>
        <w:trPr>
          <w:trHeight w:val="1865" w:hRule="atLeast"/>
          <w:jc w:val="center"/>
        </w:trPr>
        <w:tc>
          <w:tcPr>
            <w:tcW w:w="725"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6608"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需开展对本企业员工、周边企业员工和居民的环境风险和环境应急管理的宣传工作及安全消防教育工作，定期组织员工进行专题培训和教育， 并开展预案演练并归档。</w:t>
            </w:r>
          </w:p>
        </w:tc>
        <w:tc>
          <w:tcPr>
            <w:tcW w:w="1638" w:type="dxa"/>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长期</w:t>
            </w:r>
          </w:p>
        </w:tc>
      </w:tr>
    </w:tbl>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44" w:firstLineChars="200"/>
        <w:textAlignment w:val="auto"/>
        <w:rPr>
          <w:color w:val="auto"/>
        </w:rPr>
      </w:pPr>
      <w:r>
        <w:rPr>
          <w:rFonts w:hint="eastAsia" w:ascii="宋体" w:hAnsi="宋体" w:eastAsia="宋体" w:cs="宋体"/>
          <w:color w:val="auto"/>
          <w:spacing w:val="-4"/>
          <w:lang w:eastAsia="zh-CN"/>
        </w:rPr>
        <w:t>针对以上实施计划，每完成一个计划，都应将计划完成情况登记建档备查。</w:t>
      </w:r>
    </w:p>
    <w:p>
      <w:pPr>
        <w:spacing w:after="0" w:line="417" w:lineRule="auto"/>
        <w:rPr>
          <w:color w:val="auto"/>
        </w:rPr>
        <w:sectPr>
          <w:footerReference r:id="rId8" w:type="default"/>
          <w:pgSz w:w="11910" w:h="16840"/>
          <w:pgMar w:top="1440" w:right="1803" w:bottom="1440" w:left="1803" w:header="878" w:footer="846" w:gutter="0"/>
          <w:pgBorders>
            <w:top w:val="none" w:sz="0" w:space="0"/>
            <w:left w:val="none" w:sz="0" w:space="0"/>
            <w:bottom w:val="none" w:sz="0" w:space="0"/>
            <w:right w:val="none" w:sz="0" w:space="0"/>
          </w:pgBorders>
          <w:pgNumType w:start="30"/>
          <w:cols w:space="720" w:num="1"/>
        </w:sectPr>
      </w:pPr>
    </w:p>
    <w:p>
      <w:pPr>
        <w:pStyle w:val="5"/>
        <w:spacing w:before="4"/>
        <w:rPr>
          <w:color w:val="auto"/>
          <w:sz w:val="8"/>
        </w:rPr>
      </w:pPr>
    </w:p>
    <w:p>
      <w:pPr>
        <w:pStyle w:val="3"/>
        <w:numPr>
          <w:ilvl w:val="0"/>
          <w:numId w:val="1"/>
        </w:numPr>
        <w:tabs>
          <w:tab w:val="left" w:pos="1147"/>
        </w:tabs>
        <w:spacing w:before="64" w:after="0" w:line="360" w:lineRule="auto"/>
        <w:ind w:left="540" w:leftChars="0" w:right="0" w:hanging="320" w:firstLineChars="0"/>
        <w:jc w:val="left"/>
        <w:outlineLvl w:val="0"/>
        <w:rPr>
          <w:rFonts w:hint="eastAsia" w:ascii="黑体" w:eastAsia="黑体"/>
          <w:color w:val="auto"/>
        </w:rPr>
      </w:pPr>
      <w:bookmarkStart w:id="165" w:name="_bookmark25"/>
      <w:bookmarkEnd w:id="165"/>
      <w:bookmarkStart w:id="166" w:name="_bookmark25"/>
      <w:bookmarkEnd w:id="166"/>
      <w:bookmarkStart w:id="167" w:name="6 完善环境风险防控和应急措施的实施计划"/>
      <w:bookmarkEnd w:id="167"/>
      <w:bookmarkStart w:id="168" w:name="_Toc31021"/>
      <w:r>
        <w:rPr>
          <w:rFonts w:hint="eastAsia" w:ascii="黑体" w:eastAsia="黑体"/>
          <w:color w:val="auto"/>
        </w:rPr>
        <w:t>完善环境风险防控和应急措施的实施计划</w:t>
      </w:r>
      <w:bookmarkEnd w:id="168"/>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44" w:firstLineChars="200"/>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针对需要整改的项目，企业分别制定完善的风险防控和应急措施的实施计划，逐步完成整改措施，见下表。</w:t>
      </w:r>
    </w:p>
    <w:p>
      <w:pPr>
        <w:spacing w:before="87"/>
        <w:ind w:left="220" w:right="428" w:firstLine="0"/>
        <w:jc w:val="center"/>
        <w:rPr>
          <w:b/>
          <w:color w:val="auto"/>
          <w:sz w:val="21"/>
        </w:rPr>
      </w:pPr>
      <w:r>
        <w:rPr>
          <w:b/>
          <w:color w:val="auto"/>
          <w:spacing w:val="-26"/>
          <w:sz w:val="21"/>
        </w:rPr>
        <w:t xml:space="preserve">表 </w:t>
      </w:r>
      <w:r>
        <w:rPr>
          <w:rFonts w:ascii="Times New Roman" w:eastAsia="Times New Roman"/>
          <w:b/>
          <w:color w:val="auto"/>
          <w:sz w:val="21"/>
        </w:rPr>
        <w:t>6-1</w:t>
      </w:r>
      <w:r>
        <w:rPr>
          <w:rFonts w:ascii="Times New Roman" w:eastAsia="Times New Roman"/>
          <w:b/>
          <w:color w:val="auto"/>
          <w:spacing w:val="52"/>
          <w:sz w:val="21"/>
        </w:rPr>
        <w:t xml:space="preserve"> </w:t>
      </w:r>
      <w:r>
        <w:rPr>
          <w:b/>
          <w:color w:val="auto"/>
          <w:sz w:val="21"/>
        </w:rPr>
        <w:t>需要整改项目实施计划</w:t>
      </w:r>
    </w:p>
    <w:tbl>
      <w:tblPr>
        <w:tblStyle w:val="13"/>
        <w:tblpPr w:leftFromText="180" w:rightFromText="180" w:vertAnchor="text" w:horzAnchor="page" w:tblpX="1779" w:tblpY="72"/>
        <w:tblOverlap w:val="never"/>
        <w:tblW w:w="5070" w:type="pct"/>
        <w:tblInd w:w="0" w:type="dxa"/>
        <w:tblBorders>
          <w:top w:val="thinThickSmallGap" w:color="000000" w:sz="12" w:space="0"/>
          <w:left w:val="thinThickSmallGap" w:color="000000" w:sz="12" w:space="0"/>
          <w:bottom w:val="thickThinSmallGap" w:color="000000" w:sz="12" w:space="0"/>
          <w:right w:val="thickThinSmallGap" w:color="000000" w:sz="12" w:space="0"/>
          <w:insideH w:val="single" w:color="000000" w:sz="6" w:space="0"/>
          <w:insideV w:val="single" w:color="000000" w:sz="4" w:space="0"/>
        </w:tblBorders>
        <w:tblLayout w:type="autofit"/>
        <w:tblCellMar>
          <w:top w:w="0" w:type="dxa"/>
          <w:left w:w="0" w:type="dxa"/>
          <w:bottom w:w="0" w:type="dxa"/>
          <w:right w:w="0" w:type="dxa"/>
        </w:tblCellMar>
      </w:tblPr>
      <w:tblGrid>
        <w:gridCol w:w="438"/>
        <w:gridCol w:w="1089"/>
        <w:gridCol w:w="4349"/>
        <w:gridCol w:w="1395"/>
        <w:gridCol w:w="1210"/>
      </w:tblGrid>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6" w:space="0"/>
            <w:insideV w:val="single" w:color="000000" w:sz="4" w:space="0"/>
          </w:tblBorders>
          <w:tblCellMar>
            <w:top w:w="0" w:type="dxa"/>
            <w:left w:w="0" w:type="dxa"/>
            <w:bottom w:w="0" w:type="dxa"/>
            <w:right w:w="0" w:type="dxa"/>
          </w:tblCellMar>
        </w:tblPrEx>
        <w:trPr>
          <w:trHeight w:val="457" w:hRule="atLeast"/>
        </w:trPr>
        <w:tc>
          <w:tcPr>
            <w:tcW w:w="258"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642"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紧急程度</w:t>
            </w:r>
          </w:p>
        </w:tc>
        <w:tc>
          <w:tcPr>
            <w:tcW w:w="2563"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完善内容</w:t>
            </w:r>
          </w:p>
        </w:tc>
        <w:tc>
          <w:tcPr>
            <w:tcW w:w="822"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完成时限</w:t>
            </w:r>
          </w:p>
        </w:tc>
        <w:tc>
          <w:tcPr>
            <w:tcW w:w="713"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负责人</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6" w:space="0"/>
            <w:insideV w:val="single" w:color="000000" w:sz="4" w:space="0"/>
          </w:tblBorders>
          <w:tblCellMar>
            <w:top w:w="0" w:type="dxa"/>
            <w:left w:w="0" w:type="dxa"/>
            <w:bottom w:w="0" w:type="dxa"/>
            <w:right w:w="0" w:type="dxa"/>
          </w:tblCellMar>
        </w:tblPrEx>
        <w:trPr>
          <w:trHeight w:val="453" w:hRule="atLeast"/>
        </w:trPr>
        <w:tc>
          <w:tcPr>
            <w:tcW w:w="258"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642" w:type="pct"/>
            <w:vMerge w:val="restar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短期计划</w:t>
            </w:r>
          </w:p>
        </w:tc>
        <w:tc>
          <w:tcPr>
            <w:tcW w:w="2563"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与资质监测单位签订常规及应急监测协议。</w:t>
            </w:r>
          </w:p>
        </w:tc>
        <w:tc>
          <w:tcPr>
            <w:tcW w:w="822" w:type="pct"/>
            <w:vMerge w:val="restar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 个月内</w:t>
            </w:r>
          </w:p>
        </w:tc>
        <w:tc>
          <w:tcPr>
            <w:tcW w:w="713" w:type="pct"/>
            <w:vMerge w:val="restart"/>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before="0" w:line="240" w:lineRule="auto"/>
              <w:ind w:left="0" w:leftChars="0" w:right="0" w:rightChars="0"/>
              <w:jc w:val="center"/>
              <w:textAlignment w:val="auto"/>
              <w:rPr>
                <w:rFonts w:hint="eastAsia"/>
                <w:color w:val="auto"/>
              </w:rPr>
            </w:pPr>
            <w:r>
              <w:rPr>
                <w:rFonts w:hint="eastAsia" w:ascii="Times New Roman" w:hAnsi="Times New Roman" w:eastAsia="宋体" w:cs="Times New Roman"/>
                <w:color w:val="auto"/>
                <w:sz w:val="21"/>
                <w:szCs w:val="21"/>
                <w:lang w:val="en-US" w:eastAsia="zh-CN"/>
              </w:rPr>
              <w:t>鱼丽荣</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6" w:space="0"/>
            <w:insideV w:val="single" w:color="000000" w:sz="4" w:space="0"/>
          </w:tblBorders>
          <w:tblCellMar>
            <w:top w:w="0" w:type="dxa"/>
            <w:left w:w="0" w:type="dxa"/>
            <w:bottom w:w="0" w:type="dxa"/>
            <w:right w:w="0" w:type="dxa"/>
          </w:tblCellMar>
        </w:tblPrEx>
        <w:trPr>
          <w:trHeight w:val="454" w:hRule="atLeast"/>
        </w:trPr>
        <w:tc>
          <w:tcPr>
            <w:tcW w:w="258"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642" w:type="pct"/>
            <w:vMerge w:val="continue"/>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c>
          <w:tcPr>
            <w:tcW w:w="2563"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张贴应急疏散路线图</w:t>
            </w:r>
          </w:p>
        </w:tc>
        <w:tc>
          <w:tcPr>
            <w:tcW w:w="822" w:type="pct"/>
            <w:vMerge w:val="continue"/>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c>
          <w:tcPr>
            <w:tcW w:w="713" w:type="pct"/>
            <w:vMerge w:val="continue"/>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6" w:space="0"/>
            <w:insideV w:val="single" w:color="000000" w:sz="4" w:space="0"/>
          </w:tblBorders>
          <w:tblCellMar>
            <w:top w:w="0" w:type="dxa"/>
            <w:left w:w="0" w:type="dxa"/>
            <w:bottom w:w="0" w:type="dxa"/>
            <w:right w:w="0" w:type="dxa"/>
          </w:tblCellMar>
        </w:tblPrEx>
        <w:trPr>
          <w:trHeight w:val="454" w:hRule="atLeast"/>
        </w:trPr>
        <w:tc>
          <w:tcPr>
            <w:tcW w:w="258"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642" w:type="pct"/>
            <w:vMerge w:val="restar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中期计划</w:t>
            </w:r>
          </w:p>
        </w:tc>
        <w:tc>
          <w:tcPr>
            <w:tcW w:w="2563"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健全环境应急管理体系</w:t>
            </w:r>
          </w:p>
        </w:tc>
        <w:tc>
          <w:tcPr>
            <w:tcW w:w="822" w:type="pct"/>
            <w:vMerge w:val="restar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3-6个月完成</w:t>
            </w:r>
          </w:p>
        </w:tc>
        <w:tc>
          <w:tcPr>
            <w:tcW w:w="713" w:type="pct"/>
            <w:vMerge w:val="restart"/>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before="0" w:line="240" w:lineRule="auto"/>
              <w:ind w:left="0" w:leftChars="0" w:right="0" w:rightChars="0"/>
              <w:jc w:val="center"/>
              <w:textAlignment w:val="auto"/>
              <w:rPr>
                <w:rFonts w:hint="eastAsia"/>
                <w:color w:val="auto"/>
              </w:rPr>
            </w:pPr>
            <w:r>
              <w:rPr>
                <w:rFonts w:hint="eastAsia" w:ascii="Times New Roman" w:hAnsi="Times New Roman" w:eastAsia="宋体" w:cs="Times New Roman"/>
                <w:color w:val="auto"/>
                <w:sz w:val="21"/>
                <w:szCs w:val="21"/>
                <w:lang w:val="en-US" w:eastAsia="zh-CN"/>
              </w:rPr>
              <w:t>鱼丽荣</w:t>
            </w: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6" w:space="0"/>
            <w:insideV w:val="single" w:color="000000" w:sz="4" w:space="0"/>
          </w:tblBorders>
          <w:tblCellMar>
            <w:top w:w="0" w:type="dxa"/>
            <w:left w:w="0" w:type="dxa"/>
            <w:bottom w:w="0" w:type="dxa"/>
            <w:right w:w="0" w:type="dxa"/>
          </w:tblCellMar>
        </w:tblPrEx>
        <w:trPr>
          <w:trHeight w:val="454" w:hRule="atLeast"/>
        </w:trPr>
        <w:tc>
          <w:tcPr>
            <w:tcW w:w="258"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642" w:type="pct"/>
            <w:vMerge w:val="continue"/>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c>
          <w:tcPr>
            <w:tcW w:w="2563"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健全环境事件信息报告制度</w:t>
            </w:r>
          </w:p>
        </w:tc>
        <w:tc>
          <w:tcPr>
            <w:tcW w:w="822" w:type="pct"/>
            <w:vMerge w:val="continue"/>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c>
          <w:tcPr>
            <w:tcW w:w="713" w:type="pct"/>
            <w:vMerge w:val="continue"/>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6" w:space="0"/>
            <w:insideV w:val="single" w:color="000000" w:sz="4" w:space="0"/>
          </w:tblBorders>
          <w:tblCellMar>
            <w:top w:w="0" w:type="dxa"/>
            <w:left w:w="0" w:type="dxa"/>
            <w:bottom w:w="0" w:type="dxa"/>
            <w:right w:w="0" w:type="dxa"/>
          </w:tblCellMar>
        </w:tblPrEx>
        <w:trPr>
          <w:trHeight w:val="453" w:hRule="atLeast"/>
        </w:trPr>
        <w:tc>
          <w:tcPr>
            <w:tcW w:w="258"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642" w:type="pct"/>
            <w:vMerge w:val="continue"/>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c>
          <w:tcPr>
            <w:tcW w:w="2563"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落实岗位责任制</w:t>
            </w:r>
          </w:p>
        </w:tc>
        <w:tc>
          <w:tcPr>
            <w:tcW w:w="822" w:type="pct"/>
            <w:vMerge w:val="continue"/>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c>
          <w:tcPr>
            <w:tcW w:w="713" w:type="pct"/>
            <w:vMerge w:val="continue"/>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p>
        </w:tc>
      </w:tr>
      <w:tr>
        <w:tblPrEx>
          <w:tblBorders>
            <w:top w:val="thinThickSmallGap" w:color="000000" w:sz="12" w:space="0"/>
            <w:left w:val="thinThickSmallGap" w:color="000000" w:sz="12" w:space="0"/>
            <w:bottom w:val="thickThinSmallGap" w:color="000000" w:sz="12" w:space="0"/>
            <w:right w:val="thickThinSmallGap" w:color="000000" w:sz="12" w:space="0"/>
            <w:insideH w:val="single" w:color="000000" w:sz="6" w:space="0"/>
            <w:insideV w:val="single" w:color="000000" w:sz="4" w:space="0"/>
          </w:tblBorders>
          <w:tblCellMar>
            <w:top w:w="0" w:type="dxa"/>
            <w:left w:w="0" w:type="dxa"/>
            <w:bottom w:w="0" w:type="dxa"/>
            <w:right w:w="0" w:type="dxa"/>
          </w:tblCellMar>
        </w:tblPrEx>
        <w:trPr>
          <w:trHeight w:val="453" w:hRule="atLeast"/>
        </w:trPr>
        <w:tc>
          <w:tcPr>
            <w:tcW w:w="258"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642"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长期计划</w:t>
            </w:r>
          </w:p>
        </w:tc>
        <w:tc>
          <w:tcPr>
            <w:tcW w:w="2563"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定期对员工进行培训并定期开展应急演练</w:t>
            </w:r>
          </w:p>
        </w:tc>
        <w:tc>
          <w:tcPr>
            <w:tcW w:w="822" w:type="pct"/>
            <w:tcBorders>
              <w:tl2br w:val="nil"/>
              <w:tr2bl w:val="nil"/>
            </w:tcBorders>
            <w:vAlign w:val="center"/>
          </w:tcPr>
          <w:p>
            <w:pPr>
              <w:pStyle w:val="18"/>
              <w:keepNext w:val="0"/>
              <w:keepLines w:val="0"/>
              <w:pageBreakBefore w:val="0"/>
              <w:widowControl w:val="0"/>
              <w:kinsoku/>
              <w:wordWrap/>
              <w:overflowPunct/>
              <w:topLinePunct w:val="0"/>
              <w:autoSpaceDE w:val="0"/>
              <w:autoSpaceDN w:val="0"/>
              <w:bidi w:val="0"/>
              <w:adjustRightInd w:val="0"/>
              <w:snapToGrid w:val="0"/>
              <w:spacing w:before="0" w:line="240" w:lineRule="auto"/>
              <w:ind w:left="0" w:right="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常年</w:t>
            </w:r>
          </w:p>
        </w:tc>
        <w:tc>
          <w:tcPr>
            <w:tcW w:w="713" w:type="pct"/>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before="0" w:line="240" w:lineRule="auto"/>
              <w:ind w:left="0" w:leftChars="0" w:right="0" w:rightChars="0"/>
              <w:jc w:val="center"/>
              <w:textAlignment w:val="auto"/>
              <w:rPr>
                <w:rFonts w:hint="eastAsia" w:ascii="宋体" w:hAnsi="宋体" w:eastAsia="宋体" w:cs="宋体"/>
                <w:color w:val="auto"/>
                <w:sz w:val="21"/>
                <w:szCs w:val="21"/>
              </w:rPr>
            </w:pPr>
            <w:r>
              <w:rPr>
                <w:rFonts w:hint="eastAsia" w:ascii="Times New Roman" w:hAnsi="Times New Roman" w:eastAsia="宋体" w:cs="Times New Roman"/>
                <w:color w:val="auto"/>
                <w:sz w:val="21"/>
                <w:szCs w:val="21"/>
                <w:lang w:val="en-US" w:eastAsia="zh-CN"/>
              </w:rPr>
              <w:t>鱼丽荣</w:t>
            </w:r>
          </w:p>
        </w:tc>
      </w:tr>
    </w:tbl>
    <w:p>
      <w:pPr>
        <w:pStyle w:val="5"/>
        <w:spacing w:before="11"/>
        <w:rPr>
          <w:b/>
          <w:color w:val="auto"/>
          <w:sz w:val="6"/>
        </w:rPr>
      </w:pPr>
    </w:p>
    <w:p>
      <w:pPr>
        <w:spacing w:after="0"/>
        <w:jc w:val="center"/>
        <w:rPr>
          <w:color w:val="auto"/>
          <w:sz w:val="21"/>
        </w:rPr>
        <w:sectPr>
          <w:pgSz w:w="11910" w:h="16840"/>
          <w:pgMar w:top="1440" w:right="1803" w:bottom="1440" w:left="1803" w:header="878" w:footer="846" w:gutter="0"/>
          <w:pgBorders>
            <w:top w:val="none" w:sz="0" w:space="0"/>
            <w:left w:val="none" w:sz="0" w:space="0"/>
            <w:bottom w:val="none" w:sz="0" w:space="0"/>
            <w:right w:val="none" w:sz="0" w:space="0"/>
          </w:pgBorders>
          <w:cols w:space="720" w:num="1"/>
        </w:sectPr>
      </w:pPr>
    </w:p>
    <w:p>
      <w:pPr>
        <w:pStyle w:val="5"/>
        <w:spacing w:before="4"/>
        <w:rPr>
          <w:b/>
          <w:color w:val="auto"/>
          <w:sz w:val="8"/>
        </w:rPr>
      </w:pPr>
    </w:p>
    <w:p>
      <w:pPr>
        <w:pStyle w:val="3"/>
        <w:numPr>
          <w:ilvl w:val="0"/>
          <w:numId w:val="1"/>
        </w:numPr>
        <w:tabs>
          <w:tab w:val="left" w:pos="1147"/>
        </w:tabs>
        <w:spacing w:before="64" w:after="0" w:line="240" w:lineRule="auto"/>
        <w:ind w:left="540" w:leftChars="0" w:right="0" w:hanging="320" w:firstLineChars="0"/>
        <w:jc w:val="left"/>
        <w:outlineLvl w:val="0"/>
        <w:rPr>
          <w:rFonts w:hint="eastAsia" w:ascii="黑体" w:eastAsia="黑体"/>
          <w:color w:val="auto"/>
        </w:rPr>
      </w:pPr>
      <w:bookmarkStart w:id="169" w:name="_bookmark26"/>
      <w:bookmarkEnd w:id="169"/>
      <w:bookmarkStart w:id="170" w:name="_bookmark26"/>
      <w:bookmarkEnd w:id="170"/>
      <w:bookmarkStart w:id="171" w:name="7 企业突发环境事件风险等级"/>
      <w:bookmarkEnd w:id="171"/>
      <w:bookmarkStart w:id="172" w:name="_Toc9909"/>
      <w:r>
        <w:rPr>
          <w:rFonts w:hint="eastAsia" w:ascii="黑体" w:eastAsia="黑体"/>
          <w:color w:val="auto"/>
        </w:rPr>
        <w:t>企业突发环境事件风险等级</w:t>
      </w:r>
      <w:bookmarkEnd w:id="172"/>
    </w:p>
    <w:p>
      <w:pPr>
        <w:pStyle w:val="17"/>
        <w:numPr>
          <w:ilvl w:val="1"/>
          <w:numId w:val="1"/>
        </w:numPr>
        <w:tabs>
          <w:tab w:val="left" w:pos="1308"/>
        </w:tabs>
        <w:spacing w:before="214" w:after="0" w:line="360" w:lineRule="auto"/>
        <w:ind w:left="919" w:leftChars="0" w:right="0" w:hanging="481" w:firstLineChars="0"/>
        <w:jc w:val="left"/>
        <w:outlineLvl w:val="0"/>
        <w:rPr>
          <w:rFonts w:hint="eastAsia" w:ascii="楷体" w:eastAsia="楷体"/>
          <w:b/>
          <w:color w:val="auto"/>
          <w:sz w:val="32"/>
        </w:rPr>
      </w:pPr>
      <w:bookmarkStart w:id="173" w:name="7.1企业突发环境事件风险等级划分方法"/>
      <w:bookmarkEnd w:id="173"/>
      <w:bookmarkStart w:id="174" w:name="_bookmark27"/>
      <w:bookmarkEnd w:id="174"/>
      <w:bookmarkStart w:id="175" w:name="_bookmark27"/>
      <w:bookmarkEnd w:id="175"/>
      <w:bookmarkStart w:id="176" w:name="_Toc21554"/>
      <w:bookmarkStart w:id="177" w:name="_Toc29235"/>
      <w:r>
        <w:rPr>
          <w:rFonts w:hint="eastAsia" w:ascii="楷体" w:eastAsia="楷体"/>
          <w:b/>
          <w:color w:val="auto"/>
          <w:sz w:val="32"/>
        </w:rPr>
        <w:t>企业突发环境事件风险等级划分方法</w:t>
      </w:r>
      <w:bookmarkEnd w:id="176"/>
      <w:bookmarkEnd w:id="177"/>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right="0" w:firstLine="544" w:firstLineChars="200"/>
        <w:jc w:val="both"/>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本次突发环境事件风险等级的划分参照《企业突发环境事件风险分级方法》（HJ 941-2018）中相关工作流程及方法。工作流程见图 7.1-1。</w:t>
      </w:r>
    </w:p>
    <w:p>
      <w:pPr>
        <w:pStyle w:val="5"/>
        <w:spacing w:before="240" w:line="417" w:lineRule="auto"/>
        <w:ind w:right="326"/>
        <w:jc w:val="both"/>
        <w:rPr>
          <w:color w:val="auto"/>
        </w:rPr>
      </w:pPr>
      <w:r>
        <w:rPr>
          <w:color w:val="auto"/>
        </w:rPr>
        <w:drawing>
          <wp:inline distT="0" distB="0" distL="0" distR="0">
            <wp:extent cx="5302885" cy="3669665"/>
            <wp:effectExtent l="0" t="0" r="12065" b="6985"/>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15" cstate="print"/>
                    <a:stretch>
                      <a:fillRect/>
                    </a:stretch>
                  </pic:blipFill>
                  <pic:spPr>
                    <a:xfrm>
                      <a:off x="0" y="0"/>
                      <a:ext cx="5302746" cy="3669582"/>
                    </a:xfrm>
                    <a:prstGeom prst="rect">
                      <a:avLst/>
                    </a:prstGeom>
                  </pic:spPr>
                </pic:pic>
              </a:graphicData>
            </a:graphic>
          </wp:inline>
        </w:drawing>
      </w:r>
    </w:p>
    <w:p>
      <w:pPr>
        <w:spacing w:before="0" w:line="360" w:lineRule="auto"/>
        <w:ind w:left="699" w:right="428" w:firstLine="0"/>
        <w:jc w:val="center"/>
        <w:rPr>
          <w:b/>
          <w:color w:val="auto"/>
          <w:sz w:val="24"/>
        </w:rPr>
      </w:pPr>
      <w:r>
        <w:rPr>
          <w:b/>
          <w:color w:val="auto"/>
          <w:sz w:val="24"/>
        </w:rPr>
        <w:t xml:space="preserve">图 </w:t>
      </w:r>
      <w:r>
        <w:rPr>
          <w:rFonts w:ascii="Times New Roman" w:eastAsia="Times New Roman"/>
          <w:b/>
          <w:color w:val="auto"/>
          <w:sz w:val="24"/>
        </w:rPr>
        <w:t xml:space="preserve">7-1  </w:t>
      </w:r>
      <w:r>
        <w:rPr>
          <w:b/>
          <w:color w:val="auto"/>
          <w:sz w:val="24"/>
        </w:rPr>
        <w:t>突发环境事件风险评估流程图</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right="0" w:firstLine="544" w:firstLineChars="200"/>
        <w:jc w:val="both"/>
        <w:textAlignment w:val="auto"/>
        <w:rPr>
          <w:color w:val="auto"/>
        </w:rPr>
      </w:pPr>
      <w:r>
        <w:rPr>
          <w:rFonts w:hint="eastAsia" w:ascii="宋体" w:hAnsi="宋体" w:eastAsia="宋体" w:cs="宋体"/>
          <w:color w:val="auto"/>
          <w:spacing w:val="-4"/>
          <w:lang w:eastAsia="zh-CN"/>
        </w:rPr>
        <w:t>由图可知，在进行企业突发环境事件风险评估中等级划分前，首先应确定企业所涉及的《企业突发环境事件风险分级方法》（HJ 941-2018）中涉气（或水）风险物质数量与其临界量的比值 Q，再根据 Q 值以及生产工艺过程与大气（或水）环境风险控制水平M、大气（或水）环境风险受体敏感程度E，对照企业突发环境事件风险分级矩阵表确定风险等级（气或水）</w:t>
      </w:r>
      <w:r>
        <w:rPr>
          <w:color w:val="auto"/>
        </w:rPr>
        <w:t>。</w:t>
      </w:r>
    </w:p>
    <w:p>
      <w:pPr>
        <w:pStyle w:val="3"/>
        <w:numPr>
          <w:ilvl w:val="1"/>
          <w:numId w:val="1"/>
        </w:numPr>
        <w:tabs>
          <w:tab w:val="left" w:pos="1308"/>
        </w:tabs>
        <w:spacing w:before="0" w:after="0" w:line="360" w:lineRule="auto"/>
        <w:ind w:left="919" w:leftChars="0" w:right="0" w:hanging="481" w:firstLineChars="0"/>
        <w:jc w:val="left"/>
        <w:outlineLvl w:val="0"/>
        <w:rPr>
          <w:color w:val="auto"/>
        </w:rPr>
      </w:pPr>
      <w:bookmarkStart w:id="178" w:name="_bookmark28"/>
      <w:bookmarkEnd w:id="178"/>
      <w:bookmarkStart w:id="179" w:name="_bookmark28"/>
      <w:bookmarkEnd w:id="179"/>
      <w:bookmarkStart w:id="180" w:name="7.2风险物质识别"/>
      <w:bookmarkEnd w:id="180"/>
      <w:bookmarkStart w:id="181" w:name="_Toc5037"/>
      <w:bookmarkStart w:id="182" w:name="_Toc27267"/>
      <w:r>
        <w:rPr>
          <w:color w:val="auto"/>
        </w:rPr>
        <w:t>风险物质识别</w:t>
      </w:r>
      <w:bookmarkEnd w:id="181"/>
      <w:bookmarkEnd w:id="182"/>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right="0" w:firstLine="544" w:firstLineChars="200"/>
        <w:jc w:val="both"/>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依据企业涉及的各类化学物质种类和风险进行风险物质识别。突发环境事件风险物质及临界量清单见《企业突发环境事件分级 HJ941-2018》附录 A。</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right="0" w:firstLine="544" w:firstLineChars="200"/>
        <w:jc w:val="both"/>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项目主要环境风险物质是</w:t>
      </w:r>
      <w:r>
        <w:rPr>
          <w:rFonts w:hint="eastAsia" w:ascii="宋体" w:hAnsi="宋体" w:eastAsia="宋体" w:cs="宋体"/>
          <w:color w:val="auto"/>
          <w:spacing w:val="-4"/>
          <w:lang w:val="en-US" w:eastAsia="zh-CN"/>
        </w:rPr>
        <w:t>二氧化氯</w:t>
      </w:r>
      <w:r>
        <w:rPr>
          <w:rFonts w:hint="eastAsia" w:ascii="宋体" w:hAnsi="宋体" w:eastAsia="宋体" w:cs="宋体"/>
          <w:color w:val="auto"/>
          <w:spacing w:val="-4"/>
          <w:lang w:eastAsia="zh-CN"/>
        </w:rPr>
        <w:t>。</w:t>
      </w:r>
    </w:p>
    <w:p>
      <w:pPr>
        <w:pStyle w:val="3"/>
        <w:numPr>
          <w:ilvl w:val="1"/>
          <w:numId w:val="1"/>
        </w:numPr>
        <w:tabs>
          <w:tab w:val="left" w:pos="1308"/>
        </w:tabs>
        <w:spacing w:before="240" w:after="0" w:line="360" w:lineRule="auto"/>
        <w:ind w:left="919" w:leftChars="0" w:right="0" w:hanging="481" w:firstLineChars="0"/>
        <w:jc w:val="left"/>
        <w:outlineLvl w:val="0"/>
        <w:rPr>
          <w:color w:val="auto"/>
        </w:rPr>
      </w:pPr>
      <w:bookmarkStart w:id="183" w:name="_bookmark29"/>
      <w:bookmarkEnd w:id="183"/>
      <w:bookmarkStart w:id="184" w:name="7.3突发大气环境事件风险分级"/>
      <w:bookmarkEnd w:id="184"/>
      <w:bookmarkStart w:id="185" w:name="_bookmark29"/>
      <w:bookmarkEnd w:id="185"/>
      <w:bookmarkStart w:id="186" w:name="_Toc3716"/>
      <w:bookmarkStart w:id="187" w:name="_Toc32470"/>
      <w:r>
        <w:rPr>
          <w:color w:val="auto"/>
        </w:rPr>
        <w:t>突发大气环境事件风险分级</w:t>
      </w:r>
      <w:bookmarkEnd w:id="186"/>
      <w:bookmarkEnd w:id="187"/>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根据《企业突发环境事件风险分级方法》（HJ941-2018）中企业突发环境事件风险等级划分方法中的相关要求，当企业存在多种环境 风险物质时，则按下式计算物质数量与其临界量比值（Q），计算公式如下：</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center"/>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Q=q1/Q1+q2/Q2+…+qn/Qn</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 xml:space="preserve">式中：q1，q2…qn——每种环境风险物质的最大存在总量，t；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 xml:space="preserve">Q1，Q2…Qn——每种环境风险物质的临界量，t。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 xml:space="preserve">计算出 Q 值后，将 Q 值划分为 4 级，分别为：①当 Q&lt;1 时，企业直接评为一般环境风险等级，以 Q0表示。②当 1≤Q&lt;10 时，以 Q1表示。③当 10≤Q&lt;100 时，以 Q2表示。④当 Q≥100 时，以 Q3表示。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对照《企业突发环境事件分级 HJ941-2018》附录 A，本企业规定的临界量和主要危险物质最大存在量如下表：对照《企业突发环境事件分级 HJ941-2018》附录A，本企业规定的临界量和主要危险物质最大存在量如下表：</w:t>
      </w:r>
    </w:p>
    <w:p>
      <w:pPr>
        <w:spacing w:before="153"/>
        <w:ind w:left="220" w:right="428" w:firstLine="0"/>
        <w:jc w:val="center"/>
        <w:rPr>
          <w:b/>
          <w:color w:val="auto"/>
          <w:sz w:val="21"/>
        </w:rPr>
      </w:pPr>
      <w:r>
        <w:rPr>
          <w:b/>
          <w:color w:val="auto"/>
          <w:spacing w:val="-28"/>
          <w:sz w:val="21"/>
        </w:rPr>
        <w:t xml:space="preserve">表 </w:t>
      </w:r>
      <w:r>
        <w:rPr>
          <w:rFonts w:ascii="Times New Roman" w:eastAsia="Times New Roman"/>
          <w:b/>
          <w:color w:val="auto"/>
          <w:sz w:val="21"/>
        </w:rPr>
        <w:t>7.3-1</w:t>
      </w:r>
      <w:r>
        <w:rPr>
          <w:rFonts w:ascii="Times New Roman" w:eastAsia="Times New Roman"/>
          <w:b/>
          <w:color w:val="auto"/>
          <w:spacing w:val="52"/>
          <w:sz w:val="21"/>
        </w:rPr>
        <w:t xml:space="preserve"> </w:t>
      </w:r>
      <w:r>
        <w:rPr>
          <w:b/>
          <w:color w:val="auto"/>
          <w:sz w:val="21"/>
        </w:rPr>
        <w:t>环境风险物质与临界量表</w:t>
      </w:r>
    </w:p>
    <w:tbl>
      <w:tblPr>
        <w:tblStyle w:val="13"/>
        <w:tblW w:w="0" w:type="auto"/>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1639"/>
        <w:gridCol w:w="2254"/>
        <w:gridCol w:w="1301"/>
        <w:gridCol w:w="1473"/>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31"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物质名称</w:t>
            </w:r>
          </w:p>
        </w:tc>
        <w:tc>
          <w:tcPr>
            <w:tcW w:w="1639"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临界量（t）</w:t>
            </w:r>
          </w:p>
        </w:tc>
        <w:tc>
          <w:tcPr>
            <w:tcW w:w="2254"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最大储存量（t）</w:t>
            </w:r>
          </w:p>
        </w:tc>
        <w:tc>
          <w:tcPr>
            <w:tcW w:w="1301"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Q</w:t>
            </w:r>
          </w:p>
        </w:tc>
        <w:tc>
          <w:tcPr>
            <w:tcW w:w="1473"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是否重大危险源</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031" w:type="dxa"/>
            <w:noWrap w:val="0"/>
            <w:vAlign w:val="center"/>
          </w:tcPr>
          <w:p>
            <w:pPr>
              <w:pStyle w:val="11"/>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二氧化氯</w:t>
            </w:r>
          </w:p>
        </w:tc>
        <w:tc>
          <w:tcPr>
            <w:tcW w:w="1639" w:type="dxa"/>
            <w:noWrap w:val="0"/>
            <w:vAlign w:val="center"/>
          </w:tcPr>
          <w:p>
            <w:pPr>
              <w:pStyle w:val="11"/>
              <w:spacing w:line="240" w:lineRule="auto"/>
              <w:ind w:firstLine="0" w:firstLineChars="0"/>
              <w:jc w:val="center"/>
              <w:rPr>
                <w:rFonts w:hint="default" w:ascii="Times New Roman" w:hAnsi="Times New Roman" w:eastAsia="宋体" w:cs="Times New Roman"/>
                <w:color w:val="auto"/>
                <w:sz w:val="21"/>
                <w:szCs w:val="21"/>
                <w:highlight w:val="yellow"/>
                <w:lang w:val="en-US" w:eastAsia="zh-CN"/>
              </w:rPr>
            </w:pPr>
            <w:r>
              <w:rPr>
                <w:rFonts w:hint="eastAsia" w:ascii="Times New Roman" w:hAnsi="Times New Roman" w:eastAsia="宋体" w:cs="Times New Roman"/>
                <w:color w:val="auto"/>
                <w:sz w:val="21"/>
                <w:szCs w:val="21"/>
                <w:lang w:val="en-US" w:eastAsia="zh-CN"/>
              </w:rPr>
              <w:t>0.5</w:t>
            </w:r>
          </w:p>
        </w:tc>
        <w:tc>
          <w:tcPr>
            <w:tcW w:w="2254" w:type="dxa"/>
            <w:noWrap w:val="0"/>
            <w:vAlign w:val="center"/>
          </w:tcPr>
          <w:p>
            <w:pPr>
              <w:pStyle w:val="11"/>
              <w:spacing w:line="240" w:lineRule="auto"/>
              <w:ind w:firstLine="0" w:firstLineChars="0"/>
              <w:jc w:val="center"/>
              <w:rPr>
                <w:rFonts w:hint="default" w:ascii="Times New Roman" w:hAnsi="Times New Roman" w:eastAsia="宋体" w:cs="Times New Roman"/>
                <w:color w:val="auto"/>
                <w:sz w:val="21"/>
                <w:szCs w:val="21"/>
                <w:highlight w:val="yellow"/>
                <w:lang w:val="en-US" w:eastAsia="zh-CN"/>
              </w:rPr>
            </w:pPr>
            <w:r>
              <w:rPr>
                <w:rFonts w:hint="eastAsia" w:ascii="Times New Roman" w:hAnsi="Times New Roman" w:eastAsia="宋体" w:cs="Times New Roman"/>
                <w:color w:val="auto"/>
                <w:sz w:val="21"/>
                <w:szCs w:val="21"/>
                <w:lang w:val="en-US" w:eastAsia="zh-CN"/>
              </w:rPr>
              <w:t>0.2</w:t>
            </w:r>
          </w:p>
        </w:tc>
        <w:tc>
          <w:tcPr>
            <w:tcW w:w="1301"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0.4</w:t>
            </w:r>
          </w:p>
        </w:tc>
        <w:tc>
          <w:tcPr>
            <w:tcW w:w="1473" w:type="dxa"/>
            <w:vMerge w:val="restar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否</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924" w:type="dxa"/>
            <w:gridSpan w:val="3"/>
            <w:noWrap w:val="0"/>
            <w:vAlign w:val="center"/>
          </w:tcPr>
          <w:p>
            <w:pPr>
              <w:adjustRightInd w:val="0"/>
              <w:snapToGrid w:val="0"/>
              <w:spacing w:line="240" w:lineRule="auto"/>
              <w:ind w:firstLine="42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Q</w:t>
            </w:r>
          </w:p>
        </w:tc>
        <w:tc>
          <w:tcPr>
            <w:tcW w:w="1301" w:type="dxa"/>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0.4</w:t>
            </w:r>
          </w:p>
        </w:tc>
        <w:tc>
          <w:tcPr>
            <w:tcW w:w="1473" w:type="dxa"/>
            <w:vMerge w:val="continue"/>
            <w:noWrap w:val="0"/>
            <w:vAlign w:val="center"/>
          </w:tcPr>
          <w:p>
            <w:pPr>
              <w:adjustRightInd w:val="0"/>
              <w:snapToGrid w:val="0"/>
              <w:spacing w:line="240" w:lineRule="auto"/>
              <w:ind w:firstLine="420"/>
              <w:jc w:val="center"/>
              <w:rPr>
                <w:rFonts w:hint="default" w:ascii="Times New Roman" w:hAnsi="Times New Roman" w:eastAsia="宋体" w:cs="Times New Roman"/>
                <w:color w:val="auto"/>
                <w:sz w:val="21"/>
                <w:szCs w:val="21"/>
              </w:rPr>
            </w:pPr>
          </w:p>
        </w:tc>
      </w:tr>
    </w:tbl>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计算得出，本项目Q=0.4（1≤Q&lt;10），故本企业水环境风险等级为：</w:t>
      </w:r>
      <w:r>
        <w:rPr>
          <w:rFonts w:hint="eastAsia" w:ascii="Times New Roman" w:hAnsi="Times New Roman" w:eastAsia="宋体" w:cs="Times New Roman"/>
          <w:color w:val="auto"/>
          <w:spacing w:val="3"/>
          <w:sz w:val="28"/>
          <w:szCs w:val="28"/>
          <w:lang w:val="en-US" w:eastAsia="zh-CN" w:bidi="zh-CN"/>
        </w:rPr>
        <w:t>一般</w:t>
      </w:r>
      <w:r>
        <w:rPr>
          <w:rFonts w:hint="default" w:ascii="Times New Roman" w:hAnsi="Times New Roman" w:eastAsia="宋体" w:cs="Times New Roman"/>
          <w:color w:val="auto"/>
          <w:spacing w:val="3"/>
          <w:sz w:val="28"/>
          <w:szCs w:val="28"/>
          <w:lang w:val="en-US" w:eastAsia="zh-CN" w:bidi="zh-CN"/>
        </w:rPr>
        <w:t>-</w:t>
      </w:r>
      <w:r>
        <w:rPr>
          <w:rFonts w:hint="eastAsia" w:ascii="Times New Roman" w:hAnsi="Times New Roman" w:eastAsia="宋体" w:cs="Times New Roman"/>
          <w:color w:val="auto"/>
          <w:spacing w:val="3"/>
          <w:sz w:val="28"/>
          <w:szCs w:val="28"/>
          <w:lang w:val="en-US" w:eastAsia="zh-CN" w:bidi="zh-CN"/>
        </w:rPr>
        <w:t>大气</w:t>
      </w:r>
      <w:r>
        <w:rPr>
          <w:rFonts w:hint="default" w:ascii="Times New Roman" w:hAnsi="Times New Roman" w:eastAsia="宋体" w:cs="Times New Roman"/>
          <w:color w:val="auto"/>
          <w:spacing w:val="3"/>
          <w:sz w:val="28"/>
          <w:szCs w:val="28"/>
          <w:lang w:val="en-US" w:eastAsia="zh-CN" w:bidi="zh-CN"/>
        </w:rPr>
        <w:t>（Q</w:t>
      </w:r>
      <w:r>
        <w:rPr>
          <w:rFonts w:hint="eastAsia" w:ascii="Times New Roman" w:hAnsi="Times New Roman" w:eastAsia="宋体" w:cs="Times New Roman"/>
          <w:color w:val="auto"/>
          <w:spacing w:val="3"/>
          <w:sz w:val="28"/>
          <w:szCs w:val="28"/>
          <w:lang w:val="en-US" w:eastAsia="zh-CN" w:bidi="zh-CN"/>
        </w:rPr>
        <w:t>1</w:t>
      </w:r>
      <w:r>
        <w:rPr>
          <w:rFonts w:hint="default" w:ascii="Times New Roman" w:hAnsi="Times New Roman" w:eastAsia="宋体" w:cs="Times New Roman"/>
          <w:color w:val="auto"/>
          <w:spacing w:val="3"/>
          <w:sz w:val="28"/>
          <w:szCs w:val="28"/>
          <w:lang w:val="en-US" w:eastAsia="zh-CN" w:bidi="zh-CN"/>
        </w:rPr>
        <w:t>）。</w:t>
      </w:r>
    </w:p>
    <w:p>
      <w:pPr>
        <w:pStyle w:val="3"/>
        <w:numPr>
          <w:ilvl w:val="1"/>
          <w:numId w:val="1"/>
        </w:numPr>
        <w:tabs>
          <w:tab w:val="left" w:pos="1308"/>
        </w:tabs>
        <w:spacing w:before="0" w:after="0" w:line="384" w:lineRule="exact"/>
        <w:ind w:left="919" w:leftChars="0" w:right="0" w:hanging="481" w:firstLineChars="0"/>
        <w:jc w:val="left"/>
        <w:outlineLvl w:val="0"/>
        <w:rPr>
          <w:color w:val="auto"/>
        </w:rPr>
      </w:pPr>
      <w:bookmarkStart w:id="188" w:name="_bookmark30"/>
      <w:bookmarkEnd w:id="188"/>
      <w:bookmarkStart w:id="189" w:name="7.4突发水环境事件风险分级"/>
      <w:bookmarkEnd w:id="189"/>
      <w:bookmarkStart w:id="190" w:name="_bookmark30"/>
      <w:bookmarkEnd w:id="190"/>
      <w:bookmarkStart w:id="191" w:name="_Toc31802"/>
      <w:bookmarkStart w:id="192" w:name="_Toc7264"/>
      <w:r>
        <w:rPr>
          <w:color w:val="auto"/>
        </w:rPr>
        <w:t>突发水环境事件风险分级</w:t>
      </w:r>
      <w:bookmarkEnd w:id="191"/>
      <w:bookmarkEnd w:id="192"/>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根据《企业突发环境事件风险分级方法》（HJ941-2018）中企业突发环境事件风险等级划分方法中的相关要求，当企业存在多种环境 风险物质时，则按下式计算物质数量与其临界量比值（Q），计算公式如下：</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center"/>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Q=q1/Q1+q2/Q2+…+qn/Qn</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式中：q1，q2…qn——每种环境风险物质的最大存在总量，t；</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Q1，Q2…Qn——每种环境风险物质的临界量，t。</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计算出Q值后，将 Q 值划分为 4 级，分别为：①当Q&lt;1时，企业直接评为一般环境风险等级，以Q0表示。②当1≤Q&lt;10时，以Q1表示。③当10≤Q&lt;100时，以Q2表示。④当Q≥100时，以Q3表示。</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360" w:lineRule="auto"/>
        <w:ind w:right="0" w:rightChars="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对照《企业突发环境事件分级 HJ941-2018》附录A，本企业规定的临界量和主要危险物质最大存在量如下表：对照《企业突发环境事件分级HJ941-2018》附录A，本企业规定的临界量和主要危险物质最大存在量如下表：</w:t>
      </w:r>
    </w:p>
    <w:p>
      <w:pPr>
        <w:widowControl/>
        <w:ind w:firstLine="0" w:firstLineChars="0"/>
        <w:jc w:val="center"/>
        <w:rPr>
          <w:b/>
          <w:bCs/>
          <w:color w:val="auto"/>
          <w:kern w:val="0"/>
          <w:sz w:val="21"/>
          <w:szCs w:val="21"/>
          <w:lang w:bidi="ar"/>
        </w:rPr>
      </w:pPr>
      <w:r>
        <w:rPr>
          <w:b/>
          <w:bCs/>
          <w:color w:val="auto"/>
          <w:kern w:val="0"/>
          <w:sz w:val="21"/>
          <w:szCs w:val="21"/>
          <w:lang w:bidi="ar"/>
        </w:rPr>
        <w:t>表</w:t>
      </w:r>
      <w:r>
        <w:rPr>
          <w:rFonts w:hint="eastAsia"/>
          <w:b/>
          <w:bCs/>
          <w:color w:val="auto"/>
          <w:kern w:val="0"/>
          <w:sz w:val="21"/>
          <w:szCs w:val="21"/>
          <w:lang w:val="en-US" w:eastAsia="zh-CN" w:bidi="ar"/>
        </w:rPr>
        <w:t>7</w:t>
      </w:r>
      <w:r>
        <w:rPr>
          <w:b/>
          <w:bCs/>
          <w:color w:val="auto"/>
          <w:kern w:val="0"/>
          <w:sz w:val="21"/>
          <w:szCs w:val="21"/>
          <w:lang w:bidi="ar"/>
        </w:rPr>
        <w:t>.</w:t>
      </w:r>
      <w:r>
        <w:rPr>
          <w:rFonts w:hint="eastAsia"/>
          <w:b/>
          <w:bCs/>
          <w:color w:val="auto"/>
          <w:kern w:val="0"/>
          <w:sz w:val="21"/>
          <w:szCs w:val="21"/>
          <w:lang w:val="en-US" w:eastAsia="zh-CN" w:bidi="ar"/>
        </w:rPr>
        <w:t>4</w:t>
      </w:r>
      <w:r>
        <w:rPr>
          <w:b/>
          <w:bCs/>
          <w:color w:val="auto"/>
          <w:kern w:val="0"/>
          <w:sz w:val="21"/>
          <w:szCs w:val="21"/>
          <w:lang w:bidi="ar"/>
        </w:rPr>
        <w:t>-</w:t>
      </w:r>
      <w:r>
        <w:rPr>
          <w:rFonts w:hint="eastAsia"/>
          <w:b/>
          <w:bCs/>
          <w:color w:val="auto"/>
          <w:kern w:val="0"/>
          <w:sz w:val="21"/>
          <w:szCs w:val="21"/>
          <w:lang w:val="en-US" w:eastAsia="zh-CN" w:bidi="ar"/>
        </w:rPr>
        <w:t>1</w:t>
      </w:r>
      <w:r>
        <w:rPr>
          <w:b/>
          <w:bCs/>
          <w:color w:val="auto"/>
          <w:kern w:val="0"/>
          <w:sz w:val="21"/>
          <w:szCs w:val="21"/>
          <w:lang w:bidi="ar"/>
        </w:rPr>
        <w:t xml:space="preserve"> 环境风险物质与临界量表</w:t>
      </w:r>
    </w:p>
    <w:tbl>
      <w:tblPr>
        <w:tblStyle w:val="13"/>
        <w:tblW w:w="0" w:type="auto"/>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1639"/>
        <w:gridCol w:w="2254"/>
        <w:gridCol w:w="1301"/>
        <w:gridCol w:w="1473"/>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31"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物质名称</w:t>
            </w:r>
          </w:p>
        </w:tc>
        <w:tc>
          <w:tcPr>
            <w:tcW w:w="1639"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临界量（t）</w:t>
            </w:r>
          </w:p>
        </w:tc>
        <w:tc>
          <w:tcPr>
            <w:tcW w:w="2254"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最大储存量（t）</w:t>
            </w:r>
          </w:p>
        </w:tc>
        <w:tc>
          <w:tcPr>
            <w:tcW w:w="1301"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Q</w:t>
            </w:r>
          </w:p>
        </w:tc>
        <w:tc>
          <w:tcPr>
            <w:tcW w:w="1473" w:type="dxa"/>
            <w:noWrap w:val="0"/>
            <w:vAlign w:val="center"/>
          </w:tcPr>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是否重大危险源</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031" w:type="dxa"/>
            <w:noWrap w:val="0"/>
            <w:vAlign w:val="center"/>
          </w:tcPr>
          <w:p>
            <w:pPr>
              <w:pStyle w:val="11"/>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二氧化氯</w:t>
            </w:r>
          </w:p>
        </w:tc>
        <w:tc>
          <w:tcPr>
            <w:tcW w:w="1639" w:type="dxa"/>
            <w:noWrap w:val="0"/>
            <w:vAlign w:val="center"/>
          </w:tcPr>
          <w:p>
            <w:pPr>
              <w:pStyle w:val="11"/>
              <w:spacing w:line="240" w:lineRule="auto"/>
              <w:ind w:firstLine="0" w:firstLineChars="0"/>
              <w:jc w:val="center"/>
              <w:rPr>
                <w:rFonts w:hint="default" w:ascii="Times New Roman" w:hAnsi="Times New Roman" w:eastAsia="宋体" w:cs="Times New Roman"/>
                <w:color w:val="auto"/>
                <w:sz w:val="21"/>
                <w:szCs w:val="21"/>
                <w:highlight w:val="yellow"/>
                <w:lang w:val="en-US" w:eastAsia="zh-CN"/>
              </w:rPr>
            </w:pPr>
            <w:r>
              <w:rPr>
                <w:rFonts w:hint="eastAsia" w:ascii="Times New Roman" w:hAnsi="Times New Roman" w:eastAsia="宋体" w:cs="Times New Roman"/>
                <w:color w:val="auto"/>
                <w:sz w:val="21"/>
                <w:szCs w:val="21"/>
                <w:lang w:val="en-US" w:eastAsia="zh-CN"/>
              </w:rPr>
              <w:t>0.5</w:t>
            </w:r>
          </w:p>
        </w:tc>
        <w:tc>
          <w:tcPr>
            <w:tcW w:w="2254" w:type="dxa"/>
            <w:noWrap w:val="0"/>
            <w:vAlign w:val="center"/>
          </w:tcPr>
          <w:p>
            <w:pPr>
              <w:pStyle w:val="11"/>
              <w:spacing w:line="240" w:lineRule="auto"/>
              <w:ind w:firstLine="0" w:firstLineChars="0"/>
              <w:jc w:val="center"/>
              <w:rPr>
                <w:rFonts w:hint="default" w:ascii="Times New Roman" w:hAnsi="Times New Roman" w:eastAsia="宋体" w:cs="Times New Roman"/>
                <w:color w:val="auto"/>
                <w:sz w:val="21"/>
                <w:szCs w:val="21"/>
                <w:highlight w:val="yellow"/>
                <w:lang w:val="en-US" w:eastAsia="zh-CN"/>
              </w:rPr>
            </w:pPr>
            <w:r>
              <w:rPr>
                <w:rFonts w:hint="eastAsia" w:ascii="Times New Roman" w:hAnsi="Times New Roman" w:eastAsia="宋体" w:cs="Times New Roman"/>
                <w:color w:val="auto"/>
                <w:sz w:val="21"/>
                <w:szCs w:val="21"/>
                <w:lang w:val="en-US" w:eastAsia="zh-CN"/>
              </w:rPr>
              <w:t>0.2`</w:t>
            </w:r>
          </w:p>
        </w:tc>
        <w:tc>
          <w:tcPr>
            <w:tcW w:w="1301" w:type="dxa"/>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0.4</w:t>
            </w:r>
          </w:p>
        </w:tc>
        <w:tc>
          <w:tcPr>
            <w:tcW w:w="1473" w:type="dxa"/>
            <w:vMerge w:val="restar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否</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924" w:type="dxa"/>
            <w:gridSpan w:val="3"/>
            <w:noWrap w:val="0"/>
            <w:vAlign w:val="center"/>
          </w:tcPr>
          <w:p>
            <w:pPr>
              <w:adjustRightInd w:val="0"/>
              <w:snapToGrid w:val="0"/>
              <w:spacing w:line="240" w:lineRule="auto"/>
              <w:ind w:firstLine="42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Q</w:t>
            </w:r>
          </w:p>
        </w:tc>
        <w:tc>
          <w:tcPr>
            <w:tcW w:w="1301" w:type="dxa"/>
            <w:noWrap w:val="0"/>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0.4</w:t>
            </w:r>
          </w:p>
        </w:tc>
        <w:tc>
          <w:tcPr>
            <w:tcW w:w="1473" w:type="dxa"/>
            <w:vMerge w:val="continue"/>
            <w:noWrap w:val="0"/>
            <w:vAlign w:val="center"/>
          </w:tcPr>
          <w:p>
            <w:pPr>
              <w:adjustRightInd w:val="0"/>
              <w:snapToGrid w:val="0"/>
              <w:spacing w:line="240" w:lineRule="auto"/>
              <w:ind w:firstLine="420"/>
              <w:jc w:val="center"/>
              <w:rPr>
                <w:rFonts w:hint="default" w:ascii="Times New Roman" w:hAnsi="Times New Roman" w:eastAsia="宋体" w:cs="Times New Roman"/>
                <w:color w:val="auto"/>
                <w:sz w:val="21"/>
                <w:szCs w:val="21"/>
              </w:rPr>
            </w:pPr>
          </w:p>
        </w:tc>
      </w:tr>
    </w:tbl>
    <w:p>
      <w:pPr>
        <w:pStyle w:val="5"/>
        <w:spacing w:before="224" w:line="360" w:lineRule="auto"/>
        <w:ind w:left="186" w:right="252" w:firstLine="561"/>
        <w:jc w:val="both"/>
        <w:rPr>
          <w:color w:val="auto"/>
        </w:rPr>
      </w:pPr>
      <w:r>
        <w:rPr>
          <w:rFonts w:hint="default" w:ascii="Times New Roman" w:hAnsi="Times New Roman" w:eastAsia="宋体" w:cs="Times New Roman"/>
          <w:color w:val="auto"/>
          <w:spacing w:val="3"/>
          <w:sz w:val="28"/>
          <w:szCs w:val="28"/>
          <w:lang w:val="en-US" w:eastAsia="zh-CN" w:bidi="zh-CN"/>
        </w:rPr>
        <w:t>计算得出，本项目Q=</w:t>
      </w:r>
      <w:r>
        <w:rPr>
          <w:rFonts w:hint="eastAsia" w:ascii="Times New Roman" w:hAnsi="Times New Roman" w:eastAsia="宋体" w:cs="Times New Roman"/>
          <w:color w:val="auto"/>
          <w:spacing w:val="3"/>
          <w:sz w:val="28"/>
          <w:szCs w:val="28"/>
          <w:lang w:val="en-US" w:eastAsia="zh-CN" w:bidi="zh-CN"/>
        </w:rPr>
        <w:t>0.4</w:t>
      </w:r>
      <w:r>
        <w:rPr>
          <w:rFonts w:hint="default" w:ascii="Times New Roman" w:hAnsi="Times New Roman" w:eastAsia="宋体" w:cs="Times New Roman"/>
          <w:color w:val="auto"/>
          <w:spacing w:val="3"/>
          <w:sz w:val="28"/>
          <w:szCs w:val="28"/>
          <w:lang w:val="en-US" w:eastAsia="zh-CN" w:bidi="zh-CN"/>
        </w:rPr>
        <w:t>（1≤Q&lt;10），故本企业大气环境风险等级为：</w:t>
      </w:r>
      <w:r>
        <w:rPr>
          <w:rFonts w:hint="eastAsia" w:ascii="Times New Roman" w:hAnsi="Times New Roman" w:eastAsia="宋体" w:cs="Times New Roman"/>
          <w:color w:val="auto"/>
          <w:spacing w:val="3"/>
          <w:sz w:val="28"/>
          <w:szCs w:val="28"/>
          <w:lang w:val="en-US" w:eastAsia="zh-CN" w:bidi="zh-CN"/>
        </w:rPr>
        <w:t>一般</w:t>
      </w:r>
      <w:r>
        <w:rPr>
          <w:rFonts w:hint="default" w:ascii="Times New Roman" w:hAnsi="Times New Roman" w:eastAsia="宋体" w:cs="Times New Roman"/>
          <w:color w:val="auto"/>
          <w:spacing w:val="3"/>
          <w:sz w:val="28"/>
          <w:szCs w:val="28"/>
          <w:lang w:val="en-US" w:eastAsia="zh-CN" w:bidi="zh-CN"/>
        </w:rPr>
        <w:t>-</w:t>
      </w:r>
      <w:r>
        <w:rPr>
          <w:rFonts w:hint="eastAsia" w:ascii="Times New Roman" w:hAnsi="Times New Roman" w:eastAsia="宋体" w:cs="Times New Roman"/>
          <w:color w:val="auto"/>
          <w:spacing w:val="3"/>
          <w:sz w:val="28"/>
          <w:szCs w:val="28"/>
          <w:lang w:val="en-US" w:eastAsia="zh-CN" w:bidi="zh-CN"/>
        </w:rPr>
        <w:t>水</w:t>
      </w:r>
      <w:r>
        <w:rPr>
          <w:rFonts w:hint="default" w:ascii="Times New Roman" w:hAnsi="Times New Roman" w:eastAsia="宋体" w:cs="Times New Roman"/>
          <w:color w:val="auto"/>
          <w:spacing w:val="3"/>
          <w:sz w:val="28"/>
          <w:szCs w:val="28"/>
          <w:lang w:val="en-US" w:eastAsia="zh-CN" w:bidi="zh-CN"/>
        </w:rPr>
        <w:t>（Q</w:t>
      </w:r>
      <w:r>
        <w:rPr>
          <w:rFonts w:hint="eastAsia" w:ascii="Times New Roman" w:hAnsi="Times New Roman" w:eastAsia="宋体" w:cs="Times New Roman"/>
          <w:color w:val="auto"/>
          <w:spacing w:val="3"/>
          <w:sz w:val="28"/>
          <w:szCs w:val="28"/>
          <w:vertAlign w:val="baseline"/>
          <w:lang w:val="en-US" w:eastAsia="zh-CN" w:bidi="zh-CN"/>
        </w:rPr>
        <w:t>0</w:t>
      </w:r>
      <w:r>
        <w:rPr>
          <w:rFonts w:hint="default" w:ascii="Times New Roman" w:hAnsi="Times New Roman" w:eastAsia="宋体" w:cs="Times New Roman"/>
          <w:color w:val="auto"/>
          <w:spacing w:val="3"/>
          <w:sz w:val="28"/>
          <w:szCs w:val="28"/>
          <w:lang w:val="en-US" w:eastAsia="zh-CN" w:bidi="zh-CN"/>
        </w:rPr>
        <w:t>）。</w:t>
      </w:r>
    </w:p>
    <w:p>
      <w:pPr>
        <w:pStyle w:val="3"/>
        <w:numPr>
          <w:ilvl w:val="1"/>
          <w:numId w:val="1"/>
        </w:numPr>
        <w:tabs>
          <w:tab w:val="left" w:pos="1308"/>
        </w:tabs>
        <w:spacing w:before="0" w:after="0" w:line="384" w:lineRule="exact"/>
        <w:ind w:left="919" w:leftChars="0" w:right="0" w:hanging="481" w:firstLineChars="0"/>
        <w:jc w:val="left"/>
        <w:outlineLvl w:val="0"/>
        <w:rPr>
          <w:color w:val="auto"/>
        </w:rPr>
      </w:pPr>
      <w:bookmarkStart w:id="193" w:name="_bookmark31"/>
      <w:bookmarkEnd w:id="193"/>
      <w:bookmarkStart w:id="194" w:name="_bookmark31"/>
      <w:bookmarkEnd w:id="194"/>
      <w:bookmarkStart w:id="195" w:name="7.5企业突发环境事件风险等级确定"/>
      <w:bookmarkEnd w:id="195"/>
      <w:bookmarkStart w:id="196" w:name="_Toc21603"/>
      <w:bookmarkStart w:id="197" w:name="_Toc25377"/>
      <w:r>
        <w:rPr>
          <w:color w:val="auto"/>
        </w:rPr>
        <w:t>企业突发环境事件风险等级确定</w:t>
      </w:r>
      <w:bookmarkEnd w:id="196"/>
      <w:bookmarkEnd w:id="197"/>
    </w:p>
    <w:p>
      <w:pPr>
        <w:pStyle w:val="5"/>
        <w:spacing w:before="224" w:line="360" w:lineRule="auto"/>
        <w:ind w:left="186" w:right="252" w:firstLine="561"/>
        <w:jc w:val="both"/>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本企业近三年内未因违法排放污染物、非法转移处置危险废物等行为受到环境保护主管部门处罚，不涉及风险等级调整，综上，企业突发环境事件风险等级为“一般”。风险等级表示为一般【一般-大气（Q0）+一般-水（Q0）】。</w:t>
      </w:r>
    </w:p>
    <w:p>
      <w:pPr>
        <w:pStyle w:val="3"/>
        <w:numPr>
          <w:ilvl w:val="1"/>
          <w:numId w:val="1"/>
        </w:numPr>
        <w:tabs>
          <w:tab w:val="left" w:pos="1308"/>
        </w:tabs>
        <w:spacing w:before="0" w:after="0" w:line="384" w:lineRule="exact"/>
        <w:ind w:left="919" w:leftChars="0" w:right="0" w:hanging="481" w:firstLineChars="0"/>
        <w:jc w:val="left"/>
        <w:outlineLvl w:val="0"/>
        <w:rPr>
          <w:color w:val="auto"/>
        </w:rPr>
      </w:pPr>
      <w:bookmarkStart w:id="198" w:name="_bookmark32"/>
      <w:bookmarkEnd w:id="198"/>
      <w:bookmarkStart w:id="199" w:name="_bookmark32"/>
      <w:bookmarkEnd w:id="199"/>
      <w:bookmarkStart w:id="200" w:name="7.6风险等级调整"/>
      <w:bookmarkEnd w:id="200"/>
      <w:bookmarkStart w:id="201" w:name="_Toc29724"/>
      <w:bookmarkStart w:id="202" w:name="_Toc25618"/>
      <w:r>
        <w:rPr>
          <w:color w:val="auto"/>
        </w:rPr>
        <w:t>风险等级调整</w:t>
      </w:r>
      <w:bookmarkEnd w:id="201"/>
      <w:bookmarkEnd w:id="202"/>
    </w:p>
    <w:p>
      <w:pPr>
        <w:pStyle w:val="5"/>
        <w:spacing w:before="224" w:line="360" w:lineRule="auto"/>
        <w:ind w:left="186" w:right="252" w:firstLine="561"/>
        <w:jc w:val="both"/>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 xml:space="preserve">本企业于 </w:t>
      </w:r>
      <w:r>
        <w:rPr>
          <w:rFonts w:hint="eastAsia" w:ascii="Times New Roman" w:hAnsi="Times New Roman" w:eastAsia="宋体" w:cs="Times New Roman"/>
          <w:color w:val="auto"/>
          <w:spacing w:val="3"/>
          <w:sz w:val="28"/>
          <w:szCs w:val="28"/>
          <w:lang w:val="en-US" w:eastAsia="zh-CN" w:bidi="zh-CN"/>
        </w:rPr>
        <w:t>1998</w:t>
      </w:r>
      <w:r>
        <w:rPr>
          <w:rFonts w:hint="default" w:ascii="Times New Roman" w:hAnsi="Times New Roman" w:eastAsia="宋体" w:cs="Times New Roman"/>
          <w:color w:val="auto"/>
          <w:spacing w:val="3"/>
          <w:sz w:val="28"/>
          <w:szCs w:val="28"/>
          <w:lang w:val="en-US" w:eastAsia="zh-CN" w:bidi="zh-CN"/>
        </w:rPr>
        <w:t>年 新建成，不存在违法排放污染物，不存在非法转移危险废物等行为，不存在环境保护主管部门处罚记录。故本企业突发环境事件风险等级不需要调高一级，为一般环境风险等级。</w:t>
      </w:r>
    </w:p>
    <w:p>
      <w:pPr>
        <w:pStyle w:val="3"/>
        <w:numPr>
          <w:ilvl w:val="1"/>
          <w:numId w:val="1"/>
        </w:numPr>
        <w:tabs>
          <w:tab w:val="left" w:pos="1308"/>
        </w:tabs>
        <w:spacing w:before="0" w:after="0" w:line="384" w:lineRule="exact"/>
        <w:ind w:left="919" w:leftChars="0" w:right="0" w:hanging="481" w:firstLineChars="0"/>
        <w:jc w:val="left"/>
        <w:outlineLvl w:val="0"/>
        <w:rPr>
          <w:color w:val="auto"/>
        </w:rPr>
      </w:pPr>
      <w:bookmarkStart w:id="203" w:name="_bookmark33"/>
      <w:bookmarkEnd w:id="203"/>
      <w:bookmarkStart w:id="204" w:name="_bookmark33"/>
      <w:bookmarkEnd w:id="204"/>
      <w:bookmarkStart w:id="205" w:name="7.7风险等级表征"/>
      <w:bookmarkEnd w:id="205"/>
      <w:bookmarkStart w:id="206" w:name="_Toc4297"/>
      <w:bookmarkStart w:id="207" w:name="_Toc12049"/>
      <w:r>
        <w:rPr>
          <w:color w:val="auto"/>
        </w:rPr>
        <w:t>风险等级表征</w:t>
      </w:r>
      <w:bookmarkEnd w:id="206"/>
      <w:bookmarkEnd w:id="207"/>
    </w:p>
    <w:p>
      <w:pPr>
        <w:pStyle w:val="5"/>
        <w:spacing w:before="224" w:line="360" w:lineRule="auto"/>
        <w:ind w:left="186" w:right="252" w:firstLine="561"/>
        <w:jc w:val="both"/>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本企业风险等级表征为一般【一般-大气（Q0）+一般-水（Q0）】。</w:t>
      </w:r>
    </w:p>
    <w:p>
      <w:pPr>
        <w:pStyle w:val="5"/>
        <w:spacing w:before="224" w:line="360" w:lineRule="auto"/>
        <w:ind w:left="186" w:right="252" w:firstLine="561"/>
        <w:jc w:val="both"/>
        <w:rPr>
          <w:rFonts w:hint="default" w:ascii="Times New Roman" w:hAnsi="Times New Roman" w:eastAsia="宋体" w:cs="Times New Roman"/>
          <w:color w:val="auto"/>
          <w:spacing w:val="3"/>
          <w:sz w:val="28"/>
          <w:szCs w:val="28"/>
          <w:lang w:val="en-US" w:eastAsia="zh-CN" w:bidi="zh-CN"/>
        </w:rPr>
        <w:sectPr>
          <w:pgSz w:w="11910" w:h="16840"/>
          <w:pgMar w:top="1440" w:right="1803" w:bottom="1440" w:left="1803" w:header="878" w:footer="846" w:gutter="0"/>
          <w:pgBorders>
            <w:top w:val="none" w:sz="0" w:space="0"/>
            <w:left w:val="none" w:sz="0" w:space="0"/>
            <w:bottom w:val="none" w:sz="0" w:space="0"/>
            <w:right w:val="none" w:sz="0" w:space="0"/>
          </w:pgBorders>
          <w:cols w:space="720" w:num="1"/>
        </w:sectPr>
      </w:pPr>
    </w:p>
    <w:p>
      <w:pPr>
        <w:pStyle w:val="5"/>
        <w:spacing w:before="4"/>
        <w:rPr>
          <w:color w:val="auto"/>
          <w:sz w:val="8"/>
        </w:rPr>
      </w:pPr>
    </w:p>
    <w:p>
      <w:pPr>
        <w:pStyle w:val="3"/>
        <w:numPr>
          <w:ilvl w:val="0"/>
          <w:numId w:val="1"/>
        </w:numPr>
        <w:tabs>
          <w:tab w:val="left" w:pos="1147"/>
        </w:tabs>
        <w:spacing w:before="64" w:after="0" w:line="240" w:lineRule="auto"/>
        <w:ind w:left="540" w:leftChars="0" w:right="0" w:hanging="320" w:firstLineChars="0"/>
        <w:jc w:val="left"/>
        <w:outlineLvl w:val="0"/>
        <w:rPr>
          <w:rFonts w:hint="eastAsia" w:ascii="黑体" w:eastAsia="黑体"/>
          <w:color w:val="auto"/>
        </w:rPr>
      </w:pPr>
      <w:bookmarkStart w:id="208" w:name="8 修订说明"/>
      <w:bookmarkEnd w:id="208"/>
      <w:bookmarkStart w:id="209" w:name="_bookmark34"/>
      <w:bookmarkEnd w:id="209"/>
      <w:bookmarkStart w:id="210" w:name="_bookmark34"/>
      <w:bookmarkEnd w:id="210"/>
      <w:bookmarkStart w:id="211" w:name="_Toc10728"/>
      <w:r>
        <w:rPr>
          <w:rFonts w:hint="eastAsia" w:ascii="黑体" w:eastAsia="黑体"/>
          <w:color w:val="auto"/>
        </w:rPr>
        <w:t>修订说明</w:t>
      </w:r>
      <w:bookmarkEnd w:id="211"/>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有下列情形之一的，企业应当及时划定或重新划定本项目突发环境事件风险等级，编制或修订本项目的环境风险评估报告：</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bookmarkStart w:id="212" w:name="_Toc10507"/>
      <w:bookmarkStart w:id="213" w:name="_Toc31095"/>
      <w:r>
        <w:rPr>
          <w:rFonts w:hint="default" w:ascii="Times New Roman" w:hAnsi="Times New Roman" w:eastAsia="宋体" w:cs="Times New Roman"/>
          <w:color w:val="auto"/>
          <w:spacing w:val="3"/>
          <w:sz w:val="28"/>
          <w:szCs w:val="28"/>
          <w:lang w:val="en-US" w:eastAsia="zh-CN" w:bidi="zh-CN"/>
        </w:rPr>
        <w:t>1、未划定环境风险等级或划定环境风险等级已满三年的；</w:t>
      </w:r>
      <w:bookmarkEnd w:id="212"/>
      <w:bookmarkEnd w:id="213"/>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outlineLvl w:val="9"/>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2、涉及环境风险物质的种类或数量、生产工艺过程与环境风险防范措施或周边可能受影响的环境风险受体发生变化，导致企业环境风险等级变化的；</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rPr>
          <w:rFonts w:hint="default" w:ascii="Times New Roman" w:hAnsi="Times New Roman" w:eastAsia="宋体" w:cs="Times New Roman"/>
          <w:color w:val="auto"/>
          <w:spacing w:val="3"/>
          <w:sz w:val="28"/>
          <w:szCs w:val="28"/>
          <w:lang w:val="en-US" w:eastAsia="zh-CN" w:bidi="zh-CN"/>
        </w:rPr>
      </w:pPr>
      <w:r>
        <w:rPr>
          <w:rFonts w:hint="default" w:ascii="Times New Roman" w:hAnsi="Times New Roman" w:eastAsia="宋体" w:cs="Times New Roman"/>
          <w:color w:val="auto"/>
          <w:spacing w:val="3"/>
          <w:sz w:val="28"/>
          <w:szCs w:val="28"/>
          <w:lang w:val="en-US" w:eastAsia="zh-CN" w:bidi="zh-CN"/>
        </w:rPr>
        <w:t>3、发生突发环境事件并造成环境污染的；</w:t>
      </w:r>
    </w:p>
    <w:p>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572" w:firstLineChars="200"/>
        <w:jc w:val="both"/>
        <w:textAlignment w:val="auto"/>
        <w:rPr>
          <w:color w:val="auto"/>
        </w:rPr>
      </w:pPr>
      <w:r>
        <w:rPr>
          <w:rFonts w:hint="default" w:ascii="Times New Roman" w:hAnsi="Times New Roman" w:eastAsia="宋体" w:cs="Times New Roman"/>
          <w:color w:val="auto"/>
          <w:spacing w:val="3"/>
          <w:sz w:val="28"/>
          <w:szCs w:val="28"/>
          <w:lang w:val="en-US" w:eastAsia="zh-CN" w:bidi="zh-CN"/>
        </w:rPr>
        <w:t>4、有关企业环境风险评估标准或规范性文件发生变化。</w:t>
      </w:r>
    </w:p>
    <w:sectPr>
      <w:pgSz w:w="11910" w:h="16840"/>
      <w:pgMar w:top="1440" w:right="1803" w:bottom="1440" w:left="1803" w:header="878" w:footer="846"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Light">
    <w:altName w:val="黑体"/>
    <w:panose1 w:val="020B0502040204020203"/>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3964305</wp:posOffset>
              </wp:positionH>
              <wp:positionV relativeFrom="page">
                <wp:posOffset>10000615</wp:posOffset>
              </wp:positionV>
              <wp:extent cx="117475" cy="172720"/>
              <wp:effectExtent l="0" t="0" r="0" b="0"/>
              <wp:wrapNone/>
              <wp:docPr id="8" name="文本框 5"/>
              <wp:cNvGraphicFramePr/>
              <a:graphic xmlns:a="http://schemas.openxmlformats.org/drawingml/2006/main">
                <a:graphicData uri="http://schemas.microsoft.com/office/word/2010/wordprocessingShape">
                  <wps:wsp>
                    <wps:cNvSpPr txBox="1"/>
                    <wps:spPr>
                      <a:xfrm>
                        <a:off x="0" y="0"/>
                        <a:ext cx="117475" cy="172720"/>
                      </a:xfrm>
                      <a:prstGeom prst="rect">
                        <a:avLst/>
                      </a:prstGeom>
                      <a:noFill/>
                      <a:ln>
                        <a:noFill/>
                      </a:ln>
                    </wps:spPr>
                    <wps:txbx>
                      <w:txbxContent>
                        <w:p>
                          <w:pPr>
                            <w:spacing w:before="10"/>
                            <w:ind w:left="40" w:right="0" w:firstLine="0"/>
                            <w:jc w:val="left"/>
                            <w:rPr>
                              <w:rFonts w:ascii="Times New Roman"/>
                              <w:sz w:val="21"/>
                            </w:rPr>
                          </w:pPr>
                          <w:r>
                            <w:fldChar w:fldCharType="begin"/>
                          </w:r>
                          <w:r>
                            <w:rPr>
                              <w:rFonts w:ascii="Times New Roman"/>
                              <w:w w:val="99"/>
                              <w:sz w:val="21"/>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5" o:spid="_x0000_s1026" o:spt="202" type="#_x0000_t202" style="position:absolute;left:0pt;margin-left:312.15pt;margin-top:787.45pt;height:13.6pt;width:9.25pt;mso-position-horizontal-relative:page;mso-position-vertical-relative:page;z-index:-251657216;mso-width-relative:page;mso-height-relative:page;" filled="f" stroked="f" coordsize="21600,21600" o:gfxdata="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Bx6B/bAAAADQEAAA8AAAAAAAAAAQAgAAAAIgAAAGRycy9kb3ducmV2LnhtbFBL&#10;AQIUABQAAAAIAIdO4kDKze9YugEAAHEDAAAOAAAAAAAAAAEAIAAAACoBAABkcnMvZTJvRG9jLnht&#10;bFBLBQYAAAAABgAGAFkBAABWBQAAAAA=&#10;">
              <v:fill on="f" focussize="0,0"/>
              <v:stroke on="f"/>
              <v:imagedata o:title=""/>
              <o:lock v:ext="edit" aspectratio="f"/>
              <v:textbox inset="0mm,0mm,0mm,0mm">
                <w:txbxContent>
                  <w:p>
                    <w:pPr>
                      <w:spacing w:before="10"/>
                      <w:ind w:left="40" w:right="0" w:firstLine="0"/>
                      <w:jc w:val="left"/>
                      <w:rPr>
                        <w:rFonts w:ascii="Times New Roman"/>
                        <w:sz w:val="21"/>
                      </w:rPr>
                    </w:pPr>
                    <w:r>
                      <w:fldChar w:fldCharType="begin"/>
                    </w:r>
                    <w:r>
                      <w:rPr>
                        <w:rFonts w:ascii="Times New Roman"/>
                        <w:w w:val="99"/>
                        <w:sz w:val="21"/>
                      </w:rPr>
                      <w:instrText xml:space="preserve"> PAGE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3964305</wp:posOffset>
              </wp:positionH>
              <wp:positionV relativeFrom="page">
                <wp:posOffset>10000615</wp:posOffset>
              </wp:positionV>
              <wp:extent cx="184785" cy="17272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4785" cy="172720"/>
                      </a:xfrm>
                      <a:prstGeom prst="rect">
                        <a:avLst/>
                      </a:prstGeom>
                      <a:noFill/>
                      <a:ln>
                        <a:noFill/>
                      </a:ln>
                    </wps:spPr>
                    <wps:txbx>
                      <w:txbxContent>
                        <w:p>
                          <w:pPr>
                            <w:spacing w:before="10"/>
                            <w:ind w:left="40" w:right="0" w:firstLine="0"/>
                            <w:jc w:val="left"/>
                            <w:rPr>
                              <w:rFonts w:ascii="Times New Roman"/>
                              <w:sz w:val="21"/>
                            </w:rPr>
                          </w:pPr>
                          <w:r>
                            <w:fldChar w:fldCharType="begin"/>
                          </w:r>
                          <w:r>
                            <w:rPr>
                              <w:rFonts w:ascii="Times New Roman"/>
                              <w:sz w:val="21"/>
                            </w:rPr>
                            <w:instrText xml:space="preserve"> PAGE </w:instrText>
                          </w:r>
                          <w:r>
                            <w:fldChar w:fldCharType="separate"/>
                          </w:r>
                          <w:r>
                            <w:t>20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312.15pt;margin-top:787.45pt;height:13.6pt;width:14.55pt;mso-position-horizontal-relative:page;mso-position-vertical-relative:page;z-index:-251656192;mso-width-relative:page;mso-height-relative:page;" filled="f" stroked="f" coordsize="21600,21600" o:gfxdata="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rd3dTbAAAADQEAAA8AAAAAAAAAAQAgAAAAIgAAAGRycy9kb3ducmV2LnhtbFBL&#10;AQIUABQAAAAIAIdO4kBWate8ugEAAHEDAAAOAAAAAAAAAAEAIAAAACoBAABkcnMvZTJvRG9jLnht&#10;bFBLBQYAAAAABgAGAFkBAABWBQAAAAA=&#10;">
              <v:fill on="f" focussize="0,0"/>
              <v:stroke on="f"/>
              <v:imagedata o:title=""/>
              <o:lock v:ext="edit" aspectratio="f"/>
              <v:textbox inset="0mm,0mm,0mm,0mm">
                <w:txbxContent>
                  <w:p>
                    <w:pPr>
                      <w:spacing w:before="10"/>
                      <w:ind w:left="40" w:right="0" w:firstLine="0"/>
                      <w:jc w:val="left"/>
                      <w:rPr>
                        <w:rFonts w:ascii="Times New Roman"/>
                        <w:sz w:val="21"/>
                      </w:rPr>
                    </w:pPr>
                    <w:r>
                      <w:fldChar w:fldCharType="begin"/>
                    </w:r>
                    <w:r>
                      <w:rPr>
                        <w:rFonts w:ascii="Times New Roman"/>
                        <w:sz w:val="21"/>
                      </w:rPr>
                      <w:instrText xml:space="preserve"> PAGE </w:instrText>
                    </w:r>
                    <w:r>
                      <w:fldChar w:fldCharType="separate"/>
                    </w:r>
                    <w:r>
                      <w:t>20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3964305</wp:posOffset>
              </wp:positionH>
              <wp:positionV relativeFrom="page">
                <wp:posOffset>10000615</wp:posOffset>
              </wp:positionV>
              <wp:extent cx="184785" cy="172720"/>
              <wp:effectExtent l="0" t="0" r="0" b="0"/>
              <wp:wrapNone/>
              <wp:docPr id="10" name="文本框 11"/>
              <wp:cNvGraphicFramePr/>
              <a:graphic xmlns:a="http://schemas.openxmlformats.org/drawingml/2006/main">
                <a:graphicData uri="http://schemas.microsoft.com/office/word/2010/wordprocessingShape">
                  <wps:wsp>
                    <wps:cNvSpPr txBox="1"/>
                    <wps:spPr>
                      <a:xfrm>
                        <a:off x="0" y="0"/>
                        <a:ext cx="184785" cy="172720"/>
                      </a:xfrm>
                      <a:prstGeom prst="rect">
                        <a:avLst/>
                      </a:prstGeom>
                      <a:noFill/>
                      <a:ln>
                        <a:noFill/>
                      </a:ln>
                    </wps:spPr>
                    <wps:txbx>
                      <w:txbxContent>
                        <w:p>
                          <w:pPr>
                            <w:spacing w:before="10"/>
                            <w:ind w:left="40" w:right="0" w:firstLine="0"/>
                            <w:jc w:val="left"/>
                            <w:rPr>
                              <w:rFonts w:ascii="Times New Roman"/>
                              <w:sz w:val="21"/>
                            </w:rPr>
                          </w:pPr>
                          <w:r>
                            <w:fldChar w:fldCharType="begin"/>
                          </w:r>
                          <w:r>
                            <w:rPr>
                              <w:rFonts w:ascii="Times New Roman"/>
                              <w:sz w:val="21"/>
                            </w:rPr>
                            <w:instrText xml:space="preserve"> PAGE </w:instrText>
                          </w:r>
                          <w:r>
                            <w:fldChar w:fldCharType="separate"/>
                          </w:r>
                          <w:r>
                            <w:t>30</w:t>
                          </w:r>
                          <w:r>
                            <w:fldChar w:fldCharType="end"/>
                          </w:r>
                        </w:p>
                      </w:txbxContent>
                    </wps:txbx>
                    <wps:bodyPr lIns="0" tIns="0" rIns="0" bIns="0" upright="1"/>
                  </wps:wsp>
                </a:graphicData>
              </a:graphic>
            </wp:anchor>
          </w:drawing>
        </mc:Choice>
        <mc:Fallback>
          <w:pict>
            <v:shape id="文本框 11" o:spid="_x0000_s1026" o:spt="202" type="#_x0000_t202" style="position:absolute;left:0pt;margin-left:312.15pt;margin-top:787.45pt;height:13.6pt;width:14.55pt;mso-position-horizontal-relative:page;mso-position-vertical-relative:page;z-index:-251655168;mso-width-relative:page;mso-height-relative:page;" filled="f" stroked="f" coordsize="21600,21600" o:gfxdata="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q3d3U2wAAAA0BAAAPAAAAAAAAAAEAIAAAACIAAABkcnMvZG93bnJldi54bWxQ&#10;SwECFAAUAAAACACHTuJAUrvaCrsBAABzAwAADgAAAAAAAAABACAAAAAqAQAAZHJzL2Uyb0RvYy54&#10;bWxQSwUGAAAAAAYABgBZAQAAVwUAAAAA&#10;">
              <v:fill on="f" focussize="0,0"/>
              <v:stroke on="f"/>
              <v:imagedata o:title=""/>
              <o:lock v:ext="edit" aspectratio="f"/>
              <v:textbox inset="0mm,0mm,0mm,0mm">
                <w:txbxContent>
                  <w:p>
                    <w:pPr>
                      <w:spacing w:before="10"/>
                      <w:ind w:left="40" w:right="0" w:firstLine="0"/>
                      <w:jc w:val="left"/>
                      <w:rPr>
                        <w:rFonts w:ascii="Times New Roman"/>
                        <w:sz w:val="21"/>
                      </w:rPr>
                    </w:pPr>
                    <w:r>
                      <w:fldChar w:fldCharType="begin"/>
                    </w:r>
                    <w:r>
                      <w:rPr>
                        <w:rFonts w:ascii="Times New Roman"/>
                        <w:sz w:val="21"/>
                      </w:rPr>
                      <w:instrText xml:space="preserve"> PAGE </w:instrText>
                    </w:r>
                    <w:r>
                      <w:fldChar w:fldCharType="separate"/>
                    </w:r>
                    <w:r>
                      <w:t>30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double" w:color="auto" w:sz="8" w:space="0"/>
      </w:pBdr>
      <w:spacing w:before="0" w:line="220" w:lineRule="exact"/>
      <w:ind w:left="20" w:right="0" w:firstLine="0"/>
      <w:jc w:val="left"/>
      <w:rPr>
        <w:sz w:val="18"/>
        <w:szCs w:val="24"/>
      </w:rPr>
    </w:pPr>
    <w:r>
      <w:rPr>
        <w:rFonts w:hint="eastAsia"/>
        <w:sz w:val="21"/>
        <w:szCs w:val="21"/>
        <w:lang w:val="en-US" w:eastAsia="zh-CN"/>
      </w:rPr>
      <w:t>咸阳市中心医院东郊分院                                        环境风险评估报告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54"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1006" w:hanging="702"/>
      </w:pPr>
      <w:rPr>
        <w:rFonts w:hint="default"/>
        <w:lang w:val="zh-CN" w:eastAsia="zh-CN" w:bidi="zh-CN"/>
      </w:rPr>
    </w:lvl>
    <w:lvl w:ilvl="2" w:tentative="0">
      <w:start w:val="0"/>
      <w:numFmt w:val="bullet"/>
      <w:lvlText w:val="•"/>
      <w:lvlJc w:val="left"/>
      <w:pPr>
        <w:ind w:left="1965" w:hanging="702"/>
      </w:pPr>
      <w:rPr>
        <w:rFonts w:hint="default"/>
        <w:lang w:val="zh-CN" w:eastAsia="zh-CN" w:bidi="zh-CN"/>
      </w:rPr>
    </w:lvl>
    <w:lvl w:ilvl="3" w:tentative="0">
      <w:start w:val="0"/>
      <w:numFmt w:val="bullet"/>
      <w:lvlText w:val="•"/>
      <w:lvlJc w:val="left"/>
      <w:pPr>
        <w:ind w:left="2923" w:hanging="702"/>
      </w:pPr>
      <w:rPr>
        <w:rFonts w:hint="default"/>
        <w:lang w:val="zh-CN" w:eastAsia="zh-CN" w:bidi="zh-CN"/>
      </w:rPr>
    </w:lvl>
    <w:lvl w:ilvl="4" w:tentative="0">
      <w:start w:val="0"/>
      <w:numFmt w:val="bullet"/>
      <w:lvlText w:val="•"/>
      <w:lvlJc w:val="left"/>
      <w:pPr>
        <w:ind w:left="3882" w:hanging="702"/>
      </w:pPr>
      <w:rPr>
        <w:rFonts w:hint="default"/>
        <w:lang w:val="zh-CN" w:eastAsia="zh-CN" w:bidi="zh-CN"/>
      </w:rPr>
    </w:lvl>
    <w:lvl w:ilvl="5" w:tentative="0">
      <w:start w:val="0"/>
      <w:numFmt w:val="bullet"/>
      <w:lvlText w:val="•"/>
      <w:lvlJc w:val="left"/>
      <w:pPr>
        <w:ind w:left="4841" w:hanging="702"/>
      </w:pPr>
      <w:rPr>
        <w:rFonts w:hint="default"/>
        <w:lang w:val="zh-CN" w:eastAsia="zh-CN" w:bidi="zh-CN"/>
      </w:rPr>
    </w:lvl>
    <w:lvl w:ilvl="6" w:tentative="0">
      <w:start w:val="0"/>
      <w:numFmt w:val="bullet"/>
      <w:lvlText w:val="•"/>
      <w:lvlJc w:val="left"/>
      <w:pPr>
        <w:ind w:left="5799" w:hanging="702"/>
      </w:pPr>
      <w:rPr>
        <w:rFonts w:hint="default"/>
        <w:lang w:val="zh-CN" w:eastAsia="zh-CN" w:bidi="zh-CN"/>
      </w:rPr>
    </w:lvl>
    <w:lvl w:ilvl="7" w:tentative="0">
      <w:start w:val="0"/>
      <w:numFmt w:val="bullet"/>
      <w:lvlText w:val="•"/>
      <w:lvlJc w:val="left"/>
      <w:pPr>
        <w:ind w:left="6758" w:hanging="702"/>
      </w:pPr>
      <w:rPr>
        <w:rFonts w:hint="default"/>
        <w:lang w:val="zh-CN" w:eastAsia="zh-CN" w:bidi="zh-CN"/>
      </w:rPr>
    </w:lvl>
    <w:lvl w:ilvl="8" w:tentative="0">
      <w:start w:val="0"/>
      <w:numFmt w:val="bullet"/>
      <w:lvlText w:val="•"/>
      <w:lvlJc w:val="left"/>
      <w:pPr>
        <w:ind w:left="7716" w:hanging="702"/>
      </w:pPr>
      <w:rPr>
        <w:rFonts w:hint="default"/>
        <w:lang w:val="zh-CN" w:eastAsia="zh-CN" w:bidi="zh-CN"/>
      </w:rPr>
    </w:lvl>
  </w:abstractNum>
  <w:abstractNum w:abstractNumId="1">
    <w:nsid w:val="CF092B84"/>
    <w:multiLevelType w:val="multilevel"/>
    <w:tmpl w:val="CF092B84"/>
    <w:lvl w:ilvl="0" w:tentative="0">
      <w:start w:val="1"/>
      <w:numFmt w:val="decimal"/>
      <w:lvlText w:val="%1"/>
      <w:lvlJc w:val="left"/>
      <w:pPr>
        <w:ind w:left="540" w:hanging="320"/>
        <w:jc w:val="left"/>
      </w:pPr>
      <w:rPr>
        <w:rFonts w:hint="default" w:ascii="Times New Roman" w:hAnsi="Times New Roman" w:eastAsia="Times New Roman" w:cs="Times New Roman"/>
        <w:b/>
        <w:bCs/>
        <w:w w:val="99"/>
        <w:sz w:val="32"/>
        <w:szCs w:val="32"/>
        <w:lang w:val="zh-CN" w:eastAsia="zh-CN" w:bidi="zh-CN"/>
      </w:rPr>
    </w:lvl>
    <w:lvl w:ilvl="1" w:tentative="0">
      <w:start w:val="1"/>
      <w:numFmt w:val="decimal"/>
      <w:lvlText w:val="%1.%2"/>
      <w:lvlJc w:val="left"/>
      <w:pPr>
        <w:ind w:left="919" w:hanging="480"/>
        <w:jc w:val="left"/>
      </w:pPr>
      <w:rPr>
        <w:rFonts w:hint="default" w:ascii="Times New Roman" w:hAnsi="Times New Roman" w:eastAsia="Times New Roman" w:cs="Times New Roman"/>
        <w:b/>
        <w:bCs/>
        <w:spacing w:val="-1"/>
        <w:w w:val="99"/>
        <w:sz w:val="32"/>
        <w:szCs w:val="32"/>
        <w:lang w:val="zh-CN" w:eastAsia="zh-CN" w:bidi="zh-CN"/>
      </w:rPr>
    </w:lvl>
    <w:lvl w:ilvl="2" w:tentative="0">
      <w:start w:val="1"/>
      <w:numFmt w:val="decimal"/>
      <w:lvlText w:val="%1.%2.%3"/>
      <w:lvlJc w:val="left"/>
      <w:pPr>
        <w:ind w:left="1376" w:hanging="629"/>
        <w:jc w:val="left"/>
      </w:pPr>
      <w:rPr>
        <w:rFonts w:hint="default" w:ascii="Times New Roman" w:hAnsi="Times New Roman" w:eastAsia="Times New Roman" w:cs="Times New Roman"/>
        <w:b/>
        <w:bCs/>
        <w:spacing w:val="-2"/>
        <w:w w:val="100"/>
        <w:sz w:val="28"/>
        <w:szCs w:val="28"/>
        <w:lang w:val="zh-CN" w:eastAsia="zh-CN" w:bidi="zh-CN"/>
      </w:rPr>
    </w:lvl>
    <w:lvl w:ilvl="3" w:tentative="0">
      <w:start w:val="0"/>
      <w:numFmt w:val="bullet"/>
      <w:lvlText w:val="•"/>
      <w:lvlJc w:val="left"/>
      <w:pPr>
        <w:ind w:left="1380" w:hanging="629"/>
      </w:pPr>
      <w:rPr>
        <w:rFonts w:hint="default"/>
        <w:lang w:val="zh-CN" w:eastAsia="zh-CN" w:bidi="zh-CN"/>
      </w:rPr>
    </w:lvl>
    <w:lvl w:ilvl="4" w:tentative="0">
      <w:start w:val="0"/>
      <w:numFmt w:val="bullet"/>
      <w:lvlText w:val="•"/>
      <w:lvlJc w:val="left"/>
      <w:pPr>
        <w:ind w:left="1440" w:hanging="629"/>
      </w:pPr>
      <w:rPr>
        <w:rFonts w:hint="default"/>
        <w:lang w:val="zh-CN" w:eastAsia="zh-CN" w:bidi="zh-CN"/>
      </w:rPr>
    </w:lvl>
    <w:lvl w:ilvl="5" w:tentative="0">
      <w:start w:val="0"/>
      <w:numFmt w:val="bullet"/>
      <w:lvlText w:val="•"/>
      <w:lvlJc w:val="left"/>
      <w:pPr>
        <w:ind w:left="2827" w:hanging="629"/>
      </w:pPr>
      <w:rPr>
        <w:rFonts w:hint="default"/>
        <w:lang w:val="zh-CN" w:eastAsia="zh-CN" w:bidi="zh-CN"/>
      </w:rPr>
    </w:lvl>
    <w:lvl w:ilvl="6" w:tentative="0">
      <w:start w:val="0"/>
      <w:numFmt w:val="bullet"/>
      <w:lvlText w:val="•"/>
      <w:lvlJc w:val="left"/>
      <w:pPr>
        <w:ind w:left="4215" w:hanging="629"/>
      </w:pPr>
      <w:rPr>
        <w:rFonts w:hint="default"/>
        <w:lang w:val="zh-CN" w:eastAsia="zh-CN" w:bidi="zh-CN"/>
      </w:rPr>
    </w:lvl>
    <w:lvl w:ilvl="7" w:tentative="0">
      <w:start w:val="0"/>
      <w:numFmt w:val="bullet"/>
      <w:lvlText w:val="•"/>
      <w:lvlJc w:val="left"/>
      <w:pPr>
        <w:ind w:left="5603" w:hanging="629"/>
      </w:pPr>
      <w:rPr>
        <w:rFonts w:hint="default"/>
        <w:lang w:val="zh-CN" w:eastAsia="zh-CN" w:bidi="zh-CN"/>
      </w:rPr>
    </w:lvl>
    <w:lvl w:ilvl="8" w:tentative="0">
      <w:start w:val="0"/>
      <w:numFmt w:val="bullet"/>
      <w:lvlText w:val="•"/>
      <w:lvlJc w:val="left"/>
      <w:pPr>
        <w:ind w:left="6990" w:hanging="629"/>
      </w:pPr>
      <w:rPr>
        <w:rFonts w:hint="default"/>
        <w:lang w:val="zh-CN" w:eastAsia="zh-CN" w:bidi="zh-CN"/>
      </w:rPr>
    </w:lvl>
  </w:abstractNum>
  <w:abstractNum w:abstractNumId="2">
    <w:nsid w:val="0248C179"/>
    <w:multiLevelType w:val="multilevel"/>
    <w:tmpl w:val="0248C179"/>
    <w:lvl w:ilvl="0" w:tentative="0">
      <w:start w:val="1"/>
      <w:numFmt w:val="decimal"/>
      <w:lvlText w:val="（%1）"/>
      <w:lvlJc w:val="left"/>
      <w:pPr>
        <w:ind w:left="186" w:hanging="702"/>
        <w:jc w:val="left"/>
      </w:pPr>
      <w:rPr>
        <w:rFonts w:hint="default" w:ascii="仿宋" w:hAnsi="仿宋" w:eastAsia="仿宋" w:cs="仿宋"/>
        <w:spacing w:val="-3"/>
        <w:w w:val="100"/>
        <w:sz w:val="26"/>
        <w:szCs w:val="26"/>
        <w:lang w:val="zh-CN" w:eastAsia="zh-CN" w:bidi="zh-CN"/>
      </w:rPr>
    </w:lvl>
    <w:lvl w:ilvl="1" w:tentative="0">
      <w:start w:val="0"/>
      <w:numFmt w:val="bullet"/>
      <w:lvlText w:val="•"/>
      <w:lvlJc w:val="left"/>
      <w:pPr>
        <w:ind w:left="1138" w:hanging="702"/>
      </w:pPr>
      <w:rPr>
        <w:rFonts w:hint="default"/>
        <w:lang w:val="zh-CN" w:eastAsia="zh-CN" w:bidi="zh-CN"/>
      </w:rPr>
    </w:lvl>
    <w:lvl w:ilvl="2" w:tentative="0">
      <w:start w:val="0"/>
      <w:numFmt w:val="bullet"/>
      <w:lvlText w:val="•"/>
      <w:lvlJc w:val="left"/>
      <w:pPr>
        <w:ind w:left="2097" w:hanging="702"/>
      </w:pPr>
      <w:rPr>
        <w:rFonts w:hint="default"/>
        <w:lang w:val="zh-CN" w:eastAsia="zh-CN" w:bidi="zh-CN"/>
      </w:rPr>
    </w:lvl>
    <w:lvl w:ilvl="3" w:tentative="0">
      <w:start w:val="0"/>
      <w:numFmt w:val="bullet"/>
      <w:lvlText w:val="•"/>
      <w:lvlJc w:val="left"/>
      <w:pPr>
        <w:ind w:left="3055" w:hanging="702"/>
      </w:pPr>
      <w:rPr>
        <w:rFonts w:hint="default"/>
        <w:lang w:val="zh-CN" w:eastAsia="zh-CN" w:bidi="zh-CN"/>
      </w:rPr>
    </w:lvl>
    <w:lvl w:ilvl="4" w:tentative="0">
      <w:start w:val="0"/>
      <w:numFmt w:val="bullet"/>
      <w:lvlText w:val="•"/>
      <w:lvlJc w:val="left"/>
      <w:pPr>
        <w:ind w:left="4014" w:hanging="702"/>
      </w:pPr>
      <w:rPr>
        <w:rFonts w:hint="default"/>
        <w:lang w:val="zh-CN" w:eastAsia="zh-CN" w:bidi="zh-CN"/>
      </w:rPr>
    </w:lvl>
    <w:lvl w:ilvl="5" w:tentative="0">
      <w:start w:val="0"/>
      <w:numFmt w:val="bullet"/>
      <w:lvlText w:val="•"/>
      <w:lvlJc w:val="left"/>
      <w:pPr>
        <w:ind w:left="4973" w:hanging="702"/>
      </w:pPr>
      <w:rPr>
        <w:rFonts w:hint="default"/>
        <w:lang w:val="zh-CN" w:eastAsia="zh-CN" w:bidi="zh-CN"/>
      </w:rPr>
    </w:lvl>
    <w:lvl w:ilvl="6" w:tentative="0">
      <w:start w:val="0"/>
      <w:numFmt w:val="bullet"/>
      <w:lvlText w:val="•"/>
      <w:lvlJc w:val="left"/>
      <w:pPr>
        <w:ind w:left="5931" w:hanging="702"/>
      </w:pPr>
      <w:rPr>
        <w:rFonts w:hint="default"/>
        <w:lang w:val="zh-CN" w:eastAsia="zh-CN" w:bidi="zh-CN"/>
      </w:rPr>
    </w:lvl>
    <w:lvl w:ilvl="7" w:tentative="0">
      <w:start w:val="0"/>
      <w:numFmt w:val="bullet"/>
      <w:lvlText w:val="•"/>
      <w:lvlJc w:val="left"/>
      <w:pPr>
        <w:ind w:left="6890" w:hanging="702"/>
      </w:pPr>
      <w:rPr>
        <w:rFonts w:hint="default"/>
        <w:lang w:val="zh-CN" w:eastAsia="zh-CN" w:bidi="zh-CN"/>
      </w:rPr>
    </w:lvl>
    <w:lvl w:ilvl="8" w:tentative="0">
      <w:start w:val="0"/>
      <w:numFmt w:val="bullet"/>
      <w:lvlText w:val="•"/>
      <w:lvlJc w:val="left"/>
      <w:pPr>
        <w:ind w:left="7848" w:hanging="702"/>
      </w:pPr>
      <w:rPr>
        <w:rFonts w:hint="default"/>
        <w:lang w:val="zh-CN" w:eastAsia="zh-CN" w:bidi="zh-CN"/>
      </w:rPr>
    </w:lvl>
  </w:abstractNum>
  <w:abstractNum w:abstractNumId="3">
    <w:nsid w:val="3435C313"/>
    <w:multiLevelType w:val="singleLevel"/>
    <w:tmpl w:val="3435C313"/>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yNzZjNDhjZTRhN2E1NGEyNTc3ZjRjYzM5MzUyMDEifQ=="/>
  </w:docVars>
  <w:rsids>
    <w:rsidRoot w:val="00000000"/>
    <w:rsid w:val="00C12FAC"/>
    <w:rsid w:val="01253318"/>
    <w:rsid w:val="014D1D6F"/>
    <w:rsid w:val="01904359"/>
    <w:rsid w:val="01AA4EAC"/>
    <w:rsid w:val="02101F44"/>
    <w:rsid w:val="02732A09"/>
    <w:rsid w:val="03205841"/>
    <w:rsid w:val="038D2040"/>
    <w:rsid w:val="048E4BB2"/>
    <w:rsid w:val="04D91F1B"/>
    <w:rsid w:val="04F419D9"/>
    <w:rsid w:val="05173AD1"/>
    <w:rsid w:val="055B7D99"/>
    <w:rsid w:val="05B24BF3"/>
    <w:rsid w:val="05F00F12"/>
    <w:rsid w:val="06356FCC"/>
    <w:rsid w:val="064029FC"/>
    <w:rsid w:val="0652413C"/>
    <w:rsid w:val="06D73361"/>
    <w:rsid w:val="07751C03"/>
    <w:rsid w:val="078801B7"/>
    <w:rsid w:val="08747B08"/>
    <w:rsid w:val="087F39C8"/>
    <w:rsid w:val="089F4205"/>
    <w:rsid w:val="095C18FB"/>
    <w:rsid w:val="097221BB"/>
    <w:rsid w:val="0A0C1573"/>
    <w:rsid w:val="0AA736ED"/>
    <w:rsid w:val="0AB310E4"/>
    <w:rsid w:val="0C8353F1"/>
    <w:rsid w:val="0CB7224E"/>
    <w:rsid w:val="0D991A7F"/>
    <w:rsid w:val="0EEE56EB"/>
    <w:rsid w:val="101744CC"/>
    <w:rsid w:val="109506D4"/>
    <w:rsid w:val="10C00446"/>
    <w:rsid w:val="111863FF"/>
    <w:rsid w:val="111E3700"/>
    <w:rsid w:val="11D42FAE"/>
    <w:rsid w:val="12412F69"/>
    <w:rsid w:val="12882DE6"/>
    <w:rsid w:val="134873F1"/>
    <w:rsid w:val="1360023A"/>
    <w:rsid w:val="13A449B3"/>
    <w:rsid w:val="145F6743"/>
    <w:rsid w:val="14CF2A54"/>
    <w:rsid w:val="154060CF"/>
    <w:rsid w:val="157D29F0"/>
    <w:rsid w:val="15BB209F"/>
    <w:rsid w:val="15E943C5"/>
    <w:rsid w:val="160557EF"/>
    <w:rsid w:val="1724245F"/>
    <w:rsid w:val="176F3BD1"/>
    <w:rsid w:val="17AC6144"/>
    <w:rsid w:val="18836D14"/>
    <w:rsid w:val="19BD0194"/>
    <w:rsid w:val="1A850730"/>
    <w:rsid w:val="1B123775"/>
    <w:rsid w:val="1C6F00C6"/>
    <w:rsid w:val="1D1E737A"/>
    <w:rsid w:val="1D3764AF"/>
    <w:rsid w:val="1D594678"/>
    <w:rsid w:val="1E5B441F"/>
    <w:rsid w:val="1E934CC5"/>
    <w:rsid w:val="1EBD3B62"/>
    <w:rsid w:val="1EEB1CC5"/>
    <w:rsid w:val="1F617178"/>
    <w:rsid w:val="1F824712"/>
    <w:rsid w:val="1F86369D"/>
    <w:rsid w:val="20CE2B02"/>
    <w:rsid w:val="217A1EA3"/>
    <w:rsid w:val="218E0668"/>
    <w:rsid w:val="231F1C62"/>
    <w:rsid w:val="237869FA"/>
    <w:rsid w:val="23B04ED2"/>
    <w:rsid w:val="24462058"/>
    <w:rsid w:val="249145FE"/>
    <w:rsid w:val="2527288B"/>
    <w:rsid w:val="25F8396C"/>
    <w:rsid w:val="260E5580"/>
    <w:rsid w:val="264B4300"/>
    <w:rsid w:val="26AF355A"/>
    <w:rsid w:val="278A3680"/>
    <w:rsid w:val="27935170"/>
    <w:rsid w:val="291711F9"/>
    <w:rsid w:val="29C64750"/>
    <w:rsid w:val="29C8726F"/>
    <w:rsid w:val="2A3E70CF"/>
    <w:rsid w:val="2A9515A1"/>
    <w:rsid w:val="2ACC40D3"/>
    <w:rsid w:val="2B4A26C4"/>
    <w:rsid w:val="2B4A5600"/>
    <w:rsid w:val="2B64728F"/>
    <w:rsid w:val="2BC46BFC"/>
    <w:rsid w:val="2C343987"/>
    <w:rsid w:val="2C7C1C5F"/>
    <w:rsid w:val="2D334168"/>
    <w:rsid w:val="2D344CBA"/>
    <w:rsid w:val="2D4C1B03"/>
    <w:rsid w:val="2E312AA7"/>
    <w:rsid w:val="2E3A5DFF"/>
    <w:rsid w:val="2E434920"/>
    <w:rsid w:val="2E474078"/>
    <w:rsid w:val="2E836496"/>
    <w:rsid w:val="2E9657E0"/>
    <w:rsid w:val="2F503401"/>
    <w:rsid w:val="2FBE33E0"/>
    <w:rsid w:val="305556AB"/>
    <w:rsid w:val="308800EC"/>
    <w:rsid w:val="30A14CB5"/>
    <w:rsid w:val="31EF4885"/>
    <w:rsid w:val="324F79A0"/>
    <w:rsid w:val="32525DF7"/>
    <w:rsid w:val="32C81C20"/>
    <w:rsid w:val="33B3571B"/>
    <w:rsid w:val="340A4CC4"/>
    <w:rsid w:val="342E5E34"/>
    <w:rsid w:val="34916A44"/>
    <w:rsid w:val="34A716A4"/>
    <w:rsid w:val="34B774FD"/>
    <w:rsid w:val="34EF1477"/>
    <w:rsid w:val="3530288A"/>
    <w:rsid w:val="35425C20"/>
    <w:rsid w:val="357B28D6"/>
    <w:rsid w:val="364C561D"/>
    <w:rsid w:val="377D7015"/>
    <w:rsid w:val="387B4269"/>
    <w:rsid w:val="394144E6"/>
    <w:rsid w:val="39536A18"/>
    <w:rsid w:val="3A130B78"/>
    <w:rsid w:val="3AAD10FB"/>
    <w:rsid w:val="3B5859AB"/>
    <w:rsid w:val="3C74072E"/>
    <w:rsid w:val="3CD629C8"/>
    <w:rsid w:val="3D314DBE"/>
    <w:rsid w:val="3D5F13DF"/>
    <w:rsid w:val="3D7724FD"/>
    <w:rsid w:val="3F235940"/>
    <w:rsid w:val="3F3643C1"/>
    <w:rsid w:val="3F485A1E"/>
    <w:rsid w:val="3F6031EC"/>
    <w:rsid w:val="409C584F"/>
    <w:rsid w:val="40E568A6"/>
    <w:rsid w:val="40F70614"/>
    <w:rsid w:val="41777D75"/>
    <w:rsid w:val="41E915B7"/>
    <w:rsid w:val="42726534"/>
    <w:rsid w:val="434846C3"/>
    <w:rsid w:val="43951D96"/>
    <w:rsid w:val="43A833B4"/>
    <w:rsid w:val="44A703AC"/>
    <w:rsid w:val="4545625B"/>
    <w:rsid w:val="47F16027"/>
    <w:rsid w:val="4A4F62B5"/>
    <w:rsid w:val="4AB12FBE"/>
    <w:rsid w:val="4AB80380"/>
    <w:rsid w:val="4AF313B8"/>
    <w:rsid w:val="4AFE16D1"/>
    <w:rsid w:val="4B5B06A4"/>
    <w:rsid w:val="4B8F2CDB"/>
    <w:rsid w:val="4D12010F"/>
    <w:rsid w:val="4D834C75"/>
    <w:rsid w:val="4DD771E9"/>
    <w:rsid w:val="4E4B79C1"/>
    <w:rsid w:val="4E557C94"/>
    <w:rsid w:val="4E955004"/>
    <w:rsid w:val="4F616CFF"/>
    <w:rsid w:val="4FFF120E"/>
    <w:rsid w:val="51075407"/>
    <w:rsid w:val="52412A09"/>
    <w:rsid w:val="524B1C85"/>
    <w:rsid w:val="524F5CF2"/>
    <w:rsid w:val="526E48F5"/>
    <w:rsid w:val="52F404BA"/>
    <w:rsid w:val="53C2401E"/>
    <w:rsid w:val="543A4956"/>
    <w:rsid w:val="55B915A0"/>
    <w:rsid w:val="55D322F9"/>
    <w:rsid w:val="55D87E1A"/>
    <w:rsid w:val="561778BD"/>
    <w:rsid w:val="576058B7"/>
    <w:rsid w:val="57AE6D93"/>
    <w:rsid w:val="57EF1159"/>
    <w:rsid w:val="58276B45"/>
    <w:rsid w:val="58836DD9"/>
    <w:rsid w:val="58BB0AAB"/>
    <w:rsid w:val="58E223C6"/>
    <w:rsid w:val="5935215E"/>
    <w:rsid w:val="59407EBE"/>
    <w:rsid w:val="597A71A5"/>
    <w:rsid w:val="597B2CA5"/>
    <w:rsid w:val="59CC3500"/>
    <w:rsid w:val="5A166D9B"/>
    <w:rsid w:val="5A932270"/>
    <w:rsid w:val="5A964F8E"/>
    <w:rsid w:val="5AD62D26"/>
    <w:rsid w:val="5B0704EC"/>
    <w:rsid w:val="5B2142DF"/>
    <w:rsid w:val="5B2C3611"/>
    <w:rsid w:val="5B6B2007"/>
    <w:rsid w:val="5D55249C"/>
    <w:rsid w:val="5D8D321C"/>
    <w:rsid w:val="5E4F035E"/>
    <w:rsid w:val="5E9640DD"/>
    <w:rsid w:val="5EAC0136"/>
    <w:rsid w:val="5F55554F"/>
    <w:rsid w:val="601E6EE1"/>
    <w:rsid w:val="602048C3"/>
    <w:rsid w:val="61432572"/>
    <w:rsid w:val="61E17D65"/>
    <w:rsid w:val="6299063F"/>
    <w:rsid w:val="62E53885"/>
    <w:rsid w:val="631D7424"/>
    <w:rsid w:val="634B43D9"/>
    <w:rsid w:val="63771F1D"/>
    <w:rsid w:val="63D60FE7"/>
    <w:rsid w:val="643B31CD"/>
    <w:rsid w:val="644929A9"/>
    <w:rsid w:val="64D97B3E"/>
    <w:rsid w:val="65D0781C"/>
    <w:rsid w:val="65DD4D44"/>
    <w:rsid w:val="668A17FD"/>
    <w:rsid w:val="66D94A3B"/>
    <w:rsid w:val="67C617B4"/>
    <w:rsid w:val="67D04C04"/>
    <w:rsid w:val="67E608A7"/>
    <w:rsid w:val="682A1C9C"/>
    <w:rsid w:val="69465F7C"/>
    <w:rsid w:val="6AE425C4"/>
    <w:rsid w:val="6B0C237E"/>
    <w:rsid w:val="6B0C54BC"/>
    <w:rsid w:val="6B21318F"/>
    <w:rsid w:val="6BF04777"/>
    <w:rsid w:val="6CBB6FD8"/>
    <w:rsid w:val="6CC07D5A"/>
    <w:rsid w:val="6CE34991"/>
    <w:rsid w:val="6E891568"/>
    <w:rsid w:val="6E8D6CB9"/>
    <w:rsid w:val="6E9A3B62"/>
    <w:rsid w:val="6FC45F08"/>
    <w:rsid w:val="70652780"/>
    <w:rsid w:val="70DA4916"/>
    <w:rsid w:val="70E05E01"/>
    <w:rsid w:val="70F51845"/>
    <w:rsid w:val="716B400E"/>
    <w:rsid w:val="719A0F60"/>
    <w:rsid w:val="7278340F"/>
    <w:rsid w:val="72B74C2F"/>
    <w:rsid w:val="73373C88"/>
    <w:rsid w:val="73BD5E16"/>
    <w:rsid w:val="749913BC"/>
    <w:rsid w:val="75774810"/>
    <w:rsid w:val="75AB479D"/>
    <w:rsid w:val="760C17E5"/>
    <w:rsid w:val="777A4144"/>
    <w:rsid w:val="77905D1A"/>
    <w:rsid w:val="789D54C8"/>
    <w:rsid w:val="7981516C"/>
    <w:rsid w:val="79F85C83"/>
    <w:rsid w:val="7A051E28"/>
    <w:rsid w:val="7A1B6759"/>
    <w:rsid w:val="7AC5349C"/>
    <w:rsid w:val="7BB0282A"/>
    <w:rsid w:val="7BD32074"/>
    <w:rsid w:val="7BF0264D"/>
    <w:rsid w:val="7D061599"/>
    <w:rsid w:val="7D537911"/>
    <w:rsid w:val="7D796738"/>
    <w:rsid w:val="7DC66335"/>
    <w:rsid w:val="7DE46E6D"/>
    <w:rsid w:val="7DE57188"/>
    <w:rsid w:val="7E4603A6"/>
    <w:rsid w:val="7E6C1962"/>
    <w:rsid w:val="7E832126"/>
    <w:rsid w:val="7F695E91"/>
    <w:rsid w:val="7FA35A4A"/>
    <w:rsid w:val="7FAF2D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3">
    <w:name w:val="heading 1"/>
    <w:basedOn w:val="1"/>
    <w:next w:val="1"/>
    <w:qFormat/>
    <w:uiPriority w:val="1"/>
    <w:pPr>
      <w:spacing w:before="64"/>
      <w:ind w:left="1307" w:hanging="481"/>
      <w:outlineLvl w:val="1"/>
    </w:pPr>
    <w:rPr>
      <w:rFonts w:ascii="楷体" w:hAnsi="楷体" w:eastAsia="楷体" w:cs="楷体"/>
      <w:b/>
      <w:bCs/>
      <w:sz w:val="32"/>
      <w:szCs w:val="32"/>
      <w:lang w:val="zh-CN" w:eastAsia="zh-CN" w:bidi="zh-CN"/>
    </w:rPr>
  </w:style>
  <w:style w:type="paragraph" w:styleId="2">
    <w:name w:val="heading 2"/>
    <w:basedOn w:val="1"/>
    <w:next w:val="1"/>
    <w:qFormat/>
    <w:uiPriority w:val="1"/>
    <w:pPr>
      <w:ind w:left="1376" w:hanging="629"/>
      <w:outlineLvl w:val="2"/>
    </w:pPr>
    <w:rPr>
      <w:rFonts w:ascii="仿宋" w:hAnsi="仿宋" w:eastAsia="仿宋" w:cs="仿宋"/>
      <w:b/>
      <w:bCs/>
      <w:sz w:val="28"/>
      <w:szCs w:val="28"/>
      <w:lang w:val="zh-CN" w:eastAsia="zh-CN" w:bidi="zh-CN"/>
    </w:rPr>
  </w:style>
  <w:style w:type="paragraph" w:styleId="4">
    <w:name w:val="heading 3"/>
    <w:basedOn w:val="1"/>
    <w:next w:val="1"/>
    <w:qFormat/>
    <w:uiPriority w:val="0"/>
    <w:pPr>
      <w:keepNext/>
      <w:keepLines/>
      <w:spacing w:line="360" w:lineRule="auto"/>
      <w:jc w:val="left"/>
      <w:outlineLvl w:val="2"/>
    </w:pPr>
    <w:rPr>
      <w:b/>
    </w:rPr>
  </w:style>
  <w:style w:type="character" w:default="1" w:styleId="14">
    <w:name w:val="Default Paragraph Font"/>
    <w:semiHidden/>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5">
    <w:name w:val="Body Text"/>
    <w:basedOn w:val="1"/>
    <w:qFormat/>
    <w:uiPriority w:val="1"/>
    <w:rPr>
      <w:rFonts w:ascii="仿宋" w:hAnsi="仿宋" w:eastAsia="仿宋" w:cs="仿宋"/>
      <w:sz w:val="28"/>
      <w:szCs w:val="28"/>
      <w:lang w:val="zh-CN" w:eastAsia="zh-CN" w:bidi="zh-CN"/>
    </w:rPr>
  </w:style>
  <w:style w:type="paragraph" w:styleId="6">
    <w:name w:val="Block Text"/>
    <w:basedOn w:val="1"/>
    <w:qFormat/>
    <w:uiPriority w:val="0"/>
    <w:pPr>
      <w:widowControl w:val="0"/>
      <w:spacing w:line="360" w:lineRule="exact"/>
      <w:ind w:left="113" w:right="113"/>
      <w:jc w:val="center"/>
    </w:pPr>
    <w:rPr>
      <w:rFonts w:ascii="宋体" w:hAnsi="宋体" w:eastAsia="微软雅黑 Light" w:cs="微软雅黑 Light"/>
      <w:color w:val="000000"/>
      <w:kern w:val="2"/>
      <w:sz w:val="24"/>
      <w:szCs w:val="24"/>
      <w:lang w:val="en-US" w:eastAsia="zh-CN"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1"/>
    <w:pPr>
      <w:spacing w:before="265"/>
      <w:ind w:left="1727" w:right="391" w:hanging="1728"/>
      <w:jc w:val="right"/>
    </w:pPr>
    <w:rPr>
      <w:rFonts w:ascii="仿宋" w:hAnsi="仿宋" w:eastAsia="仿宋" w:cs="仿宋"/>
      <w:sz w:val="28"/>
      <w:szCs w:val="28"/>
      <w:lang w:val="zh-CN" w:eastAsia="zh-CN" w:bidi="zh-CN"/>
    </w:rPr>
  </w:style>
  <w:style w:type="paragraph" w:styleId="10">
    <w:name w:val="toc 2"/>
    <w:basedOn w:val="1"/>
    <w:next w:val="1"/>
    <w:qFormat/>
    <w:uiPriority w:val="1"/>
    <w:pPr>
      <w:spacing w:before="265"/>
      <w:ind w:left="1727" w:hanging="421"/>
    </w:pPr>
    <w:rPr>
      <w:rFonts w:ascii="仿宋" w:hAnsi="仿宋" w:eastAsia="仿宋" w:cs="仿宋"/>
      <w:sz w:val="28"/>
      <w:szCs w:val="28"/>
      <w:lang w:val="zh-CN" w:eastAsia="zh-CN" w:bidi="zh-CN"/>
    </w:rPr>
  </w:style>
  <w:style w:type="paragraph" w:styleId="11">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12">
    <w:name w:val="Body Text First Indent 2"/>
    <w:basedOn w:val="1"/>
    <w:next w:val="1"/>
    <w:unhideWhenUsed/>
    <w:qFormat/>
    <w:uiPriority w:val="99"/>
    <w:pPr>
      <w:ind w:firstLine="420" w:firstLineChars="200"/>
    </w:pPr>
  </w:style>
  <w:style w:type="character" w:styleId="15">
    <w:name w:val="Emphasis"/>
    <w:basedOn w:val="14"/>
    <w:qFormat/>
    <w:uiPriority w:val="0"/>
    <w:rPr>
      <w:i/>
    </w:rPr>
  </w:style>
  <w:style w:type="table" w:customStyle="1" w:styleId="16">
    <w:name w:val="Table Normal"/>
    <w:semiHidden/>
    <w:unhideWhenUsed/>
    <w:qFormat/>
    <w:uiPriority w:val="2"/>
    <w:tblPr>
      <w:tblCellMar>
        <w:top w:w="0" w:type="dxa"/>
        <w:left w:w="0" w:type="dxa"/>
        <w:bottom w:w="0" w:type="dxa"/>
        <w:right w:w="0" w:type="dxa"/>
      </w:tblCellMar>
    </w:tblPr>
  </w:style>
  <w:style w:type="paragraph" w:styleId="17">
    <w:name w:val="List Paragraph"/>
    <w:basedOn w:val="1"/>
    <w:qFormat/>
    <w:uiPriority w:val="1"/>
    <w:pPr>
      <w:spacing w:before="265"/>
      <w:ind w:left="1450" w:hanging="702"/>
    </w:pPr>
    <w:rPr>
      <w:rFonts w:ascii="仿宋" w:hAnsi="仿宋" w:eastAsia="仿宋" w:cs="仿宋"/>
      <w:lang w:val="zh-CN" w:eastAsia="zh-CN" w:bidi="zh-CN"/>
    </w:rPr>
  </w:style>
  <w:style w:type="paragraph" w:customStyle="1" w:styleId="18">
    <w:name w:val="Table Paragraph"/>
    <w:basedOn w:val="1"/>
    <w:qFormat/>
    <w:uiPriority w:val="1"/>
    <w:rPr>
      <w:rFonts w:ascii="仿宋" w:hAnsi="仿宋" w:eastAsia="仿宋" w:cs="仿宋"/>
      <w:lang w:val="zh-CN" w:eastAsia="zh-CN" w:bidi="zh-CN"/>
    </w:rPr>
  </w:style>
  <w:style w:type="paragraph" w:customStyle="1" w:styleId="19">
    <w:name w:val="样式1"/>
    <w:basedOn w:val="8"/>
    <w:qFormat/>
    <w:uiPriority w:val="0"/>
    <w:pPr>
      <w:pBdr>
        <w:bottom w:val="none" w:color="auto" w:sz="0" w:space="0"/>
      </w:pBdr>
    </w:pPr>
  </w:style>
  <w:style w:type="paragraph" w:customStyle="1" w:styleId="20">
    <w:name w:val="xl27"/>
    <w:basedOn w:val="1"/>
    <w:qFormat/>
    <w:uiPriority w:val="0"/>
    <w:pPr>
      <w:widowControl/>
      <w:pBdr>
        <w:bottom w:val="single" w:color="auto" w:sz="4" w:space="0"/>
      </w:pBdr>
      <w:spacing w:before="100" w:beforeLines="0" w:beforeAutospacing="1" w:after="100" w:afterLines="0" w:afterAutospacing="1"/>
      <w:jc w:val="center"/>
      <w:textAlignment w:val="center"/>
    </w:pPr>
    <w:rPr>
      <w:rFonts w:ascii="宋体" w:hAnsi="宋体"/>
      <w:kern w:val="0"/>
      <w:sz w:val="24"/>
      <w:szCs w:val="24"/>
    </w:rPr>
  </w:style>
  <w:style w:type="paragraph" w:customStyle="1" w:styleId="21">
    <w:name w:val="p0"/>
    <w:basedOn w:val="1"/>
    <w:qFormat/>
    <w:uiPriority w:val="0"/>
    <w:pPr>
      <w:widowControl/>
    </w:pPr>
    <w:rPr>
      <w:kern w:val="0"/>
    </w:rPr>
  </w:style>
  <w:style w:type="paragraph" w:customStyle="1" w:styleId="22">
    <w:name w:val="Default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16473</Words>
  <Characters>18557</Characters>
  <TotalTime>1</TotalTime>
  <ScaleCrop>false</ScaleCrop>
  <LinksUpToDate>false</LinksUpToDate>
  <CharactersWithSpaces>18828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2022-10-11T01:50:00Z</dcterms:created>
  <dc:creator>李千斤</dc:creator>
  <cp:lastModifiedBy>CYN</cp:lastModifiedBy>
  <dcterms:modified xsi:type="dcterms:W3CDTF">2022-12-08T08:12:59Z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2022-07-10T00:00:00Z</vt:filetime>
  </property>
  <property fmtid="{D5CDD505-2E9C-101B-9397-08002B2CF9AE}" pid="3" name="Creator">
    <vt:lpwstr>WPS 文字</vt:lpwstr>
  </property>
  <property fmtid="{D5CDD505-2E9C-101B-9397-08002B2CF9AE}" pid="4" name="LastSaved">
    <vt:filetime>2022-10-11T00:00:00Z</vt:filetime>
  </property>
  <property fmtid="{D5CDD505-2E9C-101B-9397-08002B2CF9AE}" pid="5" name="KSOProductBuildVer">
    <vt:lpwstr>2052-11.1.0.12763</vt:lpwstr>
  </property>
  <property fmtid="{D5CDD505-2E9C-101B-9397-08002B2CF9AE}" pid="6" name="ICV">
    <vt:lpwstr>E2FB7D2EEAA14D709CFBCADC3D744270</vt:lpwstr>
  </property>
</Properties>
</file>